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EBF1DE" w:themeColor="accent3" w:themeTint="33"/>
  <w:body>
    <w:p>
      <w:pPr>
        <w:pStyle w:val="137"/>
        <w:ind w:firstLine="480"/>
        <w:rPr>
          <w:b/>
          <w:bCs/>
          <w:spacing w:val="-10"/>
          <w:sz w:val="44"/>
          <w:szCs w:val="44"/>
        </w:rPr>
      </w:pPr>
      <w:bookmarkStart w:id="0" w:name="_Hlk78296003"/>
      <w:bookmarkEnd w:id="0"/>
      <w:r>
        <w:t xml:space="preserve">  </w:t>
      </w:r>
    </w:p>
    <w:p>
      <w:pPr>
        <w:jc w:val="center"/>
        <w:rPr>
          <w:b/>
          <w:bCs/>
          <w:spacing w:val="-10"/>
          <w:sz w:val="44"/>
          <w:szCs w:val="44"/>
        </w:rPr>
      </w:pPr>
    </w:p>
    <w:p>
      <w:pPr>
        <w:adjustRightInd w:val="0"/>
        <w:snapToGrid w:val="0"/>
        <w:spacing w:line="360" w:lineRule="auto"/>
        <w:jc w:val="center"/>
        <w:rPr>
          <w:rFonts w:eastAsia="黑体"/>
          <w:b/>
          <w:bCs/>
          <w:spacing w:val="-10"/>
          <w:sz w:val="44"/>
          <w:szCs w:val="44"/>
        </w:rPr>
      </w:pPr>
      <w:bookmarkStart w:id="1" w:name="_Hlk88665336"/>
      <w:r>
        <w:rPr>
          <w:rFonts w:hint="eastAsia" w:eastAsia="黑体"/>
          <w:b/>
          <w:bCs/>
          <w:spacing w:val="-10"/>
          <w:sz w:val="44"/>
          <w:szCs w:val="44"/>
        </w:rPr>
        <w:t>围场满族蒙古族自治县静脉产业园</w:t>
      </w:r>
    </w:p>
    <w:p>
      <w:pPr>
        <w:adjustRightInd w:val="0"/>
        <w:snapToGrid w:val="0"/>
        <w:spacing w:line="360" w:lineRule="auto"/>
        <w:jc w:val="center"/>
        <w:rPr>
          <w:rFonts w:eastAsia="黑体"/>
          <w:b/>
          <w:bCs/>
          <w:spacing w:val="-10"/>
          <w:sz w:val="44"/>
          <w:szCs w:val="44"/>
        </w:rPr>
      </w:pPr>
      <w:r>
        <w:rPr>
          <w:rFonts w:hint="eastAsia" w:eastAsia="黑体"/>
          <w:b/>
          <w:bCs/>
          <w:spacing w:val="-10"/>
          <w:sz w:val="44"/>
          <w:szCs w:val="44"/>
        </w:rPr>
        <w:t>飞灰填埋场项目</w:t>
      </w:r>
    </w:p>
    <w:bookmarkEnd w:id="1"/>
    <w:p>
      <w:pPr>
        <w:jc w:val="center"/>
        <w:rPr>
          <w:rFonts w:eastAsia="黑体"/>
          <w:b/>
          <w:bCs/>
          <w:spacing w:val="-10"/>
          <w:sz w:val="44"/>
          <w:szCs w:val="44"/>
        </w:rPr>
      </w:pPr>
    </w:p>
    <w:p>
      <w:pPr>
        <w:jc w:val="center"/>
        <w:rPr>
          <w:rFonts w:eastAsia="黑体"/>
          <w:b/>
          <w:bCs/>
          <w:spacing w:val="-10"/>
          <w:sz w:val="44"/>
          <w:szCs w:val="44"/>
        </w:rPr>
      </w:pPr>
    </w:p>
    <w:p>
      <w:pPr>
        <w:jc w:val="center"/>
        <w:rPr>
          <w:rFonts w:eastAsia="黑体"/>
          <w:b/>
          <w:bCs/>
          <w:spacing w:val="-10"/>
          <w:sz w:val="72"/>
          <w:szCs w:val="72"/>
        </w:rPr>
      </w:pPr>
      <w:r>
        <w:rPr>
          <w:rFonts w:eastAsia="黑体"/>
          <w:b/>
          <w:bCs/>
          <w:sz w:val="72"/>
          <w:szCs w:val="72"/>
        </w:rPr>
        <w:t>环境影响报告书</w:t>
      </w:r>
    </w:p>
    <w:p>
      <w:pPr>
        <w:jc w:val="center"/>
        <w:rPr>
          <w:b/>
          <w:bCs/>
          <w:sz w:val="36"/>
        </w:rPr>
      </w:pPr>
    </w:p>
    <w:p>
      <w:pPr>
        <w:jc w:val="center"/>
        <w:rPr>
          <w:b/>
          <w:bCs/>
          <w:sz w:val="36"/>
        </w:rPr>
      </w:pPr>
      <w:r>
        <w:rPr>
          <w:rFonts w:hint="eastAsia"/>
          <w:b/>
          <w:bCs/>
          <w:sz w:val="36"/>
        </w:rPr>
        <w:t>（报批稿）</w:t>
      </w:r>
    </w:p>
    <w:p>
      <w:pPr>
        <w:jc w:val="center"/>
        <w:rPr>
          <w:b/>
          <w:bCs/>
          <w:sz w:val="36"/>
        </w:rPr>
      </w:pPr>
    </w:p>
    <w:p>
      <w:pPr>
        <w:spacing w:line="600" w:lineRule="exact"/>
        <w:rPr>
          <w:b/>
          <w:bCs/>
          <w:sz w:val="36"/>
        </w:rPr>
      </w:pPr>
      <w:r>
        <w:rPr>
          <w:rFonts w:hint="eastAsia"/>
          <w:b/>
          <w:bCs/>
          <w:sz w:val="36"/>
        </w:rPr>
        <w:t xml:space="preserve">   </w:t>
      </w:r>
    </w:p>
    <w:p>
      <w:pPr>
        <w:spacing w:line="600" w:lineRule="exact"/>
        <w:rPr>
          <w:b/>
          <w:bCs/>
          <w:sz w:val="36"/>
        </w:rPr>
      </w:pPr>
    </w:p>
    <w:p>
      <w:pPr>
        <w:spacing w:line="600" w:lineRule="exact"/>
        <w:rPr>
          <w:b/>
          <w:bCs/>
          <w:sz w:val="36"/>
        </w:rPr>
      </w:pPr>
    </w:p>
    <w:p>
      <w:pPr>
        <w:spacing w:line="600" w:lineRule="exact"/>
        <w:rPr>
          <w:b/>
          <w:bCs/>
          <w:sz w:val="36"/>
        </w:rPr>
      </w:pPr>
    </w:p>
    <w:p>
      <w:pPr>
        <w:spacing w:line="600" w:lineRule="exact"/>
        <w:rPr>
          <w:b/>
          <w:bCs/>
          <w:sz w:val="36"/>
        </w:rPr>
      </w:pPr>
    </w:p>
    <w:p>
      <w:pPr>
        <w:spacing w:line="600" w:lineRule="exact"/>
        <w:rPr>
          <w:b/>
          <w:bCs/>
          <w:sz w:val="36"/>
        </w:rPr>
      </w:pPr>
    </w:p>
    <w:p>
      <w:pPr>
        <w:jc w:val="center"/>
        <w:rPr>
          <w:rFonts w:eastAsia="黑体"/>
          <w:sz w:val="30"/>
          <w:szCs w:val="30"/>
        </w:rPr>
      </w:pPr>
      <w:r>
        <w:rPr>
          <w:rFonts w:eastAsia="黑体"/>
          <w:sz w:val="30"/>
          <w:szCs w:val="30"/>
        </w:rPr>
        <w:t>建设单位：</w:t>
      </w:r>
      <w:r>
        <w:rPr>
          <w:rFonts w:hint="eastAsia" w:eastAsia="黑体"/>
          <w:sz w:val="30"/>
          <w:szCs w:val="30"/>
        </w:rPr>
        <w:t>围场满族蒙古族自治县塞罕坝综合执法大队</w:t>
      </w:r>
    </w:p>
    <w:p>
      <w:pPr>
        <w:jc w:val="center"/>
        <w:rPr>
          <w:rFonts w:eastAsia="黑体"/>
          <w:sz w:val="30"/>
          <w:szCs w:val="30"/>
        </w:rPr>
      </w:pPr>
      <w:r>
        <w:rPr>
          <w:rFonts w:hint="eastAsia" w:eastAsia="黑体"/>
          <w:sz w:val="30"/>
          <w:szCs w:val="30"/>
        </w:rPr>
        <w:t xml:space="preserve"> </w:t>
      </w:r>
      <w:r>
        <w:rPr>
          <w:rFonts w:eastAsia="黑体"/>
          <w:sz w:val="30"/>
          <w:szCs w:val="30"/>
        </w:rPr>
        <w:t xml:space="preserve"> 编制单位：</w:t>
      </w:r>
      <w:r>
        <w:rPr>
          <w:rFonts w:hint="eastAsia" w:eastAsia="黑体"/>
          <w:sz w:val="30"/>
          <w:szCs w:val="30"/>
        </w:rPr>
        <w:t>北京神州瑞霖环境技术研究院有限公司</w:t>
      </w:r>
    </w:p>
    <w:p>
      <w:pPr>
        <w:jc w:val="center"/>
        <w:rPr>
          <w:sz w:val="24"/>
          <w:szCs w:val="24"/>
        </w:rPr>
      </w:pPr>
      <w:r>
        <w:rPr>
          <w:rFonts w:eastAsia="黑体"/>
          <w:sz w:val="28"/>
          <w:szCs w:val="28"/>
        </w:rPr>
        <w:t>2022年8月</w:t>
      </w:r>
    </w:p>
    <w:p>
      <w:pPr>
        <w:adjustRightInd w:val="0"/>
        <w:snapToGrid w:val="0"/>
        <w:jc w:val="center"/>
        <w:rPr>
          <w:sz w:val="36"/>
          <w:szCs w:val="36"/>
          <w:lang w:val="zh-CN"/>
        </w:rPr>
        <w:sectPr>
          <w:headerReference r:id="rId3" w:type="default"/>
          <w:footerReference r:id="rId4" w:type="default"/>
          <w:pgSz w:w="11906" w:h="16838"/>
          <w:pgMar w:top="1440" w:right="1800" w:bottom="1440" w:left="1800" w:header="851" w:footer="992" w:gutter="0"/>
          <w:pgNumType w:fmt="upperRoman" w:start="1"/>
          <w:cols w:space="425" w:num="1"/>
          <w:docGrid w:type="lines" w:linePitch="312" w:charSpace="0"/>
        </w:sectPr>
      </w:pPr>
    </w:p>
    <w:p>
      <w:pPr>
        <w:adjustRightInd w:val="0"/>
        <w:snapToGrid w:val="0"/>
        <w:jc w:val="center"/>
        <w:rPr>
          <w:sz w:val="36"/>
          <w:szCs w:val="36"/>
          <w:lang w:val="zh-CN"/>
        </w:rPr>
      </w:pPr>
      <w:r>
        <w:rPr>
          <w:sz w:val="36"/>
          <w:szCs w:val="36"/>
          <w:lang w:val="zh-CN"/>
        </w:rPr>
        <w:t>目  录</w:t>
      </w:r>
    </w:p>
    <w:p>
      <w:pPr>
        <w:pStyle w:val="29"/>
        <w:tabs>
          <w:tab w:val="left" w:pos="420"/>
          <w:tab w:val="right" w:leader="dot" w:pos="8296"/>
        </w:tabs>
        <w:rPr>
          <w:rFonts w:asciiTheme="minorHAnsi" w:hAnsiTheme="minorHAnsi" w:eastAsiaTheme="minorEastAsia" w:cstheme="minorBidi"/>
          <w:b w:val="0"/>
          <w:bCs w:val="0"/>
          <w:caps w:val="0"/>
          <w:sz w:val="21"/>
          <w:szCs w:val="22"/>
        </w:rPr>
      </w:pPr>
      <w:r>
        <w:rPr>
          <w:rFonts w:ascii="Times New Roman" w:hAnsi="Times New Roman" w:cs="Times New Roman"/>
          <w:b w:val="0"/>
          <w:bCs w:val="0"/>
          <w:sz w:val="36"/>
          <w:szCs w:val="36"/>
          <w:lang w:val="zh-CN"/>
        </w:rPr>
        <w:fldChar w:fldCharType="begin"/>
      </w:r>
      <w:r>
        <w:rPr>
          <w:rFonts w:ascii="Times New Roman" w:hAnsi="Times New Roman" w:cs="Times New Roman"/>
          <w:b w:val="0"/>
          <w:bCs w:val="0"/>
          <w:sz w:val="36"/>
          <w:szCs w:val="36"/>
          <w:lang w:val="zh-CN"/>
        </w:rPr>
        <w:instrText xml:space="preserve"> TOC \o "1-2" \h \z \u </w:instrText>
      </w:r>
      <w:r>
        <w:rPr>
          <w:rFonts w:ascii="Times New Roman" w:hAnsi="Times New Roman" w:cs="Times New Roman"/>
          <w:b w:val="0"/>
          <w:bCs w:val="0"/>
          <w:sz w:val="36"/>
          <w:szCs w:val="36"/>
          <w:lang w:val="zh-CN"/>
        </w:rPr>
        <w:fldChar w:fldCharType="separate"/>
      </w:r>
      <w:r>
        <w:fldChar w:fldCharType="begin"/>
      </w:r>
      <w:r>
        <w:instrText xml:space="preserve"> HYPERLINK \l "_Toc94101188" </w:instrText>
      </w:r>
      <w:r>
        <w:fldChar w:fldCharType="separate"/>
      </w:r>
      <w:r>
        <w:rPr>
          <w:rStyle w:val="46"/>
          <w:b w:val="0"/>
          <w:bCs w:val="0"/>
          <w:color w:val="auto"/>
          <w:kern w:val="44"/>
        </w:rPr>
        <w:t>1</w:t>
      </w:r>
      <w:r>
        <w:rPr>
          <w:rFonts w:asciiTheme="minorHAnsi" w:hAnsiTheme="minorHAnsi" w:eastAsiaTheme="minorEastAsia" w:cstheme="minorBidi"/>
          <w:b w:val="0"/>
          <w:bCs w:val="0"/>
          <w:caps w:val="0"/>
          <w:sz w:val="21"/>
          <w:szCs w:val="22"/>
        </w:rPr>
        <w:tab/>
      </w:r>
      <w:r>
        <w:rPr>
          <w:rStyle w:val="46"/>
          <w:b w:val="0"/>
          <w:bCs w:val="0"/>
          <w:color w:val="auto"/>
          <w:kern w:val="44"/>
        </w:rPr>
        <w:t>概  述</w:t>
      </w:r>
      <w:r>
        <w:rPr>
          <w:b w:val="0"/>
          <w:bCs w:val="0"/>
        </w:rPr>
        <w:tab/>
      </w:r>
      <w:r>
        <w:rPr>
          <w:b w:val="0"/>
          <w:bCs w:val="0"/>
        </w:rPr>
        <w:fldChar w:fldCharType="begin"/>
      </w:r>
      <w:r>
        <w:rPr>
          <w:b w:val="0"/>
          <w:bCs w:val="0"/>
        </w:rPr>
        <w:instrText xml:space="preserve"> PAGEREF _Toc94101188 \h </w:instrText>
      </w:r>
      <w:r>
        <w:rPr>
          <w:b w:val="0"/>
          <w:bCs w:val="0"/>
        </w:rPr>
        <w:fldChar w:fldCharType="separate"/>
      </w:r>
      <w:r>
        <w:rPr>
          <w:b w:val="0"/>
          <w:bCs w:val="0"/>
        </w:rPr>
        <w:t>1</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"_Toc94101189" </w:instrText>
      </w:r>
      <w:r>
        <w:fldChar w:fldCharType="separate"/>
      </w:r>
      <w:r>
        <w:rPr>
          <w:rStyle w:val="46"/>
          <w:rFonts w:ascii="Times New Roman" w:hAnsi="Times New Roman"/>
          <w:color w:val="auto"/>
        </w:rPr>
        <w:t>1.1</w:t>
      </w:r>
      <w:r>
        <w:rPr>
          <w:rFonts w:asciiTheme="minorHAnsi" w:hAnsiTheme="minorHAnsi" w:eastAsiaTheme="minorEastAsia" w:cstheme="minorBidi"/>
          <w:sz w:val="21"/>
          <w:szCs w:val="22"/>
        </w:rPr>
        <w:tab/>
      </w:r>
      <w:r>
        <w:rPr>
          <w:rStyle w:val="46"/>
          <w:rFonts w:ascii="Times New Roman" w:hAnsi="Times New Roman"/>
          <w:color w:val="auto"/>
        </w:rPr>
        <w:t>项目概况</w:t>
      </w:r>
      <w:r>
        <w:tab/>
      </w:r>
      <w:r>
        <w:fldChar w:fldCharType="begin"/>
      </w:r>
      <w:r>
        <w:instrText xml:space="preserve"> PAGEREF _Toc94101189 \h </w:instrText>
      </w:r>
      <w:r>
        <w:fldChar w:fldCharType="separate"/>
      </w:r>
      <w:r>
        <w:t>1</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"_Toc94101190" </w:instrText>
      </w:r>
      <w:r>
        <w:fldChar w:fldCharType="separate"/>
      </w:r>
      <w:r>
        <w:rPr>
          <w:rStyle w:val="46"/>
          <w:rFonts w:ascii="Times New Roman" w:hAnsi="Times New Roman"/>
          <w:color w:val="auto"/>
        </w:rPr>
        <w:t>1.2</w:t>
      </w:r>
      <w:r>
        <w:rPr>
          <w:rFonts w:asciiTheme="minorHAnsi" w:hAnsiTheme="minorHAnsi" w:eastAsiaTheme="minorEastAsia" w:cstheme="minorBidi"/>
          <w:sz w:val="21"/>
          <w:szCs w:val="22"/>
        </w:rPr>
        <w:tab/>
      </w:r>
      <w:r>
        <w:rPr>
          <w:rStyle w:val="46"/>
          <w:rFonts w:ascii="Times New Roman" w:hAnsi="Times New Roman"/>
          <w:color w:val="auto"/>
        </w:rPr>
        <w:t>环境影响评价的工作过程</w:t>
      </w:r>
      <w:r>
        <w:tab/>
      </w:r>
      <w:r>
        <w:fldChar w:fldCharType="begin"/>
      </w:r>
      <w:r>
        <w:instrText xml:space="preserve"> PAGEREF _Toc94101190 \h </w:instrText>
      </w:r>
      <w:r>
        <w:fldChar w:fldCharType="separate"/>
      </w:r>
      <w:r>
        <w:t>1</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"_Toc94101191" </w:instrText>
      </w:r>
      <w:r>
        <w:fldChar w:fldCharType="separate"/>
      </w:r>
      <w:r>
        <w:rPr>
          <w:rStyle w:val="46"/>
          <w:rFonts w:ascii="Times New Roman" w:hAnsi="Times New Roman"/>
          <w:color w:val="auto"/>
        </w:rPr>
        <w:t>1.3</w:t>
      </w:r>
      <w:r>
        <w:rPr>
          <w:rFonts w:asciiTheme="minorHAnsi" w:hAnsiTheme="minorHAnsi" w:eastAsiaTheme="minorEastAsia" w:cstheme="minorBidi"/>
          <w:sz w:val="21"/>
          <w:szCs w:val="22"/>
        </w:rPr>
        <w:tab/>
      </w:r>
      <w:r>
        <w:rPr>
          <w:rStyle w:val="46"/>
          <w:rFonts w:ascii="Times New Roman" w:hAnsi="Times New Roman"/>
          <w:color w:val="auto"/>
        </w:rPr>
        <w:t>分析判定相关情况</w:t>
      </w:r>
      <w:r>
        <w:tab/>
      </w:r>
      <w:r>
        <w:fldChar w:fldCharType="begin"/>
      </w:r>
      <w:r>
        <w:instrText xml:space="preserve"> PAGEREF _Toc94101191 \h </w:instrText>
      </w:r>
      <w:r>
        <w:fldChar w:fldCharType="separate"/>
      </w:r>
      <w:r>
        <w:t>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"_Toc94101192" </w:instrText>
      </w:r>
      <w:r>
        <w:fldChar w:fldCharType="separate"/>
      </w:r>
      <w:r>
        <w:rPr>
          <w:rStyle w:val="46"/>
          <w:rFonts w:ascii="Times New Roman" w:hAnsi="Times New Roman"/>
          <w:color w:val="auto"/>
        </w:rPr>
        <w:t>1.4</w:t>
      </w:r>
      <w:r>
        <w:rPr>
          <w:rFonts w:asciiTheme="minorHAnsi" w:hAnsiTheme="minorHAnsi" w:eastAsiaTheme="minorEastAsia" w:cstheme="minorBidi"/>
          <w:sz w:val="21"/>
          <w:szCs w:val="22"/>
        </w:rPr>
        <w:tab/>
      </w:r>
      <w:r>
        <w:rPr>
          <w:rStyle w:val="46"/>
          <w:rFonts w:ascii="Times New Roman" w:hAnsi="Times New Roman"/>
          <w:color w:val="auto"/>
        </w:rPr>
        <w:t>关注的主要环境问题</w:t>
      </w:r>
      <w:r>
        <w:tab/>
      </w:r>
      <w:r>
        <w:fldChar w:fldCharType="begin"/>
      </w:r>
      <w:r>
        <w:instrText xml:space="preserve"> PAGEREF _Toc94101192 \h </w:instrText>
      </w:r>
      <w:r>
        <w:fldChar w:fldCharType="separate"/>
      </w:r>
      <w:r>
        <w:t>6</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"_Toc94101193" </w:instrText>
      </w:r>
      <w:r>
        <w:fldChar w:fldCharType="separate"/>
      </w:r>
      <w:r>
        <w:rPr>
          <w:rStyle w:val="46"/>
          <w:rFonts w:ascii="Times New Roman" w:hAnsi="Times New Roman"/>
          <w:color w:val="auto"/>
        </w:rPr>
        <w:t>1.5</w:t>
      </w:r>
      <w:r>
        <w:rPr>
          <w:rFonts w:asciiTheme="minorHAnsi" w:hAnsiTheme="minorHAnsi" w:eastAsiaTheme="minorEastAsia" w:cstheme="minorBidi"/>
          <w:sz w:val="21"/>
          <w:szCs w:val="22"/>
        </w:rPr>
        <w:tab/>
      </w:r>
      <w:r>
        <w:rPr>
          <w:rStyle w:val="46"/>
          <w:rFonts w:ascii="Times New Roman" w:hAnsi="Times New Roman"/>
          <w:color w:val="auto"/>
        </w:rPr>
        <w:t>环境影响评价报告书的主要结论</w:t>
      </w:r>
      <w:r>
        <w:tab/>
      </w:r>
      <w:r>
        <w:fldChar w:fldCharType="begin"/>
      </w:r>
      <w:r>
        <w:instrText xml:space="preserve"> PAGEREF _Toc94101193 \h </w:instrText>
      </w:r>
      <w:r>
        <w:fldChar w:fldCharType="separate"/>
      </w:r>
      <w:r>
        <w:t>6</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"_Toc94101194" </w:instrText>
      </w:r>
      <w:r>
        <w:fldChar w:fldCharType="separate"/>
      </w:r>
      <w:r>
        <w:rPr>
          <w:rStyle w:val="46"/>
          <w:b w:val="0"/>
          <w:bCs w:val="0"/>
          <w:color w:val="auto"/>
          <w:kern w:val="44"/>
        </w:rPr>
        <w:t>2</w:t>
      </w:r>
      <w:r>
        <w:rPr>
          <w:rFonts w:asciiTheme="minorHAnsi" w:hAnsiTheme="minorHAnsi" w:eastAsiaTheme="minorEastAsia" w:cstheme="minorBidi"/>
          <w:b w:val="0"/>
          <w:bCs w:val="0"/>
          <w:caps w:val="0"/>
          <w:sz w:val="21"/>
          <w:szCs w:val="22"/>
        </w:rPr>
        <w:tab/>
      </w:r>
      <w:r>
        <w:rPr>
          <w:rStyle w:val="46"/>
          <w:b w:val="0"/>
          <w:bCs w:val="0"/>
          <w:color w:val="auto"/>
          <w:kern w:val="44"/>
        </w:rPr>
        <w:t>总  则</w:t>
      </w:r>
      <w:r>
        <w:rPr>
          <w:b w:val="0"/>
          <w:bCs w:val="0"/>
        </w:rPr>
        <w:tab/>
      </w:r>
      <w:r>
        <w:rPr>
          <w:b w:val="0"/>
          <w:bCs w:val="0"/>
        </w:rPr>
        <w:fldChar w:fldCharType="begin"/>
      </w:r>
      <w:r>
        <w:rPr>
          <w:b w:val="0"/>
          <w:bCs w:val="0"/>
        </w:rPr>
        <w:instrText xml:space="preserve"> PAGEREF _Toc94101194 \h </w:instrText>
      </w:r>
      <w:r>
        <w:rPr>
          <w:b w:val="0"/>
          <w:bCs w:val="0"/>
        </w:rPr>
        <w:fldChar w:fldCharType="separate"/>
      </w:r>
      <w:r>
        <w:rPr>
          <w:b w:val="0"/>
          <w:bCs w:val="0"/>
        </w:rPr>
        <w:t>7</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"_Toc94101195" </w:instrText>
      </w:r>
      <w:r>
        <w:fldChar w:fldCharType="separate"/>
      </w:r>
      <w:r>
        <w:rPr>
          <w:rStyle w:val="46"/>
          <w:rFonts w:ascii="Times New Roman" w:hAnsi="Times New Roman"/>
          <w:color w:val="auto"/>
        </w:rPr>
        <w:t>2.1</w:t>
      </w:r>
      <w:r>
        <w:rPr>
          <w:rFonts w:asciiTheme="minorHAnsi" w:hAnsiTheme="minorHAnsi" w:eastAsiaTheme="minorEastAsia" w:cstheme="minorBidi"/>
          <w:sz w:val="21"/>
          <w:szCs w:val="22"/>
        </w:rPr>
        <w:tab/>
      </w:r>
      <w:r>
        <w:rPr>
          <w:rStyle w:val="46"/>
          <w:rFonts w:ascii="Times New Roman" w:hAnsi="Times New Roman"/>
          <w:color w:val="auto"/>
        </w:rPr>
        <w:t>编制依据</w:t>
      </w:r>
      <w:r>
        <w:tab/>
      </w:r>
      <w:r>
        <w:fldChar w:fldCharType="begin"/>
      </w:r>
      <w:r>
        <w:instrText xml:space="preserve"> PAGEREF _Toc94101195 \h </w:instrText>
      </w:r>
      <w:r>
        <w:fldChar w:fldCharType="separate"/>
      </w:r>
      <w:r>
        <w:t>7</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"_Toc94101196" </w:instrText>
      </w:r>
      <w:r>
        <w:fldChar w:fldCharType="separate"/>
      </w:r>
      <w:r>
        <w:rPr>
          <w:rStyle w:val="46"/>
          <w:rFonts w:ascii="Times New Roman" w:hAnsi="Times New Roman"/>
          <w:color w:val="auto"/>
        </w:rPr>
        <w:t>2.2</w:t>
      </w:r>
      <w:r>
        <w:rPr>
          <w:rFonts w:asciiTheme="minorHAnsi" w:hAnsiTheme="minorHAnsi" w:eastAsiaTheme="minorEastAsia" w:cstheme="minorBidi"/>
          <w:sz w:val="21"/>
          <w:szCs w:val="22"/>
        </w:rPr>
        <w:tab/>
      </w:r>
      <w:r>
        <w:rPr>
          <w:rStyle w:val="46"/>
          <w:rFonts w:ascii="Times New Roman" w:hAnsi="Times New Roman"/>
          <w:color w:val="auto"/>
        </w:rPr>
        <w:t>评价目的与评价原则</w:t>
      </w:r>
      <w:r>
        <w:tab/>
      </w:r>
      <w:r>
        <w:fldChar w:fldCharType="begin"/>
      </w:r>
      <w:r>
        <w:instrText xml:space="preserve"> PAGEREF _Toc94101196 \h </w:instrText>
      </w:r>
      <w:r>
        <w:fldChar w:fldCharType="separate"/>
      </w:r>
      <w:r>
        <w:t>11</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"_Toc94101197" </w:instrText>
      </w:r>
      <w:r>
        <w:fldChar w:fldCharType="separate"/>
      </w:r>
      <w:r>
        <w:rPr>
          <w:rStyle w:val="46"/>
          <w:rFonts w:ascii="Times New Roman" w:hAnsi="Times New Roman"/>
          <w:color w:val="auto"/>
        </w:rPr>
        <w:t>2.3</w:t>
      </w:r>
      <w:r>
        <w:rPr>
          <w:rFonts w:asciiTheme="minorHAnsi" w:hAnsiTheme="minorHAnsi" w:eastAsiaTheme="minorEastAsia" w:cstheme="minorBidi"/>
          <w:sz w:val="21"/>
          <w:szCs w:val="22"/>
        </w:rPr>
        <w:tab/>
      </w:r>
      <w:r>
        <w:rPr>
          <w:rStyle w:val="46"/>
          <w:rFonts w:ascii="Times New Roman" w:hAnsi="Times New Roman"/>
          <w:color w:val="auto"/>
        </w:rPr>
        <w:t>环境影响识别与评价因子筛选</w:t>
      </w:r>
      <w:r>
        <w:tab/>
      </w:r>
      <w:r>
        <w:fldChar w:fldCharType="begin"/>
      </w:r>
      <w:r>
        <w:instrText xml:space="preserve"> PAGEREF _Toc94101197 \h </w:instrText>
      </w:r>
      <w:r>
        <w:fldChar w:fldCharType="separate"/>
      </w:r>
      <w:r>
        <w:t>12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"_Toc94101198" </w:instrText>
      </w:r>
      <w:r>
        <w:fldChar w:fldCharType="separate"/>
      </w:r>
      <w:r>
        <w:rPr>
          <w:rStyle w:val="46"/>
          <w:rFonts w:ascii="Times New Roman" w:hAnsi="Times New Roman"/>
          <w:color w:val="auto"/>
        </w:rPr>
        <w:t>2.4</w:t>
      </w:r>
      <w:r>
        <w:rPr>
          <w:rFonts w:asciiTheme="minorHAnsi" w:hAnsiTheme="minorHAnsi" w:eastAsiaTheme="minorEastAsia" w:cstheme="minorBidi"/>
          <w:sz w:val="21"/>
          <w:szCs w:val="22"/>
        </w:rPr>
        <w:tab/>
      </w:r>
      <w:r>
        <w:rPr>
          <w:rStyle w:val="46"/>
          <w:rFonts w:ascii="Times New Roman" w:hAnsi="Times New Roman"/>
          <w:color w:val="auto"/>
        </w:rPr>
        <w:t>环境功能区划及评价标准</w:t>
      </w:r>
      <w:r>
        <w:tab/>
      </w:r>
      <w:r>
        <w:fldChar w:fldCharType="begin"/>
      </w:r>
      <w:r>
        <w:instrText xml:space="preserve"> PAGEREF _Toc94101198 \h </w:instrText>
      </w:r>
      <w:r>
        <w:fldChar w:fldCharType="separate"/>
      </w:r>
      <w:r>
        <w:t>13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"_Toc94101199" </w:instrText>
      </w:r>
      <w:r>
        <w:fldChar w:fldCharType="separate"/>
      </w:r>
      <w:r>
        <w:rPr>
          <w:rStyle w:val="46"/>
          <w:rFonts w:ascii="Times New Roman" w:hAnsi="Times New Roman"/>
          <w:color w:val="auto"/>
        </w:rPr>
        <w:t>2.5</w:t>
      </w:r>
      <w:r>
        <w:rPr>
          <w:rFonts w:asciiTheme="minorHAnsi" w:hAnsiTheme="minorHAnsi" w:eastAsiaTheme="minorEastAsia" w:cstheme="minorBidi"/>
          <w:sz w:val="21"/>
          <w:szCs w:val="22"/>
        </w:rPr>
        <w:tab/>
      </w:r>
      <w:r>
        <w:rPr>
          <w:rStyle w:val="46"/>
          <w:rFonts w:ascii="Times New Roman" w:hAnsi="Times New Roman"/>
          <w:color w:val="auto"/>
        </w:rPr>
        <w:t>评价重点</w:t>
      </w:r>
      <w:r>
        <w:tab/>
      </w:r>
      <w:r>
        <w:fldChar w:fldCharType="begin"/>
      </w:r>
      <w:r>
        <w:instrText xml:space="preserve"> PAGEREF _Toc94101199 \h </w:instrText>
      </w:r>
      <w:r>
        <w:fldChar w:fldCharType="separate"/>
      </w:r>
      <w:r>
        <w:t>23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"_Toc94101200" </w:instrText>
      </w:r>
      <w:r>
        <w:fldChar w:fldCharType="separate"/>
      </w:r>
      <w:r>
        <w:rPr>
          <w:rStyle w:val="46"/>
          <w:rFonts w:ascii="Times New Roman" w:hAnsi="Times New Roman"/>
          <w:color w:val="auto"/>
        </w:rPr>
        <w:t>2.6</w:t>
      </w:r>
      <w:r>
        <w:rPr>
          <w:rFonts w:asciiTheme="minorHAnsi" w:hAnsiTheme="minorHAnsi" w:eastAsiaTheme="minorEastAsia" w:cstheme="minorBidi"/>
          <w:sz w:val="21"/>
          <w:szCs w:val="22"/>
        </w:rPr>
        <w:tab/>
      </w:r>
      <w:r>
        <w:rPr>
          <w:rStyle w:val="46"/>
          <w:rFonts w:ascii="Times New Roman" w:hAnsi="Times New Roman"/>
          <w:color w:val="auto"/>
        </w:rPr>
        <w:t>评价工作等级与评价范围</w:t>
      </w:r>
      <w:r>
        <w:tab/>
      </w:r>
      <w:r>
        <w:fldChar w:fldCharType="begin"/>
      </w:r>
      <w:r>
        <w:instrText xml:space="preserve"> PAGEREF _Toc94101200 \h </w:instrText>
      </w:r>
      <w:r>
        <w:fldChar w:fldCharType="separate"/>
      </w:r>
      <w:r>
        <w:t>23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"_Toc94101201" </w:instrText>
      </w:r>
      <w:r>
        <w:fldChar w:fldCharType="separate"/>
      </w:r>
      <w:r>
        <w:rPr>
          <w:rStyle w:val="46"/>
          <w:rFonts w:ascii="Times New Roman" w:hAnsi="Times New Roman"/>
          <w:color w:val="auto"/>
        </w:rPr>
        <w:t>2.7</w:t>
      </w:r>
      <w:r>
        <w:rPr>
          <w:rFonts w:asciiTheme="minorHAnsi" w:hAnsiTheme="minorHAnsi" w:eastAsiaTheme="minorEastAsia" w:cstheme="minorBidi"/>
          <w:sz w:val="21"/>
          <w:szCs w:val="22"/>
        </w:rPr>
        <w:tab/>
      </w:r>
      <w:r>
        <w:rPr>
          <w:rStyle w:val="46"/>
          <w:rFonts w:ascii="Times New Roman" w:hAnsi="Times New Roman"/>
          <w:color w:val="auto"/>
        </w:rPr>
        <w:t>规划符合性分析</w:t>
      </w:r>
      <w:r>
        <w:tab/>
      </w:r>
      <w:r>
        <w:fldChar w:fldCharType="begin"/>
      </w:r>
      <w:r>
        <w:instrText xml:space="preserve"> PAGEREF _Toc94101201 \h </w:instrText>
      </w:r>
      <w:r>
        <w:fldChar w:fldCharType="separate"/>
      </w:r>
      <w:r>
        <w:t>32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"_Toc94101202" </w:instrText>
      </w:r>
      <w:r>
        <w:fldChar w:fldCharType="separate"/>
      </w:r>
      <w:r>
        <w:rPr>
          <w:rStyle w:val="46"/>
          <w:rFonts w:ascii="Times New Roman" w:hAnsi="Times New Roman"/>
          <w:color w:val="auto"/>
        </w:rPr>
        <w:t>2.8</w:t>
      </w:r>
      <w:r>
        <w:rPr>
          <w:rFonts w:asciiTheme="minorHAnsi" w:hAnsiTheme="minorHAnsi" w:eastAsiaTheme="minorEastAsia" w:cstheme="minorBidi"/>
          <w:sz w:val="21"/>
          <w:szCs w:val="22"/>
        </w:rPr>
        <w:tab/>
      </w:r>
      <w:r>
        <w:rPr>
          <w:rStyle w:val="46"/>
          <w:rFonts w:ascii="Times New Roman" w:hAnsi="Times New Roman"/>
          <w:color w:val="auto"/>
        </w:rPr>
        <w:t>产业政策相符性分析</w:t>
      </w:r>
      <w:r>
        <w:tab/>
      </w:r>
      <w:r>
        <w:fldChar w:fldCharType="begin"/>
      </w:r>
      <w:r>
        <w:instrText xml:space="preserve"> PAGEREF _Toc94101202 \h </w:instrText>
      </w:r>
      <w:r>
        <w:fldChar w:fldCharType="separate"/>
      </w:r>
      <w:r>
        <w:t>43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"_Toc94101203" </w:instrText>
      </w:r>
      <w:r>
        <w:fldChar w:fldCharType="separate"/>
      </w:r>
      <w:r>
        <w:rPr>
          <w:rStyle w:val="46"/>
          <w:color w:val="auto"/>
        </w:rPr>
        <w:t>2.9</w:t>
      </w:r>
      <w:r>
        <w:rPr>
          <w:rFonts w:asciiTheme="minorHAnsi" w:hAnsiTheme="minorHAnsi" w:eastAsiaTheme="minorEastAsia" w:cstheme="minorBidi"/>
          <w:sz w:val="21"/>
          <w:szCs w:val="22"/>
        </w:rPr>
        <w:tab/>
      </w:r>
      <w:r>
        <w:rPr>
          <w:rStyle w:val="46"/>
          <w:color w:val="auto"/>
        </w:rPr>
        <w:t>规范、选址符合性分析</w:t>
      </w:r>
      <w:r>
        <w:tab/>
      </w:r>
      <w:r>
        <w:fldChar w:fldCharType="begin"/>
      </w:r>
      <w:r>
        <w:instrText xml:space="preserve"> PAGEREF _Toc94101203 \h </w:instrText>
      </w:r>
      <w:r>
        <w:fldChar w:fldCharType="separate"/>
      </w:r>
      <w:r>
        <w:t>44</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"_Toc94101204" </w:instrText>
      </w:r>
      <w:r>
        <w:fldChar w:fldCharType="separate"/>
      </w:r>
      <w:r>
        <w:rPr>
          <w:rStyle w:val="46"/>
          <w:rFonts w:ascii="Times New Roman" w:hAnsi="Times New Roman"/>
          <w:color w:val="auto"/>
        </w:rPr>
        <w:t>2.10</w:t>
      </w:r>
      <w:r>
        <w:rPr>
          <w:rFonts w:asciiTheme="minorHAnsi" w:hAnsiTheme="minorHAnsi" w:eastAsiaTheme="minorEastAsia" w:cstheme="minorBidi"/>
          <w:sz w:val="21"/>
          <w:szCs w:val="22"/>
        </w:rPr>
        <w:tab/>
      </w:r>
      <w:r>
        <w:rPr>
          <w:rStyle w:val="46"/>
          <w:rFonts w:ascii="Times New Roman" w:hAnsi="Times New Roman"/>
          <w:color w:val="auto"/>
        </w:rPr>
        <w:t>环境保护目标</w:t>
      </w:r>
      <w:r>
        <w:tab/>
      </w:r>
      <w:r>
        <w:fldChar w:fldCharType="begin"/>
      </w:r>
      <w:r>
        <w:instrText xml:space="preserve"> PAGEREF _Toc94101204 \h </w:instrText>
      </w:r>
      <w:r>
        <w:fldChar w:fldCharType="separate"/>
      </w:r>
      <w:r>
        <w:t>50</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"_Toc94101205" </w:instrText>
      </w:r>
      <w:r>
        <w:fldChar w:fldCharType="separate"/>
      </w:r>
      <w:r>
        <w:rPr>
          <w:rStyle w:val="46"/>
          <w:b w:val="0"/>
          <w:bCs w:val="0"/>
          <w:color w:val="auto"/>
          <w:kern w:val="44"/>
        </w:rPr>
        <w:t>3</w:t>
      </w:r>
      <w:r>
        <w:rPr>
          <w:rFonts w:asciiTheme="minorHAnsi" w:hAnsiTheme="minorHAnsi" w:eastAsiaTheme="minorEastAsia" w:cstheme="minorBidi"/>
          <w:b w:val="0"/>
          <w:bCs w:val="0"/>
          <w:caps w:val="0"/>
          <w:sz w:val="21"/>
          <w:szCs w:val="22"/>
        </w:rPr>
        <w:tab/>
      </w:r>
      <w:r>
        <w:rPr>
          <w:rStyle w:val="46"/>
          <w:b w:val="0"/>
          <w:bCs w:val="0"/>
          <w:color w:val="auto"/>
          <w:kern w:val="44"/>
        </w:rPr>
        <w:t>项目概况与工程分析</w:t>
      </w:r>
      <w:r>
        <w:rPr>
          <w:b w:val="0"/>
          <w:bCs w:val="0"/>
        </w:rPr>
        <w:tab/>
      </w:r>
      <w:r>
        <w:rPr>
          <w:b w:val="0"/>
          <w:bCs w:val="0"/>
        </w:rPr>
        <w:fldChar w:fldCharType="begin"/>
      </w:r>
      <w:r>
        <w:rPr>
          <w:b w:val="0"/>
          <w:bCs w:val="0"/>
        </w:rPr>
        <w:instrText xml:space="preserve"> PAGEREF _Toc94101205 \h </w:instrText>
      </w:r>
      <w:r>
        <w:rPr>
          <w:b w:val="0"/>
          <w:bCs w:val="0"/>
        </w:rPr>
        <w:fldChar w:fldCharType="separate"/>
      </w:r>
      <w:r>
        <w:rPr>
          <w:b w:val="0"/>
          <w:bCs w:val="0"/>
        </w:rPr>
        <w:t>52</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"_Toc94101206" </w:instrText>
      </w:r>
      <w:r>
        <w:fldChar w:fldCharType="separate"/>
      </w:r>
      <w:r>
        <w:rPr>
          <w:rStyle w:val="46"/>
          <w:rFonts w:ascii="Times New Roman" w:hAnsi="Times New Roman"/>
          <w:color w:val="auto"/>
        </w:rPr>
        <w:t>3.1</w:t>
      </w:r>
      <w:r>
        <w:rPr>
          <w:rFonts w:asciiTheme="minorHAnsi" w:hAnsiTheme="minorHAnsi" w:eastAsiaTheme="minorEastAsia" w:cstheme="minorBidi"/>
          <w:sz w:val="21"/>
          <w:szCs w:val="22"/>
        </w:rPr>
        <w:tab/>
      </w:r>
      <w:r>
        <w:rPr>
          <w:rStyle w:val="46"/>
          <w:rFonts w:ascii="Times New Roman" w:hAnsi="Times New Roman"/>
          <w:color w:val="auto"/>
        </w:rPr>
        <w:t>项目概况</w:t>
      </w:r>
      <w:r>
        <w:tab/>
      </w:r>
      <w:r>
        <w:fldChar w:fldCharType="begin"/>
      </w:r>
      <w:r>
        <w:instrText xml:space="preserve"> PAGEREF _Toc94101206 \h </w:instrText>
      </w:r>
      <w:r>
        <w:fldChar w:fldCharType="separate"/>
      </w:r>
      <w:r>
        <w:t>52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"_Toc94101207" </w:instrText>
      </w:r>
      <w:r>
        <w:fldChar w:fldCharType="separate"/>
      </w:r>
      <w:r>
        <w:rPr>
          <w:rStyle w:val="46"/>
          <w:rFonts w:ascii="Times New Roman" w:hAnsi="Times New Roman"/>
          <w:color w:val="auto"/>
        </w:rPr>
        <w:t>3.2</w:t>
      </w:r>
      <w:r>
        <w:rPr>
          <w:rFonts w:asciiTheme="minorHAnsi" w:hAnsiTheme="minorHAnsi" w:eastAsiaTheme="minorEastAsia" w:cstheme="minorBidi"/>
          <w:sz w:val="21"/>
          <w:szCs w:val="22"/>
        </w:rPr>
        <w:tab/>
      </w:r>
      <w:r>
        <w:rPr>
          <w:rStyle w:val="46"/>
          <w:rFonts w:ascii="Times New Roman" w:hAnsi="Times New Roman"/>
          <w:color w:val="auto"/>
        </w:rPr>
        <w:t>固废来源及进场要求</w:t>
      </w:r>
      <w:r>
        <w:tab/>
      </w:r>
      <w:r>
        <w:fldChar w:fldCharType="begin"/>
      </w:r>
      <w:r>
        <w:instrText xml:space="preserve"> PAGEREF _Toc94101207 \h </w:instrText>
      </w:r>
      <w:r>
        <w:fldChar w:fldCharType="separate"/>
      </w:r>
      <w:r>
        <w:t>55</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"_Toc94101208" </w:instrText>
      </w:r>
      <w:r>
        <w:fldChar w:fldCharType="separate"/>
      </w:r>
      <w:r>
        <w:rPr>
          <w:rStyle w:val="46"/>
          <w:rFonts w:ascii="Times New Roman" w:hAnsi="Times New Roman"/>
          <w:color w:val="auto"/>
        </w:rPr>
        <w:t>3.3</w:t>
      </w:r>
      <w:r>
        <w:rPr>
          <w:rFonts w:asciiTheme="minorHAnsi" w:hAnsiTheme="minorHAnsi" w:eastAsiaTheme="minorEastAsia" w:cstheme="minorBidi"/>
          <w:sz w:val="21"/>
          <w:szCs w:val="22"/>
        </w:rPr>
        <w:tab/>
      </w:r>
      <w:r>
        <w:rPr>
          <w:rStyle w:val="46"/>
          <w:rFonts w:ascii="Times New Roman" w:hAnsi="Times New Roman"/>
          <w:color w:val="auto"/>
        </w:rPr>
        <w:t>项目选址合理性分析</w:t>
      </w:r>
      <w:r>
        <w:tab/>
      </w:r>
      <w:r>
        <w:fldChar w:fldCharType="begin"/>
      </w:r>
      <w:r>
        <w:instrText xml:space="preserve"> PAGEREF _Toc94101208 \h </w:instrText>
      </w:r>
      <w:r>
        <w:fldChar w:fldCharType="separate"/>
      </w:r>
      <w:r>
        <w:t>58</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"_Toc94101209" </w:instrText>
      </w:r>
      <w:r>
        <w:fldChar w:fldCharType="separate"/>
      </w:r>
      <w:r>
        <w:rPr>
          <w:rStyle w:val="46"/>
          <w:rFonts w:ascii="Times New Roman" w:hAnsi="Times New Roman"/>
          <w:color w:val="auto"/>
        </w:rPr>
        <w:t>3.4</w:t>
      </w:r>
      <w:r>
        <w:rPr>
          <w:rFonts w:asciiTheme="minorHAnsi" w:hAnsiTheme="minorHAnsi" w:eastAsiaTheme="minorEastAsia" w:cstheme="minorBidi"/>
          <w:sz w:val="21"/>
          <w:szCs w:val="22"/>
        </w:rPr>
        <w:tab/>
      </w:r>
      <w:r>
        <w:rPr>
          <w:rStyle w:val="46"/>
          <w:rFonts w:ascii="Times New Roman" w:hAnsi="Times New Roman"/>
          <w:color w:val="auto"/>
        </w:rPr>
        <w:t>主要原辅材料</w:t>
      </w:r>
      <w:r>
        <w:tab/>
      </w:r>
      <w:r>
        <w:fldChar w:fldCharType="begin"/>
      </w:r>
      <w:r>
        <w:instrText xml:space="preserve"> PAGEREF _Toc94101209 \h </w:instrText>
      </w:r>
      <w:r>
        <w:fldChar w:fldCharType="separate"/>
      </w:r>
      <w:r>
        <w:t>59</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"_Toc94101210" </w:instrText>
      </w:r>
      <w:r>
        <w:fldChar w:fldCharType="separate"/>
      </w:r>
      <w:r>
        <w:rPr>
          <w:rStyle w:val="46"/>
          <w:rFonts w:ascii="Times New Roman" w:hAnsi="Times New Roman"/>
          <w:color w:val="auto"/>
        </w:rPr>
        <w:t>3.5</w:t>
      </w:r>
      <w:r>
        <w:rPr>
          <w:rFonts w:asciiTheme="minorHAnsi" w:hAnsiTheme="minorHAnsi" w:eastAsiaTheme="minorEastAsia" w:cstheme="minorBidi"/>
          <w:sz w:val="21"/>
          <w:szCs w:val="22"/>
        </w:rPr>
        <w:tab/>
      </w:r>
      <w:r>
        <w:rPr>
          <w:rStyle w:val="46"/>
          <w:rFonts w:ascii="Times New Roman" w:hAnsi="Times New Roman"/>
          <w:color w:val="auto"/>
        </w:rPr>
        <w:t>主要设备</w:t>
      </w:r>
      <w:r>
        <w:tab/>
      </w:r>
      <w:r>
        <w:fldChar w:fldCharType="begin"/>
      </w:r>
      <w:r>
        <w:instrText xml:space="preserve"> PAGEREF _Toc94101210 \h </w:instrText>
      </w:r>
      <w:r>
        <w:fldChar w:fldCharType="separate"/>
      </w:r>
      <w:r>
        <w:t>59</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"_Toc94101211" </w:instrText>
      </w:r>
      <w:r>
        <w:fldChar w:fldCharType="separate"/>
      </w:r>
      <w:r>
        <w:rPr>
          <w:rStyle w:val="46"/>
          <w:rFonts w:ascii="Times New Roman" w:hAnsi="Times New Roman"/>
          <w:color w:val="auto"/>
        </w:rPr>
        <w:t>3.6</w:t>
      </w:r>
      <w:r>
        <w:rPr>
          <w:rFonts w:asciiTheme="minorHAnsi" w:hAnsiTheme="minorHAnsi" w:eastAsiaTheme="minorEastAsia" w:cstheme="minorBidi"/>
          <w:sz w:val="21"/>
          <w:szCs w:val="22"/>
        </w:rPr>
        <w:tab/>
      </w:r>
      <w:r>
        <w:rPr>
          <w:rStyle w:val="46"/>
          <w:rFonts w:ascii="Times New Roman" w:hAnsi="Times New Roman"/>
          <w:color w:val="auto"/>
        </w:rPr>
        <w:t>公用工程</w:t>
      </w:r>
      <w:r>
        <w:tab/>
      </w:r>
      <w:r>
        <w:fldChar w:fldCharType="begin"/>
      </w:r>
      <w:r>
        <w:instrText xml:space="preserve"> PAGEREF _Toc94101211 \h </w:instrText>
      </w:r>
      <w:r>
        <w:fldChar w:fldCharType="separate"/>
      </w:r>
      <w:r>
        <w:t>60</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"_Toc94101212" </w:instrText>
      </w:r>
      <w:r>
        <w:fldChar w:fldCharType="separate"/>
      </w:r>
      <w:r>
        <w:rPr>
          <w:rStyle w:val="46"/>
          <w:rFonts w:ascii="Times New Roman" w:hAnsi="Times New Roman"/>
          <w:color w:val="auto"/>
        </w:rPr>
        <w:t>3.7</w:t>
      </w:r>
      <w:r>
        <w:rPr>
          <w:rFonts w:asciiTheme="minorHAnsi" w:hAnsiTheme="minorHAnsi" w:eastAsiaTheme="minorEastAsia" w:cstheme="minorBidi"/>
          <w:sz w:val="21"/>
          <w:szCs w:val="22"/>
        </w:rPr>
        <w:tab/>
      </w:r>
      <w:r>
        <w:rPr>
          <w:rStyle w:val="46"/>
          <w:rFonts w:ascii="Times New Roman" w:hAnsi="Times New Roman"/>
          <w:color w:val="auto"/>
        </w:rPr>
        <w:t>填埋库建设方案</w:t>
      </w:r>
      <w:r>
        <w:tab/>
      </w:r>
      <w:r>
        <w:fldChar w:fldCharType="begin"/>
      </w:r>
      <w:r>
        <w:instrText xml:space="preserve"> PAGEREF _Toc94101212 \h </w:instrText>
      </w:r>
      <w:r>
        <w:fldChar w:fldCharType="separate"/>
      </w:r>
      <w:r>
        <w:t>62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"_Toc94101213" </w:instrText>
      </w:r>
      <w:r>
        <w:fldChar w:fldCharType="separate"/>
      </w:r>
      <w:r>
        <w:rPr>
          <w:rStyle w:val="46"/>
          <w:rFonts w:ascii="Times New Roman" w:hAnsi="Times New Roman"/>
          <w:color w:val="auto"/>
        </w:rPr>
        <w:t>3.8</w:t>
      </w:r>
      <w:r>
        <w:rPr>
          <w:rFonts w:asciiTheme="minorHAnsi" w:hAnsiTheme="minorHAnsi" w:eastAsiaTheme="minorEastAsia" w:cstheme="minorBidi"/>
          <w:sz w:val="21"/>
          <w:szCs w:val="22"/>
        </w:rPr>
        <w:tab/>
      </w:r>
      <w:r>
        <w:rPr>
          <w:rStyle w:val="46"/>
          <w:rFonts w:ascii="Times New Roman" w:hAnsi="Times New Roman"/>
          <w:color w:val="auto"/>
        </w:rPr>
        <w:t>依托工程情况</w:t>
      </w:r>
      <w:r>
        <w:tab/>
      </w:r>
      <w:r>
        <w:fldChar w:fldCharType="begin"/>
      </w:r>
      <w:r>
        <w:instrText xml:space="preserve"> PAGEREF _Toc94101213 \h </w:instrText>
      </w:r>
      <w:r>
        <w:fldChar w:fldCharType="separate"/>
      </w:r>
      <w:r>
        <w:t>73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"_Toc94101214" </w:instrText>
      </w:r>
      <w:r>
        <w:fldChar w:fldCharType="separate"/>
      </w:r>
      <w:r>
        <w:rPr>
          <w:rStyle w:val="46"/>
          <w:rFonts w:ascii="Times New Roman" w:hAnsi="Times New Roman"/>
          <w:color w:val="auto"/>
        </w:rPr>
        <w:t>3.9</w:t>
      </w:r>
      <w:r>
        <w:rPr>
          <w:rFonts w:asciiTheme="minorHAnsi" w:hAnsiTheme="minorHAnsi" w:eastAsiaTheme="minorEastAsia" w:cstheme="minorBidi"/>
          <w:sz w:val="21"/>
          <w:szCs w:val="22"/>
        </w:rPr>
        <w:tab/>
      </w:r>
      <w:r>
        <w:rPr>
          <w:rStyle w:val="46"/>
          <w:rFonts w:ascii="Times New Roman" w:hAnsi="Times New Roman"/>
          <w:color w:val="auto"/>
        </w:rPr>
        <w:t>建设期工程分析</w:t>
      </w:r>
      <w:r>
        <w:tab/>
      </w:r>
      <w:r>
        <w:fldChar w:fldCharType="begin"/>
      </w:r>
      <w:r>
        <w:instrText xml:space="preserve"> PAGEREF _Toc94101214 \h </w:instrText>
      </w:r>
      <w:r>
        <w:fldChar w:fldCharType="separate"/>
      </w:r>
      <w:r>
        <w:t>80</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"_Toc94101215" </w:instrText>
      </w:r>
      <w:r>
        <w:fldChar w:fldCharType="separate"/>
      </w:r>
      <w:r>
        <w:rPr>
          <w:rStyle w:val="46"/>
          <w:rFonts w:ascii="Times New Roman" w:hAnsi="Times New Roman"/>
          <w:color w:val="auto"/>
        </w:rPr>
        <w:t>3.10</w:t>
      </w:r>
      <w:r>
        <w:rPr>
          <w:rFonts w:asciiTheme="minorHAnsi" w:hAnsiTheme="minorHAnsi" w:eastAsiaTheme="minorEastAsia" w:cstheme="minorBidi"/>
          <w:sz w:val="21"/>
          <w:szCs w:val="22"/>
        </w:rPr>
        <w:tab/>
      </w:r>
      <w:r>
        <w:rPr>
          <w:rStyle w:val="46"/>
          <w:rFonts w:ascii="Times New Roman" w:hAnsi="Times New Roman"/>
          <w:color w:val="auto"/>
        </w:rPr>
        <w:t>营运期工程分析</w:t>
      </w:r>
      <w:r>
        <w:tab/>
      </w:r>
      <w:r>
        <w:fldChar w:fldCharType="begin"/>
      </w:r>
      <w:r>
        <w:instrText xml:space="preserve"> PAGEREF _Toc94101215 \h </w:instrText>
      </w:r>
      <w:r>
        <w:fldChar w:fldCharType="separate"/>
      </w:r>
      <w:r>
        <w:t>84</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"_Toc94101216" </w:instrText>
      </w:r>
      <w:r>
        <w:fldChar w:fldCharType="separate"/>
      </w:r>
      <w:r>
        <w:rPr>
          <w:rStyle w:val="46"/>
          <w:rFonts w:ascii="Times New Roman" w:hAnsi="Times New Roman"/>
          <w:color w:val="auto"/>
        </w:rPr>
        <w:t>3.11</w:t>
      </w:r>
      <w:r>
        <w:rPr>
          <w:rFonts w:asciiTheme="minorHAnsi" w:hAnsiTheme="minorHAnsi" w:eastAsiaTheme="minorEastAsia" w:cstheme="minorBidi"/>
          <w:sz w:val="21"/>
          <w:szCs w:val="22"/>
        </w:rPr>
        <w:tab/>
      </w:r>
      <w:r>
        <w:rPr>
          <w:rStyle w:val="46"/>
          <w:rFonts w:ascii="Times New Roman" w:hAnsi="Times New Roman"/>
          <w:color w:val="auto"/>
        </w:rPr>
        <w:t>污染源排放情况汇总</w:t>
      </w:r>
      <w:r>
        <w:tab/>
      </w:r>
      <w:r>
        <w:fldChar w:fldCharType="begin"/>
      </w:r>
      <w:r>
        <w:instrText xml:space="preserve"> PAGEREF _Toc94101216 \h </w:instrText>
      </w:r>
      <w:r>
        <w:fldChar w:fldCharType="separate"/>
      </w:r>
      <w:r>
        <w:t>96</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"_Toc94101217" </w:instrText>
      </w:r>
      <w:r>
        <w:fldChar w:fldCharType="separate"/>
      </w:r>
      <w:r>
        <w:rPr>
          <w:rStyle w:val="46"/>
          <w:b w:val="0"/>
          <w:bCs w:val="0"/>
          <w:color w:val="auto"/>
          <w:kern w:val="44"/>
        </w:rPr>
        <w:t>4</w:t>
      </w:r>
      <w:r>
        <w:rPr>
          <w:rFonts w:asciiTheme="minorHAnsi" w:hAnsiTheme="minorHAnsi" w:eastAsiaTheme="minorEastAsia" w:cstheme="minorBidi"/>
          <w:b w:val="0"/>
          <w:bCs w:val="0"/>
          <w:caps w:val="0"/>
          <w:sz w:val="21"/>
          <w:szCs w:val="22"/>
        </w:rPr>
        <w:tab/>
      </w:r>
      <w:r>
        <w:rPr>
          <w:rStyle w:val="46"/>
          <w:b w:val="0"/>
          <w:bCs w:val="0"/>
          <w:color w:val="auto"/>
          <w:kern w:val="44"/>
        </w:rPr>
        <w:t>区域环境现状</w:t>
      </w:r>
      <w:r>
        <w:rPr>
          <w:b w:val="0"/>
          <w:bCs w:val="0"/>
        </w:rPr>
        <w:tab/>
      </w:r>
      <w:r>
        <w:rPr>
          <w:b w:val="0"/>
          <w:bCs w:val="0"/>
        </w:rPr>
        <w:fldChar w:fldCharType="begin"/>
      </w:r>
      <w:r>
        <w:rPr>
          <w:b w:val="0"/>
          <w:bCs w:val="0"/>
        </w:rPr>
        <w:instrText xml:space="preserve"> PAGEREF _Toc94101217 \h </w:instrText>
      </w:r>
      <w:r>
        <w:rPr>
          <w:b w:val="0"/>
          <w:bCs w:val="0"/>
        </w:rPr>
        <w:fldChar w:fldCharType="separate"/>
      </w:r>
      <w:r>
        <w:rPr>
          <w:b w:val="0"/>
          <w:bCs w:val="0"/>
        </w:rPr>
        <w:t>98</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"_Toc94101218" </w:instrText>
      </w:r>
      <w:r>
        <w:fldChar w:fldCharType="separate"/>
      </w:r>
      <w:r>
        <w:rPr>
          <w:rStyle w:val="46"/>
          <w:color w:val="auto"/>
        </w:rPr>
        <w:t>4.1</w:t>
      </w:r>
      <w:r>
        <w:rPr>
          <w:rFonts w:asciiTheme="minorHAnsi" w:hAnsiTheme="minorHAnsi" w:eastAsiaTheme="minorEastAsia" w:cstheme="minorBidi"/>
          <w:sz w:val="21"/>
          <w:szCs w:val="22"/>
        </w:rPr>
        <w:tab/>
      </w:r>
      <w:r>
        <w:rPr>
          <w:rStyle w:val="46"/>
          <w:color w:val="auto"/>
        </w:rPr>
        <w:t>自然环境调查</w:t>
      </w:r>
      <w:r>
        <w:tab/>
      </w:r>
      <w:r>
        <w:fldChar w:fldCharType="begin"/>
      </w:r>
      <w:r>
        <w:instrText xml:space="preserve"> PAGEREF _Toc94101218 \h </w:instrText>
      </w:r>
      <w:r>
        <w:fldChar w:fldCharType="separate"/>
      </w:r>
      <w:r>
        <w:t>98</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"_Toc94101219" </w:instrText>
      </w:r>
      <w:r>
        <w:fldChar w:fldCharType="separate"/>
      </w:r>
      <w:r>
        <w:rPr>
          <w:rStyle w:val="46"/>
          <w:color w:val="auto"/>
        </w:rPr>
        <w:t>4.2</w:t>
      </w:r>
      <w:r>
        <w:rPr>
          <w:rFonts w:asciiTheme="minorHAnsi" w:hAnsiTheme="minorHAnsi" w:eastAsiaTheme="minorEastAsia" w:cstheme="minorBidi"/>
          <w:sz w:val="21"/>
          <w:szCs w:val="22"/>
        </w:rPr>
        <w:tab/>
      </w:r>
      <w:r>
        <w:rPr>
          <w:rStyle w:val="46"/>
          <w:color w:val="auto"/>
        </w:rPr>
        <w:t>评价区污染源调查</w:t>
      </w:r>
      <w:r>
        <w:tab/>
      </w:r>
      <w:r>
        <w:fldChar w:fldCharType="begin"/>
      </w:r>
      <w:r>
        <w:instrText xml:space="preserve"> PAGEREF _Toc94101219 \h </w:instrText>
      </w:r>
      <w:r>
        <w:fldChar w:fldCharType="separate"/>
      </w:r>
      <w:r>
        <w:t>104</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"_Toc94101220" </w:instrText>
      </w:r>
      <w:r>
        <w:fldChar w:fldCharType="separate"/>
      </w:r>
      <w:r>
        <w:rPr>
          <w:rStyle w:val="46"/>
          <w:color w:val="auto"/>
        </w:rPr>
        <w:t>4.3</w:t>
      </w:r>
      <w:r>
        <w:rPr>
          <w:rFonts w:asciiTheme="minorHAnsi" w:hAnsiTheme="minorHAnsi" w:eastAsiaTheme="minorEastAsia" w:cstheme="minorBidi"/>
          <w:sz w:val="21"/>
          <w:szCs w:val="22"/>
        </w:rPr>
        <w:tab/>
      </w:r>
      <w:r>
        <w:rPr>
          <w:rStyle w:val="46"/>
          <w:color w:val="auto"/>
        </w:rPr>
        <w:t>环境质量现状监测与评价</w:t>
      </w:r>
      <w:r>
        <w:tab/>
      </w:r>
      <w:r>
        <w:fldChar w:fldCharType="begin"/>
      </w:r>
      <w:r>
        <w:instrText xml:space="preserve"> PAGEREF _Toc94101220 \h </w:instrText>
      </w:r>
      <w:r>
        <w:fldChar w:fldCharType="separate"/>
      </w:r>
      <w:r>
        <w:t>106</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"_Toc94101221" </w:instrText>
      </w:r>
      <w:r>
        <w:fldChar w:fldCharType="separate"/>
      </w:r>
      <w:r>
        <w:rPr>
          <w:rStyle w:val="46"/>
          <w:color w:val="auto"/>
        </w:rPr>
        <w:t>4.4</w:t>
      </w:r>
      <w:r>
        <w:rPr>
          <w:rFonts w:asciiTheme="minorHAnsi" w:hAnsiTheme="minorHAnsi" w:eastAsiaTheme="minorEastAsia" w:cstheme="minorBidi"/>
          <w:sz w:val="21"/>
          <w:szCs w:val="22"/>
        </w:rPr>
        <w:tab/>
      </w:r>
      <w:r>
        <w:rPr>
          <w:rStyle w:val="46"/>
          <w:color w:val="auto"/>
        </w:rPr>
        <w:t>小结</w:t>
      </w:r>
      <w:r>
        <w:tab/>
      </w:r>
      <w:r>
        <w:fldChar w:fldCharType="begin"/>
      </w:r>
      <w:r>
        <w:instrText xml:space="preserve"> PAGEREF _Toc94101221 \h </w:instrText>
      </w:r>
      <w:r>
        <w:fldChar w:fldCharType="separate"/>
      </w:r>
      <w:r>
        <w:t>143</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"_Toc94101222" </w:instrText>
      </w:r>
      <w:r>
        <w:fldChar w:fldCharType="separate"/>
      </w:r>
      <w:r>
        <w:rPr>
          <w:rStyle w:val="46"/>
          <w:b w:val="0"/>
          <w:bCs w:val="0"/>
          <w:color w:val="auto"/>
          <w:kern w:val="44"/>
        </w:rPr>
        <w:t>5</w:t>
      </w:r>
      <w:r>
        <w:rPr>
          <w:rFonts w:asciiTheme="minorHAnsi" w:hAnsiTheme="minorHAnsi" w:eastAsiaTheme="minorEastAsia" w:cstheme="minorBidi"/>
          <w:b w:val="0"/>
          <w:bCs w:val="0"/>
          <w:caps w:val="0"/>
          <w:sz w:val="21"/>
          <w:szCs w:val="22"/>
        </w:rPr>
        <w:tab/>
      </w:r>
      <w:r>
        <w:rPr>
          <w:rStyle w:val="46"/>
          <w:b w:val="0"/>
          <w:bCs w:val="0"/>
          <w:color w:val="auto"/>
          <w:kern w:val="44"/>
        </w:rPr>
        <w:t>环境影响预测与评价</w:t>
      </w:r>
      <w:r>
        <w:rPr>
          <w:b w:val="0"/>
          <w:bCs w:val="0"/>
        </w:rPr>
        <w:tab/>
      </w:r>
      <w:r>
        <w:rPr>
          <w:b w:val="0"/>
          <w:bCs w:val="0"/>
        </w:rPr>
        <w:fldChar w:fldCharType="begin"/>
      </w:r>
      <w:r>
        <w:rPr>
          <w:b w:val="0"/>
          <w:bCs w:val="0"/>
        </w:rPr>
        <w:instrText xml:space="preserve"> PAGEREF _Toc94101222 \h </w:instrText>
      </w:r>
      <w:r>
        <w:rPr>
          <w:b w:val="0"/>
          <w:bCs w:val="0"/>
        </w:rPr>
        <w:fldChar w:fldCharType="separate"/>
      </w:r>
      <w:r>
        <w:rPr>
          <w:b w:val="0"/>
          <w:bCs w:val="0"/>
        </w:rPr>
        <w:t>144</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"_Toc94101223" </w:instrText>
      </w:r>
      <w:r>
        <w:fldChar w:fldCharType="separate"/>
      </w:r>
      <w:r>
        <w:rPr>
          <w:rStyle w:val="46"/>
          <w:color w:val="auto"/>
        </w:rPr>
        <w:t>5.1</w:t>
      </w:r>
      <w:r>
        <w:rPr>
          <w:rFonts w:asciiTheme="minorHAnsi" w:hAnsiTheme="minorHAnsi" w:eastAsiaTheme="minorEastAsia" w:cstheme="minorBidi"/>
          <w:sz w:val="21"/>
          <w:szCs w:val="22"/>
        </w:rPr>
        <w:tab/>
      </w:r>
      <w:r>
        <w:rPr>
          <w:rStyle w:val="46"/>
          <w:color w:val="auto"/>
        </w:rPr>
        <w:t>施工期环境影响分析</w:t>
      </w:r>
      <w:r>
        <w:tab/>
      </w:r>
      <w:r>
        <w:fldChar w:fldCharType="begin"/>
      </w:r>
      <w:r>
        <w:instrText xml:space="preserve"> PAGEREF _Toc94101223 \h </w:instrText>
      </w:r>
      <w:r>
        <w:fldChar w:fldCharType="separate"/>
      </w:r>
      <w:r>
        <w:t>144</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"_Toc94101224" </w:instrText>
      </w:r>
      <w:r>
        <w:fldChar w:fldCharType="separate"/>
      </w:r>
      <w:r>
        <w:rPr>
          <w:rStyle w:val="46"/>
          <w:color w:val="auto"/>
        </w:rPr>
        <w:t>5.2</w:t>
      </w:r>
      <w:r>
        <w:rPr>
          <w:rFonts w:asciiTheme="minorHAnsi" w:hAnsiTheme="minorHAnsi" w:eastAsiaTheme="minorEastAsia" w:cstheme="minorBidi"/>
          <w:sz w:val="21"/>
          <w:szCs w:val="22"/>
        </w:rPr>
        <w:tab/>
      </w:r>
      <w:r>
        <w:rPr>
          <w:rStyle w:val="46"/>
          <w:color w:val="auto"/>
        </w:rPr>
        <w:t>运营期大气环境影响预测与评价</w:t>
      </w:r>
      <w:r>
        <w:tab/>
      </w:r>
      <w:r>
        <w:fldChar w:fldCharType="begin"/>
      </w:r>
      <w:r>
        <w:instrText xml:space="preserve"> PAGEREF _Toc94101224 \h </w:instrText>
      </w:r>
      <w:r>
        <w:fldChar w:fldCharType="separate"/>
      </w:r>
      <w:r>
        <w:t>146</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"_Toc94101225" </w:instrText>
      </w:r>
      <w:r>
        <w:fldChar w:fldCharType="separate"/>
      </w:r>
      <w:r>
        <w:rPr>
          <w:rStyle w:val="46"/>
          <w:color w:val="auto"/>
        </w:rPr>
        <w:t>5.3</w:t>
      </w:r>
      <w:r>
        <w:rPr>
          <w:rFonts w:asciiTheme="minorHAnsi" w:hAnsiTheme="minorHAnsi" w:eastAsiaTheme="minorEastAsia" w:cstheme="minorBidi"/>
          <w:sz w:val="21"/>
          <w:szCs w:val="22"/>
        </w:rPr>
        <w:tab/>
      </w:r>
      <w:r>
        <w:rPr>
          <w:rStyle w:val="46"/>
          <w:color w:val="auto"/>
        </w:rPr>
        <w:t>运营期地下水环境影响分析</w:t>
      </w:r>
      <w:r>
        <w:tab/>
      </w:r>
      <w:r>
        <w:fldChar w:fldCharType="begin"/>
      </w:r>
      <w:r>
        <w:instrText xml:space="preserve"> PAGEREF _Toc94101225 \h </w:instrText>
      </w:r>
      <w:r>
        <w:fldChar w:fldCharType="separate"/>
      </w:r>
      <w:r>
        <w:t>160</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"_Toc94101226" </w:instrText>
      </w:r>
      <w:r>
        <w:fldChar w:fldCharType="separate"/>
      </w:r>
      <w:r>
        <w:rPr>
          <w:rStyle w:val="46"/>
          <w:color w:val="auto"/>
        </w:rPr>
        <w:t>5.4</w:t>
      </w:r>
      <w:r>
        <w:rPr>
          <w:rFonts w:asciiTheme="minorHAnsi" w:hAnsiTheme="minorHAnsi" w:eastAsiaTheme="minorEastAsia" w:cstheme="minorBidi"/>
          <w:sz w:val="21"/>
          <w:szCs w:val="22"/>
        </w:rPr>
        <w:tab/>
      </w:r>
      <w:r>
        <w:rPr>
          <w:rStyle w:val="46"/>
          <w:color w:val="auto"/>
        </w:rPr>
        <w:t>运营期地表水环境影响分析</w:t>
      </w:r>
      <w:r>
        <w:tab/>
      </w:r>
      <w:r>
        <w:fldChar w:fldCharType="begin"/>
      </w:r>
      <w:r>
        <w:instrText xml:space="preserve"> PAGEREF _Toc94101226 \h </w:instrText>
      </w:r>
      <w:r>
        <w:fldChar w:fldCharType="separate"/>
      </w:r>
      <w:r>
        <w:t>188</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"_Toc94101227" </w:instrText>
      </w:r>
      <w:r>
        <w:fldChar w:fldCharType="separate"/>
      </w:r>
      <w:r>
        <w:rPr>
          <w:rStyle w:val="46"/>
          <w:color w:val="auto"/>
        </w:rPr>
        <w:t>5.5</w:t>
      </w:r>
      <w:r>
        <w:rPr>
          <w:rFonts w:asciiTheme="minorHAnsi" w:hAnsiTheme="minorHAnsi" w:eastAsiaTheme="minorEastAsia" w:cstheme="minorBidi"/>
          <w:sz w:val="21"/>
          <w:szCs w:val="22"/>
        </w:rPr>
        <w:tab/>
      </w:r>
      <w:r>
        <w:rPr>
          <w:rStyle w:val="46"/>
          <w:color w:val="auto"/>
        </w:rPr>
        <w:t>运营期声环境影响评价</w:t>
      </w:r>
      <w:r>
        <w:tab/>
      </w:r>
      <w:r>
        <w:fldChar w:fldCharType="begin"/>
      </w:r>
      <w:r>
        <w:instrText xml:space="preserve"> PAGEREF _Toc94101227 \h </w:instrText>
      </w:r>
      <w:r>
        <w:fldChar w:fldCharType="separate"/>
      </w:r>
      <w:r>
        <w:t>193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"_Toc94101228" </w:instrText>
      </w:r>
      <w:r>
        <w:fldChar w:fldCharType="separate"/>
      </w:r>
      <w:r>
        <w:rPr>
          <w:rStyle w:val="46"/>
          <w:color w:val="auto"/>
        </w:rPr>
        <w:t>5.6</w:t>
      </w:r>
      <w:r>
        <w:rPr>
          <w:rFonts w:asciiTheme="minorHAnsi" w:hAnsiTheme="minorHAnsi" w:eastAsiaTheme="minorEastAsia" w:cstheme="minorBidi"/>
          <w:sz w:val="21"/>
          <w:szCs w:val="22"/>
        </w:rPr>
        <w:tab/>
      </w:r>
      <w:r>
        <w:rPr>
          <w:rStyle w:val="46"/>
          <w:color w:val="auto"/>
        </w:rPr>
        <w:t>运营期固体废物环境影响分析</w:t>
      </w:r>
      <w:r>
        <w:tab/>
      </w:r>
      <w:r>
        <w:fldChar w:fldCharType="begin"/>
      </w:r>
      <w:r>
        <w:instrText xml:space="preserve"> PAGEREF _Toc94101228 \h </w:instrText>
      </w:r>
      <w:r>
        <w:fldChar w:fldCharType="separate"/>
      </w:r>
      <w:r>
        <w:t>196</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"_Toc94101229" </w:instrText>
      </w:r>
      <w:r>
        <w:fldChar w:fldCharType="separate"/>
      </w:r>
      <w:r>
        <w:rPr>
          <w:rStyle w:val="46"/>
          <w:color w:val="auto"/>
        </w:rPr>
        <w:t>5.7</w:t>
      </w:r>
      <w:r>
        <w:rPr>
          <w:rFonts w:asciiTheme="minorHAnsi" w:hAnsiTheme="minorHAnsi" w:eastAsiaTheme="minorEastAsia" w:cstheme="minorBidi"/>
          <w:sz w:val="21"/>
          <w:szCs w:val="22"/>
        </w:rPr>
        <w:tab/>
      </w:r>
      <w:r>
        <w:rPr>
          <w:rStyle w:val="46"/>
          <w:color w:val="auto"/>
        </w:rPr>
        <w:t>土壤环境影响分析</w:t>
      </w:r>
      <w:r>
        <w:tab/>
      </w:r>
      <w:r>
        <w:fldChar w:fldCharType="begin"/>
      </w:r>
      <w:r>
        <w:instrText xml:space="preserve"> PAGEREF _Toc94101229 \h </w:instrText>
      </w:r>
      <w:r>
        <w:fldChar w:fldCharType="separate"/>
      </w:r>
      <w:r>
        <w:t>197</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"_Toc94101230" </w:instrText>
      </w:r>
      <w:r>
        <w:fldChar w:fldCharType="separate"/>
      </w:r>
      <w:r>
        <w:rPr>
          <w:rStyle w:val="46"/>
          <w:color w:val="auto"/>
        </w:rPr>
        <w:t>5.8</w:t>
      </w:r>
      <w:r>
        <w:rPr>
          <w:rFonts w:asciiTheme="minorHAnsi" w:hAnsiTheme="minorHAnsi" w:eastAsiaTheme="minorEastAsia" w:cstheme="minorBidi"/>
          <w:sz w:val="21"/>
          <w:szCs w:val="22"/>
        </w:rPr>
        <w:tab/>
      </w:r>
      <w:r>
        <w:rPr>
          <w:rStyle w:val="46"/>
          <w:color w:val="auto"/>
        </w:rPr>
        <w:t>施工、营运期生态环境影响分析</w:t>
      </w:r>
      <w:r>
        <w:tab/>
      </w:r>
      <w:r>
        <w:fldChar w:fldCharType="begin"/>
      </w:r>
      <w:r>
        <w:instrText xml:space="preserve"> PAGEREF _Toc94101230 \h </w:instrText>
      </w:r>
      <w:r>
        <w:fldChar w:fldCharType="separate"/>
      </w:r>
      <w:r>
        <w:t>202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"_Toc94101231" </w:instrText>
      </w:r>
      <w:r>
        <w:fldChar w:fldCharType="separate"/>
      </w:r>
      <w:r>
        <w:rPr>
          <w:rStyle w:val="46"/>
          <w:color w:val="auto"/>
        </w:rPr>
        <w:t>5.9</w:t>
      </w:r>
      <w:r>
        <w:rPr>
          <w:rFonts w:asciiTheme="minorHAnsi" w:hAnsiTheme="minorHAnsi" w:eastAsiaTheme="minorEastAsia" w:cstheme="minorBidi"/>
          <w:sz w:val="21"/>
          <w:szCs w:val="22"/>
        </w:rPr>
        <w:tab/>
      </w:r>
      <w:r>
        <w:rPr>
          <w:rStyle w:val="46"/>
          <w:color w:val="auto"/>
        </w:rPr>
        <w:t>运营期环境风险分析</w:t>
      </w:r>
      <w:r>
        <w:tab/>
      </w:r>
      <w:r>
        <w:fldChar w:fldCharType="begin"/>
      </w:r>
      <w:r>
        <w:instrText xml:space="preserve"> PAGEREF _Toc94101231 \h </w:instrText>
      </w:r>
      <w:r>
        <w:fldChar w:fldCharType="separate"/>
      </w:r>
      <w:r>
        <w:t>209</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"_Toc94101232" </w:instrText>
      </w:r>
      <w:r>
        <w:fldChar w:fldCharType="separate"/>
      </w:r>
      <w:r>
        <w:rPr>
          <w:rStyle w:val="46"/>
          <w:b w:val="0"/>
          <w:bCs w:val="0"/>
          <w:color w:val="auto"/>
          <w:kern w:val="44"/>
        </w:rPr>
        <w:t>6</w:t>
      </w:r>
      <w:r>
        <w:rPr>
          <w:rFonts w:asciiTheme="minorHAnsi" w:hAnsiTheme="minorHAnsi" w:eastAsiaTheme="minorEastAsia" w:cstheme="minorBidi"/>
          <w:b w:val="0"/>
          <w:bCs w:val="0"/>
          <w:caps w:val="0"/>
          <w:sz w:val="21"/>
          <w:szCs w:val="22"/>
        </w:rPr>
        <w:tab/>
      </w:r>
      <w:r>
        <w:rPr>
          <w:rStyle w:val="46"/>
          <w:b w:val="0"/>
          <w:bCs w:val="0"/>
          <w:color w:val="auto"/>
          <w:kern w:val="44"/>
        </w:rPr>
        <w:t>环境保护措施及经济技术可行性论证</w:t>
      </w:r>
      <w:r>
        <w:rPr>
          <w:b w:val="0"/>
          <w:bCs w:val="0"/>
        </w:rPr>
        <w:tab/>
      </w:r>
      <w:r>
        <w:rPr>
          <w:b w:val="0"/>
          <w:bCs w:val="0"/>
        </w:rPr>
        <w:fldChar w:fldCharType="begin"/>
      </w:r>
      <w:r>
        <w:rPr>
          <w:b w:val="0"/>
          <w:bCs w:val="0"/>
        </w:rPr>
        <w:instrText xml:space="preserve"> PAGEREF _Toc94101232 \h </w:instrText>
      </w:r>
      <w:r>
        <w:rPr>
          <w:b w:val="0"/>
          <w:bCs w:val="0"/>
        </w:rPr>
        <w:fldChar w:fldCharType="separate"/>
      </w:r>
      <w:r>
        <w:rPr>
          <w:b w:val="0"/>
          <w:bCs w:val="0"/>
        </w:rPr>
        <w:t>219</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"_Toc94101233" </w:instrText>
      </w:r>
      <w:r>
        <w:fldChar w:fldCharType="separate"/>
      </w:r>
      <w:r>
        <w:rPr>
          <w:rStyle w:val="46"/>
          <w:rFonts w:ascii="Times New Roman" w:hAnsi="Times New Roman"/>
          <w:color w:val="auto"/>
        </w:rPr>
        <w:t>6.1</w:t>
      </w:r>
      <w:r>
        <w:rPr>
          <w:rFonts w:asciiTheme="minorHAnsi" w:hAnsiTheme="minorHAnsi" w:eastAsiaTheme="minorEastAsia" w:cstheme="minorBidi"/>
          <w:sz w:val="21"/>
          <w:szCs w:val="22"/>
        </w:rPr>
        <w:tab/>
      </w:r>
      <w:r>
        <w:rPr>
          <w:rStyle w:val="46"/>
          <w:rFonts w:ascii="Times New Roman" w:hAnsi="Times New Roman"/>
          <w:color w:val="auto"/>
        </w:rPr>
        <w:t>施工期污染防治措施</w:t>
      </w:r>
      <w:r>
        <w:tab/>
      </w:r>
      <w:r>
        <w:fldChar w:fldCharType="begin"/>
      </w:r>
      <w:r>
        <w:instrText xml:space="preserve"> PAGEREF _Toc94101233 \h </w:instrText>
      </w:r>
      <w:r>
        <w:fldChar w:fldCharType="separate"/>
      </w:r>
      <w:r>
        <w:t>219</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"_Toc94101234" </w:instrText>
      </w:r>
      <w:r>
        <w:fldChar w:fldCharType="separate"/>
      </w:r>
      <w:r>
        <w:rPr>
          <w:rStyle w:val="46"/>
          <w:rFonts w:ascii="Times New Roman" w:hAnsi="Times New Roman"/>
          <w:color w:val="auto"/>
        </w:rPr>
        <w:t>6.2</w:t>
      </w:r>
      <w:r>
        <w:rPr>
          <w:rFonts w:asciiTheme="minorHAnsi" w:hAnsiTheme="minorHAnsi" w:eastAsiaTheme="minorEastAsia" w:cstheme="minorBidi"/>
          <w:sz w:val="21"/>
          <w:szCs w:val="22"/>
        </w:rPr>
        <w:tab/>
      </w:r>
      <w:r>
        <w:rPr>
          <w:rStyle w:val="46"/>
          <w:rFonts w:ascii="Times New Roman" w:hAnsi="Times New Roman"/>
          <w:color w:val="auto"/>
        </w:rPr>
        <w:t>营运期大气污染防治措施</w:t>
      </w:r>
      <w:r>
        <w:tab/>
      </w:r>
      <w:r>
        <w:fldChar w:fldCharType="begin"/>
      </w:r>
      <w:r>
        <w:instrText xml:space="preserve"> PAGEREF _Toc94101234 \h </w:instrText>
      </w:r>
      <w:r>
        <w:fldChar w:fldCharType="separate"/>
      </w:r>
      <w:r>
        <w:t>224</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"_Toc94101235" </w:instrText>
      </w:r>
      <w:r>
        <w:fldChar w:fldCharType="separate"/>
      </w:r>
      <w:r>
        <w:rPr>
          <w:rStyle w:val="46"/>
          <w:rFonts w:ascii="Times New Roman" w:hAnsi="Times New Roman"/>
          <w:color w:val="auto"/>
        </w:rPr>
        <w:t>6.3</w:t>
      </w:r>
      <w:r>
        <w:rPr>
          <w:rFonts w:asciiTheme="minorHAnsi" w:hAnsiTheme="minorHAnsi" w:eastAsiaTheme="minorEastAsia" w:cstheme="minorBidi"/>
          <w:sz w:val="21"/>
          <w:szCs w:val="22"/>
        </w:rPr>
        <w:tab/>
      </w:r>
      <w:r>
        <w:rPr>
          <w:rStyle w:val="46"/>
          <w:rFonts w:ascii="Times New Roman" w:hAnsi="Times New Roman"/>
          <w:color w:val="auto"/>
        </w:rPr>
        <w:t>营运期废水污染防治措施</w:t>
      </w:r>
      <w:r>
        <w:tab/>
      </w:r>
      <w:r>
        <w:fldChar w:fldCharType="begin"/>
      </w:r>
      <w:r>
        <w:instrText xml:space="preserve"> PAGEREF _Toc94101235 \h </w:instrText>
      </w:r>
      <w:r>
        <w:fldChar w:fldCharType="separate"/>
      </w:r>
      <w:r>
        <w:t>225</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"_Toc94101236" </w:instrText>
      </w:r>
      <w:r>
        <w:fldChar w:fldCharType="separate"/>
      </w:r>
      <w:r>
        <w:rPr>
          <w:rStyle w:val="46"/>
          <w:color w:val="auto"/>
        </w:rPr>
        <w:t>6.4</w:t>
      </w:r>
      <w:r>
        <w:rPr>
          <w:rFonts w:asciiTheme="minorHAnsi" w:hAnsiTheme="minorHAnsi" w:eastAsiaTheme="minorEastAsia" w:cstheme="minorBidi"/>
          <w:sz w:val="21"/>
          <w:szCs w:val="22"/>
        </w:rPr>
        <w:tab/>
      </w:r>
      <w:r>
        <w:rPr>
          <w:rStyle w:val="46"/>
          <w:color w:val="auto"/>
        </w:rPr>
        <w:t>营运期地下水污染防治措施</w:t>
      </w:r>
      <w:r>
        <w:tab/>
      </w:r>
      <w:r>
        <w:fldChar w:fldCharType="begin"/>
      </w:r>
      <w:r>
        <w:instrText xml:space="preserve"> PAGEREF _Toc94101236 \h </w:instrText>
      </w:r>
      <w:r>
        <w:fldChar w:fldCharType="separate"/>
      </w:r>
      <w:r>
        <w:t>232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"_Toc94101237" </w:instrText>
      </w:r>
      <w:r>
        <w:fldChar w:fldCharType="separate"/>
      </w:r>
      <w:r>
        <w:rPr>
          <w:rStyle w:val="46"/>
          <w:rFonts w:ascii="Times New Roman" w:hAnsi="Times New Roman"/>
          <w:color w:val="auto"/>
        </w:rPr>
        <w:t>6.5</w:t>
      </w:r>
      <w:r>
        <w:rPr>
          <w:rFonts w:asciiTheme="minorHAnsi" w:hAnsiTheme="minorHAnsi" w:eastAsiaTheme="minorEastAsia" w:cstheme="minorBidi"/>
          <w:sz w:val="21"/>
          <w:szCs w:val="22"/>
        </w:rPr>
        <w:tab/>
      </w:r>
      <w:r>
        <w:rPr>
          <w:rStyle w:val="46"/>
          <w:rFonts w:ascii="Times New Roman" w:hAnsi="Times New Roman"/>
          <w:color w:val="auto"/>
        </w:rPr>
        <w:t>营运期噪声污染防治措施</w:t>
      </w:r>
      <w:r>
        <w:tab/>
      </w:r>
      <w:r>
        <w:fldChar w:fldCharType="begin"/>
      </w:r>
      <w:r>
        <w:instrText xml:space="preserve"> PAGEREF _Toc94101237 \h </w:instrText>
      </w:r>
      <w:r>
        <w:fldChar w:fldCharType="separate"/>
      </w:r>
      <w:r>
        <w:t>238</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"_Toc94101238" </w:instrText>
      </w:r>
      <w:r>
        <w:fldChar w:fldCharType="separate"/>
      </w:r>
      <w:r>
        <w:rPr>
          <w:rStyle w:val="46"/>
          <w:rFonts w:ascii="Times New Roman" w:hAnsi="Times New Roman"/>
          <w:color w:val="auto"/>
        </w:rPr>
        <w:t>6.6</w:t>
      </w:r>
      <w:r>
        <w:rPr>
          <w:rFonts w:asciiTheme="minorHAnsi" w:hAnsiTheme="minorHAnsi" w:eastAsiaTheme="minorEastAsia" w:cstheme="minorBidi"/>
          <w:sz w:val="21"/>
          <w:szCs w:val="22"/>
        </w:rPr>
        <w:tab/>
      </w:r>
      <w:r>
        <w:rPr>
          <w:rStyle w:val="46"/>
          <w:rFonts w:ascii="Times New Roman" w:hAnsi="Times New Roman"/>
          <w:color w:val="auto"/>
        </w:rPr>
        <w:t>营运期固废污染治理措施</w:t>
      </w:r>
      <w:r>
        <w:tab/>
      </w:r>
      <w:r>
        <w:fldChar w:fldCharType="begin"/>
      </w:r>
      <w:r>
        <w:instrText xml:space="preserve"> PAGEREF _Toc94101238 \h </w:instrText>
      </w:r>
      <w:r>
        <w:fldChar w:fldCharType="separate"/>
      </w:r>
      <w:r>
        <w:t>239</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"_Toc94101239" </w:instrText>
      </w:r>
      <w:r>
        <w:fldChar w:fldCharType="separate"/>
      </w:r>
      <w:r>
        <w:rPr>
          <w:rStyle w:val="46"/>
          <w:rFonts w:ascii="Times New Roman" w:hAnsi="Times New Roman"/>
          <w:color w:val="auto"/>
        </w:rPr>
        <w:t>6.7</w:t>
      </w:r>
      <w:r>
        <w:rPr>
          <w:rFonts w:asciiTheme="minorHAnsi" w:hAnsiTheme="minorHAnsi" w:eastAsiaTheme="minorEastAsia" w:cstheme="minorBidi"/>
          <w:sz w:val="21"/>
          <w:szCs w:val="22"/>
        </w:rPr>
        <w:tab/>
      </w:r>
      <w:r>
        <w:rPr>
          <w:rStyle w:val="46"/>
          <w:rFonts w:ascii="Times New Roman" w:hAnsi="Times New Roman"/>
          <w:color w:val="auto"/>
        </w:rPr>
        <w:t>填埋场封场后污染防治措施</w:t>
      </w:r>
      <w:r>
        <w:tab/>
      </w:r>
      <w:r>
        <w:fldChar w:fldCharType="begin"/>
      </w:r>
      <w:r>
        <w:instrText xml:space="preserve"> PAGEREF _Toc94101239 \h </w:instrText>
      </w:r>
      <w:r>
        <w:fldChar w:fldCharType="separate"/>
      </w:r>
      <w:r>
        <w:t>240</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"_Toc94101240" </w:instrText>
      </w:r>
      <w:r>
        <w:fldChar w:fldCharType="separate"/>
      </w:r>
      <w:r>
        <w:rPr>
          <w:rStyle w:val="46"/>
          <w:b w:val="0"/>
          <w:bCs w:val="0"/>
          <w:color w:val="auto"/>
          <w:kern w:val="44"/>
        </w:rPr>
        <w:t>7</w:t>
      </w:r>
      <w:r>
        <w:rPr>
          <w:rFonts w:asciiTheme="minorHAnsi" w:hAnsiTheme="minorHAnsi" w:eastAsiaTheme="minorEastAsia" w:cstheme="minorBidi"/>
          <w:b w:val="0"/>
          <w:bCs w:val="0"/>
          <w:caps w:val="0"/>
          <w:sz w:val="21"/>
          <w:szCs w:val="22"/>
        </w:rPr>
        <w:tab/>
      </w:r>
      <w:r>
        <w:rPr>
          <w:rStyle w:val="46"/>
          <w:b w:val="0"/>
          <w:bCs w:val="0"/>
          <w:color w:val="auto"/>
          <w:kern w:val="44"/>
        </w:rPr>
        <w:t>环境影响经济损益分析</w:t>
      </w:r>
      <w:r>
        <w:rPr>
          <w:b w:val="0"/>
          <w:bCs w:val="0"/>
        </w:rPr>
        <w:tab/>
      </w:r>
      <w:r>
        <w:rPr>
          <w:b w:val="0"/>
          <w:bCs w:val="0"/>
        </w:rPr>
        <w:fldChar w:fldCharType="begin"/>
      </w:r>
      <w:r>
        <w:rPr>
          <w:b w:val="0"/>
          <w:bCs w:val="0"/>
        </w:rPr>
        <w:instrText xml:space="preserve"> PAGEREF _Toc94101240 \h </w:instrText>
      </w:r>
      <w:r>
        <w:rPr>
          <w:b w:val="0"/>
          <w:bCs w:val="0"/>
        </w:rPr>
        <w:fldChar w:fldCharType="separate"/>
      </w:r>
      <w:r>
        <w:rPr>
          <w:b w:val="0"/>
          <w:bCs w:val="0"/>
        </w:rPr>
        <w:t>243</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"_Toc94101241" </w:instrText>
      </w:r>
      <w:r>
        <w:fldChar w:fldCharType="separate"/>
      </w:r>
      <w:r>
        <w:rPr>
          <w:rStyle w:val="46"/>
          <w:rFonts w:ascii="Times New Roman" w:hAnsi="Times New Roman"/>
          <w:color w:val="auto"/>
        </w:rPr>
        <w:t>7.1</w:t>
      </w:r>
      <w:r>
        <w:rPr>
          <w:rFonts w:asciiTheme="minorHAnsi" w:hAnsiTheme="minorHAnsi" w:eastAsiaTheme="minorEastAsia" w:cstheme="minorBidi"/>
          <w:sz w:val="21"/>
          <w:szCs w:val="22"/>
        </w:rPr>
        <w:tab/>
      </w:r>
      <w:r>
        <w:rPr>
          <w:rStyle w:val="46"/>
          <w:rFonts w:ascii="Times New Roman" w:hAnsi="Times New Roman"/>
          <w:color w:val="auto"/>
        </w:rPr>
        <w:t>经济效益分析</w:t>
      </w:r>
      <w:r>
        <w:tab/>
      </w:r>
      <w:r>
        <w:fldChar w:fldCharType="begin"/>
      </w:r>
      <w:r>
        <w:instrText xml:space="preserve"> PAGEREF _Toc94101241 \h </w:instrText>
      </w:r>
      <w:r>
        <w:fldChar w:fldCharType="separate"/>
      </w:r>
      <w:r>
        <w:t>243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"_Toc94101242" </w:instrText>
      </w:r>
      <w:r>
        <w:fldChar w:fldCharType="separate"/>
      </w:r>
      <w:r>
        <w:rPr>
          <w:rStyle w:val="46"/>
          <w:rFonts w:ascii="Times New Roman" w:hAnsi="Times New Roman"/>
          <w:color w:val="auto"/>
        </w:rPr>
        <w:t>7.2</w:t>
      </w:r>
      <w:r>
        <w:rPr>
          <w:rFonts w:asciiTheme="minorHAnsi" w:hAnsiTheme="minorHAnsi" w:eastAsiaTheme="minorEastAsia" w:cstheme="minorBidi"/>
          <w:sz w:val="21"/>
          <w:szCs w:val="22"/>
        </w:rPr>
        <w:tab/>
      </w:r>
      <w:r>
        <w:rPr>
          <w:rStyle w:val="46"/>
          <w:rFonts w:ascii="Times New Roman" w:hAnsi="Times New Roman"/>
          <w:color w:val="auto"/>
        </w:rPr>
        <w:t>社会效益分析</w:t>
      </w:r>
      <w:r>
        <w:tab/>
      </w:r>
      <w:r>
        <w:fldChar w:fldCharType="begin"/>
      </w:r>
      <w:r>
        <w:instrText xml:space="preserve"> PAGEREF _Toc94101242 \h </w:instrText>
      </w:r>
      <w:r>
        <w:fldChar w:fldCharType="separate"/>
      </w:r>
      <w:r>
        <w:t>243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"_Toc94101243" </w:instrText>
      </w:r>
      <w:r>
        <w:fldChar w:fldCharType="separate"/>
      </w:r>
      <w:r>
        <w:rPr>
          <w:rStyle w:val="46"/>
          <w:rFonts w:ascii="Times New Roman" w:hAnsi="Times New Roman"/>
          <w:color w:val="auto"/>
        </w:rPr>
        <w:t>7.3</w:t>
      </w:r>
      <w:r>
        <w:rPr>
          <w:rFonts w:asciiTheme="minorHAnsi" w:hAnsiTheme="minorHAnsi" w:eastAsiaTheme="minorEastAsia" w:cstheme="minorBidi"/>
          <w:sz w:val="21"/>
          <w:szCs w:val="22"/>
        </w:rPr>
        <w:tab/>
      </w:r>
      <w:r>
        <w:rPr>
          <w:rStyle w:val="46"/>
          <w:rFonts w:ascii="Times New Roman" w:hAnsi="Times New Roman"/>
          <w:color w:val="auto"/>
        </w:rPr>
        <w:t>环境效益分析</w:t>
      </w:r>
      <w:r>
        <w:tab/>
      </w:r>
      <w:r>
        <w:fldChar w:fldCharType="begin"/>
      </w:r>
      <w:r>
        <w:instrText xml:space="preserve"> PAGEREF _Toc94101243 \h </w:instrText>
      </w:r>
      <w:r>
        <w:fldChar w:fldCharType="separate"/>
      </w:r>
      <w:r>
        <w:t>243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"_Toc94101244" </w:instrText>
      </w:r>
      <w:r>
        <w:fldChar w:fldCharType="separate"/>
      </w:r>
      <w:r>
        <w:rPr>
          <w:rStyle w:val="46"/>
          <w:rFonts w:ascii="Times New Roman" w:hAnsi="Times New Roman"/>
          <w:color w:val="auto"/>
        </w:rPr>
        <w:t>7.4</w:t>
      </w:r>
      <w:r>
        <w:rPr>
          <w:rFonts w:asciiTheme="minorHAnsi" w:hAnsiTheme="minorHAnsi" w:eastAsiaTheme="minorEastAsia" w:cstheme="minorBidi"/>
          <w:sz w:val="21"/>
          <w:szCs w:val="22"/>
        </w:rPr>
        <w:tab/>
      </w:r>
      <w:r>
        <w:rPr>
          <w:rStyle w:val="46"/>
          <w:rFonts w:ascii="Times New Roman" w:hAnsi="Times New Roman"/>
          <w:color w:val="auto"/>
        </w:rPr>
        <w:t>小结</w:t>
      </w:r>
      <w:r>
        <w:tab/>
      </w:r>
      <w:r>
        <w:fldChar w:fldCharType="begin"/>
      </w:r>
      <w:r>
        <w:instrText xml:space="preserve"> PAGEREF _Toc94101244 \h </w:instrText>
      </w:r>
      <w:r>
        <w:fldChar w:fldCharType="separate"/>
      </w:r>
      <w:r>
        <w:t>244</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"_Toc94101245" </w:instrText>
      </w:r>
      <w:r>
        <w:fldChar w:fldCharType="separate"/>
      </w:r>
      <w:r>
        <w:rPr>
          <w:rStyle w:val="46"/>
          <w:b w:val="0"/>
          <w:bCs w:val="0"/>
          <w:color w:val="auto"/>
          <w:kern w:val="44"/>
        </w:rPr>
        <w:t>8</w:t>
      </w:r>
      <w:r>
        <w:rPr>
          <w:rFonts w:asciiTheme="minorHAnsi" w:hAnsiTheme="minorHAnsi" w:eastAsiaTheme="minorEastAsia" w:cstheme="minorBidi"/>
          <w:b w:val="0"/>
          <w:bCs w:val="0"/>
          <w:caps w:val="0"/>
          <w:sz w:val="21"/>
          <w:szCs w:val="22"/>
        </w:rPr>
        <w:tab/>
      </w:r>
      <w:r>
        <w:rPr>
          <w:rStyle w:val="46"/>
          <w:b w:val="0"/>
          <w:bCs w:val="0"/>
          <w:color w:val="auto"/>
          <w:kern w:val="44"/>
        </w:rPr>
        <w:t>环境管理与监测计划</w:t>
      </w:r>
      <w:r>
        <w:rPr>
          <w:b w:val="0"/>
          <w:bCs w:val="0"/>
        </w:rPr>
        <w:tab/>
      </w:r>
      <w:r>
        <w:rPr>
          <w:b w:val="0"/>
          <w:bCs w:val="0"/>
        </w:rPr>
        <w:fldChar w:fldCharType="begin"/>
      </w:r>
      <w:r>
        <w:rPr>
          <w:b w:val="0"/>
          <w:bCs w:val="0"/>
        </w:rPr>
        <w:instrText xml:space="preserve"> PAGEREF _Toc94101245 \h </w:instrText>
      </w:r>
      <w:r>
        <w:rPr>
          <w:b w:val="0"/>
          <w:bCs w:val="0"/>
        </w:rPr>
        <w:fldChar w:fldCharType="separate"/>
      </w:r>
      <w:r>
        <w:rPr>
          <w:b w:val="0"/>
          <w:bCs w:val="0"/>
        </w:rPr>
        <w:t>245</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"_Toc94101246" </w:instrText>
      </w:r>
      <w:r>
        <w:fldChar w:fldCharType="separate"/>
      </w:r>
      <w:r>
        <w:rPr>
          <w:rStyle w:val="46"/>
          <w:rFonts w:ascii="Times New Roman" w:hAnsi="Times New Roman"/>
          <w:color w:val="auto"/>
        </w:rPr>
        <w:t>8.1</w:t>
      </w:r>
      <w:r>
        <w:rPr>
          <w:rFonts w:asciiTheme="minorHAnsi" w:hAnsiTheme="minorHAnsi" w:eastAsiaTheme="minorEastAsia" w:cstheme="minorBidi"/>
          <w:sz w:val="21"/>
          <w:szCs w:val="22"/>
        </w:rPr>
        <w:tab/>
      </w:r>
      <w:r>
        <w:rPr>
          <w:rStyle w:val="46"/>
          <w:rFonts w:ascii="Times New Roman" w:hAnsi="Times New Roman"/>
          <w:color w:val="auto"/>
        </w:rPr>
        <w:t>环境管理要求及制度</w:t>
      </w:r>
      <w:r>
        <w:tab/>
      </w:r>
      <w:r>
        <w:fldChar w:fldCharType="begin"/>
      </w:r>
      <w:r>
        <w:instrText xml:space="preserve"> PAGEREF _Toc94101246 \h </w:instrText>
      </w:r>
      <w:r>
        <w:fldChar w:fldCharType="separate"/>
      </w:r>
      <w:r>
        <w:t>245</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"_Toc94101247" </w:instrText>
      </w:r>
      <w:r>
        <w:fldChar w:fldCharType="separate"/>
      </w:r>
      <w:r>
        <w:rPr>
          <w:rStyle w:val="46"/>
          <w:rFonts w:ascii="Times New Roman" w:hAnsi="Times New Roman"/>
          <w:color w:val="auto"/>
        </w:rPr>
        <w:t>8.2</w:t>
      </w:r>
      <w:r>
        <w:rPr>
          <w:rFonts w:asciiTheme="minorHAnsi" w:hAnsiTheme="minorHAnsi" w:eastAsiaTheme="minorEastAsia" w:cstheme="minorBidi"/>
          <w:sz w:val="21"/>
          <w:szCs w:val="22"/>
        </w:rPr>
        <w:tab/>
      </w:r>
      <w:r>
        <w:rPr>
          <w:rStyle w:val="46"/>
          <w:rFonts w:ascii="Times New Roman" w:hAnsi="Times New Roman"/>
          <w:color w:val="auto"/>
        </w:rPr>
        <w:t>环境监测计划</w:t>
      </w:r>
      <w:r>
        <w:tab/>
      </w:r>
      <w:r>
        <w:fldChar w:fldCharType="begin"/>
      </w:r>
      <w:r>
        <w:instrText xml:space="preserve"> PAGEREF _Toc94101247 \h </w:instrText>
      </w:r>
      <w:r>
        <w:fldChar w:fldCharType="separate"/>
      </w:r>
      <w:r>
        <w:t>247</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"_Toc94101248" </w:instrText>
      </w:r>
      <w:r>
        <w:fldChar w:fldCharType="separate"/>
      </w:r>
      <w:r>
        <w:rPr>
          <w:rStyle w:val="46"/>
          <w:rFonts w:ascii="Times New Roman" w:hAnsi="Times New Roman"/>
          <w:color w:val="auto"/>
        </w:rPr>
        <w:t>8.3</w:t>
      </w:r>
      <w:r>
        <w:rPr>
          <w:rFonts w:asciiTheme="minorHAnsi" w:hAnsiTheme="minorHAnsi" w:eastAsiaTheme="minorEastAsia" w:cstheme="minorBidi"/>
          <w:sz w:val="21"/>
          <w:szCs w:val="22"/>
        </w:rPr>
        <w:tab/>
      </w:r>
      <w:r>
        <w:rPr>
          <w:rStyle w:val="46"/>
          <w:rFonts w:ascii="Times New Roman" w:hAnsi="Times New Roman"/>
          <w:color w:val="auto"/>
        </w:rPr>
        <w:t>污染物排放清单及公示要求</w:t>
      </w:r>
      <w:r>
        <w:tab/>
      </w:r>
      <w:r>
        <w:fldChar w:fldCharType="begin"/>
      </w:r>
      <w:r>
        <w:instrText xml:space="preserve"> PAGEREF _Toc94101248 \h </w:instrText>
      </w:r>
      <w:r>
        <w:fldChar w:fldCharType="separate"/>
      </w:r>
      <w:r>
        <w:t>249</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"_Toc94101249" </w:instrText>
      </w:r>
      <w:r>
        <w:fldChar w:fldCharType="separate"/>
      </w:r>
      <w:r>
        <w:rPr>
          <w:rStyle w:val="46"/>
          <w:rFonts w:ascii="Times New Roman" w:hAnsi="Times New Roman"/>
          <w:color w:val="auto"/>
        </w:rPr>
        <w:t>8.4</w:t>
      </w:r>
      <w:r>
        <w:rPr>
          <w:rFonts w:asciiTheme="minorHAnsi" w:hAnsiTheme="minorHAnsi" w:eastAsiaTheme="minorEastAsia" w:cstheme="minorBidi"/>
          <w:sz w:val="21"/>
          <w:szCs w:val="22"/>
        </w:rPr>
        <w:tab/>
      </w:r>
      <w:r>
        <w:rPr>
          <w:rStyle w:val="46"/>
          <w:rFonts w:ascii="Times New Roman" w:hAnsi="Times New Roman"/>
          <w:color w:val="auto"/>
        </w:rPr>
        <w:t>项目“三同时”验收一览表</w:t>
      </w:r>
      <w:r>
        <w:tab/>
      </w:r>
      <w:r>
        <w:fldChar w:fldCharType="begin"/>
      </w:r>
      <w:r>
        <w:instrText xml:space="preserve"> PAGEREF _Toc94101249 \h </w:instrText>
      </w:r>
      <w:r>
        <w:fldChar w:fldCharType="separate"/>
      </w:r>
      <w:r>
        <w:t>250</w:t>
      </w:r>
      <w:r>
        <w:fldChar w:fldCharType="end"/>
      </w:r>
      <w:r>
        <w:fldChar w:fldCharType="end"/>
      </w:r>
    </w:p>
    <w:p>
      <w:pPr>
        <w:pStyle w:val="29"/>
        <w:tabs>
          <w:tab w:val="left" w:pos="420"/>
          <w:tab w:val="right" w:leader="dot" w:pos="8296"/>
        </w:tabs>
        <w:rPr>
          <w:rFonts w:asciiTheme="minorHAnsi" w:hAnsiTheme="minorHAnsi" w:eastAsiaTheme="minorEastAsia" w:cstheme="minorBidi"/>
          <w:b w:val="0"/>
          <w:bCs w:val="0"/>
          <w:caps w:val="0"/>
          <w:sz w:val="21"/>
          <w:szCs w:val="22"/>
        </w:rPr>
      </w:pPr>
      <w:r>
        <w:fldChar w:fldCharType="begin"/>
      </w:r>
      <w:r>
        <w:instrText xml:space="preserve"> HYPERLINK \l "_Toc94101250" </w:instrText>
      </w:r>
      <w:r>
        <w:fldChar w:fldCharType="separate"/>
      </w:r>
      <w:r>
        <w:rPr>
          <w:rStyle w:val="46"/>
          <w:b w:val="0"/>
          <w:bCs w:val="0"/>
          <w:color w:val="auto"/>
          <w:kern w:val="44"/>
        </w:rPr>
        <w:t>9</w:t>
      </w:r>
      <w:r>
        <w:rPr>
          <w:rFonts w:asciiTheme="minorHAnsi" w:hAnsiTheme="minorHAnsi" w:eastAsiaTheme="minorEastAsia" w:cstheme="minorBidi"/>
          <w:b w:val="0"/>
          <w:bCs w:val="0"/>
          <w:caps w:val="0"/>
          <w:sz w:val="21"/>
          <w:szCs w:val="22"/>
        </w:rPr>
        <w:tab/>
      </w:r>
      <w:r>
        <w:rPr>
          <w:rStyle w:val="46"/>
          <w:b w:val="0"/>
          <w:bCs w:val="0"/>
          <w:color w:val="auto"/>
          <w:kern w:val="44"/>
        </w:rPr>
        <w:t>结论与建议</w:t>
      </w:r>
      <w:r>
        <w:rPr>
          <w:b w:val="0"/>
          <w:bCs w:val="0"/>
        </w:rPr>
        <w:tab/>
      </w:r>
      <w:r>
        <w:rPr>
          <w:b w:val="0"/>
          <w:bCs w:val="0"/>
        </w:rPr>
        <w:fldChar w:fldCharType="begin"/>
      </w:r>
      <w:r>
        <w:rPr>
          <w:b w:val="0"/>
          <w:bCs w:val="0"/>
        </w:rPr>
        <w:instrText xml:space="preserve"> PAGEREF _Toc94101250 \h </w:instrText>
      </w:r>
      <w:r>
        <w:rPr>
          <w:b w:val="0"/>
          <w:bCs w:val="0"/>
        </w:rPr>
        <w:fldChar w:fldCharType="separate"/>
      </w:r>
      <w:r>
        <w:rPr>
          <w:b w:val="0"/>
          <w:bCs w:val="0"/>
        </w:rPr>
        <w:t>252</w:t>
      </w:r>
      <w:r>
        <w:rPr>
          <w:b w:val="0"/>
          <w:bCs w:val="0"/>
        </w:rPr>
        <w:fldChar w:fldCharType="end"/>
      </w:r>
      <w:r>
        <w:rPr>
          <w:b w:val="0"/>
          <w:bCs w:val="0"/>
        </w:rP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"_Toc94101251" </w:instrText>
      </w:r>
      <w:r>
        <w:fldChar w:fldCharType="separate"/>
      </w:r>
      <w:r>
        <w:rPr>
          <w:rStyle w:val="46"/>
          <w:rFonts w:ascii="Times New Roman" w:hAnsi="Times New Roman"/>
          <w:color w:val="auto"/>
        </w:rPr>
        <w:t>9.1</w:t>
      </w:r>
      <w:r>
        <w:rPr>
          <w:rFonts w:asciiTheme="minorHAnsi" w:hAnsiTheme="minorHAnsi" w:eastAsiaTheme="minorEastAsia" w:cstheme="minorBidi"/>
          <w:sz w:val="21"/>
          <w:szCs w:val="22"/>
        </w:rPr>
        <w:tab/>
      </w:r>
      <w:r>
        <w:rPr>
          <w:rStyle w:val="46"/>
          <w:rFonts w:ascii="Times New Roman" w:hAnsi="Times New Roman"/>
          <w:color w:val="auto"/>
        </w:rPr>
        <w:t>项目概况</w:t>
      </w:r>
      <w:r>
        <w:tab/>
      </w:r>
      <w:r>
        <w:fldChar w:fldCharType="begin"/>
      </w:r>
      <w:r>
        <w:instrText xml:space="preserve"> PAGEREF _Toc94101251 \h </w:instrText>
      </w:r>
      <w:r>
        <w:fldChar w:fldCharType="separate"/>
      </w:r>
      <w:r>
        <w:t>252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"_Toc94101252" </w:instrText>
      </w:r>
      <w:r>
        <w:fldChar w:fldCharType="separate"/>
      </w:r>
      <w:r>
        <w:rPr>
          <w:rStyle w:val="46"/>
          <w:rFonts w:ascii="Times New Roman" w:hAnsi="Times New Roman"/>
          <w:color w:val="auto"/>
        </w:rPr>
        <w:t>9.2</w:t>
      </w:r>
      <w:r>
        <w:rPr>
          <w:rFonts w:asciiTheme="minorHAnsi" w:hAnsiTheme="minorHAnsi" w:eastAsiaTheme="minorEastAsia" w:cstheme="minorBidi"/>
          <w:sz w:val="21"/>
          <w:szCs w:val="22"/>
        </w:rPr>
        <w:tab/>
      </w:r>
      <w:r>
        <w:rPr>
          <w:rStyle w:val="46"/>
          <w:rFonts w:ascii="Times New Roman" w:hAnsi="Times New Roman"/>
          <w:color w:val="auto"/>
        </w:rPr>
        <w:t>产业政策符合性结论</w:t>
      </w:r>
      <w:r>
        <w:tab/>
      </w:r>
      <w:r>
        <w:fldChar w:fldCharType="begin"/>
      </w:r>
      <w:r>
        <w:instrText xml:space="preserve"> PAGEREF _Toc94101252 \h </w:instrText>
      </w:r>
      <w:r>
        <w:fldChar w:fldCharType="separate"/>
      </w:r>
      <w:r>
        <w:t>252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"_Toc94101253" </w:instrText>
      </w:r>
      <w:r>
        <w:fldChar w:fldCharType="separate"/>
      </w:r>
      <w:r>
        <w:rPr>
          <w:rStyle w:val="46"/>
          <w:rFonts w:ascii="Times New Roman" w:hAnsi="Times New Roman"/>
          <w:color w:val="auto"/>
        </w:rPr>
        <w:t>9.3</w:t>
      </w:r>
      <w:r>
        <w:rPr>
          <w:rFonts w:asciiTheme="minorHAnsi" w:hAnsiTheme="minorHAnsi" w:eastAsiaTheme="minorEastAsia" w:cstheme="minorBidi"/>
          <w:sz w:val="21"/>
          <w:szCs w:val="22"/>
        </w:rPr>
        <w:tab/>
      </w:r>
      <w:r>
        <w:rPr>
          <w:rStyle w:val="46"/>
          <w:rFonts w:ascii="Times New Roman" w:hAnsi="Times New Roman"/>
          <w:color w:val="auto"/>
        </w:rPr>
        <w:t>项目选址合理性结论</w:t>
      </w:r>
      <w:r>
        <w:tab/>
      </w:r>
      <w:r>
        <w:fldChar w:fldCharType="begin"/>
      </w:r>
      <w:r>
        <w:instrText xml:space="preserve"> PAGEREF _Toc94101253 \h </w:instrText>
      </w:r>
      <w:r>
        <w:fldChar w:fldCharType="separate"/>
      </w:r>
      <w:r>
        <w:t>252</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"_Toc94101254" </w:instrText>
      </w:r>
      <w:r>
        <w:fldChar w:fldCharType="separate"/>
      </w:r>
      <w:r>
        <w:rPr>
          <w:rStyle w:val="46"/>
          <w:rFonts w:ascii="Times New Roman" w:hAnsi="Times New Roman"/>
          <w:color w:val="auto"/>
        </w:rPr>
        <w:t>9.4</w:t>
      </w:r>
      <w:r>
        <w:rPr>
          <w:rFonts w:asciiTheme="minorHAnsi" w:hAnsiTheme="minorHAnsi" w:eastAsiaTheme="minorEastAsia" w:cstheme="minorBidi"/>
          <w:sz w:val="21"/>
          <w:szCs w:val="22"/>
        </w:rPr>
        <w:tab/>
      </w:r>
      <w:r>
        <w:rPr>
          <w:rStyle w:val="46"/>
          <w:rFonts w:ascii="Times New Roman" w:hAnsi="Times New Roman"/>
          <w:color w:val="auto"/>
        </w:rPr>
        <w:t>环境质量现状结论</w:t>
      </w:r>
      <w:r>
        <w:tab/>
      </w:r>
      <w:r>
        <w:fldChar w:fldCharType="begin"/>
      </w:r>
      <w:r>
        <w:instrText xml:space="preserve"> PAGEREF _Toc94101254 \h </w:instrText>
      </w:r>
      <w:r>
        <w:fldChar w:fldCharType="separate"/>
      </w:r>
      <w:r>
        <w:t>253</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"_Toc94101255" </w:instrText>
      </w:r>
      <w:r>
        <w:fldChar w:fldCharType="separate"/>
      </w:r>
      <w:r>
        <w:rPr>
          <w:rStyle w:val="46"/>
          <w:rFonts w:ascii="Times New Roman" w:hAnsi="Times New Roman"/>
          <w:color w:val="auto"/>
        </w:rPr>
        <w:t>9.5</w:t>
      </w:r>
      <w:r>
        <w:rPr>
          <w:rFonts w:asciiTheme="minorHAnsi" w:hAnsiTheme="minorHAnsi" w:eastAsiaTheme="minorEastAsia" w:cstheme="minorBidi"/>
          <w:sz w:val="21"/>
          <w:szCs w:val="22"/>
        </w:rPr>
        <w:tab/>
      </w:r>
      <w:r>
        <w:rPr>
          <w:rStyle w:val="46"/>
          <w:rFonts w:ascii="Times New Roman" w:hAnsi="Times New Roman"/>
          <w:color w:val="auto"/>
        </w:rPr>
        <w:t>环境影响评价结论</w:t>
      </w:r>
      <w:r>
        <w:tab/>
      </w:r>
      <w:r>
        <w:fldChar w:fldCharType="begin"/>
      </w:r>
      <w:r>
        <w:instrText xml:space="preserve"> PAGEREF _Toc94101255 \h </w:instrText>
      </w:r>
      <w:r>
        <w:fldChar w:fldCharType="separate"/>
      </w:r>
      <w:r>
        <w:t>254</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"_Toc94101256" </w:instrText>
      </w:r>
      <w:r>
        <w:fldChar w:fldCharType="separate"/>
      </w:r>
      <w:r>
        <w:rPr>
          <w:rStyle w:val="46"/>
          <w:rFonts w:ascii="Times New Roman" w:hAnsi="Times New Roman"/>
          <w:color w:val="auto"/>
        </w:rPr>
        <w:t>9.6</w:t>
      </w:r>
      <w:r>
        <w:rPr>
          <w:rFonts w:asciiTheme="minorHAnsi" w:hAnsiTheme="minorHAnsi" w:eastAsiaTheme="minorEastAsia" w:cstheme="minorBidi"/>
          <w:sz w:val="21"/>
          <w:szCs w:val="22"/>
        </w:rPr>
        <w:tab/>
      </w:r>
      <w:r>
        <w:rPr>
          <w:rStyle w:val="46"/>
          <w:rFonts w:ascii="Times New Roman" w:hAnsi="Times New Roman"/>
          <w:color w:val="auto"/>
        </w:rPr>
        <w:t>污染防治措施结论</w:t>
      </w:r>
      <w:r>
        <w:tab/>
      </w:r>
      <w:r>
        <w:fldChar w:fldCharType="begin"/>
      </w:r>
      <w:r>
        <w:instrText xml:space="preserve"> PAGEREF _Toc94101256 \h </w:instrText>
      </w:r>
      <w:r>
        <w:fldChar w:fldCharType="separate"/>
      </w:r>
      <w:r>
        <w:t>257</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"_Toc94101257" </w:instrText>
      </w:r>
      <w:r>
        <w:fldChar w:fldCharType="separate"/>
      </w:r>
      <w:r>
        <w:rPr>
          <w:rStyle w:val="46"/>
          <w:rFonts w:ascii="Times New Roman" w:hAnsi="Times New Roman"/>
          <w:color w:val="auto"/>
        </w:rPr>
        <w:t>9.7</w:t>
      </w:r>
      <w:r>
        <w:rPr>
          <w:rFonts w:asciiTheme="minorHAnsi" w:hAnsiTheme="minorHAnsi" w:eastAsiaTheme="minorEastAsia" w:cstheme="minorBidi"/>
          <w:sz w:val="21"/>
          <w:szCs w:val="22"/>
        </w:rPr>
        <w:tab/>
      </w:r>
      <w:r>
        <w:rPr>
          <w:rStyle w:val="46"/>
          <w:rFonts w:ascii="Times New Roman" w:hAnsi="Times New Roman"/>
          <w:color w:val="auto"/>
        </w:rPr>
        <w:t>环境风险分析</w:t>
      </w:r>
      <w:r>
        <w:tab/>
      </w:r>
      <w:r>
        <w:fldChar w:fldCharType="begin"/>
      </w:r>
      <w:r>
        <w:instrText xml:space="preserve"> PAGEREF _Toc94101257 \h </w:instrText>
      </w:r>
      <w:r>
        <w:fldChar w:fldCharType="separate"/>
      </w:r>
      <w:r>
        <w:t>258</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"_Toc94101258" </w:instrText>
      </w:r>
      <w:r>
        <w:fldChar w:fldCharType="separate"/>
      </w:r>
      <w:r>
        <w:rPr>
          <w:rStyle w:val="46"/>
          <w:rFonts w:ascii="Times New Roman" w:hAnsi="Times New Roman"/>
          <w:color w:val="auto"/>
        </w:rPr>
        <w:t>9.8</w:t>
      </w:r>
      <w:r>
        <w:rPr>
          <w:rFonts w:asciiTheme="minorHAnsi" w:hAnsiTheme="minorHAnsi" w:eastAsiaTheme="minorEastAsia" w:cstheme="minorBidi"/>
          <w:sz w:val="21"/>
          <w:szCs w:val="22"/>
        </w:rPr>
        <w:tab/>
      </w:r>
      <w:r>
        <w:rPr>
          <w:rStyle w:val="46"/>
          <w:rFonts w:ascii="Times New Roman" w:hAnsi="Times New Roman"/>
          <w:color w:val="auto"/>
        </w:rPr>
        <w:t>公众参与情况说明</w:t>
      </w:r>
      <w:r>
        <w:tab/>
      </w:r>
      <w:r>
        <w:fldChar w:fldCharType="begin"/>
      </w:r>
      <w:r>
        <w:instrText xml:space="preserve"> PAGEREF _Toc94101258 \h </w:instrText>
      </w:r>
      <w:r>
        <w:fldChar w:fldCharType="separate"/>
      </w:r>
      <w:r>
        <w:t>258</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"_Toc94101259" </w:instrText>
      </w:r>
      <w:r>
        <w:fldChar w:fldCharType="separate"/>
      </w:r>
      <w:r>
        <w:rPr>
          <w:rStyle w:val="46"/>
          <w:rFonts w:ascii="Times New Roman" w:hAnsi="Times New Roman"/>
          <w:color w:val="auto"/>
        </w:rPr>
        <w:t>9.9</w:t>
      </w:r>
      <w:r>
        <w:rPr>
          <w:rFonts w:asciiTheme="minorHAnsi" w:hAnsiTheme="minorHAnsi" w:eastAsiaTheme="minorEastAsia" w:cstheme="minorBidi"/>
          <w:sz w:val="21"/>
          <w:szCs w:val="22"/>
        </w:rPr>
        <w:tab/>
      </w:r>
      <w:r>
        <w:rPr>
          <w:rStyle w:val="46"/>
          <w:rFonts w:ascii="Times New Roman" w:hAnsi="Times New Roman"/>
          <w:color w:val="auto"/>
        </w:rPr>
        <w:t>总结论</w:t>
      </w:r>
      <w:r>
        <w:tab/>
      </w:r>
      <w:r>
        <w:fldChar w:fldCharType="begin"/>
      </w:r>
      <w:r>
        <w:instrText xml:space="preserve"> PAGEREF _Toc94101259 \h </w:instrText>
      </w:r>
      <w:r>
        <w:fldChar w:fldCharType="separate"/>
      </w:r>
      <w:r>
        <w:t>259</w:t>
      </w:r>
      <w:r>
        <w:fldChar w:fldCharType="end"/>
      </w:r>
      <w:r>
        <w:fldChar w:fldCharType="end"/>
      </w:r>
    </w:p>
    <w:p>
      <w:pPr>
        <w:pStyle w:val="34"/>
        <w:rPr>
          <w:rFonts w:asciiTheme="minorHAnsi" w:hAnsiTheme="minorHAnsi" w:eastAsiaTheme="minorEastAsia" w:cstheme="minorBidi"/>
          <w:sz w:val="21"/>
          <w:szCs w:val="22"/>
        </w:rPr>
      </w:pPr>
      <w:r>
        <w:fldChar w:fldCharType="begin"/>
      </w:r>
      <w:r>
        <w:instrText xml:space="preserve"> HYPERLINK \l "_Toc94101260" </w:instrText>
      </w:r>
      <w:r>
        <w:fldChar w:fldCharType="separate"/>
      </w:r>
      <w:r>
        <w:rPr>
          <w:rStyle w:val="46"/>
          <w:rFonts w:ascii="Times New Roman" w:hAnsi="Times New Roman"/>
          <w:color w:val="auto"/>
        </w:rPr>
        <w:t>9.10</w:t>
      </w:r>
      <w:r>
        <w:rPr>
          <w:rFonts w:asciiTheme="minorHAnsi" w:hAnsiTheme="minorHAnsi" w:eastAsiaTheme="minorEastAsia" w:cstheme="minorBidi"/>
          <w:sz w:val="21"/>
          <w:szCs w:val="22"/>
        </w:rPr>
        <w:tab/>
      </w:r>
      <w:r>
        <w:rPr>
          <w:rStyle w:val="46"/>
          <w:rFonts w:ascii="Times New Roman" w:hAnsi="Times New Roman"/>
          <w:color w:val="auto"/>
        </w:rPr>
        <w:t>建议</w:t>
      </w:r>
      <w:r>
        <w:tab/>
      </w:r>
      <w:r>
        <w:fldChar w:fldCharType="begin"/>
      </w:r>
      <w:r>
        <w:instrText xml:space="preserve"> PAGEREF _Toc94101260 \h </w:instrText>
      </w:r>
      <w:r>
        <w:fldChar w:fldCharType="separate"/>
      </w:r>
      <w:r>
        <w:t>259</w:t>
      </w:r>
      <w:r>
        <w:fldChar w:fldCharType="end"/>
      </w:r>
      <w:r>
        <w:fldChar w:fldCharType="end"/>
      </w:r>
    </w:p>
    <w:p>
      <w:pPr>
        <w:jc w:val="center"/>
        <w:rPr>
          <w:sz w:val="36"/>
          <w:szCs w:val="36"/>
          <w:lang w:val="zh-CN"/>
        </w:rPr>
      </w:pPr>
      <w:r>
        <w:rPr>
          <w:sz w:val="36"/>
          <w:szCs w:val="36"/>
          <w:lang w:val="zh-CN"/>
        </w:rPr>
        <w:fldChar w:fldCharType="end"/>
      </w:r>
    </w:p>
    <w:p>
      <w:pPr>
        <w:jc w:val="center"/>
        <w:rPr>
          <w:sz w:val="36"/>
          <w:szCs w:val="36"/>
          <w:lang w:val="zh-CN"/>
        </w:rPr>
      </w:pPr>
    </w:p>
    <w:p>
      <w:pPr>
        <w:jc w:val="center"/>
        <w:rPr>
          <w:sz w:val="36"/>
          <w:szCs w:val="36"/>
          <w:lang w:val="zh-CN"/>
        </w:rPr>
      </w:pPr>
    </w:p>
    <w:p>
      <w:pPr>
        <w:jc w:val="center"/>
        <w:rPr>
          <w:sz w:val="36"/>
          <w:szCs w:val="36"/>
          <w:lang w:val="zh-CN"/>
        </w:rPr>
      </w:pPr>
    </w:p>
    <w:p>
      <w:pPr>
        <w:adjustRightInd w:val="0"/>
        <w:snapToGrid w:val="0"/>
        <w:spacing w:line="360" w:lineRule="auto"/>
        <w:rPr>
          <w:b/>
          <w:sz w:val="28"/>
          <w:szCs w:val="28"/>
        </w:rPr>
      </w:pPr>
      <w:r>
        <w:rPr>
          <w:b/>
          <w:sz w:val="28"/>
          <w:szCs w:val="28"/>
        </w:rPr>
        <w:t>附图</w:t>
      </w:r>
    </w:p>
    <w:p>
      <w:pPr>
        <w:adjustRightInd w:val="0"/>
        <w:snapToGrid w:val="0"/>
        <w:spacing w:line="360" w:lineRule="auto"/>
        <w:rPr>
          <w:sz w:val="24"/>
          <w:szCs w:val="24"/>
        </w:rPr>
      </w:pPr>
      <w:r>
        <w:rPr>
          <w:sz w:val="24"/>
          <w:szCs w:val="24"/>
        </w:rPr>
        <w:t>附图1  本项目地理位置示意图；</w:t>
      </w:r>
    </w:p>
    <w:p>
      <w:pPr>
        <w:adjustRightInd w:val="0"/>
        <w:snapToGrid w:val="0"/>
        <w:spacing w:line="360" w:lineRule="auto"/>
        <w:rPr>
          <w:sz w:val="24"/>
          <w:szCs w:val="24"/>
        </w:rPr>
      </w:pPr>
      <w:r>
        <w:rPr>
          <w:sz w:val="24"/>
          <w:szCs w:val="24"/>
        </w:rPr>
        <w:t xml:space="preserve">附图2  </w:t>
      </w:r>
      <w:r>
        <w:rPr>
          <w:rFonts w:hint="eastAsia"/>
          <w:sz w:val="24"/>
          <w:szCs w:val="24"/>
        </w:rPr>
        <w:t>本</w:t>
      </w:r>
      <w:r>
        <w:rPr>
          <w:sz w:val="24"/>
          <w:szCs w:val="24"/>
        </w:rPr>
        <w:t>项目周边关系图；</w:t>
      </w:r>
    </w:p>
    <w:p>
      <w:pPr>
        <w:adjustRightInd w:val="0"/>
        <w:snapToGrid w:val="0"/>
        <w:spacing w:line="360" w:lineRule="auto"/>
        <w:rPr>
          <w:sz w:val="24"/>
          <w:szCs w:val="24"/>
        </w:rPr>
      </w:pPr>
      <w:r>
        <w:rPr>
          <w:sz w:val="24"/>
          <w:szCs w:val="24"/>
        </w:rPr>
        <w:t xml:space="preserve">附图3  </w:t>
      </w:r>
      <w:r>
        <w:rPr>
          <w:rFonts w:hint="eastAsia"/>
          <w:sz w:val="24"/>
          <w:szCs w:val="24"/>
        </w:rPr>
        <w:t>本</w:t>
      </w:r>
      <w:r>
        <w:rPr>
          <w:sz w:val="24"/>
          <w:szCs w:val="24"/>
        </w:rPr>
        <w:t>项目</w:t>
      </w:r>
      <w:r>
        <w:rPr>
          <w:rFonts w:hint="eastAsia"/>
          <w:sz w:val="24"/>
          <w:szCs w:val="24"/>
        </w:rPr>
        <w:t>大气环境</w:t>
      </w:r>
      <w:r>
        <w:rPr>
          <w:sz w:val="24"/>
          <w:szCs w:val="24"/>
        </w:rPr>
        <w:t>保护目标</w:t>
      </w:r>
      <w:r>
        <w:rPr>
          <w:rFonts w:hint="eastAsia"/>
          <w:sz w:val="24"/>
          <w:szCs w:val="24"/>
        </w:rPr>
        <w:t>分布</w:t>
      </w:r>
      <w:r>
        <w:rPr>
          <w:sz w:val="24"/>
          <w:szCs w:val="24"/>
        </w:rPr>
        <w:t>图；</w:t>
      </w:r>
    </w:p>
    <w:p>
      <w:pPr>
        <w:adjustRightInd w:val="0"/>
        <w:snapToGrid w:val="0"/>
        <w:spacing w:line="360" w:lineRule="auto"/>
        <w:rPr>
          <w:sz w:val="24"/>
          <w:szCs w:val="24"/>
        </w:rPr>
      </w:pPr>
      <w:r>
        <w:rPr>
          <w:sz w:val="24"/>
          <w:szCs w:val="24"/>
        </w:rPr>
        <w:t xml:space="preserve">附图4  </w:t>
      </w:r>
      <w:r>
        <w:rPr>
          <w:rFonts w:hint="eastAsia"/>
          <w:sz w:val="24"/>
          <w:szCs w:val="24"/>
        </w:rPr>
        <w:t>本项目地下水评价范围及环境保护目标分布图；</w:t>
      </w:r>
    </w:p>
    <w:p>
      <w:pPr>
        <w:adjustRightInd w:val="0"/>
        <w:snapToGrid w:val="0"/>
        <w:spacing w:line="360" w:lineRule="auto"/>
        <w:rPr>
          <w:sz w:val="24"/>
          <w:szCs w:val="24"/>
        </w:rPr>
      </w:pPr>
      <w:r>
        <w:rPr>
          <w:sz w:val="24"/>
          <w:szCs w:val="24"/>
        </w:rPr>
        <w:t xml:space="preserve">附图5  </w:t>
      </w:r>
      <w:r>
        <w:rPr>
          <w:rFonts w:hint="eastAsia"/>
          <w:sz w:val="24"/>
          <w:szCs w:val="24"/>
        </w:rPr>
        <w:t>本项目总平面布置图。</w:t>
      </w:r>
    </w:p>
    <w:p>
      <w:pPr>
        <w:adjustRightInd w:val="0"/>
        <w:snapToGrid w:val="0"/>
        <w:spacing w:line="360" w:lineRule="auto"/>
        <w:rPr>
          <w:sz w:val="24"/>
          <w:szCs w:val="24"/>
        </w:rPr>
      </w:pPr>
    </w:p>
    <w:p>
      <w:pPr>
        <w:adjustRightInd w:val="0"/>
        <w:snapToGrid w:val="0"/>
        <w:spacing w:line="360" w:lineRule="auto"/>
        <w:rPr>
          <w:rFonts w:eastAsia="黑体"/>
          <w:b/>
          <w:sz w:val="28"/>
          <w:szCs w:val="28"/>
        </w:rPr>
      </w:pPr>
      <w:r>
        <w:rPr>
          <w:rFonts w:eastAsia="黑体"/>
          <w:b/>
          <w:sz w:val="28"/>
          <w:szCs w:val="28"/>
        </w:rPr>
        <w:t>附件：</w:t>
      </w:r>
    </w:p>
    <w:p>
      <w:pPr>
        <w:adjustRightInd w:val="0"/>
        <w:snapToGrid w:val="0"/>
        <w:spacing w:line="360" w:lineRule="auto"/>
        <w:rPr>
          <w:sz w:val="24"/>
          <w:szCs w:val="24"/>
        </w:rPr>
      </w:pPr>
      <w:r>
        <w:rPr>
          <w:sz w:val="24"/>
          <w:szCs w:val="24"/>
        </w:rPr>
        <w:t>附件1  环评委托书；</w:t>
      </w:r>
    </w:p>
    <w:p>
      <w:pPr>
        <w:adjustRightInd w:val="0"/>
        <w:snapToGrid w:val="0"/>
        <w:spacing w:line="360" w:lineRule="auto"/>
        <w:ind w:left="840" w:hanging="840" w:hangingChars="350"/>
        <w:rPr>
          <w:sz w:val="24"/>
          <w:szCs w:val="24"/>
        </w:rPr>
      </w:pPr>
      <w:r>
        <w:rPr>
          <w:sz w:val="24"/>
          <w:szCs w:val="24"/>
        </w:rPr>
        <w:t>附件2  环境现状监测报告；</w:t>
      </w:r>
    </w:p>
    <w:p>
      <w:pPr>
        <w:adjustRightInd w:val="0"/>
        <w:snapToGrid w:val="0"/>
        <w:spacing w:line="360" w:lineRule="auto"/>
        <w:ind w:left="840" w:hanging="840" w:hangingChars="350"/>
        <w:rPr>
          <w:sz w:val="24"/>
          <w:szCs w:val="24"/>
        </w:rPr>
      </w:pPr>
      <w:r>
        <w:rPr>
          <w:sz w:val="24"/>
          <w:szCs w:val="24"/>
        </w:rPr>
        <w:t>附件3  企业立项批文</w:t>
      </w:r>
      <w:r>
        <w:rPr>
          <w:rFonts w:hint="eastAsia"/>
          <w:sz w:val="24"/>
          <w:szCs w:val="24"/>
        </w:rPr>
        <w:t>；</w:t>
      </w:r>
    </w:p>
    <w:p>
      <w:pPr>
        <w:adjustRightInd w:val="0"/>
        <w:snapToGrid w:val="0"/>
        <w:spacing w:line="360" w:lineRule="auto"/>
        <w:ind w:left="840" w:hanging="840" w:hangingChars="350"/>
        <w:rPr>
          <w:sz w:val="24"/>
          <w:szCs w:val="24"/>
        </w:rPr>
      </w:pPr>
      <w:r>
        <w:rPr>
          <w:sz w:val="24"/>
          <w:szCs w:val="24"/>
        </w:rPr>
        <w:t>附件4  建设项目环评审批基础信息表。</w:t>
      </w:r>
    </w:p>
    <w:p>
      <w:pPr>
        <w:spacing w:before="156" w:beforeLines="50" w:after="156" w:afterLines="50" w:line="500" w:lineRule="exact"/>
        <w:jc w:val="center"/>
        <w:rPr>
          <w:rFonts w:eastAsia="黑体"/>
          <w:sz w:val="36"/>
        </w:rPr>
      </w:pPr>
    </w:p>
    <w:p>
      <w:pPr>
        <w:pStyle w:val="2"/>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pPr>
    </w:p>
    <w:p>
      <w:pPr>
        <w:pStyle w:val="5"/>
        <w:rPr>
          <w:color w:val="auto"/>
        </w:rPr>
        <w:sectPr>
          <w:footerReference r:id="rId5" w:type="default"/>
          <w:pgSz w:w="11906" w:h="16838"/>
          <w:pgMar w:top="1440" w:right="1800" w:bottom="1440" w:left="1800" w:header="851" w:footer="992" w:gutter="0"/>
          <w:pgNumType w:fmt="upperRoman" w:start="1"/>
          <w:cols w:space="425" w:num="1"/>
          <w:docGrid w:type="lines" w:linePitch="312" w:charSpace="0"/>
        </w:sectPr>
      </w:pPr>
    </w:p>
    <w:p>
      <w:pPr>
        <w:keepNext/>
        <w:keepLines/>
        <w:numPr>
          <w:ilvl w:val="0"/>
          <w:numId w:val="5"/>
        </w:numPr>
        <w:snapToGrid w:val="0"/>
        <w:spacing w:before="50" w:after="50" w:line="360" w:lineRule="auto"/>
        <w:jc w:val="center"/>
        <w:outlineLvl w:val="0"/>
        <w:rPr>
          <w:b/>
          <w:bCs/>
          <w:kern w:val="44"/>
          <w:sz w:val="32"/>
          <w:szCs w:val="32"/>
        </w:rPr>
      </w:pPr>
      <w:bookmarkStart w:id="2" w:name="_Toc94101188"/>
      <w:bookmarkStart w:id="3" w:name="_Toc92591417"/>
      <w:bookmarkStart w:id="4" w:name="_Toc113768921"/>
      <w:bookmarkStart w:id="5" w:name="_Toc391045152"/>
      <w:bookmarkStart w:id="6" w:name="_Toc518025806"/>
      <w:r>
        <w:rPr>
          <w:b/>
          <w:bCs/>
          <w:kern w:val="44"/>
          <w:sz w:val="32"/>
          <w:szCs w:val="32"/>
        </w:rPr>
        <w:t>概  述</w:t>
      </w:r>
      <w:bookmarkEnd w:id="2"/>
    </w:p>
    <w:p>
      <w:pPr>
        <w:pStyle w:val="61"/>
        <w:numPr>
          <w:ilvl w:val="1"/>
          <w:numId w:val="5"/>
        </w:numPr>
        <w:tabs>
          <w:tab w:val="left" w:pos="567"/>
          <w:tab w:val="clear" w:pos="432"/>
        </w:tabs>
        <w:spacing w:before="156" w:after="156"/>
        <w:ind w:left="0" w:firstLine="0"/>
        <w:rPr>
          <w:rFonts w:ascii="Times New Roman" w:hAnsi="Times New Roman"/>
        </w:rPr>
      </w:pPr>
      <w:bookmarkStart w:id="7" w:name="_Toc94101189"/>
      <w:r>
        <w:rPr>
          <w:rFonts w:ascii="Times New Roman" w:hAnsi="Times New Roman"/>
        </w:rPr>
        <w:t>项目概况</w:t>
      </w:r>
      <w:bookmarkEnd w:id="7"/>
    </w:p>
    <w:p>
      <w:pPr>
        <w:adjustRightInd w:val="0"/>
        <w:snapToGrid w:val="0"/>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根据国家对城市基础设施建设的要求，城市生活垃圾的处理要做到</w:t>
      </w:r>
      <w:r>
        <w:rPr>
          <w:rFonts w:asciiTheme="minorEastAsia" w:hAnsiTheme="minorEastAsia" w:eastAsiaTheme="minorEastAsia"/>
          <w:sz w:val="24"/>
          <w:szCs w:val="24"/>
        </w:rPr>
        <w:t>“</w:t>
      </w:r>
      <w:r>
        <w:rPr>
          <w:rFonts w:hint="eastAsia" w:asciiTheme="minorEastAsia" w:hAnsiTheme="minorEastAsia" w:eastAsiaTheme="minorEastAsia"/>
          <w:sz w:val="24"/>
          <w:szCs w:val="24"/>
        </w:rPr>
        <w:t>无害化、减量化、资源化</w:t>
      </w:r>
      <w:r>
        <w:rPr>
          <w:rFonts w:asciiTheme="minorEastAsia" w:hAnsiTheme="minorEastAsia" w:eastAsiaTheme="minorEastAsia"/>
          <w:sz w:val="24"/>
          <w:szCs w:val="24"/>
        </w:rPr>
        <w:t>”</w:t>
      </w:r>
      <w:r>
        <w:rPr>
          <w:rFonts w:hint="eastAsia" w:asciiTheme="minorEastAsia" w:hAnsiTheme="minorEastAsia" w:eastAsiaTheme="minorEastAsia"/>
          <w:sz w:val="24"/>
          <w:szCs w:val="24"/>
        </w:rPr>
        <w:t>。根据生活垃圾处理量预测，围场满族蒙古族自治县现有生活垃圾填埋场即将饱和，生活垃圾产生和消纳之间的矛盾日益突显。为从根本上解决生活垃圾带来环境问题的，促进垃圾资源化，围场满族蒙古族自治县筹建了静脉产业园生活垃圾焚烧发电项目</w:t>
      </w:r>
      <w:bookmarkStart w:id="8" w:name="_Hlk110352109"/>
      <w:r>
        <w:rPr>
          <w:rFonts w:hint="eastAsia" w:asciiTheme="minorEastAsia" w:hAnsiTheme="minorEastAsia" w:eastAsiaTheme="minorEastAsia"/>
          <w:sz w:val="24"/>
          <w:szCs w:val="24"/>
        </w:rPr>
        <w:t>和10座农村垃圾热解焚烧炉项目。</w:t>
      </w:r>
    </w:p>
    <w:bookmarkEnd w:id="8"/>
    <w:p>
      <w:pPr>
        <w:adjustRightInd w:val="0"/>
        <w:snapToGrid w:val="0"/>
        <w:spacing w:line="360" w:lineRule="auto"/>
        <w:ind w:firstLine="480" w:firstLineChars="200"/>
        <w:rPr>
          <w:rFonts w:asciiTheme="minorEastAsia" w:hAnsiTheme="minorEastAsia" w:eastAsiaTheme="minorEastAsia"/>
          <w:sz w:val="24"/>
          <w:szCs w:val="24"/>
        </w:rPr>
      </w:pPr>
      <w:bookmarkStart w:id="9" w:name="_Hlk110352130"/>
      <w:r>
        <w:rPr>
          <w:rFonts w:hint="eastAsia" w:asciiTheme="minorEastAsia" w:hAnsiTheme="minorEastAsia" w:eastAsiaTheme="minorEastAsia"/>
          <w:sz w:val="24"/>
          <w:szCs w:val="24"/>
        </w:rPr>
        <w:t>生</w:t>
      </w:r>
      <w:r>
        <w:rPr>
          <w:rFonts w:asciiTheme="minorEastAsia" w:hAnsiTheme="minorEastAsia" w:eastAsiaTheme="minorEastAsia"/>
          <w:sz w:val="24"/>
          <w:szCs w:val="24"/>
        </w:rPr>
        <w:t>活垃圾焚烧过程中会产生一定量的飞灰，</w:t>
      </w:r>
      <w:r>
        <w:rPr>
          <w:rFonts w:hint="eastAsia" w:asciiTheme="minorEastAsia" w:hAnsiTheme="minorEastAsia" w:eastAsiaTheme="minorEastAsia"/>
          <w:sz w:val="24"/>
          <w:szCs w:val="24"/>
        </w:rPr>
        <w:t>其</w:t>
      </w:r>
      <w:r>
        <w:rPr>
          <w:rFonts w:asciiTheme="minorEastAsia" w:hAnsiTheme="minorEastAsia" w:eastAsiaTheme="minorEastAsia"/>
          <w:sz w:val="24"/>
          <w:szCs w:val="24"/>
        </w:rPr>
        <w:t>妥善处理是垃圾实现最终无害化的重要保证。为做好飞灰安全处置工作，保证</w:t>
      </w:r>
      <w:r>
        <w:rPr>
          <w:rFonts w:hint="eastAsia" w:asciiTheme="minorEastAsia" w:hAnsiTheme="minorEastAsia" w:eastAsiaTheme="minorEastAsia"/>
          <w:sz w:val="24"/>
          <w:szCs w:val="24"/>
        </w:rPr>
        <w:t>围场满族蒙古族自治县静脉产业园生活垃圾焚烧发电项目</w:t>
      </w:r>
      <w:r>
        <w:rPr>
          <w:rFonts w:asciiTheme="minorEastAsia" w:hAnsiTheme="minorEastAsia" w:eastAsiaTheme="minorEastAsia"/>
          <w:sz w:val="24"/>
          <w:szCs w:val="24"/>
        </w:rPr>
        <w:t>的可持续运行，</w:t>
      </w:r>
      <w:r>
        <w:rPr>
          <w:rFonts w:hint="eastAsia"/>
          <w:sz w:val="24"/>
          <w:szCs w:val="24"/>
        </w:rPr>
        <w:t>围场满族蒙古族自治县塞罕坝综合执法大队决定按照《生活垃圾填埋场污染控制标准》（</w:t>
      </w:r>
      <w:r>
        <w:rPr>
          <w:sz w:val="24"/>
          <w:szCs w:val="24"/>
        </w:rPr>
        <w:t>GB16889-2008</w:t>
      </w:r>
      <w:r>
        <w:rPr>
          <w:rFonts w:hint="eastAsia"/>
          <w:sz w:val="24"/>
          <w:szCs w:val="24"/>
        </w:rPr>
        <w:t>）要求，</w:t>
      </w:r>
      <w:r>
        <w:rPr>
          <w:sz w:val="24"/>
          <w:szCs w:val="24"/>
        </w:rPr>
        <w:t>投资建设</w:t>
      </w:r>
      <w:r>
        <w:rPr>
          <w:rFonts w:hint="eastAsia"/>
          <w:sz w:val="24"/>
          <w:szCs w:val="24"/>
        </w:rPr>
        <w:t>“围场满族蒙古族自治县静脉产业园飞灰填埋场项目”</w:t>
      </w:r>
      <w:bookmarkEnd w:id="9"/>
      <w:r>
        <w:rPr>
          <w:sz w:val="24"/>
          <w:szCs w:val="24"/>
        </w:rPr>
        <w:t>（以下简称“本项目”）</w:t>
      </w:r>
      <w:r>
        <w:rPr>
          <w:rFonts w:hint="eastAsia"/>
          <w:sz w:val="24"/>
          <w:szCs w:val="24"/>
        </w:rPr>
        <w:t>。</w:t>
      </w:r>
    </w:p>
    <w:p>
      <w:pPr>
        <w:adjustRightInd w:val="0"/>
        <w:snapToGrid w:val="0"/>
        <w:spacing w:line="360" w:lineRule="auto"/>
        <w:ind w:firstLine="480" w:firstLineChars="200"/>
        <w:rPr>
          <w:sz w:val="24"/>
          <w:szCs w:val="24"/>
        </w:rPr>
      </w:pPr>
      <w:r>
        <w:rPr>
          <w:sz w:val="24"/>
          <w:szCs w:val="24"/>
        </w:rPr>
        <w:t>本项目</w:t>
      </w:r>
      <w:r>
        <w:rPr>
          <w:rFonts w:hint="eastAsia"/>
          <w:sz w:val="24"/>
          <w:szCs w:val="24"/>
        </w:rPr>
        <w:t>选址为河北省承德市围场满族蒙古族自治县龙头山镇龙头山村烟囱水大沟，场址紧邻围场满族蒙古族自治县静脉产业园生活垃圾焚烧发电项目。</w:t>
      </w:r>
      <w:r>
        <w:rPr>
          <w:sz w:val="24"/>
          <w:szCs w:val="24"/>
        </w:rPr>
        <w:t>中心地理坐标为东经117.7068078671</w:t>
      </w:r>
      <w:r>
        <w:rPr>
          <w:rFonts w:hint="eastAsia"/>
          <w:sz w:val="24"/>
          <w:szCs w:val="24"/>
        </w:rPr>
        <w:t>°，</w:t>
      </w:r>
      <w:r>
        <w:rPr>
          <w:sz w:val="24"/>
          <w:szCs w:val="24"/>
        </w:rPr>
        <w:t>北纬41.9962995546</w:t>
      </w:r>
      <w:r>
        <w:rPr>
          <w:rFonts w:hint="eastAsia"/>
          <w:sz w:val="24"/>
          <w:szCs w:val="24"/>
        </w:rPr>
        <w:t>°。</w:t>
      </w:r>
    </w:p>
    <w:p>
      <w:pPr>
        <w:adjustRightInd w:val="0"/>
        <w:snapToGrid w:val="0"/>
        <w:spacing w:line="360" w:lineRule="auto"/>
        <w:ind w:firstLine="480" w:firstLineChars="200"/>
        <w:rPr>
          <w:sz w:val="24"/>
          <w:szCs w:val="24"/>
        </w:rPr>
      </w:pPr>
      <w:bookmarkStart w:id="10" w:name="_Hlk108427318"/>
      <w:r>
        <w:rPr>
          <w:rFonts w:hint="eastAsia"/>
          <w:sz w:val="24"/>
          <w:szCs w:val="24"/>
        </w:rPr>
        <w:t>填埋场总</w:t>
      </w:r>
      <w:r>
        <w:rPr>
          <w:sz w:val="24"/>
          <w:szCs w:val="24"/>
        </w:rPr>
        <w:t>占地面积</w:t>
      </w:r>
      <w:r>
        <w:rPr>
          <w:rFonts w:hint="eastAsia"/>
          <w:sz w:val="24"/>
          <w:szCs w:val="24"/>
        </w:rPr>
        <w:t>约</w:t>
      </w:r>
      <w:r>
        <w:rPr>
          <w:sz w:val="24"/>
          <w:szCs w:val="24"/>
        </w:rPr>
        <w:t>45</w:t>
      </w:r>
      <w:r>
        <w:rPr>
          <w:rFonts w:hint="eastAsia"/>
          <w:sz w:val="24"/>
          <w:szCs w:val="24"/>
        </w:rPr>
        <w:t>亩，其中库区占地</w:t>
      </w:r>
      <w:r>
        <w:rPr>
          <w:sz w:val="24"/>
          <w:szCs w:val="24"/>
        </w:rPr>
        <w:t>41.5</w:t>
      </w:r>
      <w:r>
        <w:rPr>
          <w:rFonts w:hint="eastAsia"/>
          <w:sz w:val="24"/>
          <w:szCs w:val="24"/>
        </w:rPr>
        <w:t>亩，管理区占地3.5亩。飞灰填埋区容积为20</w:t>
      </w:r>
      <w:r>
        <w:rPr>
          <w:sz w:val="24"/>
          <w:szCs w:val="24"/>
        </w:rPr>
        <w:t>万m</w:t>
      </w:r>
      <w:r>
        <w:rPr>
          <w:sz w:val="24"/>
          <w:szCs w:val="24"/>
          <w:vertAlign w:val="superscript"/>
        </w:rPr>
        <w:t>3</w:t>
      </w:r>
      <w:r>
        <w:rPr>
          <w:rFonts w:hint="eastAsia"/>
          <w:sz w:val="24"/>
          <w:szCs w:val="24"/>
        </w:rPr>
        <w:t>，</w:t>
      </w:r>
      <w:r>
        <w:rPr>
          <w:sz w:val="24"/>
          <w:szCs w:val="24"/>
        </w:rPr>
        <w:t>使用年限</w:t>
      </w:r>
      <w:r>
        <w:rPr>
          <w:rFonts w:hint="eastAsia"/>
          <w:sz w:val="24"/>
          <w:szCs w:val="24"/>
        </w:rPr>
        <w:t>30</w:t>
      </w:r>
      <w:r>
        <w:rPr>
          <w:sz w:val="24"/>
          <w:szCs w:val="24"/>
        </w:rPr>
        <w:t>年</w:t>
      </w:r>
      <w:r>
        <w:rPr>
          <w:rFonts w:hint="eastAsia"/>
          <w:sz w:val="24"/>
          <w:szCs w:val="24"/>
        </w:rPr>
        <w:t>。主要建设内容包括飞灰填埋库、防渗系统、渗滤液收集及导排系统等。</w:t>
      </w:r>
    </w:p>
    <w:bookmarkEnd w:id="10"/>
    <w:p>
      <w:pPr>
        <w:adjustRightInd w:val="0"/>
        <w:snapToGrid w:val="0"/>
        <w:spacing w:line="360" w:lineRule="auto"/>
        <w:ind w:firstLine="480" w:firstLineChars="200"/>
        <w:rPr>
          <w:sz w:val="24"/>
        </w:rPr>
      </w:pPr>
      <w:r>
        <w:rPr>
          <w:sz w:val="24"/>
        </w:rPr>
        <w:t>项目服务范围：</w:t>
      </w:r>
      <w:r>
        <w:rPr>
          <w:rFonts w:hint="eastAsia"/>
          <w:sz w:val="24"/>
        </w:rPr>
        <w:t>围场满族蒙古族自治县静脉产业园生活垃圾焚烧发电项目产生的固化后飞灰</w:t>
      </w:r>
      <w:bookmarkStart w:id="11" w:name="_Hlk109230713"/>
      <w:r>
        <w:rPr>
          <w:rFonts w:hint="eastAsia"/>
          <w:sz w:val="24"/>
        </w:rPr>
        <w:t>和围场县在建的10座垃圾热解焚烧炉产生的固化后飞灰。</w:t>
      </w:r>
      <w:bookmarkEnd w:id="11"/>
    </w:p>
    <w:p>
      <w:pPr>
        <w:pStyle w:val="61"/>
        <w:numPr>
          <w:ilvl w:val="1"/>
          <w:numId w:val="5"/>
        </w:numPr>
        <w:tabs>
          <w:tab w:val="left" w:pos="567"/>
          <w:tab w:val="clear" w:pos="432"/>
        </w:tabs>
        <w:spacing w:before="156" w:after="156"/>
        <w:ind w:left="0" w:firstLine="0"/>
        <w:rPr>
          <w:rFonts w:ascii="Times New Roman" w:hAnsi="Times New Roman"/>
        </w:rPr>
      </w:pPr>
      <w:bookmarkStart w:id="12" w:name="_Toc94101190"/>
      <w:r>
        <w:rPr>
          <w:rFonts w:ascii="Times New Roman" w:hAnsi="Times New Roman"/>
        </w:rPr>
        <w:t>环境影响评价的工作过程</w:t>
      </w:r>
      <w:bookmarkEnd w:id="12"/>
    </w:p>
    <w:p>
      <w:pPr>
        <w:adjustRightInd w:val="0"/>
        <w:snapToGrid w:val="0"/>
        <w:spacing w:line="360" w:lineRule="auto"/>
        <w:ind w:firstLine="480" w:firstLineChars="200"/>
        <w:rPr>
          <w:sz w:val="24"/>
          <w:szCs w:val="21"/>
        </w:rPr>
      </w:pPr>
      <w:r>
        <w:rPr>
          <w:sz w:val="24"/>
          <w:szCs w:val="21"/>
        </w:rPr>
        <w:t>按照《中华人民共和国环境保护法》、《建设项目环境保护管理条例》等有关 法律、法规，建设过程中或建成投产后可能对环境产生影响的新建、扩建、改建、迁建、技术改造项目及区域开发建设项目，必须进行环境影响评价。</w:t>
      </w:r>
    </w:p>
    <w:p>
      <w:pPr>
        <w:adjustRightInd w:val="0"/>
        <w:snapToGrid w:val="0"/>
        <w:spacing w:line="360" w:lineRule="auto"/>
        <w:ind w:firstLine="480" w:firstLineChars="200"/>
        <w:rPr>
          <w:sz w:val="24"/>
          <w:szCs w:val="21"/>
        </w:rPr>
      </w:pPr>
      <w:r>
        <w:rPr>
          <w:sz w:val="24"/>
          <w:szCs w:val="21"/>
        </w:rPr>
        <w:t>根据《建设项目环境影响评价分类管理名录（2021 年版）》及《国家危险废物名录（2021 年版）》， “生活垃圾焚烧飞灰满足《生活垃圾填埋场污染控制标准》（GB16889-2008）中 6.3 条要求，进入生活垃圾填埋场填埋时，填埋过程不按照危险废物管理”。因此项目属于分类管理名录（2021 年版）“四十八、公共设施管理业—106 生活垃圾（含餐厨废弃物）集中处置（生活垃圾发电除外）—采取填埋方式的”，应编制环境影响报告书。为此，围场满族蒙古族自治县塞罕坝综合执法大队委托</w:t>
      </w:r>
      <w:r>
        <w:rPr>
          <w:rFonts w:hint="eastAsia"/>
          <w:sz w:val="24"/>
          <w:szCs w:val="21"/>
        </w:rPr>
        <w:t>北京神州瑞霖环境技术研究院有限公司</w:t>
      </w:r>
      <w:r>
        <w:rPr>
          <w:sz w:val="24"/>
          <w:szCs w:val="21"/>
        </w:rPr>
        <w:t>承担本项目的环境影响评价工作。</w:t>
      </w:r>
    </w:p>
    <w:p>
      <w:pPr>
        <w:autoSpaceDE w:val="0"/>
        <w:autoSpaceDN w:val="0"/>
        <w:adjustRightInd w:val="0"/>
        <w:snapToGrid w:val="0"/>
        <w:spacing w:line="360" w:lineRule="auto"/>
        <w:ind w:firstLine="480" w:firstLineChars="200"/>
        <w:rPr>
          <w:sz w:val="24"/>
        </w:rPr>
      </w:pPr>
      <w:r>
        <w:rPr>
          <w:sz w:val="24"/>
        </w:rPr>
        <w:t>评价单位接收委托后，组织相关人员踏勘现场，收集有关资料，对工程进行初步分析，根据项目性质、规模和周围区域环境特征，组织开展了全面的环境质量现状调查和监测工作，并依据环境影响评价技术导则的要求，编制了《围场满族蒙古族自治县静脉产业园飞灰填埋场项目环境影响报告书》。</w:t>
      </w:r>
    </w:p>
    <w:p>
      <w:pPr>
        <w:autoSpaceDE w:val="0"/>
        <w:autoSpaceDN w:val="0"/>
        <w:adjustRightInd w:val="0"/>
        <w:snapToGrid w:val="0"/>
        <w:spacing w:line="360" w:lineRule="auto"/>
        <w:ind w:firstLine="480" w:firstLineChars="200"/>
        <w:rPr>
          <w:sz w:val="24"/>
        </w:rPr>
      </w:pPr>
      <w:r>
        <w:rPr>
          <w:sz w:val="24"/>
        </w:rPr>
        <w:t>建设单位</w:t>
      </w:r>
      <w:r>
        <w:rPr>
          <w:sz w:val="24"/>
          <w:lang w:val="en"/>
        </w:rPr>
        <w:t>根据</w:t>
      </w:r>
      <w:bookmarkStart w:id="13" w:name="_Hlk6828168"/>
      <w:r>
        <w:rPr>
          <w:sz w:val="24"/>
          <w:lang w:val="en"/>
        </w:rPr>
        <w:t>生态环境部令第4号《环境影响评价公众参与办法》、生态环境部公告2018年第48号《关于发布〈环境影响评价公众参与办法〉配套文件的公告》要求</w:t>
      </w:r>
      <w:bookmarkEnd w:id="13"/>
      <w:r>
        <w:rPr>
          <w:sz w:val="24"/>
          <w:lang w:val="en"/>
        </w:rPr>
        <w:t>，</w:t>
      </w:r>
      <w:r>
        <w:rPr>
          <w:sz w:val="24"/>
        </w:rPr>
        <w:t>采取网站公示、现场张贴、刊登报纸等形式开展公众调查，各项程序符合规定要求。调查结果表明，本项目建设得到了工程影响范围内及关注本项目建设的大多数公众的关注与支持，公众对项目的总体看法持支持的态度。两次信息公示期内未收到反映该项目建设的来电、来函。</w:t>
      </w:r>
    </w:p>
    <w:p>
      <w:pPr>
        <w:adjustRightInd w:val="0"/>
        <w:snapToGrid w:val="0"/>
        <w:spacing w:line="360" w:lineRule="auto"/>
        <w:ind w:firstLine="480" w:firstLineChars="200"/>
        <w:rPr>
          <w:sz w:val="24"/>
          <w:szCs w:val="28"/>
        </w:rPr>
      </w:pPr>
      <w:r>
        <w:rPr>
          <w:sz w:val="24"/>
          <w:szCs w:val="28"/>
        </w:rPr>
        <w:t>环境影响评价工作一般分三个阶段，即前期准备、调研和工作方案阶段，分析论证和预测评价阶段，环境影响评价文件编制阶段，具体工作流程图见图1。</w:t>
      </w:r>
    </w:p>
    <w:p>
      <w:pPr>
        <w:autoSpaceDE w:val="0"/>
        <w:autoSpaceDN w:val="0"/>
        <w:adjustRightInd w:val="0"/>
        <w:spacing w:line="360" w:lineRule="auto"/>
        <w:rPr>
          <w:sz w:val="24"/>
        </w:rPr>
      </w:pPr>
      <w:r>
        <w:drawing>
          <wp:inline distT="0" distB="0" distL="0" distR="0">
            <wp:extent cx="5276215" cy="4705350"/>
            <wp:effectExtent l="0" t="0" r="635" b="0"/>
            <wp:docPr id="1440" name="图片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图片 14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73040" cy="4702340"/>
                    </a:xfrm>
                    <a:prstGeom prst="rect">
                      <a:avLst/>
                    </a:prstGeom>
                    <a:noFill/>
                    <a:ln>
                      <a:noFill/>
                    </a:ln>
                  </pic:spPr>
                </pic:pic>
              </a:graphicData>
            </a:graphic>
          </wp:inline>
        </w:drawing>
      </w:r>
    </w:p>
    <w:p>
      <w:pPr>
        <w:autoSpaceDE w:val="0"/>
        <w:autoSpaceDN w:val="0"/>
        <w:adjustRightInd w:val="0"/>
        <w:spacing w:line="360" w:lineRule="auto"/>
        <w:jc w:val="center"/>
        <w:rPr>
          <w:sz w:val="24"/>
        </w:rPr>
      </w:pPr>
      <w:r>
        <w:rPr>
          <w:b/>
          <w:bCs/>
          <w:sz w:val="24"/>
        </w:rPr>
        <w:t>图1 评价工作程序图</w:t>
      </w:r>
    </w:p>
    <w:p>
      <w:pPr>
        <w:pStyle w:val="61"/>
        <w:numPr>
          <w:ilvl w:val="1"/>
          <w:numId w:val="5"/>
        </w:numPr>
        <w:tabs>
          <w:tab w:val="left" w:pos="567"/>
          <w:tab w:val="clear" w:pos="432"/>
        </w:tabs>
        <w:spacing w:before="156" w:after="156"/>
        <w:ind w:left="0" w:firstLine="0"/>
        <w:rPr>
          <w:rFonts w:ascii="Times New Roman" w:hAnsi="Times New Roman"/>
        </w:rPr>
      </w:pPr>
      <w:bookmarkStart w:id="14" w:name="_Toc94101191"/>
      <w:r>
        <w:rPr>
          <w:rFonts w:ascii="Times New Roman" w:hAnsi="Times New Roman"/>
        </w:rPr>
        <w:t>分析判定相关情况</w:t>
      </w:r>
      <w:bookmarkEnd w:id="14"/>
    </w:p>
    <w:p>
      <w:pPr>
        <w:adjustRightInd w:val="0"/>
        <w:snapToGrid w:val="0"/>
        <w:spacing w:line="360" w:lineRule="auto"/>
        <w:ind w:firstLine="482" w:firstLineChars="200"/>
        <w:rPr>
          <w:b/>
          <w:sz w:val="24"/>
          <w:szCs w:val="28"/>
        </w:rPr>
      </w:pPr>
      <w:r>
        <w:rPr>
          <w:rFonts w:hint="eastAsia"/>
          <w:b/>
          <w:sz w:val="24"/>
          <w:szCs w:val="28"/>
        </w:rPr>
        <w:t>1、政策符合性</w:t>
      </w:r>
    </w:p>
    <w:p>
      <w:pPr>
        <w:adjustRightInd w:val="0"/>
        <w:snapToGrid w:val="0"/>
        <w:spacing w:line="360" w:lineRule="auto"/>
        <w:ind w:firstLine="480" w:firstLineChars="200"/>
        <w:rPr>
          <w:sz w:val="24"/>
          <w:szCs w:val="28"/>
        </w:rPr>
      </w:pPr>
      <w:r>
        <w:rPr>
          <w:sz w:val="24"/>
          <w:szCs w:val="28"/>
        </w:rPr>
        <w:t>根据《产业结构调整指导目录（2019年本）》，本项目</w:t>
      </w:r>
      <w:r>
        <w:rPr>
          <w:rFonts w:hint="eastAsia"/>
          <w:sz w:val="24"/>
          <w:szCs w:val="28"/>
        </w:rPr>
        <w:t>为固化稳定化飞灰无害化处理工程，属于名录中第四十三“环境保护与资源节约综合利用”中 20“城镇垃圾、农村生活垃圾、农村生活污水、污泥及其他固体废弃物减量化、资源化、无害化处理和综合利用工程”项目，属于鼓励类项目。</w:t>
      </w:r>
      <w:r>
        <w:rPr>
          <w:sz w:val="24"/>
          <w:szCs w:val="28"/>
        </w:rPr>
        <w:t>不属于《河北省限制类和淘汰类产业目录（2015年版）》中限制类和淘汰类项目。</w:t>
      </w:r>
      <w:r>
        <w:rPr>
          <w:rFonts w:hint="eastAsia"/>
          <w:sz w:val="24"/>
          <w:szCs w:val="28"/>
        </w:rPr>
        <w:t>因此本项目符合国家及地方产业政策要求。</w:t>
      </w:r>
    </w:p>
    <w:p>
      <w:pPr>
        <w:adjustRightInd w:val="0"/>
        <w:snapToGrid w:val="0"/>
        <w:spacing w:line="360" w:lineRule="auto"/>
        <w:ind w:firstLine="482" w:firstLineChars="200"/>
        <w:rPr>
          <w:b/>
          <w:sz w:val="24"/>
          <w:szCs w:val="28"/>
        </w:rPr>
      </w:pPr>
      <w:r>
        <w:rPr>
          <w:rFonts w:hint="eastAsia"/>
          <w:b/>
          <w:sz w:val="24"/>
          <w:szCs w:val="28"/>
        </w:rPr>
        <w:t>2、“三线一单”符合性分析</w:t>
      </w:r>
    </w:p>
    <w:p>
      <w:pPr>
        <w:adjustRightInd w:val="0"/>
        <w:snapToGrid w:val="0"/>
        <w:spacing w:line="360" w:lineRule="auto"/>
        <w:ind w:firstLine="480" w:firstLineChars="200"/>
        <w:rPr>
          <w:sz w:val="24"/>
          <w:szCs w:val="28"/>
        </w:rPr>
      </w:pPr>
      <w:r>
        <w:rPr>
          <w:sz w:val="24"/>
          <w:szCs w:val="28"/>
        </w:rPr>
        <w:t>根据《关于以改善环境质量为核心加强环境影响评价管理的通知》（环办环评[2016]150号）等文件，要求以生态保护红线、环境质量底线、资源利用上线和环境准入负面清单为手段，强化空间、总量和环境准入管理。</w:t>
      </w:r>
    </w:p>
    <w:p>
      <w:pPr>
        <w:adjustRightInd w:val="0"/>
        <w:snapToGrid w:val="0"/>
        <w:spacing w:line="360" w:lineRule="auto"/>
        <w:ind w:firstLine="480" w:firstLineChars="200"/>
        <w:rPr>
          <w:sz w:val="24"/>
          <w:szCs w:val="28"/>
        </w:rPr>
      </w:pPr>
      <w:r>
        <w:rPr>
          <w:sz w:val="24"/>
          <w:szCs w:val="28"/>
        </w:rPr>
        <w:t>本项目选址位于</w:t>
      </w:r>
      <w:r>
        <w:rPr>
          <w:rFonts w:hint="eastAsia"/>
          <w:sz w:val="24"/>
          <w:szCs w:val="28"/>
        </w:rPr>
        <w:t>河北省承德市围场满族蒙古族自治县龙头山镇龙头山村烟囱水大沟，属于围场县城乡总体规划中划定的非城市规划区。</w:t>
      </w:r>
    </w:p>
    <w:p>
      <w:pPr>
        <w:adjustRightInd w:val="0"/>
        <w:snapToGrid w:val="0"/>
        <w:spacing w:line="360" w:lineRule="auto"/>
        <w:ind w:firstLine="480" w:firstLineChars="200"/>
        <w:rPr>
          <w:sz w:val="24"/>
          <w:szCs w:val="28"/>
        </w:rPr>
      </w:pPr>
      <w:r>
        <w:rPr>
          <w:rFonts w:hint="eastAsia"/>
          <w:sz w:val="24"/>
          <w:szCs w:val="28"/>
        </w:rPr>
        <w:t>（</w:t>
      </w:r>
      <w:r>
        <w:rPr>
          <w:sz w:val="24"/>
          <w:szCs w:val="28"/>
        </w:rPr>
        <w:t>1）生态保护红线</w:t>
      </w:r>
    </w:p>
    <w:p>
      <w:pPr>
        <w:adjustRightInd w:val="0"/>
        <w:snapToGrid w:val="0"/>
        <w:spacing w:line="360" w:lineRule="auto"/>
        <w:ind w:firstLine="480" w:firstLineChars="200"/>
        <w:rPr>
          <w:sz w:val="24"/>
          <w:szCs w:val="28"/>
        </w:rPr>
      </w:pPr>
      <w:r>
        <w:rPr>
          <w:sz w:val="24"/>
          <w:szCs w:val="28"/>
        </w:rPr>
        <w:t>根据承德市生态保护红线</w:t>
      </w:r>
      <w:r>
        <w:rPr>
          <w:rFonts w:hint="eastAsia"/>
          <w:sz w:val="24"/>
          <w:szCs w:val="28"/>
        </w:rPr>
        <w:t>图，本项目选址用地不在生态保护</w:t>
      </w:r>
      <w:r>
        <w:rPr>
          <w:sz w:val="24"/>
          <w:szCs w:val="28"/>
        </w:rPr>
        <w:t>红线</w:t>
      </w:r>
      <w:r>
        <w:rPr>
          <w:rFonts w:hint="eastAsia"/>
          <w:sz w:val="24"/>
          <w:szCs w:val="28"/>
        </w:rPr>
        <w:t>区域范围内，项目选址不涉及自然保护区、风景名胜区和珍稀濒危野生动植物等环境敏感区，不在文物保护单位保护范围和建设控制地带内。本项目距离最近滦河上游自然保护区边界直线距离约1</w:t>
      </w:r>
      <w:r>
        <w:rPr>
          <w:sz w:val="24"/>
          <w:szCs w:val="28"/>
        </w:rPr>
        <w:t>.9</w:t>
      </w:r>
      <w:r>
        <w:rPr>
          <w:rFonts w:hint="eastAsia"/>
          <w:sz w:val="24"/>
          <w:szCs w:val="28"/>
        </w:rPr>
        <w:t>km，距离红线区中伊逊河直线距离约1</w:t>
      </w:r>
      <w:r>
        <w:rPr>
          <w:sz w:val="24"/>
          <w:szCs w:val="28"/>
        </w:rPr>
        <w:t>.55</w:t>
      </w:r>
      <w:r>
        <w:rPr>
          <w:rFonts w:hint="eastAsia"/>
          <w:sz w:val="24"/>
          <w:szCs w:val="28"/>
        </w:rPr>
        <w:t>km。本项目与自然保护区、红线区具体相对位置见图1</w:t>
      </w:r>
      <w:r>
        <w:rPr>
          <w:sz w:val="24"/>
          <w:szCs w:val="28"/>
        </w:rPr>
        <w:t>-1</w:t>
      </w:r>
      <w:r>
        <w:rPr>
          <w:rFonts w:hint="eastAsia"/>
          <w:sz w:val="24"/>
          <w:szCs w:val="28"/>
        </w:rPr>
        <w:t>和图1</w:t>
      </w:r>
      <w:r>
        <w:rPr>
          <w:sz w:val="24"/>
          <w:szCs w:val="28"/>
        </w:rPr>
        <w:t>-2</w:t>
      </w:r>
      <w:r>
        <w:rPr>
          <w:rFonts w:hint="eastAsia"/>
          <w:sz w:val="24"/>
          <w:szCs w:val="28"/>
        </w:rPr>
        <w:t>。</w:t>
      </w:r>
    </w:p>
    <w:p>
      <w:pPr>
        <w:adjustRightInd w:val="0"/>
        <w:snapToGrid w:val="0"/>
        <w:spacing w:line="360" w:lineRule="auto"/>
        <w:ind w:firstLine="480" w:firstLineChars="200"/>
        <w:rPr>
          <w:sz w:val="24"/>
          <w:szCs w:val="28"/>
        </w:rPr>
      </w:pPr>
      <w:r>
        <w:rPr>
          <w:rFonts w:hint="eastAsia"/>
          <w:sz w:val="24"/>
          <w:szCs w:val="28"/>
        </w:rPr>
        <w:t>（</w:t>
      </w:r>
      <w:r>
        <w:rPr>
          <w:sz w:val="24"/>
          <w:szCs w:val="28"/>
        </w:rPr>
        <w:t>2）环境质量底线</w:t>
      </w:r>
    </w:p>
    <w:p>
      <w:pPr>
        <w:adjustRightInd w:val="0"/>
        <w:snapToGrid w:val="0"/>
        <w:spacing w:line="360" w:lineRule="auto"/>
        <w:ind w:firstLine="480" w:firstLineChars="200"/>
        <w:jc w:val="left"/>
        <w:rPr>
          <w:sz w:val="24"/>
          <w:szCs w:val="28"/>
        </w:rPr>
      </w:pPr>
      <w:r>
        <w:rPr>
          <w:rFonts w:hint="eastAsia"/>
          <w:sz w:val="24"/>
          <w:szCs w:val="28"/>
        </w:rPr>
        <w:t>项目所在区域大气环境质量满足《环境空气质量标准》（G</w:t>
      </w:r>
      <w:r>
        <w:rPr>
          <w:sz w:val="24"/>
          <w:szCs w:val="28"/>
        </w:rPr>
        <w:t>B3095-2012</w:t>
      </w:r>
      <w:r>
        <w:rPr>
          <w:rFonts w:hint="eastAsia"/>
          <w:sz w:val="24"/>
          <w:szCs w:val="28"/>
        </w:rPr>
        <w:t>）中的二级浓度限值。土壤环境质量满足</w:t>
      </w:r>
      <w:r>
        <w:rPr>
          <w:bCs/>
          <w:sz w:val="24"/>
          <w:szCs w:val="28"/>
        </w:rPr>
        <w:t>《</w:t>
      </w:r>
      <w:r>
        <w:rPr>
          <w:rFonts w:hint="eastAsia"/>
          <w:bCs/>
          <w:sz w:val="24"/>
          <w:szCs w:val="28"/>
        </w:rPr>
        <w:t>河北省建设用地土壤污染风险筛选值</w:t>
      </w:r>
      <w:r>
        <w:rPr>
          <w:bCs/>
          <w:sz w:val="24"/>
          <w:szCs w:val="28"/>
        </w:rPr>
        <w:t>》（</w:t>
      </w:r>
      <w:r>
        <w:rPr>
          <w:rFonts w:hint="eastAsia"/>
          <w:bCs/>
          <w:sz w:val="24"/>
          <w:szCs w:val="28"/>
        </w:rPr>
        <w:t>DB</w:t>
      </w:r>
      <w:r>
        <w:rPr>
          <w:bCs/>
          <w:sz w:val="24"/>
          <w:szCs w:val="28"/>
        </w:rPr>
        <w:t>13/</w:t>
      </w:r>
      <w:r>
        <w:rPr>
          <w:rFonts w:hint="eastAsia"/>
          <w:bCs/>
          <w:sz w:val="24"/>
          <w:szCs w:val="28"/>
        </w:rPr>
        <w:t>T</w:t>
      </w:r>
      <w:r>
        <w:rPr>
          <w:bCs/>
          <w:sz w:val="24"/>
          <w:szCs w:val="28"/>
        </w:rPr>
        <w:t>5216-2020）标准</w:t>
      </w:r>
      <w:r>
        <w:rPr>
          <w:rFonts w:hint="eastAsia"/>
          <w:bCs/>
          <w:sz w:val="24"/>
          <w:szCs w:val="28"/>
        </w:rPr>
        <w:t>和</w:t>
      </w:r>
      <w:r>
        <w:rPr>
          <w:rFonts w:hint="eastAsia"/>
          <w:sz w:val="24"/>
          <w:szCs w:val="28"/>
        </w:rPr>
        <w:t>《土壤环境质量农用地土壤污染风险管控标准》（试行）（GB15618-2018）标准要求</w:t>
      </w:r>
      <w:r>
        <w:rPr>
          <w:sz w:val="24"/>
          <w:szCs w:val="28"/>
        </w:rPr>
        <w:t>。</w:t>
      </w:r>
    </w:p>
    <w:p>
      <w:pPr>
        <w:adjustRightInd w:val="0"/>
        <w:snapToGrid w:val="0"/>
        <w:spacing w:line="360" w:lineRule="auto"/>
        <w:jc w:val="left"/>
        <w:rPr>
          <w:sz w:val="24"/>
          <w:szCs w:val="28"/>
        </w:rPr>
      </w:pPr>
      <w:r>
        <w:rPr>
          <w:sz w:val="24"/>
          <w:szCs w:val="28"/>
        </w:rPr>
        <mc:AlternateContent>
          <mc:Choice Requires="wps">
            <w:drawing>
              <wp:anchor distT="0" distB="0" distL="114300" distR="114300" simplePos="0" relativeHeight="251715584" behindDoc="0" locked="0" layoutInCell="1" allowOverlap="1">
                <wp:simplePos x="0" y="0"/>
                <wp:positionH relativeFrom="column">
                  <wp:posOffset>2400300</wp:posOffset>
                </wp:positionH>
                <wp:positionV relativeFrom="paragraph">
                  <wp:posOffset>1106805</wp:posOffset>
                </wp:positionV>
                <wp:extent cx="717550" cy="393700"/>
                <wp:effectExtent l="0" t="0" r="0" b="0"/>
                <wp:wrapNone/>
                <wp:docPr id="69" name="对话气泡: 圆角矩形 69"/>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34896"/>
                            <a:gd name="adj2" fmla="val -16741"/>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22km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69" o:spid="_x0000_s1026" o:spt="62" type="#_x0000_t62" style="position:absolute;left:0pt;margin-left:189pt;margin-top:87.15pt;height:31pt;width:56.5pt;z-index:251715584;v-text-anchor:middle;mso-width-relative:page;mso-height-relative:page;" filled="f" stroked="f" coordsize="21600,21600" o:gfxdata="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5SBgvdsAAAALAQAADwAAAAAAAAABACAAAAAiAAAA&#10;ZHJzL2Rvd25yZXYueG1sUEsBAhQAFAAAAAgAh07iQM/XJ2qvAgAAMwUAAA4AAAAAAAAAAQAgAAAA&#10;KgEAAGRycy9lMm9Eb2MueG1sUEsFBgAAAAAGAAYAWQEAAEsGAAAAAA==&#10;" adj="3262,7184,14400">
                <v:fill on="f" focussize="0,0"/>
                <v:stroke on="f" weight="2pt"/>
                <v:imagedata o:title=""/>
                <o:lock v:ext="edit" aspectratio="f"/>
                <v:textbox>
                  <w:txbxContent>
                    <w:p>
                      <w:pPr>
                        <w:jc w:val="center"/>
                        <w:rPr>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pPr>
                      <w:r>
                        <w:rPr>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rPr>
                        <w:t>22km</w:t>
                      </w:r>
                    </w:p>
                  </w:txbxContent>
                </v:textbox>
              </v:shape>
            </w:pict>
          </mc:Fallback>
        </mc:AlternateContent>
      </w:r>
      <w:r>
        <w:rPr>
          <w:sz w:val="24"/>
          <w:szCs w:val="28"/>
        </w:rPr>
        <mc:AlternateContent>
          <mc:Choice Requires="wps">
            <w:drawing>
              <wp:anchor distT="0" distB="0" distL="114300" distR="114300" simplePos="0" relativeHeight="251713536" behindDoc="0" locked="0" layoutInCell="1" allowOverlap="1">
                <wp:simplePos x="0" y="0"/>
                <wp:positionH relativeFrom="column">
                  <wp:posOffset>3942080</wp:posOffset>
                </wp:positionH>
                <wp:positionV relativeFrom="paragraph">
                  <wp:posOffset>981710</wp:posOffset>
                </wp:positionV>
                <wp:extent cx="717550" cy="393700"/>
                <wp:effectExtent l="933450" t="0" r="25400" b="25400"/>
                <wp:wrapNone/>
                <wp:docPr id="1422" name="对话气泡: 圆角矩形 1422"/>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177803"/>
                            <a:gd name="adj2" fmla="val 460"/>
                            <a:gd name="adj3" fmla="val 16667"/>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14:shadow w14:blurRad="38100" w14:dist="19050" w14:dir="2700000" w14:sx="100000" w14:sy="100000" w14:kx="0" w14:ky="0" w14:algn="tl">
                                  <w14:schemeClr w14:val="dk1">
                                    <w14:alpha w14:val="60000"/>
                                  </w14:schemeClr>
                                </w14:shadow>
                              </w:rPr>
                            </w:pPr>
                            <w:r>
                              <w:rPr>
                                <w:rFonts w:hint="eastAsia"/>
                                <w:color w:val="FF0000"/>
                                <w14:shadow w14:blurRad="38100" w14:dist="19050" w14:dir="2700000" w14:sx="100000" w14:sy="100000" w14:kx="0" w14:ky="0" w14:algn="tl">
                                  <w14:schemeClr w14:val="dk1">
                                    <w14:alpha w14:val="60000"/>
                                  </w14:schemeClr>
                                </w14:shadow>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22" o:spid="_x0000_s1026" o:spt="62" type="#_x0000_t62" style="position:absolute;left:0pt;margin-left:310.4pt;margin-top:77.3pt;height:31pt;width:56.5pt;z-index:251713536;v-text-anchor:middle;mso-width-relative:page;mso-height-relative:page;" filled="f" stroked="t" coordsize="21600,21600" o:gfxdata="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JetfxtkAAAAL&#10;AQAADwAAAAAAAAABACAAAAAiAAAAZHJzL2Rvd25yZXYueG1sUEsBAhQAFAAAAAgAh07iQFhyDSfG&#10;AgAAXgUAAA4AAAAAAAAAAQAgAAAAKAEAAGRycy9lMm9Eb2MueG1sUEsFBgAAAAAGAAYAWQEAAGAG&#10;AAAAAA==&#10;" adj="-27605,10899,14400">
                <v:fill on="f" focussize="0,0"/>
                <v:stroke weight="2pt" color="#00B050 [3204]" joinstyle="round"/>
                <v:imagedata o:title=""/>
                <o:lock v:ext="edit" aspectratio="f"/>
                <v:textbox>
                  <w:txbxContent>
                    <w:p>
                      <w:pPr>
                        <w:jc w:val="center"/>
                        <w:rPr>
                          <w:color w:val="FF0000"/>
                          <w14:shadow w14:blurRad="38100" w14:dist="19050" w14:dir="2700000" w14:sx="100000" w14:sy="100000" w14:kx="0" w14:ky="0" w14:algn="tl">
                            <w14:schemeClr w14:val="dk1">
                              <w14:alpha w14:val="60000"/>
                            </w14:schemeClr>
                          </w14:shadow>
                        </w:rPr>
                      </w:pPr>
                      <w:r>
                        <w:rPr>
                          <w:rFonts w:hint="eastAsia"/>
                          <w:color w:val="FF0000"/>
                          <w14:shadow w14:blurRad="38100" w14:dist="19050" w14:dir="2700000" w14:sx="100000" w14:sy="100000" w14:kx="0" w14:ky="0" w14:algn="tl">
                            <w14:schemeClr w14:val="dk1">
                              <w14:alpha w14:val="60000"/>
                            </w14:schemeClr>
                          </w14:shadow>
                        </w:rPr>
                        <w:t>本项目</w:t>
                      </w:r>
                    </w:p>
                  </w:txbxContent>
                </v:textbox>
              </v:shape>
            </w:pict>
          </mc:Fallback>
        </mc:AlternateContent>
      </w:r>
      <w:r>
        <w:rPr>
          <w:sz w:val="24"/>
          <w:szCs w:val="28"/>
        </w:rPr>
        <mc:AlternateContent>
          <mc:Choice Requires="wps">
            <w:drawing>
              <wp:anchor distT="0" distB="0" distL="114300" distR="114300" simplePos="0" relativeHeight="251710464" behindDoc="0" locked="0" layoutInCell="1" allowOverlap="1">
                <wp:simplePos x="0" y="0"/>
                <wp:positionH relativeFrom="column">
                  <wp:posOffset>2918460</wp:posOffset>
                </wp:positionH>
                <wp:positionV relativeFrom="paragraph">
                  <wp:posOffset>1135380</wp:posOffset>
                </wp:positionV>
                <wp:extent cx="69850" cy="63500"/>
                <wp:effectExtent l="0" t="0" r="25400" b="12700"/>
                <wp:wrapNone/>
                <wp:docPr id="1419" name="矩形 1419"/>
                <wp:cNvGraphicFramePr/>
                <a:graphic xmlns:a="http://schemas.openxmlformats.org/drawingml/2006/main">
                  <a:graphicData uri="http://schemas.microsoft.com/office/word/2010/wordprocessingShape">
                    <wps:wsp>
                      <wps:cNvSpPr/>
                      <wps:spPr>
                        <a:xfrm>
                          <a:off x="0" y="0"/>
                          <a:ext cx="69850" cy="635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8pt;margin-top:89.4pt;height:5pt;width:5.5pt;z-index:251710464;v-text-anchor:middle;mso-width-relative:page;mso-height-relative:page;" fillcolor="#00B0F0" filled="t" stroked="t" coordsize="21600,21600" o:gfxdata="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D75CfZAAAACwEAAA8AAAAAAAAAAQAgAAAAIgAAAGRycy9kb3ducmV2LnhtbFBLAQIUABQA&#10;AAAIAIdO4kDg9F+5YQIAAOAEAAAOAAAAAAAAAAEAIAAAACgBAABkcnMvZTJvRG9jLnhtbFBLBQYA&#10;AAAABgAGAFkBAAD7BQAAAAA=&#10;">
                <v:fill on="t" focussize="0,0"/>
                <v:stroke weight="2pt" color="#00B0F0 [3204]" joinstyle="round"/>
                <v:imagedata o:title=""/>
                <o:lock v:ext="edit" aspectratio="f"/>
              </v:rect>
            </w:pict>
          </mc:Fallback>
        </mc:AlternateContent>
      </w:r>
      <w:r>
        <w:rPr>
          <w:sz w:val="24"/>
          <w:szCs w:val="28"/>
        </w:rPr>
        <mc:AlternateContent>
          <mc:Choice Requires="wps">
            <w:drawing>
              <wp:anchor distT="0" distB="0" distL="114300" distR="114300" simplePos="0" relativeHeight="251714560" behindDoc="0" locked="0" layoutInCell="1" allowOverlap="1">
                <wp:simplePos x="0" y="0"/>
                <wp:positionH relativeFrom="column">
                  <wp:posOffset>2494915</wp:posOffset>
                </wp:positionH>
                <wp:positionV relativeFrom="paragraph">
                  <wp:posOffset>1174750</wp:posOffset>
                </wp:positionV>
                <wp:extent cx="422910" cy="53975"/>
                <wp:effectExtent l="38100" t="76200" r="0" b="98425"/>
                <wp:wrapNone/>
                <wp:docPr id="68" name="直接箭头连接符 68"/>
                <wp:cNvGraphicFramePr/>
                <a:graphic xmlns:a="http://schemas.openxmlformats.org/drawingml/2006/main">
                  <a:graphicData uri="http://schemas.microsoft.com/office/word/2010/wordprocessingShape">
                    <wps:wsp>
                      <wps:cNvCnPr/>
                      <wps:spPr>
                        <a:xfrm flipH="1">
                          <a:off x="0" y="0"/>
                          <a:ext cx="422910" cy="53975"/>
                        </a:xfrm>
                        <a:prstGeom prst="straightConnector1">
                          <a:avLst/>
                        </a:prstGeom>
                        <a:ln w="381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96.45pt;margin-top:92.5pt;height:4.25pt;width:33.3pt;z-index:251714560;mso-width-relative:page;mso-height-relative:page;" filled="f" stroked="t" coordsize="21600,21600" o:gfxdata="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d+XS72QAAAAsBAAAPAAAAAAAAAAEA&#10;IAAAACIAAABkcnMvZG93bnJldi54bWxQSwECFAAUAAAACACHTuJAEOrnIg4CAAD2AwAADgAAAAAA&#10;AAABACAAAAAoAQAAZHJzL2Uyb0RvYy54bWxQSwUGAAAAAAYABgBZAQAAqAUAAAAA&#10;">
                <v:fill on="f" focussize="0,0"/>
                <v:stroke weight="3pt" color="#000000 [3213]" joinstyle="round" startarrow="block" endarrow="block"/>
                <v:imagedata o:title=""/>
                <o:lock v:ext="edit" aspectratio="f"/>
              </v:shape>
            </w:pict>
          </mc:Fallback>
        </mc:AlternateContent>
      </w:r>
      <w:r>
        <w:rPr>
          <w:sz w:val="24"/>
          <w:szCs w:val="28"/>
        </w:rPr>
        <w:drawing>
          <wp:inline distT="0" distB="0" distL="0" distR="0">
            <wp:extent cx="5274310" cy="4629785"/>
            <wp:effectExtent l="0" t="0" r="2540" b="0"/>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图片 14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4310" cy="4629785"/>
                    </a:xfrm>
                    <a:prstGeom prst="rect">
                      <a:avLst/>
                    </a:prstGeom>
                    <a:noFill/>
                    <a:ln>
                      <a:noFill/>
                    </a:ln>
                  </pic:spPr>
                </pic:pic>
              </a:graphicData>
            </a:graphic>
          </wp:inline>
        </w:drawing>
      </w:r>
    </w:p>
    <w:p>
      <w:pPr>
        <w:adjustRightInd w:val="0"/>
        <w:snapToGrid w:val="0"/>
        <w:spacing w:line="360" w:lineRule="auto"/>
        <w:jc w:val="center"/>
        <w:rPr>
          <w:b/>
          <w:bCs/>
          <w:sz w:val="24"/>
          <w:szCs w:val="28"/>
        </w:rPr>
      </w:pPr>
      <w:r>
        <w:rPr>
          <w:rFonts w:hint="eastAsia"/>
          <w:b/>
          <w:bCs/>
          <w:sz w:val="24"/>
          <w:szCs w:val="28"/>
        </w:rPr>
        <w:t>图</w:t>
      </w:r>
      <w:r>
        <w:rPr>
          <w:b/>
          <w:bCs/>
          <w:sz w:val="24"/>
          <w:szCs w:val="28"/>
        </w:rPr>
        <w:t xml:space="preserve">1-1  </w:t>
      </w:r>
      <w:r>
        <w:rPr>
          <w:rFonts w:hint="eastAsia"/>
          <w:b/>
          <w:bCs/>
          <w:sz w:val="24"/>
          <w:szCs w:val="28"/>
        </w:rPr>
        <w:t>本项目与自然保护区相对位置图</w:t>
      </w:r>
    </w:p>
    <w:p>
      <w:pPr>
        <w:adjustRightInd w:val="0"/>
        <w:snapToGrid w:val="0"/>
        <w:spacing w:line="360" w:lineRule="auto"/>
        <w:rPr>
          <w:sz w:val="24"/>
          <w:szCs w:val="28"/>
        </w:rPr>
      </w:pPr>
      <w:r>
        <w:rPr>
          <w:sz w:val="24"/>
          <w:szCs w:val="28"/>
        </w:rPr>
        <mc:AlternateContent>
          <mc:Choice Requires="wps">
            <w:drawing>
              <wp:anchor distT="0" distB="0" distL="114300" distR="114300" simplePos="0" relativeHeight="251719680" behindDoc="0" locked="0" layoutInCell="1" allowOverlap="1">
                <wp:simplePos x="0" y="0"/>
                <wp:positionH relativeFrom="column">
                  <wp:posOffset>3248025</wp:posOffset>
                </wp:positionH>
                <wp:positionV relativeFrom="paragraph">
                  <wp:posOffset>948055</wp:posOffset>
                </wp:positionV>
                <wp:extent cx="717550" cy="393700"/>
                <wp:effectExtent l="0" t="0" r="0" b="0"/>
                <wp:wrapNone/>
                <wp:docPr id="71" name="对话气泡: 圆角矩形 71"/>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34896"/>
                            <a:gd name="adj2" fmla="val -16741"/>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1.9km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71" o:spid="_x0000_s1026" o:spt="62" type="#_x0000_t62" style="position:absolute;left:0pt;margin-left:255.75pt;margin-top:74.65pt;height:31pt;width:56.5pt;z-index:251719680;v-text-anchor:middle;mso-width-relative:page;mso-height-relative:page;" filled="f" stroked="f" coordsize="21600,21600" o:gfxdata="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mRJqj9sAAAALAQAADwAAAAAAAAABACAAAAAi&#10;AAAAZHJzL2Rvd25yZXYueG1sUEsBAhQAFAAAAAgAh07iQGdcKfeyAgAAMwUAAA4AAAAAAAAAAQAg&#10;AAAAKgEAAGRycy9lMm9Eb2MueG1sUEsFBgAAAAAGAAYAWQEAAE4GAAAAAA==&#10;" adj="3262,7184,14400">
                <v:fill on="f" focussize="0,0"/>
                <v:stroke on="f" weight="2pt"/>
                <v:imagedata o:title=""/>
                <o:lock v:ext="edit" aspectratio="f"/>
                <v:textbox>
                  <w:txbxContent>
                    <w:p>
                      <w:pPr>
                        <w:jc w:val="cente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1.9km</w:t>
                      </w:r>
                    </w:p>
                  </w:txbxContent>
                </v:textbox>
              </v:shape>
            </w:pict>
          </mc:Fallback>
        </mc:AlternateContent>
      </w:r>
      <w:r>
        <w:rPr>
          <w:sz w:val="24"/>
          <w:szCs w:val="28"/>
        </w:rPr>
        <mc:AlternateContent>
          <mc:Choice Requires="wps">
            <w:drawing>
              <wp:anchor distT="0" distB="0" distL="114300" distR="114300" simplePos="0" relativeHeight="251720704" behindDoc="0" locked="0" layoutInCell="1" allowOverlap="1">
                <wp:simplePos x="0" y="0"/>
                <wp:positionH relativeFrom="column">
                  <wp:posOffset>2963545</wp:posOffset>
                </wp:positionH>
                <wp:positionV relativeFrom="paragraph">
                  <wp:posOffset>772795</wp:posOffset>
                </wp:positionV>
                <wp:extent cx="918210" cy="497205"/>
                <wp:effectExtent l="38100" t="38100" r="53975" b="55880"/>
                <wp:wrapNone/>
                <wp:docPr id="72" name="直接箭头连接符 72"/>
                <wp:cNvGraphicFramePr/>
                <a:graphic xmlns:a="http://schemas.openxmlformats.org/drawingml/2006/main">
                  <a:graphicData uri="http://schemas.microsoft.com/office/word/2010/wordprocessingShape">
                    <wps:wsp>
                      <wps:cNvCnPr/>
                      <wps:spPr>
                        <a:xfrm flipH="1">
                          <a:off x="0" y="0"/>
                          <a:ext cx="918075" cy="496921"/>
                        </a:xfrm>
                        <a:prstGeom prst="straightConnector1">
                          <a:avLst/>
                        </a:prstGeom>
                        <a:ln w="381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3.35pt;margin-top:60.85pt;height:39.15pt;width:72.3pt;z-index:251720704;mso-width-relative:page;mso-height-relative:page;" filled="f" stroked="t" coordsize="21600,21600" o:gfxdata="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9kiBk2QAAAAsBAAAPAAAAAAAA&#10;AAEAIAAAACIAAABkcnMvZG93bnJldi54bWxQSwECFAAUAAAACACHTuJAFRLpPxECAAD3AwAADgAA&#10;AAAAAAABACAAAAAoAQAAZHJzL2Uyb0RvYy54bWxQSwUGAAAAAAYABgBZAQAAqwUAAAAA&#10;">
                <v:fill on="f" focussize="0,0"/>
                <v:stroke weight="3pt" color="#FFFF00 [3204]" joinstyle="round" startarrow="block" endarrow="block"/>
                <v:imagedata o:title=""/>
                <o:lock v:ext="edit" aspectratio="f"/>
              </v:shape>
            </w:pict>
          </mc:Fallback>
        </mc:AlternateContent>
      </w:r>
      <w:r>
        <w:rPr>
          <w:sz w:val="24"/>
          <w:szCs w:val="28"/>
        </w:rPr>
        <mc:AlternateContent>
          <mc:Choice Requires="wps">
            <w:drawing>
              <wp:anchor distT="0" distB="0" distL="114300" distR="114300" simplePos="0" relativeHeight="251727872" behindDoc="0" locked="0" layoutInCell="1" allowOverlap="1">
                <wp:simplePos x="0" y="0"/>
                <wp:positionH relativeFrom="column">
                  <wp:posOffset>2531110</wp:posOffset>
                </wp:positionH>
                <wp:positionV relativeFrom="paragraph">
                  <wp:posOffset>1444625</wp:posOffset>
                </wp:positionV>
                <wp:extent cx="717550" cy="393700"/>
                <wp:effectExtent l="0" t="0" r="0" b="0"/>
                <wp:wrapNone/>
                <wp:docPr id="67" name="对话气泡: 圆角矩形 67"/>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34896"/>
                            <a:gd name="adj2" fmla="val -16741"/>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rFonts w:hint="eastAsia"/>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.55km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67" o:spid="_x0000_s1026" o:spt="62" type="#_x0000_t62" style="position:absolute;left:0pt;margin-left:199.3pt;margin-top:113.75pt;height:31pt;width:56.5pt;z-index:251727872;v-text-anchor:middle;mso-width-relative:page;mso-height-relative:page;" filled="f" stroked="f" coordsize="21600,21600" o:gfxdata="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P2QNi3cAAAACwEAAA8AAAAAAAAAAQAgAAAAIgAA&#10;AGRycy9kb3ducmV2LnhtbFBLAQIUABQAAAAIAIdO4kCR5rn5rwIAADMFAAAOAAAAAAAAAAEAIAAA&#10;ACsBAABkcnMvZTJvRG9jLnhtbFBLBQYAAAAABgAGAFkBAABMBgAAAAA=&#10;" adj="3262,7184,14400">
                <v:fill on="f" focussize="0,0"/>
                <v:stroke on="f" weight="2pt"/>
                <v:imagedata o:title=""/>
                <o:lock v:ext="edit" aspectratio="f"/>
                <v:textbox>
                  <w:txbxContent>
                    <w:p>
                      <w:pPr>
                        <w:jc w:val="cente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rFonts w:hint="eastAsia"/>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r>
                        <w:rPr>
                          <w:bCs/>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.55km</w:t>
                      </w:r>
                    </w:p>
                  </w:txbxContent>
                </v:textbox>
              </v:shape>
            </w:pict>
          </mc:Fallback>
        </mc:AlternateContent>
      </w:r>
      <w:r>
        <w:rPr>
          <w:sz w:val="24"/>
          <w:szCs w:val="28"/>
        </w:rPr>
        <mc:AlternateContent>
          <mc:Choice Requires="wps">
            <w:drawing>
              <wp:anchor distT="0" distB="0" distL="114300" distR="114300" simplePos="0" relativeHeight="251725824" behindDoc="0" locked="0" layoutInCell="1" allowOverlap="1">
                <wp:simplePos x="0" y="0"/>
                <wp:positionH relativeFrom="column">
                  <wp:posOffset>2532380</wp:posOffset>
                </wp:positionH>
                <wp:positionV relativeFrom="paragraph">
                  <wp:posOffset>1334135</wp:posOffset>
                </wp:positionV>
                <wp:extent cx="346710" cy="282575"/>
                <wp:effectExtent l="38100" t="38100" r="53340" b="41910"/>
                <wp:wrapNone/>
                <wp:docPr id="66" name="直接箭头连接符 66"/>
                <wp:cNvGraphicFramePr/>
                <a:graphic xmlns:a="http://schemas.openxmlformats.org/drawingml/2006/main">
                  <a:graphicData uri="http://schemas.microsoft.com/office/word/2010/wordprocessingShape">
                    <wps:wsp>
                      <wps:cNvCnPr/>
                      <wps:spPr>
                        <a:xfrm flipH="1">
                          <a:off x="0" y="0"/>
                          <a:ext cx="346858" cy="282534"/>
                        </a:xfrm>
                        <a:prstGeom prst="straightConnector1">
                          <a:avLst/>
                        </a:prstGeom>
                        <a:ln w="381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99.4pt;margin-top:105.05pt;height:22.25pt;width:27.3pt;z-index:251725824;mso-width-relative:page;mso-height-relative:page;" filled="f" stroked="t" coordsize="21600,21600" o:gfxdata="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5969dsAAAALAQAADwAAAAAA&#10;AAABACAAAAAiAAAAZHJzL2Rvd25yZXYueG1sUEsBAhQAFAAAAAgAh07iQNUuOHgQAgAA9wMAAA4A&#10;AAAAAAAAAQAgAAAAKgEAAGRycy9lMm9Eb2MueG1sUEsFBgAAAAAGAAYAWQEAAKwFAAAAAA==&#10;">
                <v:fill on="f" focussize="0,0"/>
                <v:stroke weight="3pt" color="#FFFF00 [3204]" joinstyle="round" startarrow="block" endarrow="block"/>
                <v:imagedata o:title=""/>
                <o:lock v:ext="edit" aspectratio="f"/>
              </v:shape>
            </w:pict>
          </mc:Fallback>
        </mc:AlternateContent>
      </w:r>
      <w:r>
        <w:rPr>
          <w:sz w:val="24"/>
          <w:szCs w:val="28"/>
        </w:rPr>
        <mc:AlternateContent>
          <mc:Choice Requires="wps">
            <w:drawing>
              <wp:anchor distT="0" distB="0" distL="114300" distR="114300" simplePos="0" relativeHeight="251709440" behindDoc="0" locked="0" layoutInCell="1" allowOverlap="1">
                <wp:simplePos x="0" y="0"/>
                <wp:positionH relativeFrom="column">
                  <wp:posOffset>4119245</wp:posOffset>
                </wp:positionH>
                <wp:positionV relativeFrom="paragraph">
                  <wp:posOffset>135255</wp:posOffset>
                </wp:positionV>
                <wp:extent cx="542290" cy="542290"/>
                <wp:effectExtent l="0" t="0" r="0" b="0"/>
                <wp:wrapNone/>
                <wp:docPr id="25" name="对话气泡: 矩形 25"/>
                <wp:cNvGraphicFramePr/>
                <a:graphic xmlns:a="http://schemas.openxmlformats.org/drawingml/2006/main">
                  <a:graphicData uri="http://schemas.microsoft.com/office/word/2010/wordprocessingShape">
                    <wps:wsp>
                      <wps:cNvSpPr/>
                      <wps:spPr>
                        <a:xfrm>
                          <a:off x="0" y="0"/>
                          <a:ext cx="542260" cy="542260"/>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5" o:spid="_x0000_s1026" o:spt="61" type="#_x0000_t61" style="position:absolute;left:0pt;margin-left:324.35pt;margin-top:10.65pt;height:42.7pt;width:42.7pt;z-index:251709440;v-text-anchor:middle;mso-width-relative:page;mso-height-relative:page;" filled="f" stroked="f" coordsize="21600,21600" o:gfxdata="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cZgk52AAAAAoBAAAPAAAAAAAAAAEAIAAAACIAAABkcnMvZG93bnJldi54&#10;bWxQSwECFAAUAAAACACHTuJAHusavGwCAACxBAAADgAAAAAAAAABACAAAAAnAQAAZHJzL2Uyb0Rv&#10;Yy54bWxQSwUGAAAAAAYABgBZAQAABQYAAAAA&#10;" adj="6300,24300">
                <v:fill on="f" focussize="0,0"/>
                <v:stroke on="f" weight="2pt"/>
                <v:imagedata o:title=""/>
                <o:lock v:ext="edit" aspectratio="f"/>
                <v:textbo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v:textbox>
              </v:shape>
            </w:pict>
          </mc:Fallback>
        </mc:AlternateContent>
      </w:r>
      <w:r>
        <w:rPr>
          <w:sz w:val="24"/>
          <w:szCs w:val="28"/>
        </w:rPr>
        <mc:AlternateContent>
          <mc:Choice Requires="wps">
            <w:drawing>
              <wp:anchor distT="0" distB="0" distL="114300" distR="114300" simplePos="0" relativeHeight="251706368" behindDoc="0" locked="0" layoutInCell="1" allowOverlap="1">
                <wp:simplePos x="0" y="0"/>
                <wp:positionH relativeFrom="column">
                  <wp:posOffset>90170</wp:posOffset>
                </wp:positionH>
                <wp:positionV relativeFrom="paragraph">
                  <wp:posOffset>2144395</wp:posOffset>
                </wp:positionV>
                <wp:extent cx="542290" cy="542290"/>
                <wp:effectExtent l="0" t="0" r="0" b="0"/>
                <wp:wrapNone/>
                <wp:docPr id="24" name="对话气泡: 矩形 24"/>
                <wp:cNvGraphicFramePr/>
                <a:graphic xmlns:a="http://schemas.openxmlformats.org/drawingml/2006/main">
                  <a:graphicData uri="http://schemas.microsoft.com/office/word/2010/wordprocessingShape">
                    <wps:wsp>
                      <wps:cNvSpPr/>
                      <wps:spPr>
                        <a:xfrm>
                          <a:off x="0" y="0"/>
                          <a:ext cx="542260" cy="542260"/>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4" o:spid="_x0000_s1026" o:spt="61" type="#_x0000_t61" style="position:absolute;left:0pt;margin-left:7.1pt;margin-top:168.85pt;height:42.7pt;width:42.7pt;z-index:251706368;v-text-anchor:middle;mso-width-relative:page;mso-height-relative:page;" filled="f" stroked="f" coordsize="21600,21600" o:gfxdata="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w3qs/XAAAACQEAAA8AAAAAAAAAAQAgAAAAIgAAAGRycy9kb3ducmV2Lnht&#10;bFBLAQIUABQAAAAIAIdO4kBoNmxjbAIAALEEAAAOAAAAAAAAAAEAIAAAACYBAABkcnMvZTJvRG9j&#10;LnhtbFBLBQYAAAAABgAGAFkBAAAEBgAAAAA=&#10;" adj="6300,24300">
                <v:fill on="f" focussize="0,0"/>
                <v:stroke on="f" weight="2pt"/>
                <v:imagedata o:title=""/>
                <o:lock v:ext="edit" aspectratio="f"/>
                <v:textbo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v:textbox>
              </v:shape>
            </w:pict>
          </mc:Fallback>
        </mc:AlternateContent>
      </w:r>
      <w:r>
        <w:rPr>
          <w:sz w:val="24"/>
          <w:szCs w:val="28"/>
        </w:rPr>
        <mc:AlternateContent>
          <mc:Choice Requires="wps">
            <w:drawing>
              <wp:anchor distT="0" distB="0" distL="114300" distR="114300" simplePos="0" relativeHeight="251721728" behindDoc="0" locked="0" layoutInCell="1" allowOverlap="1">
                <wp:simplePos x="0" y="0"/>
                <wp:positionH relativeFrom="column">
                  <wp:posOffset>2579370</wp:posOffset>
                </wp:positionH>
                <wp:positionV relativeFrom="paragraph">
                  <wp:posOffset>316230</wp:posOffset>
                </wp:positionV>
                <wp:extent cx="717550" cy="393700"/>
                <wp:effectExtent l="0" t="0" r="25400" b="615950"/>
                <wp:wrapNone/>
                <wp:docPr id="1428" name="对话气泡: 圆角矩形 1428"/>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2359"/>
                            <a:gd name="adj2" fmla="val 193279"/>
                            <a:gd name="adj3" fmla="val 16667"/>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pPr>
                            <w:r>
                              <w:rPr>
                                <w:rFonts w:hint="eastAsia"/>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28" o:spid="_x0000_s1026" o:spt="62" type="#_x0000_t62" style="position:absolute;left:0pt;margin-left:203.1pt;margin-top:24.9pt;height:31pt;width:56.5pt;z-index:251721728;v-text-anchor:middle;mso-width-relative:page;mso-height-relative:page;" filled="f" stroked="t" coordsize="21600,21600" o:gfxdata="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AV8ubYAAAACgEAAA8A&#10;AAAAAAAAAQAgAAAAIgAAAGRycy9kb3ducmV2LnhtbFBLAQIUABQAAAAIAIdO4kALmgxbwgIAAF8F&#10;AAAOAAAAAAAAAAEAIAAAACcBAABkcnMvZTJvRG9jLnhtbFBLBQYAAAAABgAGAFkBAABbBgAAAAA=&#10;" adj="10290,52548,14400">
                <v:fill on="f" focussize="0,0"/>
                <v:stroke weight="2pt" color="#FFC000 [3204]" joinstyle="round"/>
                <v:imagedata o:title=""/>
                <o:lock v:ext="edit" aspectratio="f"/>
                <v:textbox>
                  <w:txbxContent>
                    <w:p>
                      <w:pPr>
                        <w:jc w:val="center"/>
                        <w:rPr>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pPr>
                      <w:r>
                        <w:rPr>
                          <w:rFonts w:hint="eastAsia"/>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t>本项目</w:t>
                      </w:r>
                    </w:p>
                  </w:txbxContent>
                </v:textbox>
              </v:shape>
            </w:pict>
          </mc:Fallback>
        </mc:AlternateContent>
      </w:r>
      <w:r>
        <w:rPr>
          <w:sz w:val="24"/>
          <w:szCs w:val="28"/>
        </w:rPr>
        <mc:AlternateContent>
          <mc:Choice Requires="wps">
            <w:drawing>
              <wp:anchor distT="0" distB="0" distL="114300" distR="114300" simplePos="0" relativeHeight="251711488" behindDoc="0" locked="0" layoutInCell="1" allowOverlap="1">
                <wp:simplePos x="0" y="0"/>
                <wp:positionH relativeFrom="column">
                  <wp:posOffset>2874010</wp:posOffset>
                </wp:positionH>
                <wp:positionV relativeFrom="paragraph">
                  <wp:posOffset>1271905</wp:posOffset>
                </wp:positionV>
                <wp:extent cx="69850" cy="63500"/>
                <wp:effectExtent l="0" t="0" r="25400" b="12700"/>
                <wp:wrapNone/>
                <wp:docPr id="1427" name="矩形 1427"/>
                <wp:cNvGraphicFramePr/>
                <a:graphic xmlns:a="http://schemas.openxmlformats.org/drawingml/2006/main">
                  <a:graphicData uri="http://schemas.microsoft.com/office/word/2010/wordprocessingShape">
                    <wps:wsp>
                      <wps:cNvSpPr/>
                      <wps:spPr>
                        <a:xfrm>
                          <a:off x="0" y="0"/>
                          <a:ext cx="69850" cy="635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3pt;margin-top:100.15pt;height:5pt;width:5.5pt;z-index:251711488;v-text-anchor:middle;mso-width-relative:page;mso-height-relative:page;" fillcolor="#FF0000" filled="t" stroked="t" coordsize="21600,21600" o:gfxdata="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ccfetcAAAALAQAADwAAAAAAAAABACAAAAAiAAAAZHJzL2Rvd25yZXYueG1sUEsBAhQAFAAA&#10;AAgAh07iQIUj7RRiAgAA4AQAAA4AAAAAAAAAAQAgAAAAJgEAAGRycy9lMm9Eb2MueG1sUEsFBgAA&#10;AAAGAAYAWQEAAPoFAAAAAA==&#10;">
                <v:fill on="t" focussize="0,0"/>
                <v:stroke weight="2pt" color="#FF0000 [3204]" joinstyle="round"/>
                <v:imagedata o:title=""/>
                <o:lock v:ext="edit" aspectratio="f"/>
              </v:rect>
            </w:pict>
          </mc:Fallback>
        </mc:AlternateContent>
      </w:r>
      <w:r>
        <w:rPr>
          <w:sz w:val="24"/>
          <w:szCs w:val="28"/>
        </w:rPr>
        <w:drawing>
          <wp:inline distT="0" distB="0" distL="0" distR="0">
            <wp:extent cx="5274310" cy="275082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2750820"/>
                    </a:xfrm>
                    <a:prstGeom prst="rect">
                      <a:avLst/>
                    </a:prstGeom>
                    <a:noFill/>
                    <a:ln>
                      <a:noFill/>
                    </a:ln>
                  </pic:spPr>
                </pic:pic>
              </a:graphicData>
            </a:graphic>
          </wp:inline>
        </w:drawing>
      </w:r>
    </w:p>
    <w:p>
      <w:pPr>
        <w:adjustRightInd w:val="0"/>
        <w:snapToGrid w:val="0"/>
        <w:spacing w:line="360" w:lineRule="auto"/>
        <w:jc w:val="center"/>
        <w:rPr>
          <w:b/>
          <w:bCs/>
          <w:sz w:val="24"/>
          <w:szCs w:val="28"/>
        </w:rPr>
      </w:pPr>
      <w:r>
        <w:rPr>
          <w:rFonts w:hint="eastAsia"/>
          <w:b/>
          <w:bCs/>
          <w:sz w:val="24"/>
          <w:szCs w:val="28"/>
        </w:rPr>
        <w:t>图</w:t>
      </w:r>
      <w:r>
        <w:rPr>
          <w:b/>
          <w:bCs/>
          <w:sz w:val="24"/>
          <w:szCs w:val="28"/>
        </w:rPr>
        <w:t xml:space="preserve">1-2  </w:t>
      </w:r>
      <w:r>
        <w:rPr>
          <w:rFonts w:hint="eastAsia"/>
          <w:b/>
          <w:bCs/>
          <w:sz w:val="24"/>
          <w:szCs w:val="28"/>
        </w:rPr>
        <w:t>本项目与生态红线区相对位置图（红色区域为红线区范围）</w:t>
      </w:r>
    </w:p>
    <w:p>
      <w:pPr>
        <w:adjustRightInd w:val="0"/>
        <w:snapToGrid w:val="0"/>
        <w:spacing w:line="360" w:lineRule="auto"/>
        <w:ind w:firstLine="480" w:firstLineChars="200"/>
        <w:rPr>
          <w:sz w:val="24"/>
          <w:szCs w:val="28"/>
        </w:rPr>
      </w:pPr>
      <w:bookmarkStart w:id="15" w:name="_Hlk87963302"/>
      <w:r>
        <w:rPr>
          <w:rFonts w:hint="eastAsia"/>
          <w:sz w:val="24"/>
          <w:szCs w:val="28"/>
        </w:rPr>
        <w:t>地下水环境质量均能满足《地下水质量标准》（GB/T14848-2017）Ⅲ类标准要求，本项目对产生的废水、废气治理之后能做到达标排放，固废全部无害化处置。采取相关防治措施后，本项目排放的污染物不会突破区域环境质量底线。</w:t>
      </w:r>
    </w:p>
    <w:bookmarkEnd w:id="15"/>
    <w:p>
      <w:pPr>
        <w:adjustRightInd w:val="0"/>
        <w:snapToGrid w:val="0"/>
        <w:spacing w:line="360" w:lineRule="auto"/>
        <w:ind w:firstLine="480" w:firstLineChars="200"/>
        <w:rPr>
          <w:sz w:val="24"/>
          <w:szCs w:val="28"/>
        </w:rPr>
      </w:pPr>
      <w:r>
        <w:rPr>
          <w:rFonts w:hint="eastAsia"/>
          <w:sz w:val="24"/>
          <w:szCs w:val="28"/>
        </w:rPr>
        <w:t>⑶资源利用上线</w:t>
      </w:r>
    </w:p>
    <w:p>
      <w:pPr>
        <w:adjustRightInd w:val="0"/>
        <w:snapToGrid w:val="0"/>
        <w:spacing w:line="360" w:lineRule="auto"/>
        <w:ind w:firstLine="480" w:firstLineChars="200"/>
        <w:rPr>
          <w:sz w:val="24"/>
          <w:szCs w:val="28"/>
        </w:rPr>
      </w:pPr>
      <w:r>
        <w:rPr>
          <w:rFonts w:hint="eastAsia"/>
          <w:sz w:val="24"/>
          <w:szCs w:val="28"/>
        </w:rPr>
        <w:t>本项目生产过程中所使用的资源主要为水、电资源，均依托紧邻的围场生活垃圾焚烧发电项目相应设施供给能力范围之内；项目建设满足土地资源承载力要求，因此，项目运行不会突破当地资源利用上限。</w:t>
      </w:r>
    </w:p>
    <w:p>
      <w:pPr>
        <w:adjustRightInd w:val="0"/>
        <w:snapToGrid w:val="0"/>
        <w:spacing w:line="360" w:lineRule="auto"/>
        <w:ind w:firstLine="480" w:firstLineChars="200"/>
        <w:rPr>
          <w:sz w:val="24"/>
          <w:szCs w:val="28"/>
        </w:rPr>
      </w:pPr>
      <w:r>
        <w:rPr>
          <w:rFonts w:hint="eastAsia"/>
          <w:sz w:val="24"/>
          <w:szCs w:val="28"/>
        </w:rPr>
        <w:t>（</w:t>
      </w:r>
      <w:r>
        <w:rPr>
          <w:sz w:val="24"/>
          <w:szCs w:val="28"/>
        </w:rPr>
        <w:t>4）准入清单</w:t>
      </w:r>
    </w:p>
    <w:p>
      <w:pPr>
        <w:adjustRightInd w:val="0"/>
        <w:snapToGrid w:val="0"/>
        <w:spacing w:line="360" w:lineRule="auto"/>
        <w:ind w:firstLine="480" w:firstLineChars="200"/>
        <w:rPr>
          <w:sz w:val="24"/>
          <w:szCs w:val="28"/>
        </w:rPr>
      </w:pPr>
      <w:r>
        <w:rPr>
          <w:sz w:val="24"/>
          <w:szCs w:val="28"/>
        </w:rPr>
        <w:t>本项目不属于《产业结构调整指导目录（2019年本）》、《河北省新增限制和淘汰类产业目录（2015年版）》中限制类或淘汰类建设项目</w:t>
      </w:r>
      <w:r>
        <w:rPr>
          <w:rFonts w:hint="eastAsia"/>
          <w:sz w:val="24"/>
          <w:szCs w:val="28"/>
        </w:rPr>
        <w:t>，</w:t>
      </w:r>
      <w:bookmarkStart w:id="16" w:name="_Hlk89086290"/>
      <w:r>
        <w:rPr>
          <w:sz w:val="24"/>
          <w:szCs w:val="28"/>
        </w:rPr>
        <w:t>本项目位于一般管控单元</w:t>
      </w:r>
      <w:r>
        <w:rPr>
          <w:rFonts w:hint="eastAsia"/>
          <w:sz w:val="24"/>
          <w:szCs w:val="28"/>
        </w:rPr>
        <w:t>，符合</w:t>
      </w:r>
      <w:r>
        <w:rPr>
          <w:sz w:val="24"/>
          <w:szCs w:val="28"/>
        </w:rPr>
        <w:t>《承德市人民政府关于加快实施“三线一单”生态环境分区管控的意见》（2010-2020年）</w:t>
      </w:r>
      <w:r>
        <w:rPr>
          <w:rFonts w:hint="eastAsia"/>
          <w:sz w:val="24"/>
          <w:szCs w:val="28"/>
        </w:rPr>
        <w:t>相关要求</w:t>
      </w:r>
      <w:r>
        <w:rPr>
          <w:sz w:val="24"/>
          <w:szCs w:val="28"/>
        </w:rPr>
        <w:t>。</w:t>
      </w:r>
    </w:p>
    <w:bookmarkEnd w:id="16"/>
    <w:p>
      <w:pPr>
        <w:adjustRightInd w:val="0"/>
        <w:snapToGrid w:val="0"/>
        <w:spacing w:line="360" w:lineRule="auto"/>
        <w:ind w:firstLine="480" w:firstLineChars="200"/>
        <w:rPr>
          <w:sz w:val="24"/>
          <w:szCs w:val="28"/>
        </w:rPr>
      </w:pPr>
      <w:r>
        <w:rPr>
          <w:sz w:val="24"/>
          <w:szCs w:val="28"/>
        </w:rPr>
        <w:t>因此，本项目可以满足以“三线一单”为手段，强化建设项目空间、总量和环境准入的管理要求。</w:t>
      </w:r>
    </w:p>
    <w:p>
      <w:pPr>
        <w:adjustRightInd w:val="0"/>
        <w:snapToGrid w:val="0"/>
        <w:spacing w:line="360" w:lineRule="auto"/>
        <w:ind w:firstLine="482" w:firstLineChars="200"/>
        <w:rPr>
          <w:b/>
          <w:bCs/>
          <w:sz w:val="24"/>
          <w:szCs w:val="28"/>
        </w:rPr>
      </w:pPr>
      <w:r>
        <w:rPr>
          <w:rFonts w:hint="eastAsia"/>
          <w:b/>
          <w:bCs/>
          <w:sz w:val="24"/>
          <w:szCs w:val="28"/>
        </w:rPr>
        <w:t>3、选址合理性</w:t>
      </w:r>
    </w:p>
    <w:p>
      <w:pPr>
        <w:adjustRightInd w:val="0"/>
        <w:snapToGrid w:val="0"/>
        <w:spacing w:line="360" w:lineRule="auto"/>
        <w:ind w:firstLine="480" w:firstLineChars="200"/>
        <w:rPr>
          <w:sz w:val="24"/>
          <w:szCs w:val="28"/>
        </w:rPr>
      </w:pPr>
      <w:r>
        <w:rPr>
          <w:rFonts w:hint="eastAsia"/>
          <w:sz w:val="24"/>
          <w:szCs w:val="28"/>
        </w:rPr>
        <w:t>本项目占地不占用基本农田，选址符合城市总体规划等相关规划要求。项目选址不在城市（市、县、镇）建成区，项目不涉及自然保护区、风景名胜区、饮用水水源保护区等环境敏感区。符合围场县环境规划、围场县环境卫生设施建设规划和围场县城市规划。</w:t>
      </w:r>
    </w:p>
    <w:p>
      <w:pPr>
        <w:adjustRightInd w:val="0"/>
        <w:snapToGrid w:val="0"/>
        <w:spacing w:line="360" w:lineRule="auto"/>
        <w:ind w:firstLine="480" w:firstLineChars="200"/>
        <w:rPr>
          <w:sz w:val="24"/>
          <w:szCs w:val="28"/>
        </w:rPr>
      </w:pPr>
      <w:r>
        <w:rPr>
          <w:rFonts w:hint="eastAsia"/>
          <w:sz w:val="24"/>
          <w:szCs w:val="28"/>
        </w:rPr>
        <w:t>项目建成投产后，三废可实现达标排放，对环境影响较小，不会改变评价区现有环境功能；在落实本次评价要求，完善和落实环保措施和风险防范措施的前提下，场址选择基本合理。</w:t>
      </w:r>
    </w:p>
    <w:p>
      <w:pPr>
        <w:pStyle w:val="61"/>
        <w:numPr>
          <w:ilvl w:val="1"/>
          <w:numId w:val="5"/>
        </w:numPr>
        <w:tabs>
          <w:tab w:val="left" w:pos="567"/>
          <w:tab w:val="clear" w:pos="432"/>
        </w:tabs>
        <w:spacing w:before="156" w:after="156"/>
        <w:ind w:left="0" w:firstLine="0"/>
        <w:rPr>
          <w:rFonts w:ascii="Times New Roman" w:hAnsi="Times New Roman"/>
        </w:rPr>
      </w:pPr>
      <w:bookmarkStart w:id="17" w:name="_Toc94101192"/>
      <w:r>
        <w:rPr>
          <w:rFonts w:ascii="Times New Roman" w:hAnsi="Times New Roman"/>
        </w:rPr>
        <w:t>关注的主要环境问题</w:t>
      </w:r>
      <w:bookmarkEnd w:id="17"/>
    </w:p>
    <w:p>
      <w:pPr>
        <w:adjustRightInd w:val="0"/>
        <w:snapToGrid w:val="0"/>
        <w:spacing w:line="360" w:lineRule="auto"/>
        <w:ind w:firstLine="480" w:firstLineChars="200"/>
        <w:rPr>
          <w:sz w:val="24"/>
        </w:rPr>
      </w:pPr>
      <w:r>
        <w:rPr>
          <w:rFonts w:hint="eastAsia"/>
          <w:sz w:val="24"/>
        </w:rPr>
        <w:t>本建设项目为飞灰填埋场项目，处理对象为经稳定化处理后的焚烧飞灰。飞灰在焚烧厂内固化稳定化后必须满足《生活垃圾填埋场污染控制标准》（</w:t>
      </w:r>
      <w:r>
        <w:rPr>
          <w:sz w:val="24"/>
        </w:rPr>
        <w:t>GB16889-2008</w:t>
      </w:r>
      <w:r>
        <w:rPr>
          <w:rFonts w:hint="eastAsia"/>
          <w:sz w:val="24"/>
        </w:rPr>
        <w:t>）中</w:t>
      </w:r>
      <w:r>
        <w:rPr>
          <w:sz w:val="24"/>
        </w:rPr>
        <w:t xml:space="preserve">6.3 </w:t>
      </w:r>
      <w:r>
        <w:rPr>
          <w:rFonts w:hint="eastAsia"/>
          <w:sz w:val="24"/>
        </w:rPr>
        <w:t>的条件后，才可进本填埋场进行填埋处理。本次评价将重点关注以下几个方面：</w:t>
      </w:r>
    </w:p>
    <w:p>
      <w:pPr>
        <w:adjustRightInd w:val="0"/>
        <w:snapToGrid w:val="0"/>
        <w:spacing w:line="360" w:lineRule="auto"/>
        <w:ind w:firstLine="480" w:firstLineChars="200"/>
        <w:rPr>
          <w:sz w:val="24"/>
        </w:rPr>
      </w:pPr>
      <w:r>
        <w:rPr>
          <w:rFonts w:hint="eastAsia"/>
          <w:sz w:val="24"/>
        </w:rPr>
        <w:t>（1）填埋场选址合理性和填埋场设计库容和服务年限的合理性；</w:t>
      </w:r>
    </w:p>
    <w:p>
      <w:pPr>
        <w:adjustRightInd w:val="0"/>
        <w:snapToGrid w:val="0"/>
        <w:spacing w:line="360" w:lineRule="auto"/>
        <w:ind w:firstLine="480" w:firstLineChars="200"/>
        <w:rPr>
          <w:sz w:val="24"/>
        </w:rPr>
      </w:pPr>
      <w:r>
        <w:rPr>
          <w:rFonts w:hint="eastAsia"/>
          <w:sz w:val="24"/>
        </w:rPr>
        <w:t>（2）填埋场的设计、填埋作业方式等与相关标准规范的相符性；</w:t>
      </w:r>
    </w:p>
    <w:p>
      <w:pPr>
        <w:adjustRightInd w:val="0"/>
        <w:snapToGrid w:val="0"/>
        <w:spacing w:line="360" w:lineRule="auto"/>
        <w:ind w:firstLine="480" w:firstLineChars="200"/>
        <w:rPr>
          <w:sz w:val="24"/>
        </w:rPr>
      </w:pPr>
      <w:r>
        <w:rPr>
          <w:rFonts w:hint="eastAsia"/>
          <w:sz w:val="24"/>
        </w:rPr>
        <w:t>（3）填埋库区防渗措施的有效性；</w:t>
      </w:r>
    </w:p>
    <w:p>
      <w:pPr>
        <w:adjustRightInd w:val="0"/>
        <w:snapToGrid w:val="0"/>
        <w:spacing w:line="360" w:lineRule="auto"/>
        <w:ind w:firstLine="480" w:firstLineChars="200"/>
        <w:rPr>
          <w:sz w:val="24"/>
        </w:rPr>
      </w:pPr>
      <w:r>
        <w:rPr>
          <w:rFonts w:hint="eastAsia"/>
          <w:sz w:val="24"/>
        </w:rPr>
        <w:t>（4）填埋场各项环保措施的有效性；</w:t>
      </w:r>
    </w:p>
    <w:p>
      <w:pPr>
        <w:adjustRightInd w:val="0"/>
        <w:snapToGrid w:val="0"/>
        <w:spacing w:line="360" w:lineRule="auto"/>
        <w:ind w:firstLine="480" w:firstLineChars="200"/>
        <w:rPr>
          <w:sz w:val="24"/>
        </w:rPr>
      </w:pPr>
      <w:r>
        <w:rPr>
          <w:rFonts w:hint="eastAsia"/>
          <w:sz w:val="24"/>
        </w:rPr>
        <w:t>（5）填埋场环境风险论证。</w:t>
      </w:r>
    </w:p>
    <w:p>
      <w:pPr>
        <w:pStyle w:val="61"/>
        <w:numPr>
          <w:ilvl w:val="1"/>
          <w:numId w:val="5"/>
        </w:numPr>
        <w:tabs>
          <w:tab w:val="left" w:pos="567"/>
          <w:tab w:val="clear" w:pos="432"/>
        </w:tabs>
        <w:spacing w:before="156" w:after="156"/>
        <w:ind w:left="0" w:firstLine="0"/>
        <w:rPr>
          <w:rFonts w:ascii="Times New Roman" w:hAnsi="Times New Roman"/>
        </w:rPr>
      </w:pPr>
      <w:bookmarkStart w:id="18" w:name="_Toc94101193"/>
      <w:r>
        <w:rPr>
          <w:rFonts w:ascii="Times New Roman" w:hAnsi="Times New Roman"/>
        </w:rPr>
        <w:t>环境影响评价报告书的主要结论</w:t>
      </w:r>
      <w:bookmarkEnd w:id="18"/>
    </w:p>
    <w:p>
      <w:pPr>
        <w:adjustRightInd w:val="0"/>
        <w:snapToGrid w:val="0"/>
        <w:spacing w:line="360" w:lineRule="auto"/>
        <w:ind w:firstLine="460" w:firstLineChars="200"/>
        <w:rPr>
          <w:sz w:val="24"/>
        </w:rPr>
      </w:pPr>
      <w:bookmarkStart w:id="19" w:name="_Hlk91693025"/>
      <w:r>
        <w:rPr>
          <w:rFonts w:hint="eastAsia"/>
          <w:sz w:val="23"/>
          <w:szCs w:val="23"/>
        </w:rPr>
        <w:t>本项目为环境保护工程项目，项目建成运行后可解决当地生活垃圾焚烧产生固废的处置问题，项目建设符合国家的产业政策，选址符合《生活垃圾填埋场污染控制标准》、《生活垃圾卫生填埋技术规范》等要求，</w:t>
      </w:r>
      <w:r>
        <w:rPr>
          <w:sz w:val="24"/>
        </w:rPr>
        <w:t>符合区域总体规划、环境功能区划的要求，符合 “三线一单”相关要求；</w:t>
      </w:r>
      <w:r>
        <w:rPr>
          <w:rFonts w:hint="eastAsia"/>
          <w:sz w:val="23"/>
          <w:szCs w:val="23"/>
        </w:rPr>
        <w:t>项目所采用的污染防治措施技术经济可行，能保证各种污染物稳定达标排放，对周围环境影响较小。因此，拟建项目在严格执行</w:t>
      </w:r>
      <w:r>
        <w:rPr>
          <w:sz w:val="23"/>
          <w:szCs w:val="23"/>
        </w:rPr>
        <w:t>“</w:t>
      </w:r>
      <w:r>
        <w:rPr>
          <w:rFonts w:hint="eastAsia"/>
          <w:sz w:val="23"/>
          <w:szCs w:val="23"/>
        </w:rPr>
        <w:t>三同时</w:t>
      </w:r>
      <w:r>
        <w:rPr>
          <w:sz w:val="23"/>
          <w:szCs w:val="23"/>
        </w:rPr>
        <w:t>”</w:t>
      </w:r>
      <w:r>
        <w:rPr>
          <w:rFonts w:hint="eastAsia"/>
          <w:sz w:val="23"/>
          <w:szCs w:val="23"/>
        </w:rPr>
        <w:t>制度、落实环评报告中提出的各项污染防治措施的前提下，从环境影响角度来看，项目建设可行。</w:t>
      </w:r>
    </w:p>
    <w:bookmarkEnd w:id="19"/>
    <w:p>
      <w:pPr>
        <w:adjustRightInd w:val="0"/>
        <w:snapToGrid w:val="0"/>
        <w:spacing w:line="360" w:lineRule="auto"/>
        <w:ind w:firstLine="480" w:firstLineChars="200"/>
        <w:rPr>
          <w:sz w:val="24"/>
        </w:rPr>
        <w:sectPr>
          <w:headerReference r:id="rId6" w:type="default"/>
          <w:pgSz w:w="11906" w:h="16838"/>
          <w:pgMar w:top="1440" w:right="1800" w:bottom="1440" w:left="1800" w:header="851" w:footer="992" w:gutter="0"/>
          <w:pgNumType w:start="1"/>
          <w:cols w:space="425" w:num="1"/>
          <w:docGrid w:type="lines" w:linePitch="312" w:charSpace="0"/>
        </w:sectPr>
      </w:pPr>
    </w:p>
    <w:p>
      <w:pPr>
        <w:keepNext/>
        <w:keepLines/>
        <w:numPr>
          <w:ilvl w:val="0"/>
          <w:numId w:val="5"/>
        </w:numPr>
        <w:snapToGrid w:val="0"/>
        <w:spacing w:before="50" w:after="50" w:line="360" w:lineRule="auto"/>
        <w:jc w:val="center"/>
        <w:outlineLvl w:val="0"/>
        <w:rPr>
          <w:b/>
          <w:bCs/>
          <w:kern w:val="44"/>
          <w:sz w:val="32"/>
          <w:szCs w:val="32"/>
        </w:rPr>
      </w:pPr>
      <w:bookmarkStart w:id="20" w:name="_Toc94101194"/>
      <w:r>
        <w:rPr>
          <w:b/>
          <w:bCs/>
          <w:kern w:val="44"/>
          <w:sz w:val="32"/>
          <w:szCs w:val="32"/>
        </w:rPr>
        <w:t>总  则</w:t>
      </w:r>
      <w:bookmarkEnd w:id="20"/>
    </w:p>
    <w:p>
      <w:pPr>
        <w:pStyle w:val="61"/>
        <w:numPr>
          <w:ilvl w:val="1"/>
          <w:numId w:val="5"/>
        </w:numPr>
        <w:tabs>
          <w:tab w:val="left" w:pos="567"/>
          <w:tab w:val="clear" w:pos="432"/>
        </w:tabs>
        <w:spacing w:before="156" w:after="156"/>
        <w:ind w:left="0" w:firstLine="0"/>
        <w:rPr>
          <w:rFonts w:ascii="Times New Roman" w:hAnsi="Times New Roman"/>
        </w:rPr>
      </w:pPr>
      <w:bookmarkStart w:id="21" w:name="_Toc94101195"/>
      <w:r>
        <w:rPr>
          <w:rFonts w:ascii="Times New Roman" w:hAnsi="Times New Roman"/>
        </w:rPr>
        <w:t>编制依据</w:t>
      </w:r>
      <w:bookmarkEnd w:id="21"/>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法律、行政法规</w:t>
      </w:r>
    </w:p>
    <w:p>
      <w:pPr>
        <w:spacing w:line="360" w:lineRule="auto"/>
        <w:ind w:firstLine="480" w:firstLineChars="200"/>
        <w:jc w:val="left"/>
        <w:rPr>
          <w:sz w:val="24"/>
          <w:szCs w:val="21"/>
        </w:rPr>
      </w:pPr>
      <w:r>
        <w:rPr>
          <w:sz w:val="24"/>
          <w:szCs w:val="21"/>
        </w:rPr>
        <w:t>（1）《中华人民共和国环境保护法》（2015年1月1日实施）；</w:t>
      </w:r>
    </w:p>
    <w:p>
      <w:pPr>
        <w:spacing w:line="360" w:lineRule="auto"/>
        <w:ind w:firstLine="480" w:firstLineChars="200"/>
        <w:jc w:val="left"/>
        <w:rPr>
          <w:sz w:val="24"/>
          <w:szCs w:val="21"/>
        </w:rPr>
      </w:pPr>
      <w:r>
        <w:rPr>
          <w:sz w:val="24"/>
          <w:szCs w:val="21"/>
        </w:rPr>
        <w:t>（2）</w:t>
      </w:r>
      <w:r>
        <w:rPr>
          <w:rFonts w:hint="eastAsia"/>
          <w:sz w:val="24"/>
          <w:szCs w:val="21"/>
        </w:rPr>
        <w:t>《中华人民共和国环境影响评价法（第二次修订）》，2019年1月11日</w:t>
      </w:r>
      <w:r>
        <w:rPr>
          <w:sz w:val="24"/>
          <w:szCs w:val="21"/>
        </w:rPr>
        <w:t>；</w:t>
      </w:r>
    </w:p>
    <w:p>
      <w:pPr>
        <w:spacing w:line="360" w:lineRule="auto"/>
        <w:ind w:firstLine="480" w:firstLineChars="200"/>
        <w:jc w:val="left"/>
        <w:rPr>
          <w:sz w:val="24"/>
          <w:szCs w:val="21"/>
        </w:rPr>
      </w:pPr>
      <w:r>
        <w:rPr>
          <w:sz w:val="24"/>
          <w:szCs w:val="21"/>
        </w:rPr>
        <w:t>（3）《中华人民共和国水污染防治法》（2018年1月1日）；</w:t>
      </w:r>
    </w:p>
    <w:p>
      <w:pPr>
        <w:spacing w:line="360" w:lineRule="auto"/>
        <w:ind w:firstLine="480" w:firstLineChars="200"/>
        <w:jc w:val="left"/>
        <w:rPr>
          <w:sz w:val="24"/>
          <w:szCs w:val="21"/>
        </w:rPr>
      </w:pPr>
      <w:r>
        <w:rPr>
          <w:sz w:val="24"/>
          <w:szCs w:val="21"/>
        </w:rPr>
        <w:t>（4）《中华人民共和国大气污染防治法》（2018年10月26日修订）；</w:t>
      </w:r>
    </w:p>
    <w:p>
      <w:pPr>
        <w:spacing w:line="360" w:lineRule="auto"/>
        <w:ind w:firstLine="480" w:firstLineChars="200"/>
        <w:jc w:val="left"/>
        <w:rPr>
          <w:sz w:val="24"/>
          <w:szCs w:val="21"/>
        </w:rPr>
      </w:pPr>
      <w:r>
        <w:rPr>
          <w:sz w:val="24"/>
          <w:szCs w:val="21"/>
        </w:rPr>
        <w:t>（5）《中华人民共和国固体废物污染环境防治法》（</w:t>
      </w:r>
      <w:r>
        <w:rPr>
          <w:rFonts w:hint="eastAsia"/>
          <w:sz w:val="24"/>
          <w:szCs w:val="21"/>
        </w:rPr>
        <w:t>2020年4月29日修订</w:t>
      </w:r>
      <w:r>
        <w:rPr>
          <w:sz w:val="24"/>
          <w:szCs w:val="21"/>
        </w:rPr>
        <w:t>）；</w:t>
      </w:r>
    </w:p>
    <w:p>
      <w:pPr>
        <w:spacing w:line="360" w:lineRule="auto"/>
        <w:ind w:firstLine="480" w:firstLineChars="200"/>
        <w:jc w:val="left"/>
        <w:rPr>
          <w:sz w:val="24"/>
          <w:szCs w:val="21"/>
        </w:rPr>
      </w:pPr>
      <w:r>
        <w:rPr>
          <w:sz w:val="24"/>
          <w:szCs w:val="21"/>
        </w:rPr>
        <w:t>（6）《中华人民共和国环境噪声污染防治法》（2018年12月29日）；</w:t>
      </w:r>
    </w:p>
    <w:p>
      <w:pPr>
        <w:spacing w:line="360" w:lineRule="auto"/>
        <w:ind w:firstLine="480" w:firstLineChars="200"/>
        <w:jc w:val="left"/>
        <w:rPr>
          <w:sz w:val="24"/>
          <w:szCs w:val="21"/>
        </w:rPr>
      </w:pPr>
      <w:r>
        <w:rPr>
          <w:sz w:val="24"/>
          <w:szCs w:val="21"/>
        </w:rPr>
        <w:t>（7）《中华人民共和国土地管理法》2004年8月28日修订；</w:t>
      </w:r>
    </w:p>
    <w:p>
      <w:pPr>
        <w:spacing w:line="360" w:lineRule="auto"/>
        <w:ind w:firstLine="480" w:firstLineChars="200"/>
        <w:jc w:val="left"/>
        <w:rPr>
          <w:sz w:val="24"/>
          <w:szCs w:val="21"/>
        </w:rPr>
      </w:pPr>
      <w:r>
        <w:rPr>
          <w:sz w:val="24"/>
          <w:szCs w:val="21"/>
        </w:rPr>
        <w:t>（8）《中华人民共和国节约能源法》，2016年7月修订；</w:t>
      </w:r>
    </w:p>
    <w:p>
      <w:pPr>
        <w:spacing w:line="360" w:lineRule="auto"/>
        <w:ind w:firstLine="480" w:firstLineChars="200"/>
        <w:jc w:val="left"/>
        <w:rPr>
          <w:sz w:val="24"/>
          <w:szCs w:val="21"/>
        </w:rPr>
      </w:pPr>
      <w:r>
        <w:rPr>
          <w:sz w:val="24"/>
          <w:szCs w:val="21"/>
        </w:rPr>
        <w:t>（9）《中华人民共和国循环经济促进法》，2018年10月26日修订；</w:t>
      </w:r>
    </w:p>
    <w:p>
      <w:pPr>
        <w:spacing w:line="360" w:lineRule="auto"/>
        <w:ind w:firstLine="480" w:firstLineChars="200"/>
        <w:jc w:val="left"/>
        <w:rPr>
          <w:sz w:val="24"/>
          <w:szCs w:val="21"/>
        </w:rPr>
      </w:pPr>
      <w:r>
        <w:rPr>
          <w:sz w:val="24"/>
          <w:szCs w:val="21"/>
        </w:rPr>
        <w:t>（10）《中华人民共和国水法》，2016年7月2日修订。</w:t>
      </w:r>
    </w:p>
    <w:p>
      <w:pPr>
        <w:spacing w:line="360" w:lineRule="auto"/>
        <w:ind w:firstLine="480" w:firstLineChars="200"/>
        <w:jc w:val="left"/>
        <w:rPr>
          <w:sz w:val="24"/>
          <w:szCs w:val="21"/>
        </w:rPr>
      </w:pPr>
      <w:r>
        <w:rPr>
          <w:sz w:val="24"/>
          <w:szCs w:val="21"/>
        </w:rPr>
        <w:t>（11）《中华人民共和国水土保持法》（2011年3月1日）；</w:t>
      </w:r>
    </w:p>
    <w:p>
      <w:pPr>
        <w:spacing w:line="360" w:lineRule="auto"/>
        <w:ind w:firstLine="480" w:firstLineChars="200"/>
        <w:jc w:val="left"/>
        <w:rPr>
          <w:sz w:val="24"/>
          <w:szCs w:val="21"/>
        </w:rPr>
      </w:pPr>
      <w:r>
        <w:rPr>
          <w:sz w:val="24"/>
          <w:szCs w:val="21"/>
        </w:rPr>
        <w:t>（12）《中华人民共和国土壤污染防治法》（2019年1月1日）；</w:t>
      </w:r>
    </w:p>
    <w:p>
      <w:pPr>
        <w:spacing w:line="360" w:lineRule="auto"/>
        <w:ind w:firstLine="480" w:firstLineChars="200"/>
        <w:jc w:val="left"/>
        <w:rPr>
          <w:sz w:val="24"/>
          <w:szCs w:val="21"/>
        </w:rPr>
      </w:pPr>
      <w:r>
        <w:rPr>
          <w:sz w:val="24"/>
          <w:szCs w:val="21"/>
        </w:rPr>
        <w:t>（13）《中华人民共和国清洁生产促进法》（2012年7月1日）；</w:t>
      </w:r>
    </w:p>
    <w:p>
      <w:pPr>
        <w:spacing w:line="360" w:lineRule="auto"/>
        <w:ind w:firstLine="480" w:firstLineChars="200"/>
        <w:jc w:val="left"/>
        <w:rPr>
          <w:sz w:val="24"/>
          <w:szCs w:val="21"/>
        </w:rPr>
      </w:pPr>
      <w:r>
        <w:rPr>
          <w:sz w:val="24"/>
          <w:szCs w:val="21"/>
        </w:rPr>
        <w:t>（14）《中华人民共和国城乡规划法》（2015年4月24日）。</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国家环境保护法规、规章及规范性文件</w:t>
      </w:r>
    </w:p>
    <w:p>
      <w:pPr>
        <w:spacing w:line="360" w:lineRule="auto"/>
        <w:ind w:firstLine="480" w:firstLineChars="200"/>
        <w:jc w:val="left"/>
        <w:rPr>
          <w:sz w:val="24"/>
          <w:szCs w:val="21"/>
        </w:rPr>
      </w:pPr>
      <w:r>
        <w:rPr>
          <w:sz w:val="24"/>
          <w:szCs w:val="21"/>
        </w:rPr>
        <w:t>（1）</w:t>
      </w:r>
      <w:r>
        <w:rPr>
          <w:sz w:val="24"/>
        </w:rPr>
        <w:t>《国务院关于修改&lt;建设项目环境保护管理条例&gt;的决定》（国务院令第682号，2017.10.1施行）；</w:t>
      </w:r>
    </w:p>
    <w:p>
      <w:pPr>
        <w:spacing w:line="360" w:lineRule="auto"/>
        <w:ind w:firstLine="480" w:firstLineChars="200"/>
        <w:jc w:val="left"/>
        <w:rPr>
          <w:sz w:val="24"/>
          <w:szCs w:val="21"/>
        </w:rPr>
      </w:pPr>
      <w:r>
        <w:rPr>
          <w:sz w:val="24"/>
          <w:szCs w:val="21"/>
        </w:rPr>
        <w:t>（2）《国务院关于环境保护若干问题的决定》（1996年8月3日）；</w:t>
      </w:r>
    </w:p>
    <w:p>
      <w:pPr>
        <w:spacing w:line="360" w:lineRule="auto"/>
        <w:ind w:firstLine="480" w:firstLineChars="200"/>
        <w:jc w:val="left"/>
        <w:rPr>
          <w:sz w:val="24"/>
          <w:szCs w:val="21"/>
        </w:rPr>
      </w:pPr>
      <w:r>
        <w:rPr>
          <w:sz w:val="24"/>
          <w:szCs w:val="21"/>
        </w:rPr>
        <w:t>（3）《国务院关于落实科学发展观加强环境保护的决定》（国务院发（2005）39号文）；</w:t>
      </w:r>
    </w:p>
    <w:p>
      <w:pPr>
        <w:spacing w:line="360" w:lineRule="auto"/>
        <w:ind w:firstLine="480" w:firstLineChars="200"/>
        <w:jc w:val="left"/>
      </w:pPr>
      <w:r>
        <w:rPr>
          <w:sz w:val="24"/>
          <w:szCs w:val="21"/>
        </w:rPr>
        <w:t>（4）《国务院关于进一步加强环境保护工作的决定》（1990年12月5日）；</w:t>
      </w:r>
    </w:p>
    <w:p>
      <w:pPr>
        <w:spacing w:line="360" w:lineRule="auto"/>
        <w:ind w:firstLine="480" w:firstLineChars="200"/>
        <w:jc w:val="left"/>
        <w:rPr>
          <w:sz w:val="24"/>
          <w:szCs w:val="21"/>
        </w:rPr>
      </w:pPr>
      <w:r>
        <w:rPr>
          <w:sz w:val="24"/>
          <w:szCs w:val="21"/>
        </w:rPr>
        <w:t>（5）《产业结构调整指导目录（2019年本）》（中华人民共和国国家发展和改革委员会令第29号，2019年8月27日）；</w:t>
      </w:r>
    </w:p>
    <w:p>
      <w:pPr>
        <w:spacing w:line="360" w:lineRule="auto"/>
        <w:ind w:firstLine="480" w:firstLineChars="200"/>
        <w:jc w:val="left"/>
        <w:rPr>
          <w:sz w:val="24"/>
          <w:szCs w:val="21"/>
        </w:rPr>
      </w:pPr>
      <w:r>
        <w:rPr>
          <w:sz w:val="24"/>
          <w:szCs w:val="21"/>
        </w:rPr>
        <w:t>（6）《国家危险废物名录》(环境保护部，2021</w:t>
      </w:r>
      <w:r>
        <w:rPr>
          <w:rFonts w:hint="eastAsia"/>
          <w:sz w:val="24"/>
          <w:szCs w:val="21"/>
        </w:rPr>
        <w:t>年版</w:t>
      </w:r>
      <w:r>
        <w:rPr>
          <w:sz w:val="24"/>
          <w:szCs w:val="21"/>
        </w:rPr>
        <w:t>)；</w:t>
      </w:r>
    </w:p>
    <w:p>
      <w:pPr>
        <w:spacing w:line="360" w:lineRule="auto"/>
        <w:ind w:firstLine="480" w:firstLineChars="200"/>
        <w:jc w:val="left"/>
        <w:rPr>
          <w:sz w:val="24"/>
          <w:szCs w:val="21"/>
        </w:rPr>
      </w:pPr>
      <w:r>
        <w:rPr>
          <w:sz w:val="24"/>
          <w:szCs w:val="21"/>
        </w:rPr>
        <w:t>（7）环保部关于印发《建设项目环境影响评价政府信息公开指南（试行）》的通知（环办[2013]103号）；</w:t>
      </w:r>
    </w:p>
    <w:p>
      <w:pPr>
        <w:spacing w:line="360" w:lineRule="auto"/>
        <w:ind w:firstLine="480" w:firstLineChars="200"/>
        <w:jc w:val="left"/>
        <w:rPr>
          <w:sz w:val="24"/>
          <w:szCs w:val="21"/>
        </w:rPr>
      </w:pPr>
      <w:r>
        <w:rPr>
          <w:sz w:val="24"/>
          <w:szCs w:val="21"/>
        </w:rPr>
        <w:t>（8）《建设项目环境影响评价分类管理名录</w:t>
      </w:r>
      <w:r>
        <w:rPr>
          <w:rFonts w:hint="eastAsia"/>
          <w:sz w:val="24"/>
          <w:szCs w:val="21"/>
        </w:rPr>
        <w:t>（2021年版）</w:t>
      </w:r>
      <w:r>
        <w:rPr>
          <w:sz w:val="24"/>
          <w:szCs w:val="21"/>
        </w:rPr>
        <w:t>》；</w:t>
      </w:r>
    </w:p>
    <w:p>
      <w:pPr>
        <w:spacing w:line="360" w:lineRule="auto"/>
        <w:ind w:firstLine="480" w:firstLineChars="200"/>
        <w:jc w:val="left"/>
        <w:rPr>
          <w:sz w:val="24"/>
          <w:szCs w:val="21"/>
        </w:rPr>
      </w:pPr>
      <w:r>
        <w:rPr>
          <w:sz w:val="24"/>
          <w:szCs w:val="21"/>
        </w:rPr>
        <w:t>（9）《环境影响评价公众参与办法》（2019年1月1日）；</w:t>
      </w:r>
    </w:p>
    <w:p>
      <w:pPr>
        <w:spacing w:line="360" w:lineRule="auto"/>
        <w:ind w:firstLine="480" w:firstLineChars="200"/>
        <w:jc w:val="left"/>
        <w:rPr>
          <w:sz w:val="24"/>
          <w:szCs w:val="21"/>
        </w:rPr>
      </w:pPr>
      <w:r>
        <w:rPr>
          <w:sz w:val="24"/>
          <w:szCs w:val="21"/>
        </w:rPr>
        <w:t>（10）</w:t>
      </w:r>
      <w:r>
        <w:rPr>
          <w:sz w:val="24"/>
        </w:rPr>
        <w:t>《大气污染防治行动计划》（国发[2013]37号，2013年9月10日）；</w:t>
      </w:r>
    </w:p>
    <w:p>
      <w:pPr>
        <w:spacing w:line="460" w:lineRule="exact"/>
        <w:ind w:firstLine="482"/>
        <w:rPr>
          <w:sz w:val="24"/>
        </w:rPr>
      </w:pPr>
      <w:r>
        <w:rPr>
          <w:sz w:val="24"/>
        </w:rPr>
        <w:t>（11）《水污染防治行动计划》（国发[2015[17号，2015年4月2日）；</w:t>
      </w:r>
    </w:p>
    <w:p>
      <w:pPr>
        <w:spacing w:line="460" w:lineRule="exact"/>
        <w:ind w:firstLine="482"/>
        <w:rPr>
          <w:sz w:val="24"/>
        </w:rPr>
      </w:pPr>
      <w:r>
        <w:rPr>
          <w:sz w:val="24"/>
        </w:rPr>
        <w:t>（12）《土壤污染防治行动计划》（国发[2016]31号），2016年5月28日）；</w:t>
      </w:r>
    </w:p>
    <w:p>
      <w:pPr>
        <w:spacing w:line="460" w:lineRule="exact"/>
        <w:ind w:firstLine="482"/>
        <w:rPr>
          <w:sz w:val="24"/>
        </w:rPr>
      </w:pPr>
      <w:r>
        <w:rPr>
          <w:sz w:val="24"/>
        </w:rPr>
        <w:t>（13）《国务院关于印发打赢蓝天保卫战三年行动计划的通知》（国发[2018]22号。2018年7月3日发布并实施）；</w:t>
      </w:r>
    </w:p>
    <w:p>
      <w:pPr>
        <w:spacing w:line="460" w:lineRule="exact"/>
        <w:ind w:firstLine="482"/>
        <w:rPr>
          <w:sz w:val="24"/>
        </w:rPr>
      </w:pPr>
      <w:r>
        <w:rPr>
          <w:sz w:val="24"/>
        </w:rPr>
        <w:t>（14）《关于印发&lt;京津冀及周边地区2017年大气污染防治工作方案&gt;的通知》（2018年2月17日发布并实施）；</w:t>
      </w:r>
    </w:p>
    <w:p>
      <w:pPr>
        <w:spacing w:line="460" w:lineRule="exact"/>
        <w:ind w:firstLine="482"/>
        <w:rPr>
          <w:sz w:val="24"/>
        </w:rPr>
      </w:pPr>
      <w:r>
        <w:rPr>
          <w:sz w:val="24"/>
        </w:rPr>
        <w:t>（15）《关于印发&lt;建设项目环境影响评价区域限批管理办法（试行）&gt;的通知》（环发[2015]169号，2015年12月18日发布并实施）；</w:t>
      </w:r>
    </w:p>
    <w:p>
      <w:pPr>
        <w:spacing w:line="460" w:lineRule="exact"/>
        <w:ind w:firstLine="482"/>
        <w:rPr>
          <w:sz w:val="24"/>
        </w:rPr>
      </w:pPr>
      <w:r>
        <w:rPr>
          <w:sz w:val="24"/>
        </w:rPr>
        <w:t>（16）《关于落实大气污染防治行动计划严格环境影响评价准入的通知》（环办[2014]30号，2014年4月25日发布并实施）；</w:t>
      </w:r>
    </w:p>
    <w:p>
      <w:pPr>
        <w:spacing w:line="460" w:lineRule="exact"/>
        <w:ind w:firstLine="482"/>
        <w:rPr>
          <w:sz w:val="24"/>
        </w:rPr>
      </w:pPr>
      <w:r>
        <w:rPr>
          <w:sz w:val="24"/>
        </w:rPr>
        <w:t>（17）《京津冀及周边地区落实大气污染防治行动计划实施细则》（环发[2013] 104号，2013年9月17日发布并实施）；</w:t>
      </w:r>
    </w:p>
    <w:p>
      <w:pPr>
        <w:spacing w:line="460" w:lineRule="exact"/>
        <w:ind w:firstLine="482"/>
        <w:rPr>
          <w:sz w:val="24"/>
        </w:rPr>
      </w:pPr>
      <w:r>
        <w:rPr>
          <w:sz w:val="24"/>
        </w:rPr>
        <w:t>（18）《突发环境事件应急管理办法》（环境保护部令第34号，2015年4月16日发布，2015年6月5日实施）；</w:t>
      </w:r>
    </w:p>
    <w:p>
      <w:pPr>
        <w:spacing w:line="460" w:lineRule="exact"/>
        <w:ind w:firstLine="482"/>
        <w:rPr>
          <w:sz w:val="24"/>
        </w:rPr>
      </w:pPr>
      <w:r>
        <w:rPr>
          <w:sz w:val="24"/>
        </w:rPr>
        <w:t>（19）《关于城市生活垃圾焚烧飞灰处置有关问题的复函》（环办函[2014]122号）；</w:t>
      </w:r>
    </w:p>
    <w:p>
      <w:pPr>
        <w:spacing w:line="460" w:lineRule="exact"/>
        <w:ind w:firstLine="482"/>
        <w:rPr>
          <w:sz w:val="24"/>
        </w:rPr>
      </w:pPr>
      <w:r>
        <w:rPr>
          <w:sz w:val="24"/>
        </w:rPr>
        <w:t>（20）《关于建设项目主要污染物排放总量指标审核及管理暂行办法的通知》（环发[2014]197号，2014年12月30日发布并实施）；</w:t>
      </w:r>
    </w:p>
    <w:p>
      <w:pPr>
        <w:spacing w:line="360" w:lineRule="auto"/>
        <w:ind w:firstLine="480" w:firstLineChars="200"/>
        <w:rPr>
          <w:kern w:val="24"/>
          <w:sz w:val="24"/>
        </w:rPr>
      </w:pPr>
      <w:r>
        <w:rPr>
          <w:kern w:val="24"/>
          <w:sz w:val="24"/>
        </w:rPr>
        <w:t>（21）《排污许可管理暂行规定》（环水体[2016]186 号）；</w:t>
      </w:r>
    </w:p>
    <w:p>
      <w:pPr>
        <w:spacing w:line="360" w:lineRule="auto"/>
        <w:ind w:firstLine="480" w:firstLineChars="200"/>
        <w:rPr>
          <w:kern w:val="24"/>
          <w:sz w:val="24"/>
        </w:rPr>
      </w:pPr>
      <w:r>
        <w:rPr>
          <w:kern w:val="24"/>
          <w:sz w:val="24"/>
        </w:rPr>
        <w:t>（22）《国家危险废物名录（2021 年版）》</w:t>
      </w:r>
      <w:r>
        <w:rPr>
          <w:rFonts w:hint="eastAsia"/>
          <w:kern w:val="24"/>
          <w:sz w:val="24"/>
        </w:rPr>
        <w:t>。</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地方法规、规章及政策性文件</w:t>
      </w:r>
    </w:p>
    <w:p>
      <w:pPr>
        <w:spacing w:line="360" w:lineRule="auto"/>
        <w:ind w:firstLine="480" w:firstLineChars="200"/>
        <w:jc w:val="left"/>
        <w:rPr>
          <w:sz w:val="24"/>
          <w:szCs w:val="21"/>
        </w:rPr>
      </w:pPr>
      <w:r>
        <w:rPr>
          <w:sz w:val="24"/>
          <w:szCs w:val="21"/>
        </w:rPr>
        <w:t>（1）《河北省</w:t>
      </w:r>
      <w:r>
        <w:rPr>
          <w:rFonts w:hint="eastAsia"/>
          <w:sz w:val="24"/>
          <w:szCs w:val="21"/>
        </w:rPr>
        <w:t>生态</w:t>
      </w:r>
      <w:r>
        <w:rPr>
          <w:sz w:val="24"/>
          <w:szCs w:val="21"/>
        </w:rPr>
        <w:t>环境保护条例》（20</w:t>
      </w:r>
      <w:r>
        <w:rPr>
          <w:rFonts w:hint="eastAsia"/>
          <w:sz w:val="24"/>
          <w:szCs w:val="21"/>
        </w:rPr>
        <w:t>20</w:t>
      </w:r>
      <w:r>
        <w:rPr>
          <w:sz w:val="24"/>
          <w:szCs w:val="21"/>
        </w:rPr>
        <w:t>年</w:t>
      </w:r>
      <w:r>
        <w:rPr>
          <w:rFonts w:hint="eastAsia"/>
          <w:sz w:val="24"/>
          <w:szCs w:val="21"/>
        </w:rPr>
        <w:t>7</w:t>
      </w:r>
      <w:r>
        <w:rPr>
          <w:sz w:val="24"/>
          <w:szCs w:val="21"/>
        </w:rPr>
        <w:t>月1日）；</w:t>
      </w:r>
    </w:p>
    <w:p>
      <w:pPr>
        <w:spacing w:line="360" w:lineRule="auto"/>
        <w:ind w:firstLine="480" w:firstLineChars="200"/>
        <w:jc w:val="left"/>
        <w:rPr>
          <w:sz w:val="24"/>
          <w:szCs w:val="21"/>
        </w:rPr>
      </w:pPr>
      <w:r>
        <w:rPr>
          <w:sz w:val="24"/>
          <w:szCs w:val="21"/>
        </w:rPr>
        <w:t>（2）《河北省水污染防治条例》（2018年9月1日）；</w:t>
      </w:r>
    </w:p>
    <w:p>
      <w:pPr>
        <w:spacing w:line="360" w:lineRule="auto"/>
        <w:ind w:firstLine="480" w:firstLineChars="200"/>
        <w:jc w:val="left"/>
        <w:rPr>
          <w:sz w:val="24"/>
          <w:szCs w:val="21"/>
        </w:rPr>
      </w:pPr>
      <w:r>
        <w:rPr>
          <w:sz w:val="24"/>
          <w:szCs w:val="21"/>
        </w:rPr>
        <w:t>（3）《河北省大气污染防治条例》（2016年1月13日）；</w:t>
      </w:r>
    </w:p>
    <w:p>
      <w:pPr>
        <w:spacing w:line="360" w:lineRule="auto"/>
        <w:ind w:firstLine="480" w:firstLineChars="200"/>
        <w:jc w:val="left"/>
        <w:rPr>
          <w:sz w:val="24"/>
          <w:szCs w:val="21"/>
        </w:rPr>
      </w:pPr>
      <w:r>
        <w:rPr>
          <w:sz w:val="24"/>
          <w:szCs w:val="21"/>
        </w:rPr>
        <w:t>（4）《关于进一步强化建设项目环评公众参与工作的通知的相关规定》（冀环办发〔2010〕238号）；</w:t>
      </w:r>
    </w:p>
    <w:p>
      <w:pPr>
        <w:spacing w:line="360" w:lineRule="auto"/>
        <w:ind w:firstLine="480" w:firstLineChars="200"/>
        <w:jc w:val="left"/>
        <w:rPr>
          <w:sz w:val="24"/>
          <w:szCs w:val="21"/>
        </w:rPr>
      </w:pPr>
      <w:r>
        <w:rPr>
          <w:sz w:val="24"/>
          <w:szCs w:val="21"/>
        </w:rPr>
        <w:t>（5）《关于进一步加强信息公开工作规范环评文件编制的通知》（冀环办发〔2012〕195号）；</w:t>
      </w:r>
    </w:p>
    <w:p>
      <w:pPr>
        <w:spacing w:line="360" w:lineRule="auto"/>
        <w:ind w:firstLine="480" w:firstLineChars="200"/>
        <w:jc w:val="left"/>
        <w:rPr>
          <w:sz w:val="24"/>
          <w:szCs w:val="21"/>
        </w:rPr>
      </w:pPr>
      <w:r>
        <w:rPr>
          <w:sz w:val="24"/>
          <w:szCs w:val="21"/>
        </w:rPr>
        <w:t>（6）《关于加强建设项目主要污染物排放总量管理的通知》（冀环办[2008]23号）；</w:t>
      </w:r>
    </w:p>
    <w:p>
      <w:pPr>
        <w:spacing w:line="360" w:lineRule="auto"/>
        <w:ind w:firstLine="480" w:firstLineChars="200"/>
        <w:jc w:val="left"/>
        <w:rPr>
          <w:sz w:val="24"/>
          <w:szCs w:val="21"/>
        </w:rPr>
      </w:pPr>
      <w:r>
        <w:rPr>
          <w:sz w:val="24"/>
          <w:szCs w:val="21"/>
        </w:rPr>
        <w:t>（7）《河北省大气污染防治行动计划实施方案》(冀发[2013]23号)；</w:t>
      </w:r>
    </w:p>
    <w:p>
      <w:pPr>
        <w:spacing w:line="360" w:lineRule="auto"/>
        <w:ind w:firstLine="480" w:firstLineChars="200"/>
        <w:jc w:val="left"/>
        <w:rPr>
          <w:sz w:val="24"/>
          <w:szCs w:val="21"/>
        </w:rPr>
      </w:pPr>
      <w:r>
        <w:rPr>
          <w:sz w:val="24"/>
          <w:szCs w:val="21"/>
        </w:rPr>
        <w:t>（8）《河北省水污染防治工作方案》(冀发[2015]28号)；</w:t>
      </w:r>
    </w:p>
    <w:p>
      <w:pPr>
        <w:spacing w:line="360" w:lineRule="auto"/>
        <w:ind w:firstLine="480" w:firstLineChars="200"/>
        <w:jc w:val="left"/>
        <w:rPr>
          <w:sz w:val="24"/>
          <w:szCs w:val="21"/>
        </w:rPr>
      </w:pPr>
      <w:r>
        <w:rPr>
          <w:sz w:val="24"/>
          <w:szCs w:val="21"/>
        </w:rPr>
        <w:t>（9）《河北省“净土行动”土壤污染防治工作方案》(冀政发[2017]3号)；</w:t>
      </w:r>
    </w:p>
    <w:p>
      <w:pPr>
        <w:spacing w:line="360" w:lineRule="auto"/>
        <w:ind w:firstLine="480" w:firstLineChars="200"/>
        <w:jc w:val="left"/>
        <w:rPr>
          <w:sz w:val="24"/>
          <w:szCs w:val="21"/>
        </w:rPr>
      </w:pPr>
      <w:r>
        <w:rPr>
          <w:sz w:val="24"/>
          <w:szCs w:val="21"/>
        </w:rPr>
        <w:t>（10）《河北省人民政府关于河北省生态环境保护“十</w:t>
      </w:r>
      <w:r>
        <w:rPr>
          <w:rFonts w:hint="eastAsia"/>
          <w:sz w:val="24"/>
          <w:szCs w:val="21"/>
        </w:rPr>
        <w:t>四</w:t>
      </w:r>
      <w:r>
        <w:rPr>
          <w:sz w:val="24"/>
          <w:szCs w:val="21"/>
        </w:rPr>
        <w:t>五”规划》（</w:t>
      </w:r>
      <w:r>
        <w:rPr>
          <w:rFonts w:hint="eastAsia"/>
          <w:sz w:val="24"/>
          <w:szCs w:val="21"/>
        </w:rPr>
        <w:t>2</w:t>
      </w:r>
      <w:r>
        <w:rPr>
          <w:sz w:val="24"/>
          <w:szCs w:val="21"/>
        </w:rPr>
        <w:t>022</w:t>
      </w:r>
      <w:r>
        <w:rPr>
          <w:rFonts w:hint="eastAsia"/>
          <w:sz w:val="24"/>
          <w:szCs w:val="21"/>
        </w:rPr>
        <w:t>年1月1</w:t>
      </w:r>
      <w:r>
        <w:rPr>
          <w:sz w:val="24"/>
          <w:szCs w:val="21"/>
        </w:rPr>
        <w:t>2</w:t>
      </w:r>
      <w:r>
        <w:rPr>
          <w:rFonts w:hint="eastAsia"/>
          <w:sz w:val="24"/>
          <w:szCs w:val="21"/>
        </w:rPr>
        <w:t>日</w:t>
      </w:r>
      <w:r>
        <w:rPr>
          <w:sz w:val="24"/>
          <w:szCs w:val="21"/>
        </w:rPr>
        <w:t>）；</w:t>
      </w:r>
    </w:p>
    <w:p>
      <w:pPr>
        <w:spacing w:line="360" w:lineRule="auto"/>
        <w:ind w:firstLine="480" w:firstLineChars="200"/>
        <w:jc w:val="left"/>
        <w:rPr>
          <w:sz w:val="24"/>
          <w:szCs w:val="21"/>
        </w:rPr>
      </w:pPr>
      <w:r>
        <w:rPr>
          <w:sz w:val="24"/>
          <w:szCs w:val="21"/>
        </w:rPr>
        <w:t>（11）《关于进一步改革和优化建设项目主要污染物排放总量核定工作的通知》（冀环总[2014]283号）；</w:t>
      </w:r>
    </w:p>
    <w:p>
      <w:pPr>
        <w:spacing w:line="360" w:lineRule="auto"/>
        <w:ind w:firstLine="480" w:firstLineChars="200"/>
        <w:jc w:val="left"/>
        <w:rPr>
          <w:sz w:val="24"/>
          <w:szCs w:val="21"/>
        </w:rPr>
      </w:pPr>
      <w:r>
        <w:rPr>
          <w:sz w:val="24"/>
          <w:szCs w:val="21"/>
        </w:rPr>
        <w:t>（12）《关于规范部分省批建设项目排污权交易有关问题的通知》（冀环办发[2014]190号）；</w:t>
      </w:r>
    </w:p>
    <w:p>
      <w:pPr>
        <w:widowControl/>
        <w:spacing w:line="460" w:lineRule="exact"/>
        <w:ind w:firstLine="480" w:firstLineChars="200"/>
        <w:rPr>
          <w:kern w:val="0"/>
          <w:sz w:val="24"/>
          <w:szCs w:val="24"/>
        </w:rPr>
      </w:pPr>
      <w:r>
        <w:rPr>
          <w:kern w:val="0"/>
          <w:sz w:val="24"/>
          <w:szCs w:val="24"/>
        </w:rPr>
        <w:t>（13）《河北省人民政府关于印发河北省打赢蓝天保卫战三年行动计划》（冀政发[2018]10号）；</w:t>
      </w:r>
    </w:p>
    <w:p>
      <w:pPr>
        <w:widowControl/>
        <w:spacing w:line="460" w:lineRule="exact"/>
        <w:ind w:firstLine="480" w:firstLineChars="200"/>
        <w:rPr>
          <w:kern w:val="0"/>
          <w:sz w:val="24"/>
          <w:szCs w:val="24"/>
        </w:rPr>
      </w:pPr>
      <w:r>
        <w:rPr>
          <w:kern w:val="0"/>
          <w:sz w:val="24"/>
          <w:szCs w:val="24"/>
        </w:rPr>
        <w:t>（14）《关于加强全省生活垃圾焚烧发电项目飞灰、炉渣处置及管控的通知》（冀发改环资[2020]234号）；</w:t>
      </w:r>
    </w:p>
    <w:p>
      <w:pPr>
        <w:widowControl/>
        <w:spacing w:line="460" w:lineRule="exact"/>
        <w:ind w:firstLine="480" w:firstLineChars="200"/>
        <w:rPr>
          <w:sz w:val="24"/>
          <w:szCs w:val="24"/>
        </w:rPr>
      </w:pPr>
      <w:r>
        <w:rPr>
          <w:sz w:val="24"/>
          <w:szCs w:val="24"/>
        </w:rPr>
        <w:t>（15）《京津冀及周边地区、汾渭平原2020-2021年秋冬季大气污染综合治理攻坚行动方案》（环大气〔2020〕61号）；</w:t>
      </w:r>
    </w:p>
    <w:p>
      <w:pPr>
        <w:widowControl/>
        <w:spacing w:line="460" w:lineRule="exact"/>
        <w:ind w:firstLine="480" w:firstLineChars="200"/>
        <w:rPr>
          <w:sz w:val="24"/>
          <w:szCs w:val="24"/>
        </w:rPr>
      </w:pPr>
      <w:r>
        <w:rPr>
          <w:sz w:val="24"/>
          <w:szCs w:val="24"/>
        </w:rPr>
        <w:t>（16）《河北省生态环境厅审批环境影响评价文件的建设项目目录（2020年本）》（河北省生态环境厅通告2020年第1号）。</w:t>
      </w:r>
    </w:p>
    <w:p>
      <w:pPr>
        <w:widowControl/>
        <w:spacing w:line="460" w:lineRule="exact"/>
        <w:ind w:firstLine="480" w:firstLineChars="200"/>
        <w:rPr>
          <w:sz w:val="24"/>
          <w:szCs w:val="24"/>
        </w:rPr>
      </w:pPr>
      <w:r>
        <w:rPr>
          <w:sz w:val="24"/>
          <w:szCs w:val="21"/>
        </w:rPr>
        <w:t>（17）《河北省扬尘污染防治办法》（河北省人民政府令〔2020〕第1号，自20</w:t>
      </w:r>
      <w:r>
        <w:rPr>
          <w:sz w:val="24"/>
          <w:szCs w:val="24"/>
        </w:rPr>
        <w:t>20年4月1日起施行）；</w:t>
      </w:r>
    </w:p>
    <w:p>
      <w:pPr>
        <w:widowControl/>
        <w:spacing w:line="460" w:lineRule="exact"/>
        <w:ind w:firstLine="480" w:firstLineChars="200"/>
        <w:rPr>
          <w:sz w:val="24"/>
          <w:szCs w:val="24"/>
        </w:rPr>
      </w:pPr>
      <w:r>
        <w:rPr>
          <w:rFonts w:hint="eastAsia"/>
          <w:sz w:val="24"/>
          <w:szCs w:val="24"/>
        </w:rPr>
        <w:t>（1</w:t>
      </w:r>
      <w:r>
        <w:rPr>
          <w:sz w:val="24"/>
          <w:szCs w:val="24"/>
        </w:rPr>
        <w:t>8</w:t>
      </w:r>
      <w:r>
        <w:rPr>
          <w:rFonts w:hint="eastAsia"/>
          <w:sz w:val="24"/>
          <w:szCs w:val="24"/>
        </w:rPr>
        <w:t>）</w:t>
      </w:r>
      <w:r>
        <w:rPr>
          <w:sz w:val="24"/>
          <w:szCs w:val="24"/>
        </w:rPr>
        <w:t xml:space="preserve">关于印发《康保县等坝上六县国家重点生态功能区产业准入负面清单（试行）》的通知 </w:t>
      </w:r>
      <w:r>
        <w:rPr>
          <w:rFonts w:hint="eastAsia"/>
          <w:sz w:val="24"/>
          <w:szCs w:val="24"/>
        </w:rPr>
        <w:t>（冀发改规划〔2017〕248号）</w:t>
      </w:r>
    </w:p>
    <w:p>
      <w:pPr>
        <w:spacing w:line="360" w:lineRule="auto"/>
        <w:ind w:firstLine="480" w:firstLineChars="200"/>
        <w:jc w:val="left"/>
        <w:rPr>
          <w:sz w:val="24"/>
          <w:szCs w:val="21"/>
        </w:rPr>
      </w:pPr>
      <w:r>
        <w:rPr>
          <w:sz w:val="24"/>
          <w:szCs w:val="21"/>
        </w:rPr>
        <w:t>（19）《承德市重污染天气应急预案》（</w:t>
      </w:r>
      <w:r>
        <w:rPr>
          <w:rFonts w:hint="eastAsia"/>
          <w:sz w:val="24"/>
          <w:szCs w:val="21"/>
        </w:rPr>
        <w:t>2</w:t>
      </w:r>
      <w:r>
        <w:rPr>
          <w:sz w:val="24"/>
          <w:szCs w:val="21"/>
        </w:rPr>
        <w:t>021</w:t>
      </w:r>
      <w:r>
        <w:rPr>
          <w:rFonts w:hint="eastAsia"/>
          <w:sz w:val="24"/>
          <w:szCs w:val="21"/>
        </w:rPr>
        <w:t>年</w:t>
      </w:r>
      <w:r>
        <w:rPr>
          <w:sz w:val="24"/>
          <w:szCs w:val="21"/>
        </w:rPr>
        <w:t>）；</w:t>
      </w:r>
    </w:p>
    <w:p>
      <w:pPr>
        <w:spacing w:line="360" w:lineRule="auto"/>
        <w:ind w:firstLine="480" w:firstLineChars="200"/>
        <w:jc w:val="left"/>
        <w:rPr>
          <w:sz w:val="24"/>
          <w:szCs w:val="21"/>
        </w:rPr>
      </w:pPr>
      <w:r>
        <w:rPr>
          <w:rFonts w:hint="eastAsia"/>
          <w:sz w:val="24"/>
          <w:szCs w:val="21"/>
        </w:rPr>
        <w:t>（</w:t>
      </w:r>
      <w:r>
        <w:rPr>
          <w:sz w:val="24"/>
          <w:szCs w:val="21"/>
        </w:rPr>
        <w:t>20</w:t>
      </w:r>
      <w:r>
        <w:rPr>
          <w:rFonts w:hint="eastAsia"/>
          <w:sz w:val="24"/>
          <w:szCs w:val="21"/>
        </w:rPr>
        <w:t>）《承德市关于加快“三线一单”生态环境分区管控的意见》；</w:t>
      </w:r>
    </w:p>
    <w:p>
      <w:pPr>
        <w:widowControl/>
        <w:spacing w:line="460" w:lineRule="exact"/>
        <w:ind w:firstLine="480" w:firstLineChars="200"/>
        <w:rPr>
          <w:sz w:val="24"/>
          <w:szCs w:val="24"/>
        </w:rPr>
      </w:pPr>
      <w:r>
        <w:rPr>
          <w:rFonts w:hint="eastAsia"/>
          <w:sz w:val="24"/>
          <w:szCs w:val="24"/>
        </w:rPr>
        <w:t>（2</w:t>
      </w:r>
      <w:r>
        <w:rPr>
          <w:sz w:val="24"/>
          <w:szCs w:val="24"/>
        </w:rPr>
        <w:t>1</w:t>
      </w:r>
      <w:r>
        <w:rPr>
          <w:rFonts w:hint="eastAsia"/>
          <w:sz w:val="24"/>
          <w:szCs w:val="24"/>
        </w:rPr>
        <w:t>）《承德市滦河潮河保护条例》（2</w:t>
      </w:r>
      <w:r>
        <w:rPr>
          <w:sz w:val="24"/>
          <w:szCs w:val="24"/>
        </w:rPr>
        <w:t>021</w:t>
      </w:r>
      <w:r>
        <w:rPr>
          <w:rFonts w:hint="eastAsia"/>
          <w:sz w:val="24"/>
          <w:szCs w:val="24"/>
        </w:rPr>
        <w:t>年</w:t>
      </w:r>
      <w:r>
        <w:rPr>
          <w:sz w:val="24"/>
          <w:szCs w:val="24"/>
        </w:rPr>
        <w:t>12</w:t>
      </w:r>
      <w:r>
        <w:rPr>
          <w:rFonts w:hint="eastAsia"/>
          <w:sz w:val="24"/>
          <w:szCs w:val="24"/>
        </w:rPr>
        <w:t>月1日）。</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环境影响评价</w:t>
      </w:r>
      <w:r>
        <w:rPr>
          <w:rFonts w:hint="eastAsia" w:ascii="Times New Roman" w:hAnsi="Times New Roman"/>
        </w:rPr>
        <w:t>导则及技术</w:t>
      </w:r>
      <w:r>
        <w:rPr>
          <w:rFonts w:ascii="Times New Roman" w:hAnsi="Times New Roman"/>
        </w:rPr>
        <w:t>规范文件</w:t>
      </w:r>
    </w:p>
    <w:p>
      <w:pPr>
        <w:tabs>
          <w:tab w:val="left" w:pos="1062"/>
        </w:tabs>
        <w:adjustRightInd w:val="0"/>
        <w:snapToGrid w:val="0"/>
        <w:spacing w:line="360" w:lineRule="auto"/>
        <w:ind w:left="105" w:leftChars="50" w:firstLine="480" w:firstLineChars="200"/>
        <w:rPr>
          <w:sz w:val="24"/>
        </w:rPr>
      </w:pPr>
      <w:r>
        <w:rPr>
          <w:sz w:val="24"/>
        </w:rPr>
        <w:t>（1）《建设项目环境影响评价技术导则—总纲》（HJ2.1-2016）；</w:t>
      </w:r>
    </w:p>
    <w:p>
      <w:pPr>
        <w:tabs>
          <w:tab w:val="left" w:pos="1062"/>
        </w:tabs>
        <w:adjustRightInd w:val="0"/>
        <w:snapToGrid w:val="0"/>
        <w:spacing w:line="360" w:lineRule="auto"/>
        <w:ind w:left="105" w:leftChars="50" w:firstLine="480" w:firstLineChars="200"/>
        <w:rPr>
          <w:sz w:val="24"/>
        </w:rPr>
      </w:pPr>
      <w:r>
        <w:rPr>
          <w:sz w:val="24"/>
        </w:rPr>
        <w:t>（2）《环境影响评价技术导则—大气环境》（HJ2.2-2018）；</w:t>
      </w:r>
    </w:p>
    <w:p>
      <w:pPr>
        <w:tabs>
          <w:tab w:val="left" w:pos="1062"/>
        </w:tabs>
        <w:adjustRightInd w:val="0"/>
        <w:snapToGrid w:val="0"/>
        <w:spacing w:line="360" w:lineRule="auto"/>
        <w:ind w:left="105" w:leftChars="50" w:firstLine="480" w:firstLineChars="200"/>
        <w:rPr>
          <w:sz w:val="24"/>
        </w:rPr>
      </w:pPr>
      <w:r>
        <w:rPr>
          <w:sz w:val="24"/>
        </w:rPr>
        <w:t>（3）《环境影响评价技术导则—地表水环境》（HJ2.3-2018）；</w:t>
      </w:r>
    </w:p>
    <w:p>
      <w:pPr>
        <w:tabs>
          <w:tab w:val="left" w:pos="1062"/>
        </w:tabs>
        <w:adjustRightInd w:val="0"/>
        <w:snapToGrid w:val="0"/>
        <w:spacing w:line="360" w:lineRule="auto"/>
        <w:ind w:left="105" w:leftChars="50" w:firstLine="480" w:firstLineChars="200"/>
        <w:rPr>
          <w:sz w:val="24"/>
        </w:rPr>
      </w:pPr>
      <w:r>
        <w:rPr>
          <w:sz w:val="24"/>
        </w:rPr>
        <w:t>（4）《环境影响评价技术导则—声环境》（HJ2.4-2021）；</w:t>
      </w:r>
    </w:p>
    <w:p>
      <w:pPr>
        <w:tabs>
          <w:tab w:val="left" w:pos="1062"/>
        </w:tabs>
        <w:adjustRightInd w:val="0"/>
        <w:snapToGrid w:val="0"/>
        <w:spacing w:line="360" w:lineRule="auto"/>
        <w:ind w:left="105" w:leftChars="50" w:firstLine="480" w:firstLineChars="200"/>
        <w:rPr>
          <w:sz w:val="24"/>
        </w:rPr>
      </w:pPr>
      <w:r>
        <w:rPr>
          <w:sz w:val="24"/>
        </w:rPr>
        <w:t>（5）《建设项目环境风险评价技术导则》（HJ169-2018）；</w:t>
      </w:r>
    </w:p>
    <w:p>
      <w:pPr>
        <w:tabs>
          <w:tab w:val="left" w:pos="1062"/>
        </w:tabs>
        <w:adjustRightInd w:val="0"/>
        <w:snapToGrid w:val="0"/>
        <w:spacing w:line="360" w:lineRule="auto"/>
        <w:ind w:left="105" w:leftChars="50" w:firstLine="480" w:firstLineChars="200"/>
        <w:rPr>
          <w:sz w:val="24"/>
        </w:rPr>
      </w:pPr>
      <w:r>
        <w:rPr>
          <w:sz w:val="24"/>
        </w:rPr>
        <w:t>（6）《环境影响评价技术导则—地下水环境》（HJ610-2016）；</w:t>
      </w:r>
    </w:p>
    <w:p>
      <w:pPr>
        <w:tabs>
          <w:tab w:val="left" w:pos="1062"/>
        </w:tabs>
        <w:adjustRightInd w:val="0"/>
        <w:snapToGrid w:val="0"/>
        <w:spacing w:line="360" w:lineRule="auto"/>
        <w:ind w:left="105" w:leftChars="50" w:firstLine="480" w:firstLineChars="200"/>
        <w:rPr>
          <w:sz w:val="24"/>
        </w:rPr>
      </w:pPr>
      <w:r>
        <w:rPr>
          <w:sz w:val="24"/>
        </w:rPr>
        <w:t>（7）《环境影响评价技术导则—生态影响》（HJ19-2022）；</w:t>
      </w:r>
    </w:p>
    <w:p>
      <w:pPr>
        <w:tabs>
          <w:tab w:val="left" w:pos="1062"/>
        </w:tabs>
        <w:adjustRightInd w:val="0"/>
        <w:snapToGrid w:val="0"/>
        <w:spacing w:line="360" w:lineRule="auto"/>
        <w:ind w:left="105" w:leftChars="50" w:firstLine="480" w:firstLineChars="200"/>
        <w:rPr>
          <w:sz w:val="24"/>
        </w:rPr>
      </w:pPr>
      <w:r>
        <w:rPr>
          <w:sz w:val="24"/>
        </w:rPr>
        <w:t>（8）《环境影响评价技术导则—土壤环境（试行）》（HJ964-2018）；</w:t>
      </w:r>
    </w:p>
    <w:p>
      <w:pPr>
        <w:tabs>
          <w:tab w:val="left" w:pos="1062"/>
        </w:tabs>
        <w:adjustRightInd w:val="0"/>
        <w:snapToGrid w:val="0"/>
        <w:spacing w:line="360" w:lineRule="auto"/>
        <w:ind w:left="105" w:leftChars="50" w:firstLine="480" w:firstLineChars="200"/>
        <w:rPr>
          <w:sz w:val="24"/>
        </w:rPr>
      </w:pPr>
      <w:r>
        <w:rPr>
          <w:sz w:val="24"/>
        </w:rPr>
        <w:t>（9）《生活垃圾填埋场污染控制标准》（GB16889-2008）；</w:t>
      </w:r>
    </w:p>
    <w:p>
      <w:pPr>
        <w:tabs>
          <w:tab w:val="left" w:pos="1062"/>
        </w:tabs>
        <w:adjustRightInd w:val="0"/>
        <w:snapToGrid w:val="0"/>
        <w:spacing w:line="360" w:lineRule="auto"/>
        <w:ind w:left="105" w:leftChars="50" w:firstLine="480" w:firstLineChars="200"/>
        <w:rPr>
          <w:sz w:val="24"/>
        </w:rPr>
      </w:pPr>
      <w:r>
        <w:rPr>
          <w:sz w:val="24"/>
        </w:rPr>
        <w:t>（10）《生活垃圾卫生填埋处理技术规范》（GB50869-2013）；</w:t>
      </w:r>
    </w:p>
    <w:p>
      <w:pPr>
        <w:tabs>
          <w:tab w:val="left" w:pos="1062"/>
        </w:tabs>
        <w:adjustRightInd w:val="0"/>
        <w:snapToGrid w:val="0"/>
        <w:spacing w:line="360" w:lineRule="auto"/>
        <w:ind w:left="105" w:leftChars="50" w:firstLine="480" w:firstLineChars="200"/>
        <w:rPr>
          <w:sz w:val="24"/>
        </w:rPr>
      </w:pPr>
      <w:r>
        <w:rPr>
          <w:sz w:val="24"/>
        </w:rPr>
        <w:t>（11）《生活垃圾卫生填埋场防渗系统工程技术规范》（CJJ113-2007）；</w:t>
      </w:r>
    </w:p>
    <w:p>
      <w:pPr>
        <w:tabs>
          <w:tab w:val="left" w:pos="1062"/>
        </w:tabs>
        <w:adjustRightInd w:val="0"/>
        <w:snapToGrid w:val="0"/>
        <w:spacing w:line="360" w:lineRule="auto"/>
        <w:ind w:left="105" w:leftChars="50" w:firstLine="480" w:firstLineChars="200"/>
        <w:rPr>
          <w:sz w:val="24"/>
        </w:rPr>
      </w:pPr>
      <w:r>
        <w:rPr>
          <w:sz w:val="24"/>
        </w:rPr>
        <w:t>（12）《生活垃圾卫生填埋场封场技术规程》（GB51220-2017）；</w:t>
      </w:r>
    </w:p>
    <w:p>
      <w:pPr>
        <w:tabs>
          <w:tab w:val="left" w:pos="1062"/>
        </w:tabs>
        <w:adjustRightInd w:val="0"/>
        <w:snapToGrid w:val="0"/>
        <w:spacing w:line="360" w:lineRule="auto"/>
        <w:ind w:left="105" w:leftChars="50" w:firstLine="480" w:firstLineChars="200"/>
        <w:rPr>
          <w:sz w:val="24"/>
        </w:rPr>
      </w:pPr>
      <w:r>
        <w:rPr>
          <w:sz w:val="24"/>
        </w:rPr>
        <w:t>（13）《生活垃圾处理技术指南》（建城[2010]61 号）；</w:t>
      </w:r>
    </w:p>
    <w:p>
      <w:pPr>
        <w:tabs>
          <w:tab w:val="left" w:pos="1062"/>
        </w:tabs>
        <w:adjustRightInd w:val="0"/>
        <w:snapToGrid w:val="0"/>
        <w:spacing w:line="360" w:lineRule="auto"/>
        <w:ind w:left="105" w:leftChars="50" w:firstLine="480" w:firstLineChars="200"/>
        <w:rPr>
          <w:sz w:val="24"/>
        </w:rPr>
      </w:pPr>
      <w:r>
        <w:rPr>
          <w:sz w:val="24"/>
        </w:rPr>
        <w:t>（14）《生活垃圾填埋场渗滤液处理工程技术规范(试行)》（HJ564-2010）；</w:t>
      </w:r>
    </w:p>
    <w:p>
      <w:pPr>
        <w:tabs>
          <w:tab w:val="left" w:pos="1062"/>
        </w:tabs>
        <w:adjustRightInd w:val="0"/>
        <w:snapToGrid w:val="0"/>
        <w:spacing w:line="360" w:lineRule="auto"/>
        <w:ind w:left="105" w:leftChars="50" w:firstLine="480" w:firstLineChars="200"/>
        <w:rPr>
          <w:sz w:val="24"/>
        </w:rPr>
      </w:pPr>
      <w:r>
        <w:rPr>
          <w:sz w:val="24"/>
        </w:rPr>
        <w:t>（15）《城市环境卫生设施规划规范》（GB50337-2003）；</w:t>
      </w:r>
    </w:p>
    <w:p>
      <w:pPr>
        <w:tabs>
          <w:tab w:val="left" w:pos="1062"/>
        </w:tabs>
        <w:adjustRightInd w:val="0"/>
        <w:snapToGrid w:val="0"/>
        <w:spacing w:line="360" w:lineRule="auto"/>
        <w:ind w:left="105" w:leftChars="50" w:firstLine="480" w:firstLineChars="200"/>
        <w:rPr>
          <w:sz w:val="24"/>
        </w:rPr>
      </w:pPr>
      <w:r>
        <w:rPr>
          <w:sz w:val="24"/>
        </w:rPr>
        <w:t>（16）《城市生活垃圾处理及污染防治技术政策》（城建[2000]120 号）；</w:t>
      </w:r>
    </w:p>
    <w:p>
      <w:pPr>
        <w:tabs>
          <w:tab w:val="left" w:pos="1062"/>
        </w:tabs>
        <w:adjustRightInd w:val="0"/>
        <w:snapToGrid w:val="0"/>
        <w:spacing w:line="360" w:lineRule="auto"/>
        <w:ind w:left="105" w:leftChars="50" w:firstLine="480" w:firstLineChars="200"/>
        <w:rPr>
          <w:sz w:val="24"/>
        </w:rPr>
      </w:pPr>
      <w:r>
        <w:rPr>
          <w:sz w:val="24"/>
        </w:rPr>
        <w:t>（17）《生活垃圾卫生填埋场环境监测技术要求》（GB/T18772-2017）；</w:t>
      </w:r>
    </w:p>
    <w:p>
      <w:pPr>
        <w:tabs>
          <w:tab w:val="left" w:pos="1062"/>
        </w:tabs>
        <w:adjustRightInd w:val="0"/>
        <w:snapToGrid w:val="0"/>
        <w:spacing w:line="360" w:lineRule="auto"/>
        <w:ind w:left="105" w:leftChars="50" w:firstLine="480" w:firstLineChars="200"/>
        <w:rPr>
          <w:sz w:val="24"/>
        </w:rPr>
      </w:pPr>
      <w:r>
        <w:rPr>
          <w:sz w:val="24"/>
        </w:rPr>
        <w:t>（18）《生活垃圾卫生填埋场运行维护技术规程》（CJJ93-2011）；</w:t>
      </w:r>
    </w:p>
    <w:p>
      <w:pPr>
        <w:tabs>
          <w:tab w:val="left" w:pos="1062"/>
        </w:tabs>
        <w:adjustRightInd w:val="0"/>
        <w:snapToGrid w:val="0"/>
        <w:spacing w:line="360" w:lineRule="auto"/>
        <w:ind w:left="105" w:leftChars="50" w:firstLine="480" w:firstLineChars="200"/>
        <w:rPr>
          <w:sz w:val="24"/>
        </w:rPr>
      </w:pPr>
      <w:r>
        <w:rPr>
          <w:sz w:val="24"/>
        </w:rPr>
        <w:t>（19）《生活垃圾卫生填埋处理工程项目建设标准》（建标 124-2009）；</w:t>
      </w:r>
    </w:p>
    <w:p>
      <w:pPr>
        <w:tabs>
          <w:tab w:val="left" w:pos="1062"/>
        </w:tabs>
        <w:adjustRightInd w:val="0"/>
        <w:snapToGrid w:val="0"/>
        <w:spacing w:line="360" w:lineRule="auto"/>
        <w:ind w:left="105" w:leftChars="50" w:firstLine="480" w:firstLineChars="200"/>
        <w:rPr>
          <w:sz w:val="24"/>
        </w:rPr>
      </w:pPr>
      <w:r>
        <w:rPr>
          <w:sz w:val="24"/>
        </w:rPr>
        <w:t>（20）《生活垃圾焚烧飞灰污染控制技术规范》（HJ1134-2020）；</w:t>
      </w:r>
    </w:p>
    <w:p>
      <w:pPr>
        <w:tabs>
          <w:tab w:val="left" w:pos="1062"/>
        </w:tabs>
        <w:adjustRightInd w:val="0"/>
        <w:snapToGrid w:val="0"/>
        <w:spacing w:line="360" w:lineRule="auto"/>
        <w:ind w:left="105" w:leftChars="50" w:firstLine="480" w:firstLineChars="200"/>
        <w:rPr>
          <w:sz w:val="24"/>
        </w:rPr>
      </w:pPr>
      <w:r>
        <w:rPr>
          <w:sz w:val="24"/>
        </w:rPr>
        <w:t>（21）《排污单位自行监测技术指南</w:t>
      </w:r>
      <w:r>
        <w:rPr>
          <w:sz w:val="24"/>
        </w:rPr>
        <w:tab/>
      </w:r>
      <w:r>
        <w:rPr>
          <w:sz w:val="24"/>
        </w:rPr>
        <w:t>总则》（HJ819-2017）；</w:t>
      </w:r>
    </w:p>
    <w:p>
      <w:pPr>
        <w:tabs>
          <w:tab w:val="left" w:pos="1062"/>
        </w:tabs>
        <w:adjustRightInd w:val="0"/>
        <w:snapToGrid w:val="0"/>
        <w:spacing w:line="360" w:lineRule="auto"/>
        <w:ind w:left="105" w:leftChars="50" w:firstLine="480" w:firstLineChars="200"/>
        <w:rPr>
          <w:sz w:val="24"/>
        </w:rPr>
      </w:pPr>
      <w:r>
        <w:rPr>
          <w:sz w:val="24"/>
        </w:rPr>
        <w:t>（22）《排污许可证申请与核发技术规范 环境卫生管理业》（HJ1106-2020）。</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相关规划</w:t>
      </w:r>
    </w:p>
    <w:p>
      <w:pPr>
        <w:spacing w:line="360" w:lineRule="auto"/>
        <w:ind w:firstLine="480" w:firstLineChars="200"/>
        <w:rPr>
          <w:kern w:val="24"/>
          <w:sz w:val="24"/>
        </w:rPr>
      </w:pPr>
      <w:r>
        <w:rPr>
          <w:sz w:val="24"/>
        </w:rPr>
        <w:t>（1）</w:t>
      </w:r>
      <w:r>
        <w:rPr>
          <w:kern w:val="24"/>
          <w:sz w:val="24"/>
        </w:rPr>
        <w:t>《河北省城乡生活垃圾处理设施建设三年行动计划（2018-2020年）》；</w:t>
      </w:r>
    </w:p>
    <w:p>
      <w:pPr>
        <w:spacing w:line="360" w:lineRule="auto"/>
        <w:ind w:firstLine="480" w:firstLineChars="200"/>
        <w:rPr>
          <w:sz w:val="24"/>
        </w:rPr>
      </w:pPr>
      <w:r>
        <w:rPr>
          <w:sz w:val="24"/>
        </w:rPr>
        <w:t>（2）《</w:t>
      </w:r>
      <w:r>
        <w:rPr>
          <w:kern w:val="24"/>
          <w:sz w:val="24"/>
        </w:rPr>
        <w:t>围场满族蒙古族自治县</w:t>
      </w:r>
      <w:r>
        <w:rPr>
          <w:sz w:val="24"/>
        </w:rPr>
        <w:t>城乡总体规划（2013～2030）》；</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其他技术文件</w:t>
      </w:r>
    </w:p>
    <w:p>
      <w:pPr>
        <w:tabs>
          <w:tab w:val="left" w:pos="1062"/>
        </w:tabs>
        <w:spacing w:line="360" w:lineRule="auto"/>
        <w:ind w:left="105" w:leftChars="50" w:firstLine="480" w:firstLineChars="200"/>
        <w:rPr>
          <w:kern w:val="24"/>
          <w:sz w:val="24"/>
        </w:rPr>
      </w:pPr>
      <w:r>
        <w:rPr>
          <w:kern w:val="24"/>
          <w:sz w:val="24"/>
        </w:rPr>
        <w:t>（1）《围场满族蒙古族自治县静脉产业园飞灰填埋场项目可行性研究报告（2022年6月）》；</w:t>
      </w:r>
    </w:p>
    <w:p>
      <w:pPr>
        <w:tabs>
          <w:tab w:val="left" w:pos="1062"/>
        </w:tabs>
        <w:spacing w:line="360" w:lineRule="auto"/>
        <w:ind w:left="105" w:leftChars="50" w:firstLine="480" w:firstLineChars="200"/>
        <w:rPr>
          <w:kern w:val="24"/>
          <w:sz w:val="24"/>
        </w:rPr>
      </w:pPr>
      <w:r>
        <w:rPr>
          <w:rFonts w:hint="eastAsia"/>
          <w:kern w:val="24"/>
          <w:sz w:val="24"/>
        </w:rPr>
        <w:t>（2）</w:t>
      </w:r>
      <w:r>
        <w:rPr>
          <w:kern w:val="24"/>
          <w:sz w:val="24"/>
        </w:rPr>
        <w:t>建设单位提供的其他技术资料。</w:t>
      </w:r>
    </w:p>
    <w:p>
      <w:pPr>
        <w:pStyle w:val="61"/>
        <w:numPr>
          <w:ilvl w:val="1"/>
          <w:numId w:val="5"/>
        </w:numPr>
        <w:tabs>
          <w:tab w:val="left" w:pos="567"/>
          <w:tab w:val="clear" w:pos="432"/>
        </w:tabs>
        <w:spacing w:before="156" w:after="156"/>
        <w:ind w:left="0" w:firstLine="0"/>
        <w:rPr>
          <w:rFonts w:ascii="Times New Roman" w:hAnsi="Times New Roman"/>
        </w:rPr>
      </w:pPr>
      <w:bookmarkStart w:id="22" w:name="_Toc94101196"/>
      <w:r>
        <w:rPr>
          <w:rFonts w:ascii="Times New Roman" w:hAnsi="Times New Roman"/>
        </w:rPr>
        <w:t>评价目的与评价原则</w:t>
      </w:r>
      <w:bookmarkEnd w:id="22"/>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评价目的</w:t>
      </w:r>
    </w:p>
    <w:p>
      <w:pPr>
        <w:tabs>
          <w:tab w:val="left" w:pos="1062"/>
        </w:tabs>
        <w:spacing w:line="360" w:lineRule="auto"/>
        <w:ind w:left="105" w:leftChars="50" w:firstLine="480" w:firstLineChars="200"/>
        <w:rPr>
          <w:kern w:val="24"/>
          <w:sz w:val="24"/>
        </w:rPr>
      </w:pPr>
      <w:r>
        <w:rPr>
          <w:kern w:val="24"/>
          <w:sz w:val="24"/>
        </w:rPr>
        <w:t>本次评价目的是通过对所在区域的环境空气、地表水、地下水、噪声、土壤等现状环境质量进行调查，了解该区域的环境质量现状；根据当地的环境保护规划和本项目的可行性研究报告，预测项目建成后主要污染物的排放量及其对环境可能产生的影响程度和范围，提出把对环境可能产生的负面影响减至最小而必须采取的污染防治措施；从环境保护角度给出该工程是否可行的结论，并提出合理有效的环境保护对策，为环境保护管理部门的管理和本项目环保设施的设计提供科学依据。</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评价原则</w:t>
      </w:r>
    </w:p>
    <w:p>
      <w:pPr>
        <w:spacing w:line="360" w:lineRule="auto"/>
        <w:ind w:firstLine="480" w:firstLineChars="200"/>
        <w:rPr>
          <w:sz w:val="24"/>
        </w:rPr>
      </w:pPr>
      <w:r>
        <w:rPr>
          <w:rFonts w:hint="eastAsia"/>
          <w:sz w:val="24"/>
        </w:rPr>
        <w:t>环境影响评价突出环境影响的源头预防作用，坚持保护和改善环境质量。评价原则如下：</w:t>
      </w:r>
    </w:p>
    <w:p>
      <w:pPr>
        <w:spacing w:line="360" w:lineRule="auto"/>
        <w:ind w:firstLine="480" w:firstLineChars="200"/>
        <w:rPr>
          <w:sz w:val="24"/>
        </w:rPr>
      </w:pPr>
      <w:r>
        <w:rPr>
          <w:rFonts w:hint="eastAsia"/>
          <w:sz w:val="24"/>
        </w:rPr>
        <w:t>（1）依法评价</w:t>
      </w:r>
    </w:p>
    <w:p>
      <w:pPr>
        <w:spacing w:line="360" w:lineRule="auto"/>
        <w:ind w:firstLine="480" w:firstLineChars="200"/>
        <w:rPr>
          <w:sz w:val="24"/>
        </w:rPr>
      </w:pPr>
      <w:r>
        <w:rPr>
          <w:rFonts w:hint="eastAsia"/>
          <w:sz w:val="24"/>
        </w:rPr>
        <w:t>贯彻执行我国环境保护相关法律法规、标准、政策和规划等，优化项目建设，服务环境管理。</w:t>
      </w:r>
    </w:p>
    <w:p>
      <w:pPr>
        <w:spacing w:line="360" w:lineRule="auto"/>
        <w:ind w:firstLine="480" w:firstLineChars="200"/>
        <w:rPr>
          <w:sz w:val="24"/>
        </w:rPr>
      </w:pPr>
      <w:r>
        <w:rPr>
          <w:rFonts w:hint="eastAsia"/>
          <w:sz w:val="24"/>
        </w:rPr>
        <w:t>（2）科学评价</w:t>
      </w:r>
    </w:p>
    <w:p>
      <w:pPr>
        <w:spacing w:line="360" w:lineRule="auto"/>
        <w:ind w:firstLine="480" w:firstLineChars="200"/>
        <w:rPr>
          <w:sz w:val="24"/>
        </w:rPr>
      </w:pPr>
      <w:r>
        <w:rPr>
          <w:rFonts w:hint="eastAsia"/>
          <w:sz w:val="24"/>
        </w:rPr>
        <w:t>规范环境影响评价方法，科学分析项目建设对环境质量的影响。</w:t>
      </w:r>
    </w:p>
    <w:p>
      <w:pPr>
        <w:spacing w:line="360" w:lineRule="auto"/>
        <w:ind w:firstLine="480" w:firstLineChars="200"/>
        <w:rPr>
          <w:sz w:val="24"/>
        </w:rPr>
      </w:pPr>
      <w:r>
        <w:rPr>
          <w:rFonts w:hint="eastAsia"/>
          <w:sz w:val="24"/>
        </w:rPr>
        <w:t>（3）突出重点</w:t>
      </w:r>
    </w:p>
    <w:p>
      <w:pPr>
        <w:spacing w:line="360" w:lineRule="auto"/>
        <w:ind w:firstLine="480" w:firstLineChars="200"/>
        <w:rPr>
          <w:sz w:val="24"/>
        </w:rPr>
      </w:pPr>
      <w:r>
        <w:rPr>
          <w:rFonts w:hint="eastAsia"/>
          <w:sz w:val="24"/>
        </w:rPr>
        <w:t>根据建设项目的工程内容及特点，明确与环境要素间的作用效应关系，充分利用符合时效性的数据资料及成果，对建设项目主要环境影响予以重点分析和评价。</w:t>
      </w:r>
    </w:p>
    <w:p>
      <w:pPr>
        <w:pStyle w:val="61"/>
        <w:numPr>
          <w:ilvl w:val="1"/>
          <w:numId w:val="5"/>
        </w:numPr>
        <w:tabs>
          <w:tab w:val="left" w:pos="567"/>
          <w:tab w:val="clear" w:pos="432"/>
        </w:tabs>
        <w:spacing w:before="156" w:after="156"/>
        <w:ind w:left="0" w:firstLine="0"/>
        <w:rPr>
          <w:rFonts w:ascii="Times New Roman" w:hAnsi="Times New Roman"/>
        </w:rPr>
      </w:pPr>
      <w:bookmarkStart w:id="23" w:name="_Toc94101197"/>
      <w:r>
        <w:rPr>
          <w:rFonts w:ascii="Times New Roman" w:hAnsi="Times New Roman"/>
        </w:rPr>
        <w:t>环境影响识别与评价因子筛选</w:t>
      </w:r>
      <w:bookmarkEnd w:id="23"/>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环境影响识别</w:t>
      </w:r>
    </w:p>
    <w:p>
      <w:pPr>
        <w:spacing w:line="480" w:lineRule="exact"/>
        <w:ind w:firstLine="480" w:firstLineChars="200"/>
        <w:rPr>
          <w:sz w:val="24"/>
          <w:szCs w:val="24"/>
        </w:rPr>
      </w:pPr>
      <w:r>
        <w:rPr>
          <w:sz w:val="24"/>
          <w:szCs w:val="24"/>
        </w:rPr>
        <w:t>根据建设项目生产工艺流程和排污特征以及项目建设地区的环境状况，采用矩阵法对可能受项目影响的环境要素进行识别。其结果见表2.3-1。由表可</w:t>
      </w:r>
      <w:r>
        <w:rPr>
          <w:rFonts w:hint="eastAsia"/>
          <w:sz w:val="24"/>
          <w:szCs w:val="24"/>
        </w:rPr>
        <w:t>知</w:t>
      </w:r>
      <w:r>
        <w:rPr>
          <w:sz w:val="24"/>
          <w:szCs w:val="24"/>
        </w:rPr>
        <w:t>，项目的实施对周围环境的影响是多方面的，既存在短期、局部即可恢复的或正或负的影响，也存在长期的或正或负的影响。施工期主要是施工扬尘和施工机械噪声对大气环境、声环境的影响，随着施工期的结束，影响消失；营运期对环境的不利影响是长期存在的，在生产过程中，可能对环境空气、水环境、声环境产生不同程度的负面影响，但项目可清除垃圾填埋对环境的不利影响，有良好的环境效益。</w:t>
      </w:r>
    </w:p>
    <w:p>
      <w:pPr>
        <w:spacing w:line="360" w:lineRule="auto"/>
        <w:jc w:val="center"/>
        <w:rPr>
          <w:b/>
          <w:sz w:val="24"/>
          <w:szCs w:val="22"/>
        </w:rPr>
      </w:pPr>
      <w:r>
        <w:rPr>
          <w:b/>
          <w:sz w:val="24"/>
          <w:szCs w:val="22"/>
        </w:rPr>
        <w:t>表2.3-1    环境影响因素识别结果</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37"/>
        <w:gridCol w:w="962"/>
        <w:gridCol w:w="757"/>
        <w:gridCol w:w="702"/>
        <w:gridCol w:w="700"/>
        <w:gridCol w:w="562"/>
        <w:gridCol w:w="564"/>
        <w:gridCol w:w="560"/>
        <w:gridCol w:w="562"/>
        <w:gridCol w:w="944"/>
        <w:gridCol w:w="557"/>
        <w:gridCol w:w="629"/>
        <w:gridCol w:w="60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20" w:type="pct"/>
            <w:gridSpan w:val="2"/>
            <w:vMerge w:val="restar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影响因素</w:t>
            </w:r>
          </w:p>
        </w:tc>
        <w:tc>
          <w:tcPr>
            <w:tcW w:w="1970" w:type="pct"/>
            <w:gridSpan w:val="5"/>
            <w:vAlign w:val="center"/>
          </w:tcPr>
          <w:p>
            <w:pPr>
              <w:autoSpaceDE w:val="0"/>
              <w:autoSpaceDN w:val="0"/>
              <w:adjustRightInd w:val="0"/>
              <w:snapToGrid w:val="0"/>
              <w:jc w:val="center"/>
              <w:rPr>
                <w:rFonts w:eastAsiaTheme="minorEastAsia"/>
                <w:kern w:val="0"/>
                <w:szCs w:val="21"/>
              </w:rPr>
            </w:pPr>
            <w:r>
              <w:rPr>
                <w:rFonts w:eastAsiaTheme="minorEastAsia"/>
                <w:kern w:val="0"/>
                <w:szCs w:val="21"/>
              </w:rPr>
              <w:t>自然环境</w:t>
            </w:r>
          </w:p>
        </w:tc>
        <w:tc>
          <w:tcPr>
            <w:tcW w:w="1239" w:type="pct"/>
            <w:gridSpan w:val="3"/>
            <w:vAlign w:val="center"/>
          </w:tcPr>
          <w:p>
            <w:pPr>
              <w:autoSpaceDE w:val="0"/>
              <w:autoSpaceDN w:val="0"/>
              <w:adjustRightInd w:val="0"/>
              <w:snapToGrid w:val="0"/>
              <w:jc w:val="center"/>
              <w:rPr>
                <w:rFonts w:eastAsiaTheme="minorEastAsia"/>
                <w:kern w:val="0"/>
                <w:szCs w:val="21"/>
              </w:rPr>
            </w:pPr>
            <w:r>
              <w:rPr>
                <w:rFonts w:eastAsiaTheme="minorEastAsia"/>
                <w:kern w:val="0"/>
                <w:szCs w:val="21"/>
              </w:rPr>
              <w:t>生态环境</w:t>
            </w:r>
          </w:p>
        </w:tc>
        <w:tc>
          <w:tcPr>
            <w:tcW w:w="1071" w:type="pct"/>
            <w:gridSpan w:val="3"/>
            <w:vAlign w:val="center"/>
          </w:tcPr>
          <w:p>
            <w:pPr>
              <w:autoSpaceDE w:val="0"/>
              <w:autoSpaceDN w:val="0"/>
              <w:adjustRightInd w:val="0"/>
              <w:snapToGrid w:val="0"/>
              <w:jc w:val="center"/>
              <w:rPr>
                <w:rFonts w:eastAsiaTheme="minorEastAsia"/>
                <w:kern w:val="0"/>
                <w:szCs w:val="21"/>
              </w:rPr>
            </w:pPr>
            <w:r>
              <w:rPr>
                <w:rFonts w:eastAsiaTheme="minorEastAsia"/>
                <w:kern w:val="0"/>
                <w:szCs w:val="21"/>
              </w:rPr>
              <w:t>社会环境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20" w:type="pct"/>
            <w:gridSpan w:val="2"/>
            <w:vMerge w:val="continue"/>
            <w:vAlign w:val="center"/>
          </w:tcPr>
          <w:p>
            <w:pPr>
              <w:kinsoku w:val="0"/>
              <w:overflowPunct w:val="0"/>
              <w:autoSpaceDE w:val="0"/>
              <w:autoSpaceDN w:val="0"/>
              <w:adjustRightInd w:val="0"/>
              <w:snapToGrid w:val="0"/>
              <w:jc w:val="center"/>
              <w:rPr>
                <w:rFonts w:eastAsiaTheme="minorEastAsia"/>
                <w:spacing w:val="-1"/>
                <w:kern w:val="0"/>
                <w:szCs w:val="21"/>
              </w:rPr>
            </w:pPr>
          </w:p>
        </w:tc>
        <w:tc>
          <w:tcPr>
            <w:tcW w:w="454"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环境空气</w:t>
            </w: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地表水</w:t>
            </w:r>
          </w:p>
        </w:tc>
        <w:tc>
          <w:tcPr>
            <w:tcW w:w="420"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地下水</w:t>
            </w:r>
          </w:p>
        </w:tc>
        <w:tc>
          <w:tcPr>
            <w:tcW w:w="337"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土壤</w:t>
            </w:r>
          </w:p>
        </w:tc>
        <w:tc>
          <w:tcPr>
            <w:tcW w:w="338"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声环境</w:t>
            </w:r>
          </w:p>
        </w:tc>
        <w:tc>
          <w:tcPr>
            <w:tcW w:w="336"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陆域环境</w:t>
            </w:r>
          </w:p>
        </w:tc>
        <w:tc>
          <w:tcPr>
            <w:tcW w:w="337"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水生生物</w:t>
            </w:r>
          </w:p>
        </w:tc>
        <w:tc>
          <w:tcPr>
            <w:tcW w:w="566" w:type="pct"/>
            <w:vAlign w:val="center"/>
          </w:tcPr>
          <w:p>
            <w:pPr>
              <w:autoSpaceDE w:val="0"/>
              <w:autoSpaceDN w:val="0"/>
              <w:adjustRightInd w:val="0"/>
              <w:snapToGrid w:val="0"/>
              <w:rPr>
                <w:rFonts w:eastAsiaTheme="minorEastAsia"/>
                <w:kern w:val="0"/>
                <w:szCs w:val="21"/>
              </w:rPr>
            </w:pPr>
            <w:r>
              <w:rPr>
                <w:rFonts w:eastAsiaTheme="minorEastAsia"/>
                <w:kern w:val="0"/>
                <w:szCs w:val="21"/>
              </w:rPr>
              <w:t>主要生态保护区域</w:t>
            </w:r>
          </w:p>
        </w:tc>
        <w:tc>
          <w:tcPr>
            <w:tcW w:w="334"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居民区</w:t>
            </w:r>
          </w:p>
        </w:tc>
        <w:tc>
          <w:tcPr>
            <w:tcW w:w="377"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人群健康</w:t>
            </w:r>
          </w:p>
        </w:tc>
        <w:tc>
          <w:tcPr>
            <w:tcW w:w="359"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环境规划</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restar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施 工 期</w:t>
            </w:r>
          </w:p>
        </w:tc>
        <w:tc>
          <w:tcPr>
            <w:tcW w:w="576" w:type="pct"/>
            <w:vAlign w:val="center"/>
          </w:tcPr>
          <w:p>
            <w:pPr>
              <w:kinsoku w:val="0"/>
              <w:overflowPunct w:val="0"/>
              <w:autoSpaceDE w:val="0"/>
              <w:autoSpaceDN w:val="0"/>
              <w:adjustRightInd w:val="0"/>
              <w:snapToGrid w:val="0"/>
              <w:jc w:val="center"/>
              <w:rPr>
                <w:rFonts w:eastAsiaTheme="minorEastAsia"/>
                <w:spacing w:val="-1"/>
                <w:kern w:val="0"/>
                <w:szCs w:val="21"/>
              </w:rPr>
            </w:pPr>
            <w:r>
              <w:rPr>
                <w:rFonts w:eastAsiaTheme="minorEastAsia"/>
                <w:spacing w:val="-1"/>
                <w:kern w:val="0"/>
                <w:szCs w:val="21"/>
              </w:rPr>
              <w:t>施工废水</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autoSpaceDE w:val="0"/>
              <w:autoSpaceDN w:val="0"/>
              <w:adjustRightInd w:val="0"/>
              <w:snapToGrid w:val="0"/>
              <w:jc w:val="center"/>
              <w:rPr>
                <w:rFonts w:eastAsiaTheme="minorEastAsia"/>
                <w:kern w:val="0"/>
                <w:szCs w:val="21"/>
              </w:rPr>
            </w:pPr>
          </w:p>
        </w:tc>
        <w:tc>
          <w:tcPr>
            <w:tcW w:w="359" w:type="pct"/>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施工扬尘</w:t>
            </w:r>
          </w:p>
        </w:tc>
        <w:tc>
          <w:tcPr>
            <w:tcW w:w="45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421" w:type="pct"/>
            <w:vAlign w:val="center"/>
          </w:tcPr>
          <w:p>
            <w:pPr>
              <w:autoSpaceDE w:val="0"/>
              <w:autoSpaceDN w:val="0"/>
              <w:adjustRightInd w:val="0"/>
              <w:snapToGrid w:val="0"/>
              <w:jc w:val="center"/>
              <w:rPr>
                <w:rFonts w:eastAsiaTheme="minorEastAsia"/>
                <w:kern w:val="0"/>
                <w:szCs w:val="21"/>
              </w:rPr>
            </w:pP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kinsoku w:val="0"/>
              <w:overflowPunct w:val="0"/>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施工噪声</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autoSpaceDE w:val="0"/>
              <w:autoSpaceDN w:val="0"/>
              <w:adjustRightInd w:val="0"/>
              <w:snapToGrid w:val="0"/>
              <w:jc w:val="center"/>
              <w:rPr>
                <w:rFonts w:eastAsiaTheme="minorEastAsia"/>
                <w:kern w:val="0"/>
                <w:szCs w:val="21"/>
              </w:rPr>
            </w:pP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kinsoku w:val="0"/>
              <w:overflowPunct w:val="0"/>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施工废渣</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autoSpaceDE w:val="0"/>
              <w:autoSpaceDN w:val="0"/>
              <w:adjustRightInd w:val="0"/>
              <w:snapToGrid w:val="0"/>
              <w:jc w:val="center"/>
              <w:rPr>
                <w:rFonts w:eastAsiaTheme="minorEastAsia"/>
                <w:kern w:val="0"/>
                <w:szCs w:val="21"/>
              </w:rPr>
            </w:pPr>
          </w:p>
        </w:tc>
        <w:tc>
          <w:tcPr>
            <w:tcW w:w="359" w:type="pct"/>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restart"/>
            <w:vAlign w:val="center"/>
          </w:tcPr>
          <w:p>
            <w:pPr>
              <w:kinsoku w:val="0"/>
              <w:overflowPunct w:val="0"/>
              <w:autoSpaceDE w:val="0"/>
              <w:autoSpaceDN w:val="0"/>
              <w:adjustRightInd w:val="0"/>
              <w:snapToGrid w:val="0"/>
              <w:jc w:val="center"/>
              <w:rPr>
                <w:rFonts w:eastAsiaTheme="minorEastAsia"/>
                <w:kern w:val="0"/>
                <w:szCs w:val="21"/>
              </w:rPr>
            </w:pPr>
          </w:p>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运 行 期</w:t>
            </w: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废水排放</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56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autoSpaceDE w:val="0"/>
              <w:autoSpaceDN w:val="0"/>
              <w:adjustRightInd w:val="0"/>
              <w:snapToGrid w:val="0"/>
              <w:jc w:val="center"/>
              <w:rPr>
                <w:rFonts w:eastAsiaTheme="minorEastAsia"/>
                <w:kern w:val="0"/>
                <w:szCs w:val="21"/>
              </w:rPr>
            </w:pPr>
          </w:p>
        </w:tc>
        <w:tc>
          <w:tcPr>
            <w:tcW w:w="359" w:type="pct"/>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废气排放</w:t>
            </w:r>
          </w:p>
        </w:tc>
        <w:tc>
          <w:tcPr>
            <w:tcW w:w="45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421" w:type="pct"/>
            <w:vAlign w:val="center"/>
          </w:tcPr>
          <w:p>
            <w:pPr>
              <w:autoSpaceDE w:val="0"/>
              <w:autoSpaceDN w:val="0"/>
              <w:adjustRightInd w:val="0"/>
              <w:snapToGrid w:val="0"/>
              <w:jc w:val="center"/>
              <w:rPr>
                <w:rFonts w:eastAsiaTheme="minorEastAsia"/>
                <w:kern w:val="0"/>
                <w:szCs w:val="21"/>
              </w:rPr>
            </w:pP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kinsoku w:val="0"/>
              <w:overflowPunct w:val="0"/>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噪声排放</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autoSpaceDE w:val="0"/>
              <w:autoSpaceDN w:val="0"/>
              <w:adjustRightInd w:val="0"/>
              <w:snapToGrid w:val="0"/>
              <w:jc w:val="center"/>
              <w:rPr>
                <w:rFonts w:eastAsiaTheme="minorEastAsia"/>
                <w:kern w:val="0"/>
                <w:szCs w:val="21"/>
              </w:rPr>
            </w:pP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autoSpaceDE w:val="0"/>
              <w:autoSpaceDN w:val="0"/>
              <w:adjustRightInd w:val="0"/>
              <w:snapToGrid w:val="0"/>
              <w:jc w:val="center"/>
              <w:rPr>
                <w:rFonts w:eastAsiaTheme="minorEastAsia"/>
                <w:kern w:val="0"/>
                <w:szCs w:val="21"/>
              </w:rPr>
            </w:pPr>
          </w:p>
        </w:tc>
        <w:tc>
          <w:tcPr>
            <w:tcW w:w="359" w:type="pct"/>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固体废物</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autoSpaceDE w:val="0"/>
              <w:autoSpaceDN w:val="0"/>
              <w:adjustRightInd w:val="0"/>
              <w:snapToGrid w:val="0"/>
              <w:jc w:val="center"/>
              <w:rPr>
                <w:rFonts w:eastAsiaTheme="minorEastAsia"/>
                <w:kern w:val="0"/>
                <w:szCs w:val="21"/>
              </w:rPr>
            </w:pPr>
          </w:p>
        </w:tc>
        <w:tc>
          <w:tcPr>
            <w:tcW w:w="420"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kinsoku w:val="0"/>
              <w:overflowPunct w:val="0"/>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事故风险</w:t>
            </w:r>
          </w:p>
        </w:tc>
        <w:tc>
          <w:tcPr>
            <w:tcW w:w="45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420"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56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restar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封 场 期</w:t>
            </w: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废水排放</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420"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autoSpaceDE w:val="0"/>
              <w:autoSpaceDN w:val="0"/>
              <w:adjustRightInd w:val="0"/>
              <w:snapToGrid w:val="0"/>
              <w:jc w:val="center"/>
              <w:rPr>
                <w:rFonts w:eastAsiaTheme="minorEastAsia"/>
                <w:kern w:val="0"/>
                <w:szCs w:val="21"/>
              </w:rPr>
            </w:pP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56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autoSpaceDE w:val="0"/>
              <w:autoSpaceDN w:val="0"/>
              <w:adjustRightInd w:val="0"/>
              <w:snapToGrid w:val="0"/>
              <w:jc w:val="center"/>
              <w:rPr>
                <w:rFonts w:eastAsiaTheme="minorEastAsia"/>
                <w:kern w:val="0"/>
                <w:szCs w:val="21"/>
              </w:rPr>
            </w:pPr>
          </w:p>
        </w:tc>
        <w:tc>
          <w:tcPr>
            <w:tcW w:w="359" w:type="pct"/>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固体废物</w:t>
            </w:r>
          </w:p>
        </w:tc>
        <w:tc>
          <w:tcPr>
            <w:tcW w:w="454" w:type="pct"/>
            <w:vAlign w:val="center"/>
          </w:tcPr>
          <w:p>
            <w:pPr>
              <w:autoSpaceDE w:val="0"/>
              <w:autoSpaceDN w:val="0"/>
              <w:adjustRightInd w:val="0"/>
              <w:snapToGrid w:val="0"/>
              <w:jc w:val="center"/>
              <w:rPr>
                <w:rFonts w:eastAsiaTheme="minorEastAsia"/>
                <w:kern w:val="0"/>
                <w:szCs w:val="21"/>
              </w:rPr>
            </w:pPr>
          </w:p>
        </w:tc>
        <w:tc>
          <w:tcPr>
            <w:tcW w:w="421" w:type="pct"/>
            <w:vAlign w:val="center"/>
          </w:tcPr>
          <w:p>
            <w:pPr>
              <w:autoSpaceDE w:val="0"/>
              <w:autoSpaceDN w:val="0"/>
              <w:adjustRightInd w:val="0"/>
              <w:snapToGrid w:val="0"/>
              <w:jc w:val="center"/>
              <w:rPr>
                <w:rFonts w:eastAsiaTheme="minorEastAsia"/>
                <w:kern w:val="0"/>
                <w:szCs w:val="21"/>
              </w:rPr>
            </w:pPr>
          </w:p>
        </w:tc>
        <w:tc>
          <w:tcPr>
            <w:tcW w:w="420"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7" w:type="pct"/>
            <w:vAlign w:val="center"/>
          </w:tcPr>
          <w:p>
            <w:pPr>
              <w:autoSpaceDE w:val="0"/>
              <w:autoSpaceDN w:val="0"/>
              <w:adjustRightInd w:val="0"/>
              <w:snapToGrid w:val="0"/>
              <w:jc w:val="center"/>
              <w:rPr>
                <w:rFonts w:eastAsiaTheme="minorEastAsia"/>
                <w:kern w:val="0"/>
                <w:szCs w:val="21"/>
              </w:rPr>
            </w:pPr>
          </w:p>
        </w:tc>
        <w:tc>
          <w:tcPr>
            <w:tcW w:w="566" w:type="pct"/>
            <w:vAlign w:val="center"/>
          </w:tcPr>
          <w:p>
            <w:pPr>
              <w:autoSpaceDE w:val="0"/>
              <w:autoSpaceDN w:val="0"/>
              <w:adjustRightInd w:val="0"/>
              <w:snapToGrid w:val="0"/>
              <w:jc w:val="center"/>
              <w:rPr>
                <w:rFonts w:eastAsiaTheme="minorEastAsia"/>
                <w:kern w:val="0"/>
                <w:szCs w:val="21"/>
              </w:rPr>
            </w:pPr>
          </w:p>
        </w:tc>
        <w:tc>
          <w:tcPr>
            <w:tcW w:w="334" w:type="pct"/>
            <w:vAlign w:val="center"/>
          </w:tcPr>
          <w:p>
            <w:pPr>
              <w:autoSpaceDE w:val="0"/>
              <w:autoSpaceDN w:val="0"/>
              <w:adjustRightInd w:val="0"/>
              <w:snapToGrid w:val="0"/>
              <w:jc w:val="center"/>
              <w:rPr>
                <w:rFonts w:eastAsiaTheme="minorEastAsia"/>
                <w:kern w:val="0"/>
                <w:szCs w:val="21"/>
              </w:rPr>
            </w:pP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43" w:type="pct"/>
            <w:vMerge w:val="continue"/>
            <w:vAlign w:val="center"/>
          </w:tcPr>
          <w:p>
            <w:pPr>
              <w:kinsoku w:val="0"/>
              <w:overflowPunct w:val="0"/>
              <w:autoSpaceDE w:val="0"/>
              <w:autoSpaceDN w:val="0"/>
              <w:adjustRightInd w:val="0"/>
              <w:snapToGrid w:val="0"/>
              <w:jc w:val="center"/>
              <w:rPr>
                <w:rFonts w:eastAsiaTheme="minorEastAsia"/>
                <w:kern w:val="0"/>
                <w:szCs w:val="21"/>
              </w:rPr>
            </w:pPr>
          </w:p>
        </w:tc>
        <w:tc>
          <w:tcPr>
            <w:tcW w:w="57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事故风险</w:t>
            </w:r>
          </w:p>
        </w:tc>
        <w:tc>
          <w:tcPr>
            <w:tcW w:w="45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42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420"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338" w:type="pct"/>
            <w:vAlign w:val="center"/>
          </w:tcPr>
          <w:p>
            <w:pPr>
              <w:autoSpaceDE w:val="0"/>
              <w:autoSpaceDN w:val="0"/>
              <w:adjustRightInd w:val="0"/>
              <w:snapToGrid w:val="0"/>
              <w:jc w:val="center"/>
              <w:rPr>
                <w:rFonts w:eastAsiaTheme="minorEastAsia"/>
                <w:kern w:val="0"/>
                <w:szCs w:val="21"/>
              </w:rPr>
            </w:pPr>
          </w:p>
        </w:tc>
        <w:tc>
          <w:tcPr>
            <w:tcW w:w="336" w:type="pct"/>
            <w:vAlign w:val="center"/>
          </w:tcPr>
          <w:p>
            <w:pPr>
              <w:autoSpaceDE w:val="0"/>
              <w:autoSpaceDN w:val="0"/>
              <w:adjustRightInd w:val="0"/>
              <w:snapToGrid w:val="0"/>
              <w:jc w:val="center"/>
              <w:rPr>
                <w:rFonts w:eastAsiaTheme="minorEastAsia"/>
                <w:kern w:val="0"/>
                <w:szCs w:val="21"/>
              </w:rPr>
            </w:pPr>
          </w:p>
        </w:tc>
        <w:tc>
          <w:tcPr>
            <w:tcW w:w="33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-2</w:t>
            </w:r>
          </w:p>
        </w:tc>
        <w:tc>
          <w:tcPr>
            <w:tcW w:w="56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34"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7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-1</w:t>
            </w:r>
          </w:p>
        </w:tc>
        <w:tc>
          <w:tcPr>
            <w:tcW w:w="359" w:type="pct"/>
            <w:vAlign w:val="center"/>
          </w:tcPr>
          <w:p>
            <w:pPr>
              <w:autoSpaceDE w:val="0"/>
              <w:autoSpaceDN w:val="0"/>
              <w:adjustRightInd w:val="0"/>
              <w:snapToGrid w:val="0"/>
              <w:jc w:val="center"/>
              <w:rPr>
                <w:rFonts w:eastAsiaTheme="minorEastAsia"/>
                <w:kern w:val="0"/>
                <w:szCs w:val="21"/>
              </w:rPr>
            </w:pPr>
          </w:p>
        </w:tc>
      </w:tr>
    </w:tbl>
    <w:p>
      <w:pPr>
        <w:spacing w:line="280" w:lineRule="exact"/>
        <w:ind w:left="404" w:hanging="404" w:hangingChars="200"/>
        <w:rPr>
          <w:spacing w:val="-4"/>
          <w:szCs w:val="21"/>
        </w:rPr>
      </w:pPr>
      <w:r>
        <w:rPr>
          <w:spacing w:val="-4"/>
          <w:szCs w:val="21"/>
        </w:rPr>
        <w:t>注：“+”</w:t>
      </w:r>
      <w:r>
        <w:rPr>
          <w:rFonts w:hint="eastAsia"/>
          <w:spacing w:val="-4"/>
          <w:szCs w:val="21"/>
        </w:rPr>
        <w:t>、</w:t>
      </w:r>
      <w:r>
        <w:rPr>
          <w:spacing w:val="-4"/>
          <w:szCs w:val="21"/>
        </w:rPr>
        <w:t>“-”</w:t>
      </w:r>
      <w:r>
        <w:rPr>
          <w:rFonts w:hint="eastAsia"/>
          <w:spacing w:val="-4"/>
          <w:szCs w:val="21"/>
        </w:rPr>
        <w:t>分别表示有利、不利影响；</w:t>
      </w:r>
      <w:r>
        <w:rPr>
          <w:spacing w:val="-4"/>
          <w:szCs w:val="21"/>
        </w:rPr>
        <w:t>“0”</w:t>
      </w:r>
      <w:r>
        <w:rPr>
          <w:rFonts w:hint="eastAsia"/>
          <w:spacing w:val="-4"/>
          <w:szCs w:val="21"/>
        </w:rPr>
        <w:t>、</w:t>
      </w:r>
      <w:r>
        <w:rPr>
          <w:spacing w:val="-4"/>
          <w:szCs w:val="21"/>
        </w:rPr>
        <w:t>“1”</w:t>
      </w:r>
      <w:r>
        <w:rPr>
          <w:rFonts w:hint="eastAsia"/>
          <w:spacing w:val="-4"/>
          <w:szCs w:val="21"/>
        </w:rPr>
        <w:t>、</w:t>
      </w:r>
      <w:r>
        <w:rPr>
          <w:spacing w:val="-4"/>
          <w:szCs w:val="21"/>
        </w:rPr>
        <w:t>“2”</w:t>
      </w:r>
      <w:r>
        <w:rPr>
          <w:rFonts w:hint="eastAsia"/>
          <w:spacing w:val="-4"/>
          <w:szCs w:val="21"/>
        </w:rPr>
        <w:t>、</w:t>
      </w:r>
      <w:r>
        <w:rPr>
          <w:spacing w:val="-4"/>
          <w:szCs w:val="21"/>
        </w:rPr>
        <w:t>“3”</w:t>
      </w:r>
      <w:r>
        <w:rPr>
          <w:rFonts w:hint="eastAsia"/>
          <w:spacing w:val="-4"/>
          <w:szCs w:val="21"/>
        </w:rPr>
        <w:t>数值分别表示无影响、轻微影响、中等影响和重大影响。</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评价因子筛选</w:t>
      </w:r>
    </w:p>
    <w:p>
      <w:pPr>
        <w:adjustRightInd w:val="0"/>
        <w:snapToGrid w:val="0"/>
        <w:spacing w:line="360" w:lineRule="auto"/>
        <w:ind w:firstLine="480" w:firstLineChars="200"/>
        <w:rPr>
          <w:sz w:val="24"/>
        </w:rPr>
      </w:pPr>
      <w:r>
        <w:rPr>
          <w:sz w:val="24"/>
        </w:rPr>
        <w:t>根据本项目污染物排放特点和对环境影响因子的识别，确定本项目的评价因子见表2.3-2。</w:t>
      </w:r>
    </w:p>
    <w:p>
      <w:pPr>
        <w:pStyle w:val="2"/>
      </w:pPr>
    </w:p>
    <w:p>
      <w:pPr>
        <w:pStyle w:val="5"/>
      </w:pPr>
    </w:p>
    <w:p>
      <w:pPr>
        <w:pStyle w:val="5"/>
      </w:pPr>
    </w:p>
    <w:p>
      <w:pPr>
        <w:pStyle w:val="5"/>
      </w:pPr>
    </w:p>
    <w:p>
      <w:pPr>
        <w:spacing w:line="360" w:lineRule="auto"/>
        <w:jc w:val="center"/>
        <w:rPr>
          <w:b/>
          <w:sz w:val="24"/>
          <w:szCs w:val="22"/>
        </w:rPr>
      </w:pPr>
      <w:r>
        <w:rPr>
          <w:b/>
          <w:sz w:val="24"/>
          <w:szCs w:val="22"/>
        </w:rPr>
        <w:t>表2.3-2  本项目评价因子一览表</w:t>
      </w:r>
    </w:p>
    <w:tbl>
      <w:tblPr>
        <w:tblStyle w:val="39"/>
        <w:tblW w:w="861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7"/>
        <w:gridCol w:w="425"/>
        <w:gridCol w:w="709"/>
        <w:gridCol w:w="66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951" w:type="dxa"/>
            <w:gridSpan w:val="3"/>
            <w:shd w:val="clear" w:color="auto" w:fill="auto"/>
            <w:vAlign w:val="center"/>
          </w:tcPr>
          <w:p>
            <w:pPr>
              <w:adjustRightInd w:val="0"/>
              <w:snapToGrid w:val="0"/>
              <w:jc w:val="center"/>
              <w:rPr>
                <w:rFonts w:eastAsiaTheme="minorEastAsia"/>
                <w:kern w:val="0"/>
                <w:sz w:val="20"/>
              </w:rPr>
            </w:pPr>
            <w:r>
              <w:rPr>
                <w:rFonts w:eastAsiaTheme="minorEastAsia"/>
                <w:kern w:val="0"/>
                <w:sz w:val="20"/>
              </w:rPr>
              <w:t>项目</w:t>
            </w:r>
          </w:p>
        </w:tc>
        <w:tc>
          <w:tcPr>
            <w:tcW w:w="6662"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评价因子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restart"/>
            <w:shd w:val="clear" w:color="auto" w:fill="auto"/>
            <w:vAlign w:val="center"/>
          </w:tcPr>
          <w:p>
            <w:pPr>
              <w:adjustRightInd w:val="0"/>
              <w:snapToGrid w:val="0"/>
              <w:jc w:val="center"/>
              <w:rPr>
                <w:rFonts w:eastAsiaTheme="minorEastAsia"/>
                <w:kern w:val="0"/>
                <w:sz w:val="20"/>
              </w:rPr>
            </w:pPr>
            <w:r>
              <w:rPr>
                <w:rFonts w:eastAsiaTheme="minorEastAsia"/>
                <w:kern w:val="0"/>
                <w:sz w:val="20"/>
              </w:rPr>
              <w:t>环境质量现状</w:t>
            </w: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大气</w:t>
            </w:r>
          </w:p>
        </w:tc>
        <w:tc>
          <w:tcPr>
            <w:tcW w:w="6662" w:type="dxa"/>
            <w:shd w:val="clear" w:color="auto" w:fill="auto"/>
            <w:vAlign w:val="center"/>
          </w:tcPr>
          <w:p>
            <w:pPr>
              <w:pStyle w:val="5"/>
              <w:snapToGrid w:val="0"/>
              <w:rPr>
                <w:rFonts w:ascii="Times New Roman" w:cs="Times New Roman" w:eastAsiaTheme="minorEastAsia"/>
                <w:color w:val="auto"/>
                <w:sz w:val="20"/>
                <w:szCs w:val="20"/>
              </w:rPr>
            </w:pPr>
            <w:r>
              <w:rPr>
                <w:rFonts w:ascii="Times New Roman" w:cs="Times New Roman" w:eastAsiaTheme="minorEastAsia"/>
                <w:color w:val="auto"/>
                <w:sz w:val="20"/>
                <w:szCs w:val="20"/>
              </w:rPr>
              <w:t>常规因子：PM</w:t>
            </w:r>
            <w:r>
              <w:rPr>
                <w:rFonts w:ascii="Times New Roman" w:cs="Times New Roman" w:eastAsiaTheme="minorEastAsia"/>
                <w:color w:val="auto"/>
                <w:sz w:val="20"/>
                <w:szCs w:val="20"/>
                <w:vertAlign w:val="subscript"/>
              </w:rPr>
              <w:t>10</w:t>
            </w:r>
            <w:r>
              <w:rPr>
                <w:rFonts w:ascii="Times New Roman" w:cs="Times New Roman" w:eastAsiaTheme="minorEastAsia"/>
                <w:color w:val="auto"/>
                <w:sz w:val="20"/>
                <w:szCs w:val="20"/>
              </w:rPr>
              <w:t>、PM</w:t>
            </w:r>
            <w:r>
              <w:rPr>
                <w:rFonts w:ascii="Times New Roman" w:cs="Times New Roman" w:eastAsiaTheme="minorEastAsia"/>
                <w:color w:val="auto"/>
                <w:sz w:val="20"/>
                <w:szCs w:val="20"/>
                <w:vertAlign w:val="subscript"/>
              </w:rPr>
              <w:t>2.5</w:t>
            </w:r>
            <w:r>
              <w:rPr>
                <w:rFonts w:ascii="Times New Roman" w:cs="Times New Roman" w:eastAsiaTheme="minorEastAsia"/>
                <w:color w:val="auto"/>
                <w:sz w:val="20"/>
                <w:szCs w:val="20"/>
              </w:rPr>
              <w:t>、SO</w:t>
            </w:r>
            <w:r>
              <w:rPr>
                <w:rFonts w:ascii="Times New Roman" w:cs="Times New Roman" w:eastAsiaTheme="minorEastAsia"/>
                <w:color w:val="auto"/>
                <w:sz w:val="20"/>
                <w:szCs w:val="20"/>
                <w:vertAlign w:val="subscript"/>
              </w:rPr>
              <w:t>2</w:t>
            </w:r>
            <w:r>
              <w:rPr>
                <w:rFonts w:ascii="Times New Roman" w:cs="Times New Roman" w:eastAsiaTheme="minorEastAsia"/>
                <w:color w:val="auto"/>
                <w:sz w:val="20"/>
                <w:szCs w:val="20"/>
              </w:rPr>
              <w:t>、NO</w:t>
            </w:r>
            <w:r>
              <w:rPr>
                <w:rFonts w:ascii="Times New Roman" w:cs="Times New Roman" w:eastAsiaTheme="minorEastAsia"/>
                <w:color w:val="auto"/>
                <w:sz w:val="20"/>
                <w:szCs w:val="20"/>
                <w:vertAlign w:val="subscript"/>
              </w:rPr>
              <w:t>2</w:t>
            </w:r>
            <w:r>
              <w:rPr>
                <w:rFonts w:ascii="Times New Roman" w:cs="Times New Roman" w:eastAsiaTheme="minorEastAsia"/>
                <w:color w:val="auto"/>
                <w:sz w:val="20"/>
                <w:szCs w:val="20"/>
              </w:rPr>
              <w:t>、CO、O</w:t>
            </w:r>
            <w:r>
              <w:rPr>
                <w:rFonts w:ascii="Times New Roman" w:cs="Times New Roman" w:eastAsiaTheme="minorEastAsia"/>
                <w:color w:val="auto"/>
                <w:sz w:val="20"/>
                <w:szCs w:val="20"/>
                <w:vertAlign w:val="subscript"/>
              </w:rPr>
              <w:t>3</w:t>
            </w:r>
            <w:r>
              <w:rPr>
                <w:rFonts w:ascii="Times New Roman" w:cs="Times New Roman" w:eastAsiaTheme="minorEastAsia"/>
                <w:color w:val="auto"/>
                <w:sz w:val="20"/>
                <w:szCs w:val="20"/>
              </w:rPr>
              <w:t xml:space="preserve"> </w:t>
            </w:r>
          </w:p>
          <w:p>
            <w:pPr>
              <w:adjustRightInd w:val="0"/>
              <w:snapToGrid w:val="0"/>
              <w:jc w:val="left"/>
              <w:rPr>
                <w:rFonts w:eastAsiaTheme="minorEastAsia"/>
                <w:kern w:val="0"/>
                <w:sz w:val="20"/>
              </w:rPr>
            </w:pPr>
            <w:r>
              <w:rPr>
                <w:rFonts w:eastAsiaTheme="minorEastAsia"/>
                <w:sz w:val="20"/>
              </w:rPr>
              <w:t>特征因子：臭气浓度</w:t>
            </w:r>
            <w:r>
              <w:rPr>
                <w:rFonts w:hint="eastAsia" w:eastAsiaTheme="minorEastAsia"/>
                <w:sz w:val="20"/>
              </w:rPr>
              <w:t>、TSP</w:t>
            </w:r>
            <w:r>
              <w:rPr>
                <w:rFonts w:eastAsiaTheme="minorEastAsia"/>
                <w:sz w:val="20"/>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地下水</w:t>
            </w:r>
          </w:p>
        </w:tc>
        <w:tc>
          <w:tcPr>
            <w:tcW w:w="6662"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K</w:t>
            </w:r>
            <w:r>
              <w:rPr>
                <w:rFonts w:eastAsiaTheme="minorEastAsia"/>
                <w:kern w:val="0"/>
                <w:sz w:val="20"/>
                <w:vertAlign w:val="superscript"/>
              </w:rPr>
              <w:t>+</w:t>
            </w:r>
            <w:r>
              <w:rPr>
                <w:rFonts w:eastAsiaTheme="minorEastAsia"/>
                <w:kern w:val="0"/>
                <w:sz w:val="20"/>
              </w:rPr>
              <w:t>、Na</w:t>
            </w:r>
            <w:r>
              <w:rPr>
                <w:rFonts w:eastAsiaTheme="minorEastAsia"/>
                <w:kern w:val="0"/>
                <w:sz w:val="20"/>
                <w:vertAlign w:val="superscript"/>
              </w:rPr>
              <w:t>+</w:t>
            </w:r>
            <w:r>
              <w:rPr>
                <w:rFonts w:eastAsiaTheme="minorEastAsia"/>
                <w:kern w:val="0"/>
                <w:sz w:val="20"/>
              </w:rPr>
              <w:t>、Ca</w:t>
            </w:r>
            <w:r>
              <w:rPr>
                <w:rFonts w:eastAsiaTheme="minorEastAsia"/>
                <w:kern w:val="0"/>
                <w:sz w:val="20"/>
                <w:vertAlign w:val="superscript"/>
              </w:rPr>
              <w:t>2+</w:t>
            </w:r>
            <w:r>
              <w:rPr>
                <w:rFonts w:eastAsiaTheme="minorEastAsia"/>
                <w:kern w:val="0"/>
                <w:sz w:val="20"/>
              </w:rPr>
              <w:t>、Mg</w:t>
            </w:r>
            <w:r>
              <w:rPr>
                <w:rFonts w:eastAsiaTheme="minorEastAsia"/>
                <w:kern w:val="0"/>
                <w:sz w:val="20"/>
                <w:vertAlign w:val="superscript"/>
              </w:rPr>
              <w:t>2+</w:t>
            </w:r>
            <w:r>
              <w:rPr>
                <w:rFonts w:eastAsiaTheme="minorEastAsia"/>
                <w:kern w:val="0"/>
                <w:sz w:val="20"/>
              </w:rPr>
              <w:t>、CO</w:t>
            </w:r>
            <w:r>
              <w:rPr>
                <w:rFonts w:eastAsiaTheme="minorEastAsia"/>
                <w:kern w:val="0"/>
                <w:sz w:val="20"/>
                <w:vertAlign w:val="subscript"/>
              </w:rPr>
              <w:t>3</w:t>
            </w:r>
            <w:r>
              <w:rPr>
                <w:rFonts w:eastAsiaTheme="minorEastAsia"/>
                <w:kern w:val="0"/>
                <w:sz w:val="20"/>
                <w:vertAlign w:val="superscript"/>
              </w:rPr>
              <w:t>2-</w:t>
            </w:r>
            <w:r>
              <w:rPr>
                <w:rFonts w:eastAsiaTheme="minorEastAsia"/>
                <w:kern w:val="0"/>
                <w:sz w:val="20"/>
              </w:rPr>
              <w:t>、HCO</w:t>
            </w:r>
            <w:r>
              <w:rPr>
                <w:rFonts w:eastAsiaTheme="minorEastAsia"/>
                <w:kern w:val="0"/>
                <w:sz w:val="20"/>
                <w:vertAlign w:val="superscript"/>
              </w:rPr>
              <w:t>3-</w:t>
            </w:r>
            <w:r>
              <w:rPr>
                <w:rFonts w:eastAsiaTheme="minorEastAsia"/>
                <w:kern w:val="0"/>
                <w:sz w:val="20"/>
              </w:rPr>
              <w:t>、</w:t>
            </w:r>
            <w:r>
              <w:rPr>
                <w:rFonts w:eastAsiaTheme="minorEastAsia"/>
                <w:szCs w:val="21"/>
              </w:rPr>
              <w:t>pH</w:t>
            </w:r>
            <w:r>
              <w:rPr>
                <w:rFonts w:hint="eastAsia" w:eastAsiaTheme="minorEastAsia"/>
                <w:szCs w:val="21"/>
              </w:rPr>
              <w:t>、色度、浑浊度、总硬度、溶解性总固体、挥发酚、耗氧量、总磷、硝酸盐氮、亚硝酸盐氮、氨氮、氟化物、硫酸盐、总大肠菌群、菌落总数、氯化物、铁、锰、铜、锌、氰化物、汞、砷、硒、锑、六价铬、石油类、硫化物、碘化物、三氯甲烷、四氯化碳、阴离子表面活性剂、苯、甲苯、钴、镍、铍、钡、镉、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噪声</w:t>
            </w:r>
          </w:p>
        </w:tc>
        <w:tc>
          <w:tcPr>
            <w:tcW w:w="6662"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等效连续A声级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425" w:type="dxa"/>
            <w:vMerge w:val="restart"/>
            <w:shd w:val="clear" w:color="auto" w:fill="auto"/>
            <w:vAlign w:val="center"/>
          </w:tcPr>
          <w:p>
            <w:pPr>
              <w:adjustRightInd w:val="0"/>
              <w:snapToGrid w:val="0"/>
              <w:jc w:val="center"/>
              <w:rPr>
                <w:rFonts w:eastAsiaTheme="minorEastAsia"/>
                <w:kern w:val="0"/>
                <w:sz w:val="20"/>
              </w:rPr>
            </w:pPr>
            <w:r>
              <w:rPr>
                <w:rFonts w:eastAsiaTheme="minorEastAsia"/>
                <w:kern w:val="0"/>
                <w:sz w:val="20"/>
              </w:rPr>
              <w:t>土壤</w:t>
            </w:r>
          </w:p>
        </w:tc>
        <w:tc>
          <w:tcPr>
            <w:tcW w:w="709"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农用地</w:t>
            </w:r>
          </w:p>
        </w:tc>
        <w:tc>
          <w:tcPr>
            <w:tcW w:w="6665"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pH、Pb、Cu、Zn、As、Hg、Cd、Cr、Ni、阳离子交换量、二噁英。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425" w:type="dxa"/>
            <w:vMerge w:val="continue"/>
            <w:shd w:val="clear" w:color="auto" w:fill="auto"/>
            <w:vAlign w:val="center"/>
          </w:tcPr>
          <w:p>
            <w:pPr>
              <w:adjustRightInd w:val="0"/>
              <w:snapToGrid w:val="0"/>
              <w:jc w:val="center"/>
              <w:rPr>
                <w:rFonts w:eastAsiaTheme="minorEastAsia"/>
                <w:kern w:val="0"/>
                <w:sz w:val="20"/>
              </w:rPr>
            </w:pPr>
          </w:p>
        </w:tc>
        <w:tc>
          <w:tcPr>
            <w:tcW w:w="709"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建设用地</w:t>
            </w:r>
          </w:p>
        </w:tc>
        <w:tc>
          <w:tcPr>
            <w:tcW w:w="6665" w:type="dxa"/>
            <w:shd w:val="clear" w:color="auto" w:fill="auto"/>
            <w:vAlign w:val="center"/>
          </w:tcPr>
          <w:p>
            <w:pPr>
              <w:adjustRightInd w:val="0"/>
              <w:snapToGrid w:val="0"/>
              <w:jc w:val="center"/>
              <w:rPr>
                <w:rFonts w:eastAsiaTheme="minorEastAsia"/>
                <w:kern w:val="0"/>
                <w:sz w:val="20"/>
              </w:rPr>
            </w:pPr>
            <w:bookmarkStart w:id="24" w:name="_Hlk48739070"/>
            <w:r>
              <w:rPr>
                <w:rFonts w:eastAsiaTheme="minorEastAsia"/>
                <w:bCs/>
                <w:kern w:val="0"/>
                <w:sz w:val="20"/>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二噁英、</w:t>
            </w:r>
            <w:r>
              <w:rPr>
                <w:rFonts w:hint="eastAsia" w:eastAsiaTheme="minorEastAsia"/>
                <w:bCs/>
                <w:kern w:val="0"/>
                <w:sz w:val="20"/>
              </w:rPr>
              <w:t>氨氮、锌、铬、钼、硒、铊、钡、银、锡、氟化物（可溶性）、氨氮、丙酮、二硫化碳、溴氯甲烷、2-氯甲苯、4-氯甲苯、1,2,4-三氯苯、1,2,3-三氯苯、1,3-二氯丙烷、1,1,2-三氯丙烷、溴甲烷、氯乙烷、三氯氟甲烷、二溴甲烷、1,2-二溴-3-氯丙烷、二氯二氟甲烷、丙烯腈、溴苯异丙基苯、正丙苯、叔丁基苯、仲丁基苯、正丁苯、1,3,5-三甲苯、1,2,4-三甲苯、2-丁酮、4-甲基-2-戊酮、2-己酮、甲醛、六氯乙烷、N-亚硝基二丙胺、N-亚硝基二甲胺、六氯丁二烯、4-甲基苯酚、2,4-二甲基苯酚、2,3,4,6-四氯苯酚、2-甲基苯酚、2,6-二硝基甲苯、异佛乐酮、4-氯-3-甲基苯酚、4,6-二硝基邻甲酚、偶氮苯、苯酚、2,4,5-三氯酚、4-硝基苯胺、4-氯苯胺、2-硝基苯胺、2-氯萘、苊、蒽、荧蒽、芴、芘、菲、苯并[g,h,i]苝、2-甲基萘、邻苯二甲酸二乙酯、双（2-氯乙氧基）甲烷、二苯并呋喃、二氯乙醚、毒杀芬、艾氏剂、狄氏剂、异狄氏剂、草甘膦、甲拌磷、乙拌磷、甲基对硫磷、二嗪磷环氧七氯；</w:t>
            </w:r>
            <w:r>
              <w:rPr>
                <w:rFonts w:eastAsiaTheme="minorEastAsia"/>
                <w:kern w:val="0"/>
                <w:sz w:val="20"/>
              </w:rPr>
              <w:t>土壤含盐量、缓冲容量、阳离子交换量、氧化还原电位、饱和含水率、土壤容重、孔隙度</w:t>
            </w:r>
            <w:bookmarkEnd w:id="24"/>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restart"/>
            <w:shd w:val="clear" w:color="auto" w:fill="auto"/>
            <w:vAlign w:val="center"/>
          </w:tcPr>
          <w:p>
            <w:pPr>
              <w:adjustRightInd w:val="0"/>
              <w:snapToGrid w:val="0"/>
              <w:jc w:val="center"/>
              <w:rPr>
                <w:rFonts w:eastAsiaTheme="minorEastAsia"/>
                <w:kern w:val="0"/>
                <w:sz w:val="20"/>
              </w:rPr>
            </w:pPr>
            <w:r>
              <w:rPr>
                <w:rFonts w:eastAsiaTheme="minorEastAsia"/>
                <w:kern w:val="0"/>
                <w:sz w:val="20"/>
              </w:rPr>
              <w:t>环境影响预测与评价</w:t>
            </w: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大气</w:t>
            </w:r>
          </w:p>
        </w:tc>
        <w:tc>
          <w:tcPr>
            <w:tcW w:w="6662" w:type="dxa"/>
            <w:shd w:val="clear" w:color="auto" w:fill="auto"/>
            <w:vAlign w:val="center"/>
          </w:tcPr>
          <w:p>
            <w:pPr>
              <w:kinsoku w:val="0"/>
              <w:overflowPunct w:val="0"/>
              <w:autoSpaceDE w:val="0"/>
              <w:autoSpaceDN w:val="0"/>
              <w:adjustRightInd w:val="0"/>
              <w:snapToGrid w:val="0"/>
              <w:jc w:val="center"/>
              <w:rPr>
                <w:rFonts w:eastAsiaTheme="minorEastAsia"/>
                <w:kern w:val="0"/>
                <w:sz w:val="20"/>
              </w:rPr>
            </w:pPr>
            <w:r>
              <w:rPr>
                <w:rFonts w:hint="eastAsia" w:eastAsiaTheme="minorEastAsia"/>
                <w:spacing w:val="-1"/>
                <w:kern w:val="0"/>
                <w:position w:val="2"/>
                <w:sz w:val="20"/>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地下水</w:t>
            </w:r>
          </w:p>
        </w:tc>
        <w:tc>
          <w:tcPr>
            <w:tcW w:w="6662" w:type="dxa"/>
            <w:shd w:val="clear" w:color="auto" w:fill="auto"/>
            <w:vAlign w:val="center"/>
          </w:tcPr>
          <w:p>
            <w:pPr>
              <w:adjustRightInd w:val="0"/>
              <w:snapToGrid w:val="0"/>
              <w:jc w:val="center"/>
              <w:rPr>
                <w:rFonts w:eastAsiaTheme="minorEastAsia"/>
                <w:kern w:val="0"/>
                <w:sz w:val="20"/>
              </w:rPr>
            </w:pPr>
            <w:r>
              <w:rPr>
                <w:rFonts w:hint="eastAsia" w:eastAsiaTheme="minorEastAsia"/>
                <w:kern w:val="0"/>
                <w:sz w:val="20"/>
              </w:rPr>
              <w:t>耗氧量、汞、铅、砷、六价铬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噪声</w:t>
            </w:r>
          </w:p>
        </w:tc>
        <w:tc>
          <w:tcPr>
            <w:tcW w:w="6662"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等效连续A声级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shd w:val="clear" w:color="auto" w:fill="auto"/>
            <w:vAlign w:val="center"/>
          </w:tcPr>
          <w:p>
            <w:pPr>
              <w:adjustRightInd w:val="0"/>
              <w:snapToGrid w:val="0"/>
              <w:jc w:val="center"/>
              <w:rPr>
                <w:rFonts w:eastAsiaTheme="minorEastAsia"/>
                <w:kern w:val="0"/>
                <w:sz w:val="20"/>
              </w:rPr>
            </w:pPr>
          </w:p>
        </w:tc>
        <w:tc>
          <w:tcPr>
            <w:tcW w:w="1134" w:type="dxa"/>
            <w:gridSpan w:val="2"/>
            <w:shd w:val="clear" w:color="auto" w:fill="auto"/>
            <w:vAlign w:val="center"/>
          </w:tcPr>
          <w:p>
            <w:pPr>
              <w:adjustRightInd w:val="0"/>
              <w:snapToGrid w:val="0"/>
              <w:jc w:val="center"/>
              <w:rPr>
                <w:rFonts w:eastAsiaTheme="minorEastAsia"/>
                <w:kern w:val="0"/>
                <w:sz w:val="20"/>
              </w:rPr>
            </w:pPr>
            <w:r>
              <w:rPr>
                <w:rFonts w:eastAsiaTheme="minorEastAsia"/>
                <w:kern w:val="0"/>
                <w:sz w:val="20"/>
              </w:rPr>
              <w:t>土壤</w:t>
            </w:r>
          </w:p>
        </w:tc>
        <w:tc>
          <w:tcPr>
            <w:tcW w:w="6662"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垂直入渗：铅、汞、砷</w:t>
            </w:r>
            <w:r>
              <w:rPr>
                <w:rFonts w:hint="eastAsia" w:eastAsiaTheme="minorEastAsia"/>
                <w:kern w:val="0"/>
                <w:sz w:val="20"/>
              </w:rPr>
              <w:t>、六价铬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951" w:type="dxa"/>
            <w:gridSpan w:val="3"/>
            <w:shd w:val="clear" w:color="auto" w:fill="auto"/>
            <w:vAlign w:val="center"/>
          </w:tcPr>
          <w:p>
            <w:pPr>
              <w:adjustRightInd w:val="0"/>
              <w:snapToGrid w:val="0"/>
              <w:jc w:val="center"/>
              <w:rPr>
                <w:rFonts w:eastAsiaTheme="minorEastAsia"/>
                <w:kern w:val="0"/>
                <w:sz w:val="20"/>
              </w:rPr>
            </w:pPr>
            <w:r>
              <w:rPr>
                <w:rFonts w:eastAsiaTheme="minorEastAsia"/>
                <w:kern w:val="0"/>
                <w:sz w:val="20"/>
              </w:rPr>
              <w:t>生态影响分析</w:t>
            </w:r>
          </w:p>
        </w:tc>
        <w:tc>
          <w:tcPr>
            <w:tcW w:w="6662" w:type="dxa"/>
            <w:shd w:val="clear" w:color="auto" w:fill="auto"/>
            <w:vAlign w:val="center"/>
          </w:tcPr>
          <w:p>
            <w:pPr>
              <w:adjustRightInd w:val="0"/>
              <w:snapToGrid w:val="0"/>
              <w:jc w:val="center"/>
              <w:rPr>
                <w:rFonts w:eastAsiaTheme="minorEastAsia"/>
                <w:kern w:val="0"/>
                <w:sz w:val="20"/>
              </w:rPr>
            </w:pPr>
            <w:r>
              <w:rPr>
                <w:rFonts w:eastAsiaTheme="minorEastAsia"/>
                <w:kern w:val="0"/>
                <w:sz w:val="20"/>
              </w:rPr>
              <w:t>土地、植被、动物</w:t>
            </w:r>
            <w:r>
              <w:rPr>
                <w:rFonts w:hint="eastAsia" w:eastAsiaTheme="minorEastAsia"/>
                <w:kern w:val="0"/>
                <w:sz w:val="20"/>
              </w:rPr>
              <w:t>影响、水土流失</w:t>
            </w:r>
          </w:p>
        </w:tc>
      </w:tr>
    </w:tbl>
    <w:p>
      <w:pPr>
        <w:pStyle w:val="61"/>
        <w:numPr>
          <w:ilvl w:val="1"/>
          <w:numId w:val="5"/>
        </w:numPr>
        <w:tabs>
          <w:tab w:val="left" w:pos="567"/>
          <w:tab w:val="clear" w:pos="432"/>
        </w:tabs>
        <w:spacing w:before="156" w:after="156"/>
        <w:ind w:left="0" w:firstLine="0"/>
        <w:rPr>
          <w:rFonts w:ascii="Times New Roman" w:hAnsi="Times New Roman"/>
        </w:rPr>
      </w:pPr>
      <w:bookmarkStart w:id="25" w:name="_Toc94101198"/>
      <w:r>
        <w:rPr>
          <w:rFonts w:ascii="Times New Roman" w:hAnsi="Times New Roman"/>
        </w:rPr>
        <w:t>环境功能区划及评价标准</w:t>
      </w:r>
      <w:bookmarkEnd w:id="25"/>
    </w:p>
    <w:p>
      <w:pPr>
        <w:pStyle w:val="62"/>
        <w:numPr>
          <w:ilvl w:val="2"/>
          <w:numId w:val="5"/>
        </w:numPr>
        <w:tabs>
          <w:tab w:val="left" w:pos="567"/>
        </w:tabs>
        <w:spacing w:before="156" w:after="156"/>
        <w:ind w:left="1366" w:hanging="1366" w:hangingChars="486"/>
        <w:rPr>
          <w:rFonts w:ascii="Times New Roman" w:hAnsi="Times New Roman"/>
        </w:rPr>
      </w:pPr>
      <w:r>
        <w:rPr>
          <w:rFonts w:ascii="Times New Roman" w:hAnsi="Times New Roman"/>
        </w:rPr>
        <w:t>环境功能区划</w:t>
      </w:r>
    </w:p>
    <w:p>
      <w:pPr>
        <w:adjustRightInd w:val="0"/>
        <w:snapToGrid w:val="0"/>
        <w:spacing w:line="360" w:lineRule="auto"/>
        <w:ind w:firstLine="480" w:firstLineChars="200"/>
        <w:rPr>
          <w:sz w:val="24"/>
          <w:szCs w:val="24"/>
        </w:rPr>
      </w:pPr>
      <w:r>
        <w:rPr>
          <w:sz w:val="24"/>
          <w:szCs w:val="24"/>
        </w:rPr>
        <w:t>本项目选址区的环境功能区划确定如下：</w:t>
      </w:r>
    </w:p>
    <w:p>
      <w:pPr>
        <w:adjustRightInd w:val="0"/>
        <w:snapToGrid w:val="0"/>
        <w:spacing w:line="360" w:lineRule="auto"/>
        <w:ind w:firstLine="480" w:firstLineChars="200"/>
        <w:rPr>
          <w:sz w:val="24"/>
          <w:szCs w:val="24"/>
        </w:rPr>
      </w:pPr>
      <w:r>
        <w:rPr>
          <w:sz w:val="24"/>
          <w:szCs w:val="24"/>
        </w:rPr>
        <w:t>（1）环境空气质量功能区划</w:t>
      </w:r>
    </w:p>
    <w:p>
      <w:pPr>
        <w:adjustRightInd w:val="0"/>
        <w:snapToGrid w:val="0"/>
        <w:spacing w:line="360" w:lineRule="auto"/>
        <w:ind w:firstLine="480" w:firstLineChars="200"/>
        <w:rPr>
          <w:sz w:val="24"/>
          <w:szCs w:val="24"/>
        </w:rPr>
      </w:pPr>
      <w:r>
        <w:rPr>
          <w:sz w:val="24"/>
          <w:szCs w:val="24"/>
        </w:rPr>
        <w:t>本项目所在区域环境空气质量功能为二类区。</w:t>
      </w:r>
    </w:p>
    <w:p>
      <w:pPr>
        <w:adjustRightInd w:val="0"/>
        <w:snapToGrid w:val="0"/>
        <w:spacing w:line="360" w:lineRule="auto"/>
        <w:ind w:firstLine="480" w:firstLineChars="200"/>
        <w:rPr>
          <w:sz w:val="24"/>
          <w:szCs w:val="24"/>
        </w:rPr>
      </w:pPr>
      <w:r>
        <w:rPr>
          <w:sz w:val="24"/>
          <w:szCs w:val="24"/>
        </w:rPr>
        <w:t>（2）水环境功能区划</w:t>
      </w:r>
    </w:p>
    <w:p>
      <w:pPr>
        <w:adjustRightInd w:val="0"/>
        <w:snapToGrid w:val="0"/>
        <w:spacing w:line="360" w:lineRule="auto"/>
        <w:ind w:firstLine="480" w:firstLineChars="200"/>
        <w:rPr>
          <w:kern w:val="0"/>
          <w:sz w:val="24"/>
          <w:szCs w:val="24"/>
        </w:rPr>
      </w:pPr>
      <w:r>
        <w:rPr>
          <w:kern w:val="0"/>
          <w:sz w:val="24"/>
          <w:szCs w:val="24"/>
        </w:rPr>
        <w:t>项目区域</w:t>
      </w:r>
      <w:r>
        <w:rPr>
          <w:rFonts w:hint="eastAsia"/>
          <w:kern w:val="0"/>
          <w:sz w:val="24"/>
          <w:szCs w:val="24"/>
        </w:rPr>
        <w:t>附近</w:t>
      </w:r>
      <w:r>
        <w:rPr>
          <w:kern w:val="0"/>
          <w:sz w:val="24"/>
          <w:szCs w:val="24"/>
        </w:rPr>
        <w:t>河流为伊逊河，按照河北省水利厅与省环保局联合下发的《河北省水功能区划》（冀水资[2017]127号）的要求，伊逊河保护级别为地表水Ⅲ类，执行《地表水环境质量标准》(GB3838-2002)中III类标准。</w:t>
      </w:r>
    </w:p>
    <w:p>
      <w:pPr>
        <w:adjustRightInd w:val="0"/>
        <w:snapToGrid w:val="0"/>
        <w:spacing w:line="360" w:lineRule="auto"/>
        <w:ind w:firstLine="480" w:firstLineChars="200"/>
        <w:rPr>
          <w:kern w:val="0"/>
          <w:sz w:val="24"/>
          <w:szCs w:val="24"/>
        </w:rPr>
      </w:pPr>
      <w:r>
        <w:rPr>
          <w:kern w:val="0"/>
          <w:sz w:val="24"/>
          <w:szCs w:val="24"/>
        </w:rPr>
        <w:t>项目所在区域地下水执行《地下水质量标准》（GB/T14848-2017）中</w:t>
      </w:r>
      <w:r>
        <w:rPr>
          <w:rFonts w:hint="eastAsia" w:ascii="宋体" w:hAnsi="宋体" w:cs="宋体"/>
          <w:kern w:val="0"/>
          <w:sz w:val="24"/>
          <w:szCs w:val="24"/>
        </w:rPr>
        <w:t>Ⅲ</w:t>
      </w:r>
      <w:r>
        <w:rPr>
          <w:kern w:val="0"/>
          <w:sz w:val="24"/>
          <w:szCs w:val="24"/>
        </w:rPr>
        <w:t>类标准。</w:t>
      </w:r>
    </w:p>
    <w:p>
      <w:pPr>
        <w:adjustRightInd w:val="0"/>
        <w:snapToGrid w:val="0"/>
        <w:spacing w:line="360" w:lineRule="auto"/>
        <w:ind w:firstLine="480" w:firstLineChars="200"/>
        <w:rPr>
          <w:sz w:val="24"/>
        </w:rPr>
      </w:pPr>
      <w:r>
        <w:rPr>
          <w:sz w:val="24"/>
        </w:rPr>
        <w:t>（3）声环境功能区划</w:t>
      </w:r>
    </w:p>
    <w:p>
      <w:pPr>
        <w:adjustRightInd w:val="0"/>
        <w:snapToGrid w:val="0"/>
        <w:spacing w:line="360" w:lineRule="auto"/>
        <w:ind w:firstLine="480" w:firstLineChars="200"/>
        <w:rPr>
          <w:sz w:val="24"/>
        </w:rPr>
      </w:pPr>
      <w:r>
        <w:rPr>
          <w:kern w:val="0"/>
          <w:sz w:val="24"/>
          <w:szCs w:val="24"/>
        </w:rPr>
        <w:t>项目区域</w:t>
      </w:r>
      <w:r>
        <w:rPr>
          <w:rFonts w:hint="eastAsia"/>
          <w:kern w:val="0"/>
          <w:sz w:val="24"/>
          <w:szCs w:val="24"/>
        </w:rPr>
        <w:t>属于农村环境，</w:t>
      </w:r>
      <w:r>
        <w:rPr>
          <w:sz w:val="24"/>
        </w:rPr>
        <w:t>环境噪声质量执行《声环境质量标准》（GB3096-2008）的2类标准。</w:t>
      </w:r>
    </w:p>
    <w:p>
      <w:pPr>
        <w:adjustRightInd w:val="0"/>
        <w:snapToGrid w:val="0"/>
        <w:spacing w:line="360" w:lineRule="auto"/>
        <w:ind w:firstLine="480" w:firstLineChars="200"/>
        <w:rPr>
          <w:sz w:val="24"/>
        </w:rPr>
      </w:pPr>
      <w:r>
        <w:rPr>
          <w:sz w:val="24"/>
        </w:rPr>
        <w:t>（4）小结</w:t>
      </w:r>
    </w:p>
    <w:p>
      <w:pPr>
        <w:adjustRightInd w:val="0"/>
        <w:snapToGrid w:val="0"/>
        <w:spacing w:line="360" w:lineRule="auto"/>
        <w:ind w:firstLine="480" w:firstLineChars="200"/>
        <w:rPr>
          <w:sz w:val="24"/>
        </w:rPr>
      </w:pPr>
      <w:r>
        <w:rPr>
          <w:sz w:val="24"/>
        </w:rPr>
        <w:t>综上分析，项目选址区域的环境功能区划属性详见表2.4-2。</w:t>
      </w:r>
    </w:p>
    <w:p>
      <w:pPr>
        <w:snapToGrid w:val="0"/>
        <w:spacing w:line="360" w:lineRule="auto"/>
        <w:jc w:val="center"/>
        <w:rPr>
          <w:b/>
          <w:sz w:val="24"/>
        </w:rPr>
      </w:pPr>
      <w:r>
        <w:rPr>
          <w:b/>
          <w:sz w:val="24"/>
        </w:rPr>
        <w:t>表2.4-2项目所在区域环境功能属性</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6"/>
        <w:gridCol w:w="1420"/>
        <w:gridCol w:w="3117"/>
        <w:gridCol w:w="31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5" w:hRule="atLeast"/>
        </w:trPr>
        <w:tc>
          <w:tcPr>
            <w:tcW w:w="479" w:type="pct"/>
            <w:vAlign w:val="center"/>
          </w:tcPr>
          <w:p>
            <w:pPr>
              <w:autoSpaceDE w:val="0"/>
              <w:autoSpaceDN w:val="0"/>
              <w:adjustRightInd w:val="0"/>
              <w:jc w:val="center"/>
              <w:rPr>
                <w:b/>
                <w:kern w:val="0"/>
                <w:szCs w:val="21"/>
              </w:rPr>
            </w:pPr>
            <w:r>
              <w:rPr>
                <w:b/>
                <w:kern w:val="0"/>
                <w:szCs w:val="21"/>
              </w:rPr>
              <w:t>编号</w:t>
            </w:r>
          </w:p>
        </w:tc>
        <w:tc>
          <w:tcPr>
            <w:tcW w:w="833" w:type="pct"/>
            <w:vAlign w:val="center"/>
          </w:tcPr>
          <w:p>
            <w:pPr>
              <w:autoSpaceDE w:val="0"/>
              <w:autoSpaceDN w:val="0"/>
              <w:adjustRightInd w:val="0"/>
              <w:jc w:val="center"/>
              <w:rPr>
                <w:b/>
                <w:kern w:val="0"/>
                <w:szCs w:val="21"/>
              </w:rPr>
            </w:pPr>
            <w:r>
              <w:rPr>
                <w:b/>
                <w:kern w:val="0"/>
                <w:szCs w:val="21"/>
              </w:rPr>
              <w:t>环境要素</w:t>
            </w:r>
          </w:p>
        </w:tc>
        <w:tc>
          <w:tcPr>
            <w:tcW w:w="1829" w:type="pct"/>
            <w:vAlign w:val="center"/>
          </w:tcPr>
          <w:p>
            <w:pPr>
              <w:autoSpaceDE w:val="0"/>
              <w:autoSpaceDN w:val="0"/>
              <w:adjustRightInd w:val="0"/>
              <w:jc w:val="center"/>
              <w:rPr>
                <w:b/>
                <w:kern w:val="0"/>
                <w:szCs w:val="21"/>
              </w:rPr>
            </w:pPr>
            <w:r>
              <w:rPr>
                <w:b/>
                <w:kern w:val="0"/>
                <w:szCs w:val="21"/>
              </w:rPr>
              <w:t>功能区</w:t>
            </w:r>
          </w:p>
        </w:tc>
        <w:tc>
          <w:tcPr>
            <w:tcW w:w="1859" w:type="pct"/>
            <w:vAlign w:val="center"/>
          </w:tcPr>
          <w:p>
            <w:pPr>
              <w:autoSpaceDE w:val="0"/>
              <w:autoSpaceDN w:val="0"/>
              <w:adjustRightInd w:val="0"/>
              <w:jc w:val="center"/>
              <w:rPr>
                <w:b/>
                <w:kern w:val="0"/>
                <w:szCs w:val="21"/>
              </w:rPr>
            </w:pPr>
            <w:r>
              <w:rPr>
                <w:b/>
                <w:kern w:val="0"/>
                <w:szCs w:val="21"/>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479" w:type="pct"/>
            <w:vAlign w:val="center"/>
          </w:tcPr>
          <w:p>
            <w:pPr>
              <w:autoSpaceDE w:val="0"/>
              <w:autoSpaceDN w:val="0"/>
              <w:adjustRightInd w:val="0"/>
              <w:jc w:val="center"/>
              <w:rPr>
                <w:kern w:val="0"/>
                <w:szCs w:val="21"/>
              </w:rPr>
            </w:pPr>
            <w:r>
              <w:rPr>
                <w:kern w:val="0"/>
                <w:szCs w:val="21"/>
              </w:rPr>
              <w:t>1</w:t>
            </w:r>
          </w:p>
        </w:tc>
        <w:tc>
          <w:tcPr>
            <w:tcW w:w="833" w:type="pct"/>
            <w:vAlign w:val="center"/>
          </w:tcPr>
          <w:p>
            <w:pPr>
              <w:autoSpaceDE w:val="0"/>
              <w:autoSpaceDN w:val="0"/>
              <w:adjustRightInd w:val="0"/>
              <w:jc w:val="center"/>
              <w:rPr>
                <w:kern w:val="0"/>
                <w:szCs w:val="21"/>
              </w:rPr>
            </w:pPr>
            <w:r>
              <w:rPr>
                <w:kern w:val="0"/>
                <w:szCs w:val="21"/>
              </w:rPr>
              <w:t>环境空气</w:t>
            </w:r>
          </w:p>
        </w:tc>
        <w:tc>
          <w:tcPr>
            <w:tcW w:w="1829" w:type="pct"/>
            <w:vAlign w:val="center"/>
          </w:tcPr>
          <w:p>
            <w:pPr>
              <w:autoSpaceDE w:val="0"/>
              <w:autoSpaceDN w:val="0"/>
              <w:adjustRightInd w:val="0"/>
              <w:jc w:val="center"/>
              <w:rPr>
                <w:kern w:val="0"/>
                <w:szCs w:val="21"/>
              </w:rPr>
            </w:pPr>
            <w:r>
              <w:rPr>
                <w:kern w:val="0"/>
                <w:szCs w:val="21"/>
              </w:rPr>
              <w:t>大气环境功能2类区</w:t>
            </w:r>
          </w:p>
        </w:tc>
        <w:tc>
          <w:tcPr>
            <w:tcW w:w="1859" w:type="pct"/>
            <w:vAlign w:val="center"/>
          </w:tcPr>
          <w:p>
            <w:pPr>
              <w:autoSpaceDE w:val="0"/>
              <w:autoSpaceDN w:val="0"/>
              <w:adjustRightInd w:val="0"/>
              <w:jc w:val="center"/>
              <w:rPr>
                <w:kern w:val="0"/>
                <w:szCs w:val="21"/>
              </w:rPr>
            </w:pPr>
            <w:r>
              <w:rPr>
                <w:kern w:val="0"/>
                <w:szCs w:val="21"/>
              </w:rP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479" w:type="pct"/>
            <w:vAlign w:val="center"/>
          </w:tcPr>
          <w:p>
            <w:pPr>
              <w:autoSpaceDE w:val="0"/>
              <w:autoSpaceDN w:val="0"/>
              <w:adjustRightInd w:val="0"/>
              <w:jc w:val="center"/>
              <w:rPr>
                <w:kern w:val="0"/>
                <w:szCs w:val="21"/>
              </w:rPr>
            </w:pPr>
          </w:p>
        </w:tc>
        <w:tc>
          <w:tcPr>
            <w:tcW w:w="833" w:type="pct"/>
            <w:vAlign w:val="center"/>
          </w:tcPr>
          <w:p>
            <w:pPr>
              <w:autoSpaceDE w:val="0"/>
              <w:autoSpaceDN w:val="0"/>
              <w:adjustRightInd w:val="0"/>
              <w:jc w:val="center"/>
              <w:rPr>
                <w:kern w:val="0"/>
                <w:szCs w:val="21"/>
              </w:rPr>
            </w:pPr>
            <w:r>
              <w:rPr>
                <w:kern w:val="0"/>
                <w:szCs w:val="21"/>
              </w:rPr>
              <w:t>地表水</w:t>
            </w:r>
          </w:p>
        </w:tc>
        <w:tc>
          <w:tcPr>
            <w:tcW w:w="1829" w:type="pct"/>
            <w:vAlign w:val="center"/>
          </w:tcPr>
          <w:p>
            <w:pPr>
              <w:autoSpaceDE w:val="0"/>
              <w:autoSpaceDN w:val="0"/>
              <w:adjustRightInd w:val="0"/>
              <w:jc w:val="center"/>
              <w:rPr>
                <w:kern w:val="0"/>
                <w:szCs w:val="21"/>
              </w:rPr>
            </w:pPr>
            <w:r>
              <w:rPr>
                <w:kern w:val="0"/>
                <w:szCs w:val="21"/>
              </w:rPr>
              <w:t>伊逊河，地表水Ⅲ类</w:t>
            </w:r>
          </w:p>
        </w:tc>
        <w:tc>
          <w:tcPr>
            <w:tcW w:w="1859" w:type="pct"/>
            <w:vAlign w:val="center"/>
          </w:tcPr>
          <w:p>
            <w:pPr>
              <w:autoSpaceDE w:val="0"/>
              <w:autoSpaceDN w:val="0"/>
              <w:adjustRightInd w:val="0"/>
              <w:jc w:val="center"/>
              <w:rPr>
                <w:kern w:val="0"/>
                <w:szCs w:val="21"/>
              </w:rPr>
            </w:pPr>
            <w:r>
              <w:rPr>
                <w:kern w:val="0"/>
                <w:szCs w:val="21"/>
              </w:rPr>
              <w:t>《地表水环境质量标准》(GB3838-2002)中III类标准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479" w:type="pct"/>
            <w:vAlign w:val="center"/>
          </w:tcPr>
          <w:p>
            <w:pPr>
              <w:autoSpaceDE w:val="0"/>
              <w:autoSpaceDN w:val="0"/>
              <w:adjustRightInd w:val="0"/>
              <w:jc w:val="center"/>
              <w:rPr>
                <w:kern w:val="0"/>
                <w:szCs w:val="21"/>
              </w:rPr>
            </w:pPr>
            <w:r>
              <w:rPr>
                <w:kern w:val="0"/>
                <w:szCs w:val="21"/>
              </w:rPr>
              <w:t>2</w:t>
            </w:r>
          </w:p>
        </w:tc>
        <w:tc>
          <w:tcPr>
            <w:tcW w:w="833" w:type="pct"/>
            <w:vAlign w:val="center"/>
          </w:tcPr>
          <w:p>
            <w:pPr>
              <w:autoSpaceDE w:val="0"/>
              <w:autoSpaceDN w:val="0"/>
              <w:adjustRightInd w:val="0"/>
              <w:jc w:val="center"/>
              <w:rPr>
                <w:kern w:val="0"/>
                <w:szCs w:val="21"/>
              </w:rPr>
            </w:pPr>
            <w:r>
              <w:rPr>
                <w:kern w:val="0"/>
                <w:szCs w:val="21"/>
              </w:rPr>
              <w:t>地下水环境</w:t>
            </w:r>
          </w:p>
        </w:tc>
        <w:tc>
          <w:tcPr>
            <w:tcW w:w="1829" w:type="pct"/>
            <w:vAlign w:val="center"/>
          </w:tcPr>
          <w:p>
            <w:pPr>
              <w:autoSpaceDE w:val="0"/>
              <w:autoSpaceDN w:val="0"/>
              <w:adjustRightInd w:val="0"/>
              <w:jc w:val="center"/>
              <w:rPr>
                <w:kern w:val="0"/>
                <w:szCs w:val="21"/>
              </w:rPr>
            </w:pPr>
            <w:r>
              <w:rPr>
                <w:kern w:val="0"/>
                <w:szCs w:val="21"/>
              </w:rPr>
              <w:t>地下水，Ⅲ类</w:t>
            </w:r>
          </w:p>
        </w:tc>
        <w:tc>
          <w:tcPr>
            <w:tcW w:w="1859" w:type="pct"/>
            <w:vAlign w:val="center"/>
          </w:tcPr>
          <w:p>
            <w:pPr>
              <w:autoSpaceDE w:val="0"/>
              <w:autoSpaceDN w:val="0"/>
              <w:adjustRightInd w:val="0"/>
              <w:jc w:val="center"/>
              <w:rPr>
                <w:kern w:val="0"/>
                <w:szCs w:val="21"/>
              </w:rPr>
            </w:pPr>
            <w:r>
              <w:rPr>
                <w:kern w:val="0"/>
                <w:szCs w:val="21"/>
              </w:rPr>
              <w:t>《地下水质量标准》（GB14848-2017）Ⅲ类标准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5" w:hRule="atLeast"/>
        </w:trPr>
        <w:tc>
          <w:tcPr>
            <w:tcW w:w="479" w:type="pct"/>
            <w:vAlign w:val="center"/>
          </w:tcPr>
          <w:p>
            <w:pPr>
              <w:autoSpaceDE w:val="0"/>
              <w:autoSpaceDN w:val="0"/>
              <w:adjustRightInd w:val="0"/>
              <w:jc w:val="center"/>
              <w:rPr>
                <w:kern w:val="0"/>
                <w:szCs w:val="21"/>
              </w:rPr>
            </w:pPr>
            <w:r>
              <w:rPr>
                <w:kern w:val="0"/>
                <w:szCs w:val="21"/>
              </w:rPr>
              <w:t>3</w:t>
            </w:r>
          </w:p>
        </w:tc>
        <w:tc>
          <w:tcPr>
            <w:tcW w:w="833" w:type="pct"/>
            <w:vAlign w:val="center"/>
          </w:tcPr>
          <w:p>
            <w:pPr>
              <w:autoSpaceDE w:val="0"/>
              <w:autoSpaceDN w:val="0"/>
              <w:adjustRightInd w:val="0"/>
              <w:jc w:val="center"/>
              <w:rPr>
                <w:kern w:val="0"/>
                <w:szCs w:val="21"/>
              </w:rPr>
            </w:pPr>
            <w:r>
              <w:rPr>
                <w:kern w:val="0"/>
                <w:szCs w:val="21"/>
              </w:rPr>
              <w:t>声环境</w:t>
            </w:r>
          </w:p>
        </w:tc>
        <w:tc>
          <w:tcPr>
            <w:tcW w:w="1829" w:type="pct"/>
            <w:vAlign w:val="center"/>
          </w:tcPr>
          <w:p>
            <w:pPr>
              <w:autoSpaceDE w:val="0"/>
              <w:autoSpaceDN w:val="0"/>
              <w:adjustRightInd w:val="0"/>
              <w:jc w:val="center"/>
              <w:rPr>
                <w:kern w:val="0"/>
                <w:szCs w:val="21"/>
              </w:rPr>
            </w:pPr>
            <w:r>
              <w:rPr>
                <w:kern w:val="0"/>
                <w:szCs w:val="21"/>
              </w:rPr>
              <w:t>农村环境</w:t>
            </w:r>
          </w:p>
        </w:tc>
        <w:tc>
          <w:tcPr>
            <w:tcW w:w="1859" w:type="pct"/>
            <w:vAlign w:val="center"/>
          </w:tcPr>
          <w:p>
            <w:pPr>
              <w:autoSpaceDE w:val="0"/>
              <w:autoSpaceDN w:val="0"/>
              <w:adjustRightInd w:val="0"/>
              <w:jc w:val="center"/>
              <w:rPr>
                <w:kern w:val="0"/>
                <w:szCs w:val="21"/>
              </w:rPr>
            </w:pPr>
            <w:r>
              <w:rPr>
                <w:kern w:val="0"/>
                <w:szCs w:val="21"/>
              </w:rPr>
              <w:t>《声环境质量标准》（GB3096-2008）2类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7" w:hRule="atLeast"/>
        </w:trPr>
        <w:tc>
          <w:tcPr>
            <w:tcW w:w="479" w:type="pct"/>
            <w:vAlign w:val="center"/>
          </w:tcPr>
          <w:p>
            <w:pPr>
              <w:autoSpaceDE w:val="0"/>
              <w:autoSpaceDN w:val="0"/>
              <w:adjustRightInd w:val="0"/>
              <w:jc w:val="center"/>
              <w:rPr>
                <w:kern w:val="0"/>
                <w:szCs w:val="21"/>
              </w:rPr>
            </w:pPr>
            <w:r>
              <w:rPr>
                <w:kern w:val="0"/>
                <w:szCs w:val="21"/>
              </w:rPr>
              <w:t>4</w:t>
            </w:r>
          </w:p>
        </w:tc>
        <w:tc>
          <w:tcPr>
            <w:tcW w:w="833" w:type="pct"/>
            <w:vAlign w:val="center"/>
          </w:tcPr>
          <w:p>
            <w:pPr>
              <w:autoSpaceDE w:val="0"/>
              <w:autoSpaceDN w:val="0"/>
              <w:adjustRightInd w:val="0"/>
              <w:jc w:val="center"/>
              <w:rPr>
                <w:kern w:val="0"/>
                <w:szCs w:val="21"/>
              </w:rPr>
            </w:pPr>
            <w:r>
              <w:rPr>
                <w:kern w:val="0"/>
                <w:szCs w:val="21"/>
              </w:rPr>
              <w:t>生态环境</w:t>
            </w:r>
          </w:p>
        </w:tc>
        <w:tc>
          <w:tcPr>
            <w:tcW w:w="1829" w:type="pct"/>
            <w:vAlign w:val="center"/>
          </w:tcPr>
          <w:p>
            <w:pPr>
              <w:autoSpaceDE w:val="0"/>
              <w:autoSpaceDN w:val="0"/>
              <w:adjustRightInd w:val="0"/>
              <w:jc w:val="center"/>
              <w:rPr>
                <w:kern w:val="0"/>
                <w:szCs w:val="21"/>
              </w:rPr>
            </w:pPr>
            <w:r>
              <w:rPr>
                <w:kern w:val="0"/>
                <w:szCs w:val="21"/>
              </w:rPr>
              <w:t>/</w:t>
            </w:r>
          </w:p>
        </w:tc>
        <w:tc>
          <w:tcPr>
            <w:tcW w:w="1859" w:type="pct"/>
            <w:vAlign w:val="center"/>
          </w:tcPr>
          <w:p>
            <w:pPr>
              <w:autoSpaceDE w:val="0"/>
              <w:autoSpaceDN w:val="0"/>
              <w:adjustRightInd w:val="0"/>
              <w:jc w:val="center"/>
              <w:rPr>
                <w:kern w:val="0"/>
                <w:szCs w:val="21"/>
              </w:rPr>
            </w:pPr>
            <w:r>
              <w:rPr>
                <w:kern w:val="0"/>
                <w:szCs w:val="21"/>
              </w:rPr>
              <w:t>/</w:t>
            </w:r>
          </w:p>
        </w:tc>
      </w:tr>
    </w:tbl>
    <w:p>
      <w:pPr>
        <w:pStyle w:val="62"/>
        <w:numPr>
          <w:ilvl w:val="2"/>
          <w:numId w:val="5"/>
        </w:numPr>
        <w:tabs>
          <w:tab w:val="left" w:pos="567"/>
          <w:tab w:val="clear" w:pos="1021"/>
        </w:tabs>
        <w:spacing w:before="156" w:after="0" w:afterLines="0"/>
        <w:ind w:left="0" w:firstLine="0"/>
        <w:rPr>
          <w:rFonts w:ascii="Times New Roman" w:hAnsi="Times New Roman"/>
        </w:rPr>
      </w:pPr>
      <w:r>
        <w:rPr>
          <w:rFonts w:ascii="Times New Roman" w:hAnsi="Times New Roman"/>
        </w:rPr>
        <w:t>环境质量标准</w:t>
      </w:r>
    </w:p>
    <w:p>
      <w:pPr>
        <w:snapToGrid w:val="0"/>
        <w:spacing w:line="360" w:lineRule="auto"/>
        <w:ind w:firstLine="482" w:firstLineChars="200"/>
        <w:rPr>
          <w:b/>
          <w:sz w:val="24"/>
        </w:rPr>
      </w:pPr>
      <w:r>
        <w:rPr>
          <w:b/>
          <w:sz w:val="24"/>
        </w:rPr>
        <w:t>（1）大气</w:t>
      </w:r>
    </w:p>
    <w:p>
      <w:pPr>
        <w:snapToGrid w:val="0"/>
        <w:spacing w:line="360" w:lineRule="auto"/>
        <w:ind w:firstLine="480" w:firstLineChars="200"/>
        <w:rPr>
          <w:kern w:val="0"/>
          <w:sz w:val="24"/>
          <w:szCs w:val="24"/>
        </w:rPr>
      </w:pPr>
      <w:r>
        <w:rPr>
          <w:kern w:val="0"/>
          <w:sz w:val="24"/>
          <w:szCs w:val="24"/>
        </w:rPr>
        <w:t>项目所在区域环境空气功能区属二类区，评价标准执行《环境空气质量标准》（GB3095-2012）中的二级标准及修改单的公告（生态环境部公告2018年 第29号）</w:t>
      </w:r>
      <w:r>
        <w:rPr>
          <w:rFonts w:hint="eastAsia"/>
          <w:kern w:val="0"/>
          <w:sz w:val="24"/>
          <w:szCs w:val="24"/>
        </w:rPr>
        <w:t>，</w:t>
      </w:r>
      <w:r>
        <w:rPr>
          <w:kern w:val="0"/>
          <w:sz w:val="24"/>
          <w:szCs w:val="24"/>
        </w:rPr>
        <w:t>臭气浓度</w:t>
      </w:r>
      <w:r>
        <w:rPr>
          <w:rFonts w:hint="eastAsia"/>
          <w:kern w:val="0"/>
          <w:sz w:val="24"/>
          <w:szCs w:val="24"/>
        </w:rPr>
        <w:t>执行</w:t>
      </w:r>
      <w:r>
        <w:rPr>
          <w:kern w:val="0"/>
          <w:sz w:val="24"/>
          <w:szCs w:val="24"/>
        </w:rPr>
        <w:t>《恶臭污染物排放标准》（GB14554-93）</w:t>
      </w:r>
      <w:r>
        <w:rPr>
          <w:rFonts w:hint="eastAsia"/>
          <w:kern w:val="0"/>
          <w:sz w:val="24"/>
          <w:szCs w:val="24"/>
        </w:rPr>
        <w:t>表1恶臭污染物厂界标准值（新扩改建）二级标准值；</w:t>
      </w:r>
      <w:r>
        <w:rPr>
          <w:kern w:val="0"/>
          <w:sz w:val="24"/>
          <w:szCs w:val="24"/>
        </w:rPr>
        <w:t>具体见表2.4-3。</w:t>
      </w:r>
    </w:p>
    <w:p>
      <w:pPr>
        <w:snapToGrid w:val="0"/>
        <w:spacing w:line="360" w:lineRule="auto"/>
        <w:jc w:val="center"/>
        <w:rPr>
          <w:b/>
          <w:sz w:val="24"/>
        </w:rPr>
      </w:pPr>
      <w:r>
        <w:rPr>
          <w:b/>
          <w:sz w:val="24"/>
        </w:rPr>
        <w:t>表2.4-3    环境空气质量评价标准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8"/>
        <w:gridCol w:w="1273"/>
        <w:gridCol w:w="1212"/>
        <w:gridCol w:w="1553"/>
        <w:gridCol w:w="28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Merge w:val="restart"/>
            <w:vAlign w:val="center"/>
          </w:tcPr>
          <w:p>
            <w:pPr>
              <w:adjustRightInd w:val="0"/>
              <w:snapToGrid w:val="0"/>
              <w:jc w:val="center"/>
              <w:rPr>
                <w:b/>
                <w:szCs w:val="21"/>
              </w:rPr>
            </w:pPr>
            <w:r>
              <w:rPr>
                <w:b/>
                <w:szCs w:val="21"/>
              </w:rPr>
              <w:t>污染物</w:t>
            </w:r>
          </w:p>
          <w:p>
            <w:pPr>
              <w:adjustRightInd w:val="0"/>
              <w:snapToGrid w:val="0"/>
              <w:jc w:val="center"/>
              <w:rPr>
                <w:b/>
                <w:szCs w:val="21"/>
              </w:rPr>
            </w:pPr>
            <w:r>
              <w:rPr>
                <w:b/>
                <w:szCs w:val="21"/>
              </w:rPr>
              <w:t>名称</w:t>
            </w:r>
          </w:p>
        </w:tc>
        <w:tc>
          <w:tcPr>
            <w:tcW w:w="2369" w:type="pct"/>
            <w:gridSpan w:val="3"/>
            <w:tcBorders>
              <w:right w:val="single" w:color="000000" w:sz="2" w:space="0"/>
            </w:tcBorders>
            <w:vAlign w:val="center"/>
          </w:tcPr>
          <w:p>
            <w:pPr>
              <w:adjustRightInd w:val="0"/>
              <w:snapToGrid w:val="0"/>
              <w:jc w:val="center"/>
              <w:rPr>
                <w:b/>
                <w:szCs w:val="21"/>
              </w:rPr>
            </w:pPr>
            <w:r>
              <w:rPr>
                <w:b/>
                <w:szCs w:val="21"/>
              </w:rPr>
              <w:t>标准限值μg/m</w:t>
            </w:r>
            <w:r>
              <w:rPr>
                <w:b/>
                <w:szCs w:val="21"/>
                <w:vertAlign w:val="superscript"/>
              </w:rPr>
              <w:t>3</w:t>
            </w:r>
          </w:p>
        </w:tc>
        <w:tc>
          <w:tcPr>
            <w:tcW w:w="1652" w:type="pct"/>
            <w:vMerge w:val="restart"/>
            <w:vAlign w:val="center"/>
          </w:tcPr>
          <w:p>
            <w:pPr>
              <w:adjustRightInd w:val="0"/>
              <w:snapToGrid w:val="0"/>
              <w:jc w:val="center"/>
              <w:rPr>
                <w:b/>
                <w:szCs w:val="21"/>
              </w:rPr>
            </w:pPr>
            <w:r>
              <w:rPr>
                <w:b/>
                <w:szCs w:val="21"/>
              </w:rPr>
              <w:t>评价标准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Merge w:val="continue"/>
            <w:vAlign w:val="center"/>
          </w:tcPr>
          <w:p>
            <w:pPr>
              <w:adjustRightInd w:val="0"/>
              <w:snapToGrid w:val="0"/>
              <w:jc w:val="center"/>
              <w:rPr>
                <w:b/>
                <w:szCs w:val="21"/>
              </w:rPr>
            </w:pPr>
          </w:p>
        </w:tc>
        <w:tc>
          <w:tcPr>
            <w:tcW w:w="747" w:type="pct"/>
            <w:vAlign w:val="center"/>
          </w:tcPr>
          <w:p>
            <w:pPr>
              <w:adjustRightInd w:val="0"/>
              <w:snapToGrid w:val="0"/>
              <w:jc w:val="center"/>
              <w:rPr>
                <w:b/>
                <w:szCs w:val="21"/>
              </w:rPr>
            </w:pPr>
            <w:r>
              <w:rPr>
                <w:b/>
                <w:szCs w:val="21"/>
              </w:rPr>
              <w:t>1h平均</w:t>
            </w:r>
          </w:p>
        </w:tc>
        <w:tc>
          <w:tcPr>
            <w:tcW w:w="711" w:type="pct"/>
            <w:vAlign w:val="center"/>
          </w:tcPr>
          <w:p>
            <w:pPr>
              <w:adjustRightInd w:val="0"/>
              <w:snapToGrid w:val="0"/>
              <w:jc w:val="center"/>
              <w:rPr>
                <w:b/>
                <w:szCs w:val="21"/>
              </w:rPr>
            </w:pPr>
            <w:r>
              <w:rPr>
                <w:b/>
                <w:szCs w:val="21"/>
              </w:rPr>
              <w:t>24h平均</w:t>
            </w:r>
          </w:p>
        </w:tc>
        <w:tc>
          <w:tcPr>
            <w:tcW w:w="911" w:type="pct"/>
            <w:tcBorders>
              <w:right w:val="single" w:color="000000" w:sz="2" w:space="0"/>
            </w:tcBorders>
            <w:vAlign w:val="center"/>
          </w:tcPr>
          <w:p>
            <w:pPr>
              <w:adjustRightInd w:val="0"/>
              <w:snapToGrid w:val="0"/>
              <w:jc w:val="center"/>
              <w:rPr>
                <w:b/>
                <w:szCs w:val="21"/>
              </w:rPr>
            </w:pPr>
            <w:r>
              <w:rPr>
                <w:b/>
                <w:szCs w:val="21"/>
              </w:rPr>
              <w:t>年平均</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SO</w:t>
            </w:r>
            <w:r>
              <w:rPr>
                <w:szCs w:val="21"/>
                <w:vertAlign w:val="subscript"/>
              </w:rPr>
              <w:t>2</w:t>
            </w:r>
          </w:p>
        </w:tc>
        <w:tc>
          <w:tcPr>
            <w:tcW w:w="747" w:type="pct"/>
            <w:vAlign w:val="center"/>
          </w:tcPr>
          <w:p>
            <w:pPr>
              <w:adjustRightInd w:val="0"/>
              <w:snapToGrid w:val="0"/>
              <w:jc w:val="center"/>
              <w:rPr>
                <w:szCs w:val="21"/>
              </w:rPr>
            </w:pPr>
            <w:r>
              <w:rPr>
                <w:szCs w:val="21"/>
              </w:rPr>
              <w:t>500</w:t>
            </w:r>
          </w:p>
        </w:tc>
        <w:tc>
          <w:tcPr>
            <w:tcW w:w="711" w:type="pct"/>
            <w:vAlign w:val="center"/>
          </w:tcPr>
          <w:p>
            <w:pPr>
              <w:adjustRightInd w:val="0"/>
              <w:snapToGrid w:val="0"/>
              <w:jc w:val="center"/>
              <w:rPr>
                <w:szCs w:val="21"/>
              </w:rPr>
            </w:pPr>
            <w:r>
              <w:rPr>
                <w:szCs w:val="21"/>
              </w:rPr>
              <w:t>150</w:t>
            </w:r>
          </w:p>
        </w:tc>
        <w:tc>
          <w:tcPr>
            <w:tcW w:w="911" w:type="pct"/>
            <w:vAlign w:val="center"/>
          </w:tcPr>
          <w:p>
            <w:pPr>
              <w:adjustRightInd w:val="0"/>
              <w:snapToGrid w:val="0"/>
              <w:jc w:val="center"/>
              <w:rPr>
                <w:szCs w:val="21"/>
              </w:rPr>
            </w:pPr>
            <w:r>
              <w:rPr>
                <w:szCs w:val="21"/>
              </w:rPr>
              <w:t>60</w:t>
            </w:r>
          </w:p>
        </w:tc>
        <w:tc>
          <w:tcPr>
            <w:tcW w:w="1652" w:type="pct"/>
            <w:vMerge w:val="restart"/>
            <w:vAlign w:val="center"/>
          </w:tcPr>
          <w:p>
            <w:pPr>
              <w:adjustRightInd w:val="0"/>
              <w:snapToGrid w:val="0"/>
              <w:jc w:val="center"/>
              <w:rPr>
                <w:szCs w:val="21"/>
              </w:rPr>
            </w:pPr>
            <w:r>
              <w:rPr>
                <w:szCs w:val="21"/>
              </w:rPr>
              <w:t>《环境空气质量标准》(GB3095-2012)中二级标准</w:t>
            </w:r>
            <w:r>
              <w:rPr>
                <w:rFonts w:hint="eastAsia"/>
                <w:szCs w:val="21"/>
              </w:rPr>
              <w:t>及其附录A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NO</w:t>
            </w:r>
            <w:r>
              <w:rPr>
                <w:szCs w:val="21"/>
                <w:vertAlign w:val="subscript"/>
              </w:rPr>
              <w:t>2</w:t>
            </w:r>
          </w:p>
        </w:tc>
        <w:tc>
          <w:tcPr>
            <w:tcW w:w="747" w:type="pct"/>
            <w:vAlign w:val="center"/>
          </w:tcPr>
          <w:p>
            <w:pPr>
              <w:adjustRightInd w:val="0"/>
              <w:snapToGrid w:val="0"/>
              <w:jc w:val="center"/>
              <w:rPr>
                <w:szCs w:val="21"/>
              </w:rPr>
            </w:pPr>
            <w:r>
              <w:rPr>
                <w:szCs w:val="21"/>
              </w:rPr>
              <w:t>200</w:t>
            </w:r>
          </w:p>
        </w:tc>
        <w:tc>
          <w:tcPr>
            <w:tcW w:w="711" w:type="pct"/>
            <w:vAlign w:val="center"/>
          </w:tcPr>
          <w:p>
            <w:pPr>
              <w:adjustRightInd w:val="0"/>
              <w:snapToGrid w:val="0"/>
              <w:jc w:val="center"/>
              <w:rPr>
                <w:szCs w:val="21"/>
              </w:rPr>
            </w:pPr>
            <w:r>
              <w:rPr>
                <w:szCs w:val="21"/>
              </w:rPr>
              <w:t>80</w:t>
            </w:r>
          </w:p>
        </w:tc>
        <w:tc>
          <w:tcPr>
            <w:tcW w:w="911" w:type="pct"/>
            <w:vAlign w:val="center"/>
          </w:tcPr>
          <w:p>
            <w:pPr>
              <w:adjustRightInd w:val="0"/>
              <w:snapToGrid w:val="0"/>
              <w:jc w:val="center"/>
              <w:rPr>
                <w:szCs w:val="21"/>
              </w:rPr>
            </w:pPr>
            <w:r>
              <w:rPr>
                <w:szCs w:val="21"/>
              </w:rPr>
              <w:t>40</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NOx</w:t>
            </w:r>
          </w:p>
        </w:tc>
        <w:tc>
          <w:tcPr>
            <w:tcW w:w="747" w:type="pct"/>
            <w:vAlign w:val="center"/>
          </w:tcPr>
          <w:p>
            <w:pPr>
              <w:adjustRightInd w:val="0"/>
              <w:snapToGrid w:val="0"/>
              <w:jc w:val="center"/>
              <w:rPr>
                <w:szCs w:val="21"/>
              </w:rPr>
            </w:pPr>
            <w:r>
              <w:rPr>
                <w:szCs w:val="21"/>
              </w:rPr>
              <w:t>250</w:t>
            </w:r>
          </w:p>
        </w:tc>
        <w:tc>
          <w:tcPr>
            <w:tcW w:w="711" w:type="pct"/>
            <w:vAlign w:val="center"/>
          </w:tcPr>
          <w:p>
            <w:pPr>
              <w:adjustRightInd w:val="0"/>
              <w:snapToGrid w:val="0"/>
              <w:jc w:val="center"/>
              <w:rPr>
                <w:szCs w:val="21"/>
              </w:rPr>
            </w:pPr>
            <w:r>
              <w:rPr>
                <w:szCs w:val="21"/>
              </w:rPr>
              <w:t>100</w:t>
            </w:r>
          </w:p>
        </w:tc>
        <w:tc>
          <w:tcPr>
            <w:tcW w:w="911" w:type="pct"/>
            <w:vAlign w:val="center"/>
          </w:tcPr>
          <w:p>
            <w:pPr>
              <w:adjustRightInd w:val="0"/>
              <w:snapToGrid w:val="0"/>
              <w:jc w:val="center"/>
              <w:rPr>
                <w:szCs w:val="21"/>
              </w:rPr>
            </w:pPr>
            <w:r>
              <w:rPr>
                <w:szCs w:val="21"/>
              </w:rPr>
              <w:t>50</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CO</w:t>
            </w:r>
          </w:p>
        </w:tc>
        <w:tc>
          <w:tcPr>
            <w:tcW w:w="747" w:type="pct"/>
            <w:vAlign w:val="center"/>
          </w:tcPr>
          <w:p>
            <w:pPr>
              <w:adjustRightInd w:val="0"/>
              <w:snapToGrid w:val="0"/>
              <w:jc w:val="center"/>
              <w:rPr>
                <w:szCs w:val="21"/>
              </w:rPr>
            </w:pPr>
            <w:r>
              <w:rPr>
                <w:szCs w:val="21"/>
              </w:rPr>
              <w:t>10mg/m</w:t>
            </w:r>
            <w:r>
              <w:rPr>
                <w:szCs w:val="21"/>
                <w:vertAlign w:val="superscript"/>
              </w:rPr>
              <w:t>3</w:t>
            </w:r>
          </w:p>
        </w:tc>
        <w:tc>
          <w:tcPr>
            <w:tcW w:w="711" w:type="pct"/>
            <w:vAlign w:val="center"/>
          </w:tcPr>
          <w:p>
            <w:pPr>
              <w:adjustRightInd w:val="0"/>
              <w:snapToGrid w:val="0"/>
              <w:jc w:val="center"/>
              <w:rPr>
                <w:szCs w:val="21"/>
              </w:rPr>
            </w:pPr>
            <w:r>
              <w:rPr>
                <w:szCs w:val="21"/>
              </w:rPr>
              <w:t>4mg/m</w:t>
            </w:r>
            <w:r>
              <w:rPr>
                <w:szCs w:val="21"/>
                <w:vertAlign w:val="superscript"/>
              </w:rPr>
              <w:t>3</w:t>
            </w:r>
          </w:p>
        </w:tc>
        <w:tc>
          <w:tcPr>
            <w:tcW w:w="911" w:type="pct"/>
            <w:vAlign w:val="center"/>
          </w:tcPr>
          <w:p>
            <w:pPr>
              <w:adjustRightInd w:val="0"/>
              <w:snapToGrid w:val="0"/>
              <w:jc w:val="center"/>
              <w:rPr>
                <w:szCs w:val="21"/>
              </w:rPr>
            </w:pPr>
            <w:r>
              <w:rPr>
                <w:szCs w:val="21"/>
              </w:rPr>
              <w:t>－</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PM</w:t>
            </w:r>
            <w:r>
              <w:rPr>
                <w:szCs w:val="21"/>
                <w:vertAlign w:val="subscript"/>
              </w:rPr>
              <w:t>10</w:t>
            </w:r>
          </w:p>
        </w:tc>
        <w:tc>
          <w:tcPr>
            <w:tcW w:w="747" w:type="pct"/>
            <w:vAlign w:val="center"/>
          </w:tcPr>
          <w:p>
            <w:pPr>
              <w:adjustRightInd w:val="0"/>
              <w:snapToGrid w:val="0"/>
              <w:jc w:val="center"/>
              <w:rPr>
                <w:szCs w:val="21"/>
              </w:rPr>
            </w:pPr>
            <w:r>
              <w:rPr>
                <w:szCs w:val="21"/>
              </w:rPr>
              <w:t>－</w:t>
            </w:r>
          </w:p>
        </w:tc>
        <w:tc>
          <w:tcPr>
            <w:tcW w:w="711" w:type="pct"/>
            <w:vAlign w:val="center"/>
          </w:tcPr>
          <w:p>
            <w:pPr>
              <w:adjustRightInd w:val="0"/>
              <w:snapToGrid w:val="0"/>
              <w:jc w:val="center"/>
              <w:rPr>
                <w:szCs w:val="21"/>
              </w:rPr>
            </w:pPr>
            <w:r>
              <w:rPr>
                <w:szCs w:val="21"/>
              </w:rPr>
              <w:t>150</w:t>
            </w:r>
          </w:p>
        </w:tc>
        <w:tc>
          <w:tcPr>
            <w:tcW w:w="911" w:type="pct"/>
            <w:vAlign w:val="center"/>
          </w:tcPr>
          <w:p>
            <w:pPr>
              <w:adjustRightInd w:val="0"/>
              <w:snapToGrid w:val="0"/>
              <w:jc w:val="center"/>
              <w:rPr>
                <w:szCs w:val="21"/>
              </w:rPr>
            </w:pPr>
            <w:r>
              <w:rPr>
                <w:szCs w:val="21"/>
              </w:rPr>
              <w:t>70</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PM</w:t>
            </w:r>
            <w:r>
              <w:rPr>
                <w:szCs w:val="21"/>
                <w:vertAlign w:val="subscript"/>
              </w:rPr>
              <w:t>2.5</w:t>
            </w:r>
          </w:p>
        </w:tc>
        <w:tc>
          <w:tcPr>
            <w:tcW w:w="747" w:type="pct"/>
            <w:vAlign w:val="center"/>
          </w:tcPr>
          <w:p>
            <w:pPr>
              <w:adjustRightInd w:val="0"/>
              <w:snapToGrid w:val="0"/>
              <w:jc w:val="center"/>
              <w:rPr>
                <w:szCs w:val="21"/>
              </w:rPr>
            </w:pPr>
            <w:r>
              <w:rPr>
                <w:szCs w:val="21"/>
              </w:rPr>
              <w:t>－</w:t>
            </w:r>
          </w:p>
        </w:tc>
        <w:tc>
          <w:tcPr>
            <w:tcW w:w="711" w:type="pct"/>
            <w:vAlign w:val="center"/>
          </w:tcPr>
          <w:p>
            <w:pPr>
              <w:adjustRightInd w:val="0"/>
              <w:snapToGrid w:val="0"/>
              <w:jc w:val="center"/>
              <w:rPr>
                <w:szCs w:val="21"/>
              </w:rPr>
            </w:pPr>
            <w:r>
              <w:rPr>
                <w:szCs w:val="21"/>
              </w:rPr>
              <w:t>75</w:t>
            </w:r>
          </w:p>
        </w:tc>
        <w:tc>
          <w:tcPr>
            <w:tcW w:w="911" w:type="pct"/>
            <w:vAlign w:val="center"/>
          </w:tcPr>
          <w:p>
            <w:pPr>
              <w:adjustRightInd w:val="0"/>
              <w:snapToGrid w:val="0"/>
              <w:jc w:val="center"/>
              <w:rPr>
                <w:szCs w:val="21"/>
              </w:rPr>
            </w:pPr>
            <w:r>
              <w:rPr>
                <w:szCs w:val="21"/>
              </w:rPr>
              <w:t>35</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t>O</w:t>
            </w:r>
            <w:r>
              <w:rPr>
                <w:vertAlign w:val="subscript"/>
              </w:rPr>
              <w:t>3</w:t>
            </w:r>
          </w:p>
        </w:tc>
        <w:tc>
          <w:tcPr>
            <w:tcW w:w="747" w:type="pct"/>
            <w:vAlign w:val="center"/>
          </w:tcPr>
          <w:p>
            <w:pPr>
              <w:adjustRightInd w:val="0"/>
              <w:snapToGrid w:val="0"/>
              <w:jc w:val="center"/>
              <w:rPr>
                <w:szCs w:val="21"/>
              </w:rPr>
            </w:pPr>
          </w:p>
        </w:tc>
        <w:tc>
          <w:tcPr>
            <w:tcW w:w="711" w:type="pct"/>
            <w:vAlign w:val="center"/>
          </w:tcPr>
          <w:p>
            <w:pPr>
              <w:adjustRightInd w:val="0"/>
              <w:snapToGrid w:val="0"/>
              <w:jc w:val="center"/>
              <w:rPr>
                <w:szCs w:val="21"/>
              </w:rPr>
            </w:pPr>
            <w:r>
              <w:rPr>
                <w:rFonts w:hint="eastAsia"/>
                <w:szCs w:val="21"/>
              </w:rPr>
              <w:t>1</w:t>
            </w:r>
            <w:r>
              <w:rPr>
                <w:szCs w:val="21"/>
              </w:rPr>
              <w:t>60</w:t>
            </w:r>
          </w:p>
        </w:tc>
        <w:tc>
          <w:tcPr>
            <w:tcW w:w="911" w:type="pct"/>
            <w:vAlign w:val="center"/>
          </w:tcPr>
          <w:p>
            <w:pPr>
              <w:adjustRightInd w:val="0"/>
              <w:snapToGrid w:val="0"/>
              <w:jc w:val="center"/>
              <w:rPr>
                <w:szCs w:val="21"/>
              </w:rPr>
            </w:pP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szCs w:val="21"/>
              </w:rPr>
              <w:t>TSP</w:t>
            </w:r>
          </w:p>
        </w:tc>
        <w:tc>
          <w:tcPr>
            <w:tcW w:w="747" w:type="pct"/>
            <w:vAlign w:val="center"/>
          </w:tcPr>
          <w:p>
            <w:pPr>
              <w:adjustRightInd w:val="0"/>
              <w:snapToGrid w:val="0"/>
              <w:jc w:val="center"/>
              <w:rPr>
                <w:szCs w:val="21"/>
              </w:rPr>
            </w:pPr>
            <w:r>
              <w:rPr>
                <w:szCs w:val="21"/>
              </w:rPr>
              <w:t>－</w:t>
            </w:r>
          </w:p>
        </w:tc>
        <w:tc>
          <w:tcPr>
            <w:tcW w:w="711" w:type="pct"/>
            <w:vAlign w:val="center"/>
          </w:tcPr>
          <w:p>
            <w:pPr>
              <w:adjustRightInd w:val="0"/>
              <w:snapToGrid w:val="0"/>
              <w:jc w:val="center"/>
              <w:rPr>
                <w:szCs w:val="21"/>
              </w:rPr>
            </w:pPr>
            <w:r>
              <w:rPr>
                <w:szCs w:val="21"/>
              </w:rPr>
              <w:t>300</w:t>
            </w:r>
          </w:p>
        </w:tc>
        <w:tc>
          <w:tcPr>
            <w:tcW w:w="911" w:type="pct"/>
            <w:vAlign w:val="center"/>
          </w:tcPr>
          <w:p>
            <w:pPr>
              <w:adjustRightInd w:val="0"/>
              <w:snapToGrid w:val="0"/>
              <w:jc w:val="center"/>
              <w:rPr>
                <w:szCs w:val="21"/>
              </w:rPr>
            </w:pPr>
            <w:r>
              <w:rPr>
                <w:szCs w:val="21"/>
              </w:rPr>
              <w:t>200</w:t>
            </w:r>
          </w:p>
        </w:tc>
        <w:tc>
          <w:tcPr>
            <w:tcW w:w="1652"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79" w:type="pct"/>
            <w:vAlign w:val="center"/>
          </w:tcPr>
          <w:p>
            <w:pPr>
              <w:adjustRightInd w:val="0"/>
              <w:snapToGrid w:val="0"/>
              <w:jc w:val="center"/>
              <w:rPr>
                <w:szCs w:val="21"/>
              </w:rPr>
            </w:pPr>
            <w:r>
              <w:rPr>
                <w:rFonts w:hint="eastAsia"/>
                <w:szCs w:val="21"/>
              </w:rPr>
              <w:t>臭气浓度</w:t>
            </w:r>
          </w:p>
        </w:tc>
        <w:tc>
          <w:tcPr>
            <w:tcW w:w="747" w:type="pct"/>
            <w:vAlign w:val="center"/>
          </w:tcPr>
          <w:p>
            <w:pPr>
              <w:adjustRightInd w:val="0"/>
              <w:snapToGrid w:val="0"/>
              <w:jc w:val="center"/>
              <w:rPr>
                <w:szCs w:val="21"/>
              </w:rPr>
            </w:pPr>
            <w:r>
              <w:rPr>
                <w:rFonts w:hint="eastAsia"/>
                <w:szCs w:val="21"/>
              </w:rPr>
              <w:t>2</w:t>
            </w:r>
            <w:r>
              <w:rPr>
                <w:szCs w:val="21"/>
              </w:rPr>
              <w:t>0</w:t>
            </w:r>
            <w:r>
              <w:rPr>
                <w:rFonts w:hint="eastAsia"/>
                <w:szCs w:val="21"/>
              </w:rPr>
              <w:t>（无量纲）</w:t>
            </w:r>
          </w:p>
        </w:tc>
        <w:tc>
          <w:tcPr>
            <w:tcW w:w="711" w:type="pct"/>
            <w:vAlign w:val="center"/>
          </w:tcPr>
          <w:p>
            <w:pPr>
              <w:adjustRightInd w:val="0"/>
              <w:snapToGrid w:val="0"/>
              <w:jc w:val="center"/>
              <w:rPr>
                <w:szCs w:val="21"/>
              </w:rPr>
            </w:pPr>
            <w:r>
              <w:rPr>
                <w:szCs w:val="21"/>
              </w:rPr>
              <w:t>－</w:t>
            </w:r>
          </w:p>
        </w:tc>
        <w:tc>
          <w:tcPr>
            <w:tcW w:w="911" w:type="pct"/>
            <w:vAlign w:val="center"/>
          </w:tcPr>
          <w:p>
            <w:pPr>
              <w:adjustRightInd w:val="0"/>
              <w:snapToGrid w:val="0"/>
              <w:jc w:val="center"/>
              <w:rPr>
                <w:szCs w:val="21"/>
              </w:rPr>
            </w:pPr>
            <w:r>
              <w:rPr>
                <w:szCs w:val="21"/>
              </w:rPr>
              <w:t>－</w:t>
            </w:r>
          </w:p>
        </w:tc>
        <w:tc>
          <w:tcPr>
            <w:tcW w:w="1652" w:type="pct"/>
            <w:vAlign w:val="center"/>
          </w:tcPr>
          <w:p>
            <w:pPr>
              <w:adjustRightInd w:val="0"/>
              <w:snapToGrid w:val="0"/>
              <w:jc w:val="center"/>
              <w:rPr>
                <w:szCs w:val="21"/>
              </w:rPr>
            </w:pPr>
            <w:r>
              <w:rPr>
                <w:rFonts w:hint="eastAsia"/>
                <w:szCs w:val="21"/>
              </w:rPr>
              <w:t>《恶臭污染物排放标准》（GB14554-93）</w:t>
            </w:r>
          </w:p>
        </w:tc>
      </w:tr>
    </w:tbl>
    <w:p>
      <w:pPr>
        <w:rPr>
          <w:b/>
          <w:kern w:val="0"/>
          <w:sz w:val="24"/>
          <w:szCs w:val="24"/>
        </w:rPr>
      </w:pPr>
      <w:r>
        <w:tab/>
      </w:r>
      <w:r>
        <w:rPr>
          <w:rFonts w:hint="eastAsia"/>
          <w:b/>
          <w:kern w:val="0"/>
          <w:sz w:val="24"/>
          <w:szCs w:val="24"/>
        </w:rPr>
        <w:t>（2）</w:t>
      </w:r>
      <w:r>
        <w:rPr>
          <w:b/>
          <w:kern w:val="0"/>
          <w:sz w:val="24"/>
          <w:szCs w:val="24"/>
        </w:rPr>
        <w:t>地表水</w:t>
      </w:r>
    </w:p>
    <w:p>
      <w:pPr>
        <w:spacing w:line="360" w:lineRule="auto"/>
        <w:ind w:firstLine="480" w:firstLineChars="200"/>
        <w:rPr>
          <w:sz w:val="24"/>
        </w:rPr>
      </w:pPr>
      <w:r>
        <w:rPr>
          <w:rFonts w:hint="eastAsia"/>
          <w:sz w:val="24"/>
        </w:rPr>
        <w:t>伊逊河</w:t>
      </w:r>
      <w:r>
        <w:rPr>
          <w:sz w:val="24"/>
        </w:rPr>
        <w:t>水体执行《地表水环境质量标准》（GB3838-2002）中</w:t>
      </w:r>
      <w:r>
        <w:rPr>
          <w:rFonts w:hint="eastAsia"/>
          <w:sz w:val="24"/>
        </w:rPr>
        <w:t>III类</w:t>
      </w:r>
      <w:r>
        <w:rPr>
          <w:sz w:val="24"/>
        </w:rPr>
        <w:t>标准，具体见表2-5-2。</w:t>
      </w:r>
    </w:p>
    <w:p>
      <w:pPr>
        <w:spacing w:line="360" w:lineRule="auto"/>
        <w:jc w:val="center"/>
        <w:rPr>
          <w:b/>
          <w:sz w:val="24"/>
        </w:rPr>
      </w:pPr>
      <w:r>
        <w:rPr>
          <w:b/>
          <w:sz w:val="24"/>
        </w:rPr>
        <w:t>表2-5-2  地表水环境质量标准  单位mg/L</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71"/>
        <w:gridCol w:w="4450"/>
        <w:gridCol w:w="26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b/>
                <w:caps/>
                <w:kern w:val="0"/>
                <w:szCs w:val="21"/>
                <w:lang w:eastAsia="en-US"/>
              </w:rPr>
            </w:pPr>
            <w:r>
              <w:rPr>
                <w:b/>
                <w:caps/>
                <w:kern w:val="0"/>
                <w:szCs w:val="21"/>
                <w:lang w:eastAsia="en-US"/>
              </w:rPr>
              <w:t>序号</w:t>
            </w:r>
          </w:p>
        </w:tc>
        <w:tc>
          <w:tcPr>
            <w:tcW w:w="2610" w:type="pct"/>
            <w:vAlign w:val="center"/>
          </w:tcPr>
          <w:p>
            <w:pPr>
              <w:pBdr>
                <w:between w:val="single" w:color="auto" w:sz="4" w:space="1"/>
              </w:pBdr>
              <w:autoSpaceDE w:val="0"/>
              <w:autoSpaceDN w:val="0"/>
              <w:adjustRightInd w:val="0"/>
              <w:snapToGrid w:val="0"/>
              <w:jc w:val="center"/>
              <w:rPr>
                <w:b/>
                <w:caps/>
                <w:kern w:val="0"/>
                <w:szCs w:val="21"/>
                <w:lang w:eastAsia="en-US"/>
              </w:rPr>
            </w:pPr>
            <w:r>
              <w:rPr>
                <w:b/>
                <w:caps/>
                <w:kern w:val="0"/>
                <w:szCs w:val="21"/>
                <w:lang w:eastAsia="en-US"/>
              </w:rPr>
              <w:t>污染物或项目名称</w:t>
            </w:r>
          </w:p>
        </w:tc>
        <w:tc>
          <w:tcPr>
            <w:tcW w:w="1525" w:type="pct"/>
            <w:vAlign w:val="center"/>
          </w:tcPr>
          <w:p>
            <w:pPr>
              <w:pBdr>
                <w:between w:val="single" w:color="auto" w:sz="4" w:space="1"/>
              </w:pBdr>
              <w:autoSpaceDE w:val="0"/>
              <w:autoSpaceDN w:val="0"/>
              <w:adjustRightInd w:val="0"/>
              <w:snapToGrid w:val="0"/>
              <w:jc w:val="center"/>
              <w:rPr>
                <w:b/>
                <w:caps/>
                <w:kern w:val="0"/>
                <w:szCs w:val="21"/>
                <w:lang w:eastAsia="en-US"/>
              </w:rPr>
            </w:pPr>
            <w:r>
              <w:rPr>
                <w:rFonts w:hint="eastAsia" w:ascii="宋体" w:hAnsi="宋体" w:cs="宋体"/>
                <w:spacing w:val="-3"/>
                <w:kern w:val="0"/>
                <w:szCs w:val="21"/>
              </w:rPr>
              <w:t>Ⅲ</w:t>
            </w:r>
            <w:r>
              <w:rPr>
                <w:b/>
                <w:caps/>
                <w:kern w:val="0"/>
                <w:szCs w:val="21"/>
                <w:lang w:eastAsia="en-US"/>
              </w:rPr>
              <w:t>类标准值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1</w:t>
            </w:r>
          </w:p>
        </w:tc>
        <w:tc>
          <w:tcPr>
            <w:tcW w:w="2610" w:type="pct"/>
            <w:vAlign w:val="center"/>
          </w:tcPr>
          <w:p>
            <w:pPr>
              <w:pBdr>
                <w:between w:val="single" w:color="auto" w:sz="4" w:space="1"/>
              </w:pBdr>
              <w:autoSpaceDE w:val="0"/>
              <w:autoSpaceDN w:val="0"/>
              <w:adjustRightInd w:val="0"/>
              <w:snapToGrid w:val="0"/>
              <w:jc w:val="center"/>
              <w:rPr>
                <w:caps/>
                <w:kern w:val="0"/>
                <w:szCs w:val="21"/>
                <w:lang w:eastAsia="en-US"/>
              </w:rPr>
            </w:pPr>
            <w:r>
              <w:rPr>
                <w:kern w:val="0"/>
                <w:szCs w:val="21"/>
                <w:lang w:eastAsia="en-US"/>
              </w:rPr>
              <w:t>pH（无量纲）</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2</w:t>
            </w:r>
          </w:p>
        </w:tc>
        <w:tc>
          <w:tcPr>
            <w:tcW w:w="2610"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氨氮</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1</w:t>
            </w:r>
            <w:r>
              <w:rPr>
                <w:caps/>
                <w:kern w:val="0"/>
                <w:szCs w:val="21"/>
                <w:lang w:eastAsia="en-US"/>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3</w:t>
            </w:r>
          </w:p>
        </w:tc>
        <w:tc>
          <w:tcPr>
            <w:tcW w:w="2610"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总磷（以P计）</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≤0.</w:t>
            </w:r>
            <w:r>
              <w:rPr>
                <w:caps/>
                <w:kern w:val="0"/>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4</w:t>
            </w:r>
          </w:p>
        </w:tc>
        <w:tc>
          <w:tcPr>
            <w:tcW w:w="2610"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高锰酸盐指数</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5</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化学需氧量（</w:t>
            </w:r>
            <w:r>
              <w:rPr>
                <w:kern w:val="0"/>
                <w:szCs w:val="21"/>
              </w:rPr>
              <w:t>COD</w:t>
            </w:r>
            <w:r>
              <w:rPr>
                <w:caps/>
                <w:kern w:val="0"/>
                <w:szCs w:val="21"/>
              </w:rPr>
              <w:t>）</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6</w:t>
            </w:r>
          </w:p>
        </w:tc>
        <w:tc>
          <w:tcPr>
            <w:tcW w:w="2610"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五日生化需氧（BOD</w:t>
            </w:r>
            <w:r>
              <w:rPr>
                <w:caps/>
                <w:kern w:val="0"/>
                <w:szCs w:val="21"/>
                <w:vertAlign w:val="subscript"/>
                <w:lang w:eastAsia="en-US"/>
              </w:rPr>
              <w:t>5</w:t>
            </w:r>
            <w:r>
              <w:rPr>
                <w:caps/>
                <w:kern w:val="0"/>
                <w:szCs w:val="21"/>
                <w:lang w:eastAsia="en-US"/>
              </w:rPr>
              <w:t>）</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7</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溶解氧</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8</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总氮</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9</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铜</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10</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锌</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11</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氟化物</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12</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硒</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13</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砷</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14</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汞</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15</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镉</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16</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铬（六价）</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17</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铅</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18</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氰化物</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19</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挥发酚</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20</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石油类</w:t>
            </w:r>
          </w:p>
        </w:tc>
        <w:tc>
          <w:tcPr>
            <w:tcW w:w="1525" w:type="pct"/>
            <w:vAlign w:val="center"/>
          </w:tcPr>
          <w:p>
            <w:pPr>
              <w:pBdr>
                <w:between w:val="single" w:color="auto" w:sz="4" w:space="1"/>
              </w:pBdr>
              <w:autoSpaceDE w:val="0"/>
              <w:autoSpaceDN w:val="0"/>
              <w:adjustRightInd w:val="0"/>
              <w:snapToGrid w:val="0"/>
              <w:jc w:val="center"/>
              <w:rPr>
                <w:caps/>
                <w:kern w:val="0"/>
                <w:szCs w:val="21"/>
                <w:lang w:eastAsia="en-US"/>
              </w:rPr>
            </w:pPr>
            <w:r>
              <w:rPr>
                <w:caps/>
                <w:kern w:val="0"/>
                <w:szCs w:val="21"/>
                <w:lang w:eastAsia="en-US"/>
              </w:rPr>
              <w:t>≤</w:t>
            </w:r>
            <w:r>
              <w:rPr>
                <w:caps/>
                <w:kern w:val="0"/>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21</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阴离子表面活性剂</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22</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硫化物</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3"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23</w:t>
            </w:r>
          </w:p>
        </w:tc>
        <w:tc>
          <w:tcPr>
            <w:tcW w:w="2610" w:type="pct"/>
            <w:vAlign w:val="center"/>
          </w:tcPr>
          <w:p>
            <w:pPr>
              <w:pBdr>
                <w:between w:val="single" w:color="auto" w:sz="4" w:space="1"/>
              </w:pBdr>
              <w:autoSpaceDE w:val="0"/>
              <w:autoSpaceDN w:val="0"/>
              <w:adjustRightInd w:val="0"/>
              <w:snapToGrid w:val="0"/>
              <w:jc w:val="center"/>
              <w:rPr>
                <w:caps/>
                <w:kern w:val="0"/>
                <w:szCs w:val="21"/>
              </w:rPr>
            </w:pPr>
            <w:r>
              <w:rPr>
                <w:caps/>
                <w:kern w:val="0"/>
                <w:szCs w:val="21"/>
              </w:rPr>
              <w:t>粪大肠菌群</w:t>
            </w:r>
          </w:p>
        </w:tc>
        <w:tc>
          <w:tcPr>
            <w:tcW w:w="1525" w:type="pct"/>
            <w:vAlign w:val="center"/>
          </w:tcPr>
          <w:p>
            <w:pPr>
              <w:pBdr>
                <w:between w:val="single" w:color="auto" w:sz="4" w:space="1"/>
              </w:pBdr>
              <w:autoSpaceDE w:val="0"/>
              <w:autoSpaceDN w:val="0"/>
              <w:adjustRightInd w:val="0"/>
              <w:snapToGrid w:val="0"/>
              <w:jc w:val="center"/>
              <w:rPr>
                <w:caps/>
                <w:kern w:val="0"/>
                <w:szCs w:val="21"/>
              </w:rPr>
            </w:pPr>
            <w:r>
              <w:rPr>
                <w:caps/>
                <w:kern w:val="0"/>
                <w:szCs w:val="21"/>
                <w:lang w:eastAsia="en-US"/>
              </w:rPr>
              <w:t>≤</w:t>
            </w:r>
            <w:r>
              <w:rPr>
                <w:caps/>
                <w:kern w:val="0"/>
                <w:szCs w:val="21"/>
              </w:rPr>
              <w:t>10000（个/L）</w:t>
            </w:r>
          </w:p>
        </w:tc>
      </w:tr>
    </w:tbl>
    <w:p>
      <w:pPr>
        <w:tabs>
          <w:tab w:val="left" w:pos="417"/>
        </w:tabs>
        <w:snapToGrid w:val="0"/>
        <w:spacing w:line="360" w:lineRule="auto"/>
        <w:ind w:firstLine="482" w:firstLineChars="200"/>
        <w:rPr>
          <w:b/>
          <w:kern w:val="0"/>
          <w:sz w:val="24"/>
          <w:szCs w:val="24"/>
        </w:rPr>
      </w:pPr>
      <w:r>
        <w:rPr>
          <w:b/>
          <w:kern w:val="0"/>
          <w:sz w:val="24"/>
          <w:szCs w:val="24"/>
        </w:rPr>
        <w:t>（3）地下水</w:t>
      </w:r>
    </w:p>
    <w:p>
      <w:pPr>
        <w:snapToGrid w:val="0"/>
        <w:spacing w:line="360" w:lineRule="auto"/>
        <w:ind w:firstLine="480" w:firstLineChars="200"/>
        <w:rPr>
          <w:kern w:val="0"/>
          <w:sz w:val="24"/>
          <w:szCs w:val="24"/>
        </w:rPr>
      </w:pPr>
      <w:r>
        <w:rPr>
          <w:kern w:val="0"/>
          <w:sz w:val="24"/>
          <w:szCs w:val="24"/>
        </w:rPr>
        <w:t>本项目所在区域地下水水质执行《地下水质量标准》(GB/T14848-2017）中的</w:t>
      </w:r>
      <w:r>
        <w:rPr>
          <w:rFonts w:hint="eastAsia"/>
          <w:kern w:val="0"/>
          <w:sz w:val="24"/>
          <w:szCs w:val="24"/>
        </w:rPr>
        <w:t>Ⅲ</w:t>
      </w:r>
      <w:r>
        <w:rPr>
          <w:kern w:val="0"/>
          <w:sz w:val="24"/>
          <w:szCs w:val="24"/>
        </w:rPr>
        <w:t>类标准。</w:t>
      </w:r>
      <w:r>
        <w:rPr>
          <w:rFonts w:hint="eastAsia"/>
          <w:kern w:val="0"/>
          <w:sz w:val="24"/>
          <w:szCs w:val="24"/>
        </w:rPr>
        <w:t>具体标准值见表2</w:t>
      </w:r>
      <w:r>
        <w:rPr>
          <w:kern w:val="0"/>
          <w:sz w:val="24"/>
          <w:szCs w:val="24"/>
        </w:rPr>
        <w:t>.4-5</w:t>
      </w:r>
      <w:r>
        <w:rPr>
          <w:rFonts w:hint="eastAsia"/>
          <w:kern w:val="0"/>
          <w:sz w:val="24"/>
          <w:szCs w:val="24"/>
        </w:rPr>
        <w:t>。</w:t>
      </w:r>
    </w:p>
    <w:p>
      <w:pPr>
        <w:tabs>
          <w:tab w:val="left" w:pos="417"/>
        </w:tabs>
        <w:snapToGrid w:val="0"/>
        <w:spacing w:line="360" w:lineRule="auto"/>
        <w:ind w:firstLine="482" w:firstLineChars="200"/>
        <w:jc w:val="center"/>
        <w:rPr>
          <w:b/>
          <w:sz w:val="24"/>
        </w:rPr>
      </w:pPr>
      <w:r>
        <w:rPr>
          <w:b/>
          <w:sz w:val="24"/>
        </w:rPr>
        <w:t>表2.4-5  地下水质量评价标准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95"/>
        <w:gridCol w:w="2935"/>
        <w:gridCol w:w="1926"/>
        <w:gridCol w:w="27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bookmarkStart w:id="26" w:name="_Hlk48724045"/>
            <w:r>
              <w:t>序号</w:t>
            </w:r>
          </w:p>
        </w:tc>
        <w:tc>
          <w:tcPr>
            <w:tcW w:w="1722" w:type="pct"/>
            <w:vAlign w:val="center"/>
          </w:tcPr>
          <w:p>
            <w:pPr>
              <w:jc w:val="center"/>
            </w:pPr>
            <w:r>
              <w:t>污染物名称</w:t>
            </w:r>
          </w:p>
        </w:tc>
        <w:tc>
          <w:tcPr>
            <w:tcW w:w="1130" w:type="pct"/>
            <w:vAlign w:val="center"/>
          </w:tcPr>
          <w:p>
            <w:pPr>
              <w:jc w:val="center"/>
            </w:pPr>
            <w:r>
              <w:t>标准值</w:t>
            </w:r>
          </w:p>
        </w:tc>
        <w:tc>
          <w:tcPr>
            <w:tcW w:w="1623" w:type="pct"/>
            <w:vAlign w:val="center"/>
          </w:tcPr>
          <w:p>
            <w:pPr>
              <w:adjustRightInd w:val="0"/>
              <w:jc w:val="center"/>
              <w:textAlignment w:val="baseline"/>
            </w:pPr>
            <w:r>
              <w:t>标准来源</w:t>
            </w:r>
          </w:p>
        </w:tc>
      </w:tr>
      <w:bookmarkEnd w:id="26"/>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w:t>
            </w:r>
          </w:p>
        </w:tc>
        <w:tc>
          <w:tcPr>
            <w:tcW w:w="1722" w:type="pct"/>
            <w:vAlign w:val="center"/>
          </w:tcPr>
          <w:p>
            <w:pPr>
              <w:jc w:val="center"/>
            </w:pPr>
            <w:r>
              <w:t>pH值(无量纲)</w:t>
            </w:r>
          </w:p>
        </w:tc>
        <w:tc>
          <w:tcPr>
            <w:tcW w:w="1130" w:type="pct"/>
            <w:vAlign w:val="center"/>
          </w:tcPr>
          <w:p>
            <w:pPr>
              <w:jc w:val="center"/>
            </w:pPr>
            <w:r>
              <w:t>6.5～8.5</w:t>
            </w:r>
          </w:p>
        </w:tc>
        <w:tc>
          <w:tcPr>
            <w:tcW w:w="1623" w:type="pct"/>
            <w:vMerge w:val="restart"/>
            <w:vAlign w:val="center"/>
          </w:tcPr>
          <w:p>
            <w:pPr>
              <w:adjustRightInd w:val="0"/>
              <w:jc w:val="center"/>
              <w:textAlignment w:val="baseline"/>
            </w:pPr>
          </w:p>
          <w:p>
            <w:pPr>
              <w:adjustRightInd w:val="0"/>
              <w:jc w:val="center"/>
              <w:textAlignment w:val="baseline"/>
            </w:pPr>
          </w:p>
          <w:p>
            <w:pPr>
              <w:adjustRightInd w:val="0"/>
              <w:jc w:val="center"/>
              <w:textAlignment w:val="baseline"/>
            </w:pPr>
          </w:p>
          <w:p>
            <w:pPr>
              <w:adjustRightInd w:val="0"/>
              <w:jc w:val="center"/>
              <w:textAlignment w:val="baseline"/>
            </w:pPr>
            <w:r>
              <w:t>《地下水质量标准》（GB/T14848-2017）中Ⅲ类标准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2</w:t>
            </w:r>
          </w:p>
        </w:tc>
        <w:tc>
          <w:tcPr>
            <w:tcW w:w="1722" w:type="pct"/>
            <w:vAlign w:val="center"/>
          </w:tcPr>
          <w:p>
            <w:pPr>
              <w:jc w:val="center"/>
            </w:pPr>
            <w:r>
              <w:t>总硬度（以CaCO</w:t>
            </w:r>
            <w:r>
              <w:rPr>
                <w:vertAlign w:val="subscript"/>
              </w:rPr>
              <w:t>3</w:t>
            </w:r>
            <w:r>
              <w:t>计）</w:t>
            </w:r>
          </w:p>
        </w:tc>
        <w:tc>
          <w:tcPr>
            <w:tcW w:w="1130" w:type="pct"/>
            <w:vAlign w:val="center"/>
          </w:tcPr>
          <w:p>
            <w:pPr>
              <w:jc w:val="center"/>
            </w:pPr>
            <w:r>
              <w:t>≤450mg/L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w:t>
            </w:r>
          </w:p>
        </w:tc>
        <w:tc>
          <w:tcPr>
            <w:tcW w:w="1722" w:type="pct"/>
            <w:vAlign w:val="center"/>
          </w:tcPr>
          <w:p>
            <w:pPr>
              <w:jc w:val="center"/>
            </w:pPr>
            <w:r>
              <w:t>溶解性总固体</w:t>
            </w:r>
          </w:p>
        </w:tc>
        <w:tc>
          <w:tcPr>
            <w:tcW w:w="1130" w:type="pct"/>
            <w:vAlign w:val="center"/>
          </w:tcPr>
          <w:p>
            <w:pPr>
              <w:jc w:val="center"/>
            </w:pPr>
            <w:r>
              <w:t>≤1000mg/L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4</w:t>
            </w:r>
          </w:p>
        </w:tc>
        <w:tc>
          <w:tcPr>
            <w:tcW w:w="1722" w:type="pct"/>
            <w:vAlign w:val="center"/>
          </w:tcPr>
          <w:p>
            <w:pPr>
              <w:jc w:val="center"/>
            </w:pPr>
            <w:r>
              <w:t>硫酸盐</w:t>
            </w:r>
          </w:p>
        </w:tc>
        <w:tc>
          <w:tcPr>
            <w:tcW w:w="1130" w:type="pct"/>
            <w:vAlign w:val="center"/>
          </w:tcPr>
          <w:p>
            <w:pPr>
              <w:jc w:val="center"/>
            </w:pPr>
            <w:r>
              <w:t>≤250mg/L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5</w:t>
            </w:r>
          </w:p>
        </w:tc>
        <w:tc>
          <w:tcPr>
            <w:tcW w:w="1722" w:type="pct"/>
            <w:vAlign w:val="center"/>
          </w:tcPr>
          <w:p>
            <w:pPr>
              <w:jc w:val="center"/>
            </w:pPr>
            <w:r>
              <w:t>氯化物</w:t>
            </w:r>
          </w:p>
        </w:tc>
        <w:tc>
          <w:tcPr>
            <w:tcW w:w="1130" w:type="pct"/>
            <w:vAlign w:val="center"/>
          </w:tcPr>
          <w:p>
            <w:pPr>
              <w:jc w:val="center"/>
            </w:pPr>
            <w:r>
              <w:t>≤250mg/L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6</w:t>
            </w:r>
          </w:p>
        </w:tc>
        <w:tc>
          <w:tcPr>
            <w:tcW w:w="1722" w:type="pct"/>
            <w:vAlign w:val="center"/>
          </w:tcPr>
          <w:p>
            <w:pPr>
              <w:jc w:val="center"/>
            </w:pPr>
            <w:r>
              <w:t>铁</w:t>
            </w:r>
          </w:p>
        </w:tc>
        <w:tc>
          <w:tcPr>
            <w:tcW w:w="1130" w:type="pct"/>
            <w:vAlign w:val="center"/>
          </w:tcPr>
          <w:p>
            <w:pPr>
              <w:jc w:val="center"/>
            </w:pPr>
            <w:r>
              <w:t>≤0.3mg/L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7</w:t>
            </w:r>
          </w:p>
        </w:tc>
        <w:tc>
          <w:tcPr>
            <w:tcW w:w="1722" w:type="pct"/>
            <w:vAlign w:val="center"/>
          </w:tcPr>
          <w:p>
            <w:pPr>
              <w:jc w:val="center"/>
            </w:pPr>
            <w:r>
              <w:t>锰</w:t>
            </w:r>
          </w:p>
        </w:tc>
        <w:tc>
          <w:tcPr>
            <w:tcW w:w="1130" w:type="pct"/>
            <w:vAlign w:val="center"/>
          </w:tcPr>
          <w:p>
            <w:pPr>
              <w:jc w:val="center"/>
            </w:pPr>
            <w:r>
              <w:t>≤0.10mg/L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8</w:t>
            </w:r>
          </w:p>
        </w:tc>
        <w:tc>
          <w:tcPr>
            <w:tcW w:w="1722" w:type="pct"/>
            <w:vAlign w:val="center"/>
          </w:tcPr>
          <w:p>
            <w:pPr>
              <w:jc w:val="center"/>
            </w:pPr>
            <w:r>
              <w:t>铜</w:t>
            </w:r>
          </w:p>
        </w:tc>
        <w:tc>
          <w:tcPr>
            <w:tcW w:w="1130" w:type="pct"/>
            <w:vAlign w:val="center"/>
          </w:tcPr>
          <w:p>
            <w:pPr>
              <w:jc w:val="center"/>
            </w:pPr>
            <w:r>
              <w:t>≤1.00mg/L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9</w:t>
            </w:r>
          </w:p>
        </w:tc>
        <w:tc>
          <w:tcPr>
            <w:tcW w:w="1722" w:type="pct"/>
            <w:vAlign w:val="center"/>
          </w:tcPr>
          <w:p>
            <w:pPr>
              <w:jc w:val="center"/>
            </w:pPr>
            <w:r>
              <w:t>锌</w:t>
            </w:r>
          </w:p>
        </w:tc>
        <w:tc>
          <w:tcPr>
            <w:tcW w:w="1130" w:type="pct"/>
            <w:vAlign w:val="center"/>
          </w:tcPr>
          <w:p>
            <w:pPr>
              <w:jc w:val="center"/>
            </w:pPr>
            <w:r>
              <w:t>≤1.00mg/L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10</w:t>
            </w:r>
          </w:p>
        </w:tc>
        <w:tc>
          <w:tcPr>
            <w:tcW w:w="1722" w:type="pct"/>
            <w:vAlign w:val="center"/>
          </w:tcPr>
          <w:p>
            <w:pPr>
              <w:jc w:val="center"/>
            </w:pPr>
            <w:r>
              <w:t>铝</w:t>
            </w:r>
          </w:p>
        </w:tc>
        <w:tc>
          <w:tcPr>
            <w:tcW w:w="1130" w:type="pct"/>
            <w:vAlign w:val="center"/>
          </w:tcPr>
          <w:p>
            <w:pPr>
              <w:jc w:val="center"/>
            </w:pPr>
            <w:r>
              <w:t>≤0.2mg/L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11</w:t>
            </w:r>
          </w:p>
        </w:tc>
        <w:tc>
          <w:tcPr>
            <w:tcW w:w="1722" w:type="pct"/>
            <w:vAlign w:val="center"/>
          </w:tcPr>
          <w:p>
            <w:pPr>
              <w:jc w:val="center"/>
            </w:pPr>
            <w:r>
              <w:t>挥发性酚类（以苯酚计）</w:t>
            </w:r>
          </w:p>
        </w:tc>
        <w:tc>
          <w:tcPr>
            <w:tcW w:w="1130" w:type="pct"/>
            <w:vAlign w:val="center"/>
          </w:tcPr>
          <w:p>
            <w:pPr>
              <w:jc w:val="center"/>
            </w:pPr>
            <w:r>
              <w:t>≤0.002mg/L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12</w:t>
            </w:r>
          </w:p>
        </w:tc>
        <w:tc>
          <w:tcPr>
            <w:tcW w:w="1722" w:type="pct"/>
            <w:vAlign w:val="center"/>
          </w:tcPr>
          <w:p>
            <w:pPr>
              <w:jc w:val="center"/>
            </w:pPr>
            <w:r>
              <w:t>阴离子表面活性剂</w:t>
            </w:r>
          </w:p>
        </w:tc>
        <w:tc>
          <w:tcPr>
            <w:tcW w:w="1130" w:type="pct"/>
            <w:vAlign w:val="center"/>
          </w:tcPr>
          <w:p>
            <w:pPr>
              <w:jc w:val="center"/>
            </w:pPr>
            <w:r>
              <w:t>≤0.3mg/L</w:t>
            </w:r>
          </w:p>
        </w:tc>
        <w:tc>
          <w:tcPr>
            <w:tcW w:w="1623" w:type="pct"/>
            <w:vMerge w:val="continue"/>
            <w:vAlign w:val="center"/>
          </w:tcPr>
          <w:p>
            <w:pPr>
              <w:adjustRightInd w:val="0"/>
              <w:jc w:val="center"/>
              <w:textAlignment w:val="baseline"/>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5" w:type="pct"/>
            <w:vAlign w:val="center"/>
          </w:tcPr>
          <w:p>
            <w:pPr>
              <w:jc w:val="center"/>
            </w:pPr>
            <w:r>
              <w:t>13</w:t>
            </w:r>
          </w:p>
        </w:tc>
        <w:tc>
          <w:tcPr>
            <w:tcW w:w="1722" w:type="pct"/>
            <w:vAlign w:val="center"/>
          </w:tcPr>
          <w:p>
            <w:pPr>
              <w:jc w:val="center"/>
            </w:pPr>
            <w:r>
              <w:t>耗氧量（COD</w:t>
            </w:r>
            <w:r>
              <w:rPr>
                <w:vertAlign w:val="subscript"/>
              </w:rPr>
              <w:t>Mn</w:t>
            </w:r>
            <w:r>
              <w:t>法，以O</w:t>
            </w:r>
            <w:r>
              <w:rPr>
                <w:vertAlign w:val="subscript"/>
              </w:rPr>
              <w:t>2</w:t>
            </w:r>
            <w:r>
              <w:t>计）</w:t>
            </w:r>
          </w:p>
        </w:tc>
        <w:tc>
          <w:tcPr>
            <w:tcW w:w="1130" w:type="pct"/>
            <w:vAlign w:val="center"/>
          </w:tcPr>
          <w:p>
            <w:pPr>
              <w:jc w:val="center"/>
            </w:pPr>
            <w:r>
              <w:t>≤3.0mg/L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14</w:t>
            </w:r>
          </w:p>
        </w:tc>
        <w:tc>
          <w:tcPr>
            <w:tcW w:w="1722" w:type="pct"/>
            <w:vAlign w:val="center"/>
          </w:tcPr>
          <w:p>
            <w:pPr>
              <w:jc w:val="center"/>
            </w:pPr>
            <w:r>
              <w:t>氨氮（以N计）</w:t>
            </w:r>
          </w:p>
        </w:tc>
        <w:tc>
          <w:tcPr>
            <w:tcW w:w="1130" w:type="pct"/>
            <w:vAlign w:val="center"/>
          </w:tcPr>
          <w:p>
            <w:pPr>
              <w:jc w:val="center"/>
            </w:pPr>
            <w:r>
              <w:t>≤0.50mg/L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15</w:t>
            </w:r>
          </w:p>
        </w:tc>
        <w:tc>
          <w:tcPr>
            <w:tcW w:w="1722" w:type="pct"/>
            <w:vAlign w:val="center"/>
          </w:tcPr>
          <w:p>
            <w:pPr>
              <w:jc w:val="center"/>
            </w:pPr>
            <w:r>
              <w:t>硫化物</w:t>
            </w:r>
          </w:p>
        </w:tc>
        <w:tc>
          <w:tcPr>
            <w:tcW w:w="1130" w:type="pct"/>
            <w:vAlign w:val="center"/>
          </w:tcPr>
          <w:p>
            <w:pPr>
              <w:jc w:val="center"/>
            </w:pPr>
            <w:r>
              <w:t>≤0.02mg/L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16</w:t>
            </w:r>
          </w:p>
        </w:tc>
        <w:tc>
          <w:tcPr>
            <w:tcW w:w="1722" w:type="pct"/>
            <w:vAlign w:val="center"/>
          </w:tcPr>
          <w:p>
            <w:pPr>
              <w:jc w:val="center"/>
            </w:pPr>
            <w:r>
              <w:t>钠</w:t>
            </w:r>
          </w:p>
        </w:tc>
        <w:tc>
          <w:tcPr>
            <w:tcW w:w="1130" w:type="pct"/>
            <w:vAlign w:val="center"/>
          </w:tcPr>
          <w:p>
            <w:pPr>
              <w:jc w:val="center"/>
            </w:pPr>
            <w:r>
              <w:t>≤200mg/L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17</w:t>
            </w:r>
          </w:p>
        </w:tc>
        <w:tc>
          <w:tcPr>
            <w:tcW w:w="1722" w:type="pct"/>
            <w:vAlign w:val="center"/>
          </w:tcPr>
          <w:p>
            <w:pPr>
              <w:jc w:val="center"/>
            </w:pPr>
            <w:r>
              <w:t>总大肠菌群</w:t>
            </w:r>
          </w:p>
        </w:tc>
        <w:tc>
          <w:tcPr>
            <w:tcW w:w="1130" w:type="pct"/>
            <w:vAlign w:val="center"/>
          </w:tcPr>
          <w:p>
            <w:pPr>
              <w:jc w:val="center"/>
            </w:pPr>
            <w:r>
              <w:t>≤3.0CFU/100mL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18</w:t>
            </w:r>
          </w:p>
        </w:tc>
        <w:tc>
          <w:tcPr>
            <w:tcW w:w="1722" w:type="pct"/>
            <w:vAlign w:val="center"/>
          </w:tcPr>
          <w:p>
            <w:pPr>
              <w:jc w:val="center"/>
            </w:pPr>
            <w:r>
              <w:t>菌落总数</w:t>
            </w:r>
          </w:p>
        </w:tc>
        <w:tc>
          <w:tcPr>
            <w:tcW w:w="1130" w:type="pct"/>
            <w:vAlign w:val="center"/>
          </w:tcPr>
          <w:p>
            <w:pPr>
              <w:jc w:val="center"/>
            </w:pPr>
            <w:r>
              <w:t>≤100CFU/mL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19</w:t>
            </w:r>
          </w:p>
        </w:tc>
        <w:tc>
          <w:tcPr>
            <w:tcW w:w="1722" w:type="pct"/>
            <w:vAlign w:val="center"/>
          </w:tcPr>
          <w:p>
            <w:pPr>
              <w:jc w:val="center"/>
            </w:pPr>
            <w:r>
              <w:t>氰化物</w:t>
            </w:r>
          </w:p>
        </w:tc>
        <w:tc>
          <w:tcPr>
            <w:tcW w:w="1130" w:type="pct"/>
            <w:vAlign w:val="center"/>
          </w:tcPr>
          <w:p>
            <w:pPr>
              <w:jc w:val="center"/>
            </w:pPr>
            <w:r>
              <w:t>≤0.05mg/L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20</w:t>
            </w:r>
          </w:p>
        </w:tc>
        <w:tc>
          <w:tcPr>
            <w:tcW w:w="1722" w:type="pct"/>
            <w:vAlign w:val="center"/>
          </w:tcPr>
          <w:p>
            <w:pPr>
              <w:jc w:val="center"/>
            </w:pPr>
            <w:r>
              <w:t>氟化物</w:t>
            </w:r>
          </w:p>
        </w:tc>
        <w:tc>
          <w:tcPr>
            <w:tcW w:w="1130" w:type="pct"/>
            <w:vAlign w:val="center"/>
          </w:tcPr>
          <w:p>
            <w:pPr>
              <w:jc w:val="center"/>
            </w:pPr>
            <w:r>
              <w:t>≤1.0mg/L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21</w:t>
            </w:r>
          </w:p>
        </w:tc>
        <w:tc>
          <w:tcPr>
            <w:tcW w:w="1722" w:type="pct"/>
            <w:vAlign w:val="center"/>
          </w:tcPr>
          <w:p>
            <w:pPr>
              <w:jc w:val="center"/>
            </w:pPr>
            <w:r>
              <w:t>硝酸盐（以N计）</w:t>
            </w:r>
          </w:p>
        </w:tc>
        <w:tc>
          <w:tcPr>
            <w:tcW w:w="1130" w:type="pct"/>
            <w:vAlign w:val="center"/>
          </w:tcPr>
          <w:p>
            <w:pPr>
              <w:jc w:val="center"/>
            </w:pPr>
            <w:r>
              <w:t>≤20mg/L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22</w:t>
            </w:r>
          </w:p>
        </w:tc>
        <w:tc>
          <w:tcPr>
            <w:tcW w:w="1722" w:type="pct"/>
            <w:vAlign w:val="center"/>
          </w:tcPr>
          <w:p>
            <w:pPr>
              <w:jc w:val="center"/>
            </w:pPr>
            <w:r>
              <w:t>亚硝酸盐（以N计）</w:t>
            </w:r>
          </w:p>
        </w:tc>
        <w:tc>
          <w:tcPr>
            <w:tcW w:w="1130" w:type="pct"/>
            <w:vAlign w:val="center"/>
          </w:tcPr>
          <w:p>
            <w:pPr>
              <w:jc w:val="center"/>
            </w:pPr>
            <w:r>
              <w:t>≤1.00mg/L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23</w:t>
            </w:r>
          </w:p>
        </w:tc>
        <w:tc>
          <w:tcPr>
            <w:tcW w:w="1722" w:type="pct"/>
            <w:vAlign w:val="center"/>
          </w:tcPr>
          <w:p>
            <w:pPr>
              <w:jc w:val="center"/>
            </w:pPr>
            <w:r>
              <w:t>汞</w:t>
            </w:r>
          </w:p>
        </w:tc>
        <w:tc>
          <w:tcPr>
            <w:tcW w:w="1130" w:type="pct"/>
            <w:vAlign w:val="center"/>
          </w:tcPr>
          <w:p>
            <w:pPr>
              <w:jc w:val="center"/>
            </w:pPr>
            <w:r>
              <w:t>≤0.001mg/L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24</w:t>
            </w:r>
          </w:p>
        </w:tc>
        <w:tc>
          <w:tcPr>
            <w:tcW w:w="1722" w:type="pct"/>
            <w:vAlign w:val="center"/>
          </w:tcPr>
          <w:p>
            <w:pPr>
              <w:jc w:val="center"/>
            </w:pPr>
            <w:r>
              <w:t>砷</w:t>
            </w:r>
          </w:p>
        </w:tc>
        <w:tc>
          <w:tcPr>
            <w:tcW w:w="1130" w:type="pct"/>
            <w:vAlign w:val="center"/>
          </w:tcPr>
          <w:p>
            <w:pPr>
              <w:jc w:val="center"/>
            </w:pPr>
            <w:r>
              <w:t>≤0.01mg/L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25</w:t>
            </w:r>
          </w:p>
        </w:tc>
        <w:tc>
          <w:tcPr>
            <w:tcW w:w="1722" w:type="pct"/>
            <w:vAlign w:val="center"/>
          </w:tcPr>
          <w:p>
            <w:pPr>
              <w:jc w:val="center"/>
            </w:pPr>
            <w:r>
              <w:t>硒</w:t>
            </w:r>
          </w:p>
        </w:tc>
        <w:tc>
          <w:tcPr>
            <w:tcW w:w="1130" w:type="pct"/>
            <w:vAlign w:val="center"/>
          </w:tcPr>
          <w:p>
            <w:pPr>
              <w:jc w:val="center"/>
            </w:pPr>
            <w:r>
              <w:t>≤0.01mg/L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26</w:t>
            </w:r>
          </w:p>
        </w:tc>
        <w:tc>
          <w:tcPr>
            <w:tcW w:w="1722" w:type="pct"/>
            <w:vAlign w:val="center"/>
          </w:tcPr>
          <w:p>
            <w:pPr>
              <w:jc w:val="center"/>
            </w:pPr>
            <w:r>
              <w:t>镉</w:t>
            </w:r>
          </w:p>
        </w:tc>
        <w:tc>
          <w:tcPr>
            <w:tcW w:w="1130" w:type="pct"/>
            <w:vAlign w:val="center"/>
          </w:tcPr>
          <w:p>
            <w:pPr>
              <w:jc w:val="center"/>
            </w:pPr>
            <w:r>
              <w:t>≤0.005mg/L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27</w:t>
            </w:r>
          </w:p>
        </w:tc>
        <w:tc>
          <w:tcPr>
            <w:tcW w:w="1722" w:type="pct"/>
            <w:vAlign w:val="center"/>
          </w:tcPr>
          <w:p>
            <w:pPr>
              <w:jc w:val="center"/>
            </w:pPr>
            <w:r>
              <w:t>铅</w:t>
            </w:r>
          </w:p>
        </w:tc>
        <w:tc>
          <w:tcPr>
            <w:tcW w:w="1130" w:type="pct"/>
            <w:vAlign w:val="center"/>
          </w:tcPr>
          <w:p>
            <w:pPr>
              <w:jc w:val="center"/>
            </w:pPr>
            <w:r>
              <w:t>≤0.01mg/L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28</w:t>
            </w:r>
          </w:p>
        </w:tc>
        <w:tc>
          <w:tcPr>
            <w:tcW w:w="1722" w:type="pct"/>
            <w:vAlign w:val="center"/>
          </w:tcPr>
          <w:p>
            <w:pPr>
              <w:jc w:val="center"/>
            </w:pPr>
            <w:r>
              <w:t>六价铬</w:t>
            </w:r>
          </w:p>
        </w:tc>
        <w:tc>
          <w:tcPr>
            <w:tcW w:w="1130" w:type="pct"/>
            <w:vAlign w:val="center"/>
          </w:tcPr>
          <w:p>
            <w:pPr>
              <w:jc w:val="center"/>
            </w:pPr>
            <w:r>
              <w:t>≤0.05mg/L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29</w:t>
            </w:r>
          </w:p>
        </w:tc>
        <w:tc>
          <w:tcPr>
            <w:tcW w:w="1722" w:type="pct"/>
            <w:vAlign w:val="center"/>
          </w:tcPr>
          <w:p>
            <w:pPr>
              <w:jc w:val="center"/>
            </w:pPr>
            <w:r>
              <w:t>三氯甲烷</w:t>
            </w:r>
          </w:p>
        </w:tc>
        <w:tc>
          <w:tcPr>
            <w:tcW w:w="1130" w:type="pct"/>
            <w:vAlign w:val="center"/>
          </w:tcPr>
          <w:p>
            <w:pPr>
              <w:jc w:val="center"/>
            </w:pPr>
            <w:r>
              <w:t>≤60mg/L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30</w:t>
            </w:r>
          </w:p>
        </w:tc>
        <w:tc>
          <w:tcPr>
            <w:tcW w:w="1722" w:type="pct"/>
            <w:vAlign w:val="center"/>
          </w:tcPr>
          <w:p>
            <w:pPr>
              <w:jc w:val="center"/>
            </w:pPr>
            <w:r>
              <w:t>四氯化碳</w:t>
            </w:r>
          </w:p>
        </w:tc>
        <w:tc>
          <w:tcPr>
            <w:tcW w:w="1130" w:type="pct"/>
            <w:vAlign w:val="center"/>
          </w:tcPr>
          <w:p>
            <w:pPr>
              <w:jc w:val="center"/>
            </w:pPr>
            <w:r>
              <w:t>≤2.0mg/L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31</w:t>
            </w:r>
          </w:p>
        </w:tc>
        <w:tc>
          <w:tcPr>
            <w:tcW w:w="1722" w:type="pct"/>
            <w:vAlign w:val="center"/>
          </w:tcPr>
          <w:p>
            <w:pPr>
              <w:jc w:val="center"/>
            </w:pPr>
            <w:r>
              <w:t>苯</w:t>
            </w:r>
          </w:p>
        </w:tc>
        <w:tc>
          <w:tcPr>
            <w:tcW w:w="1130" w:type="pct"/>
            <w:vAlign w:val="center"/>
          </w:tcPr>
          <w:p>
            <w:pPr>
              <w:jc w:val="center"/>
            </w:pPr>
            <w:r>
              <w:t>≤10mg/L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32</w:t>
            </w:r>
          </w:p>
        </w:tc>
        <w:tc>
          <w:tcPr>
            <w:tcW w:w="1722" w:type="pct"/>
            <w:vAlign w:val="center"/>
          </w:tcPr>
          <w:p>
            <w:pPr>
              <w:jc w:val="center"/>
            </w:pPr>
            <w:r>
              <w:t>铊</w:t>
            </w:r>
          </w:p>
        </w:tc>
        <w:tc>
          <w:tcPr>
            <w:tcW w:w="1130" w:type="pct"/>
            <w:vAlign w:val="center"/>
          </w:tcPr>
          <w:p>
            <w:pPr>
              <w:jc w:val="center"/>
            </w:pPr>
            <w:r>
              <w:t>≤0.0001mg/L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33</w:t>
            </w:r>
          </w:p>
        </w:tc>
        <w:tc>
          <w:tcPr>
            <w:tcW w:w="1722" w:type="pct"/>
            <w:vAlign w:val="center"/>
          </w:tcPr>
          <w:p>
            <w:pPr>
              <w:jc w:val="center"/>
            </w:pPr>
            <w:r>
              <w:t>锑</w:t>
            </w:r>
          </w:p>
        </w:tc>
        <w:tc>
          <w:tcPr>
            <w:tcW w:w="1130" w:type="pct"/>
            <w:vAlign w:val="center"/>
          </w:tcPr>
          <w:p>
            <w:pPr>
              <w:jc w:val="center"/>
            </w:pPr>
            <w:r>
              <w:t>≤0.005mg/L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34</w:t>
            </w:r>
          </w:p>
        </w:tc>
        <w:tc>
          <w:tcPr>
            <w:tcW w:w="1722" w:type="pct"/>
            <w:vAlign w:val="center"/>
          </w:tcPr>
          <w:p>
            <w:pPr>
              <w:jc w:val="center"/>
            </w:pPr>
            <w:r>
              <w:t>钴</w:t>
            </w:r>
          </w:p>
        </w:tc>
        <w:tc>
          <w:tcPr>
            <w:tcW w:w="1130" w:type="pct"/>
            <w:vAlign w:val="center"/>
          </w:tcPr>
          <w:p>
            <w:pPr>
              <w:jc w:val="center"/>
            </w:pPr>
            <w:r>
              <w:t>≤0.05mg/L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35</w:t>
            </w:r>
          </w:p>
        </w:tc>
        <w:tc>
          <w:tcPr>
            <w:tcW w:w="1722" w:type="pct"/>
            <w:vAlign w:val="center"/>
          </w:tcPr>
          <w:p>
            <w:pPr>
              <w:jc w:val="center"/>
            </w:pPr>
            <w:r>
              <w:t>镍</w:t>
            </w:r>
          </w:p>
        </w:tc>
        <w:tc>
          <w:tcPr>
            <w:tcW w:w="1130" w:type="pct"/>
            <w:vAlign w:val="center"/>
          </w:tcPr>
          <w:p>
            <w:pPr>
              <w:jc w:val="center"/>
            </w:pPr>
            <w:r>
              <w:t>≤0.02mg/L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36</w:t>
            </w:r>
          </w:p>
        </w:tc>
        <w:tc>
          <w:tcPr>
            <w:tcW w:w="1722" w:type="pct"/>
            <w:vAlign w:val="center"/>
          </w:tcPr>
          <w:p>
            <w:pPr>
              <w:jc w:val="center"/>
            </w:pPr>
            <w:r>
              <w:t>铍</w:t>
            </w:r>
          </w:p>
        </w:tc>
        <w:tc>
          <w:tcPr>
            <w:tcW w:w="1130" w:type="pct"/>
            <w:vAlign w:val="center"/>
          </w:tcPr>
          <w:p>
            <w:pPr>
              <w:jc w:val="center"/>
            </w:pPr>
            <w:r>
              <w:t>≤0.002mg/L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37</w:t>
            </w:r>
          </w:p>
        </w:tc>
        <w:tc>
          <w:tcPr>
            <w:tcW w:w="1722" w:type="pct"/>
            <w:vAlign w:val="center"/>
          </w:tcPr>
          <w:p>
            <w:pPr>
              <w:jc w:val="center"/>
            </w:pPr>
            <w:r>
              <w:t>钡</w:t>
            </w:r>
          </w:p>
        </w:tc>
        <w:tc>
          <w:tcPr>
            <w:tcW w:w="1130" w:type="pct"/>
            <w:vAlign w:val="center"/>
          </w:tcPr>
          <w:p>
            <w:pPr>
              <w:jc w:val="center"/>
            </w:pPr>
            <w:r>
              <w:t>≤0.7mg/L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38</w:t>
            </w:r>
          </w:p>
        </w:tc>
        <w:tc>
          <w:tcPr>
            <w:tcW w:w="1722" w:type="pct"/>
            <w:vAlign w:val="center"/>
          </w:tcPr>
          <w:p>
            <w:pPr>
              <w:jc w:val="center"/>
            </w:pPr>
            <w:r>
              <w:t>色（铂钴色度单位）</w:t>
            </w:r>
          </w:p>
        </w:tc>
        <w:tc>
          <w:tcPr>
            <w:tcW w:w="1130" w:type="pct"/>
            <w:vAlign w:val="center"/>
          </w:tcPr>
          <w:p>
            <w:pPr>
              <w:jc w:val="center"/>
            </w:pPr>
            <w:r>
              <w:t>≤15mg/L</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525" w:type="pct"/>
            <w:vAlign w:val="center"/>
          </w:tcPr>
          <w:p>
            <w:pPr>
              <w:jc w:val="center"/>
            </w:pPr>
            <w:r>
              <w:t>39</w:t>
            </w:r>
          </w:p>
        </w:tc>
        <w:tc>
          <w:tcPr>
            <w:tcW w:w="1722" w:type="pct"/>
            <w:vAlign w:val="center"/>
          </w:tcPr>
          <w:p>
            <w:pPr>
              <w:jc w:val="center"/>
            </w:pPr>
            <w:r>
              <w:t>溴和味</w:t>
            </w:r>
          </w:p>
        </w:tc>
        <w:tc>
          <w:tcPr>
            <w:tcW w:w="1130" w:type="pct"/>
            <w:vAlign w:val="center"/>
          </w:tcPr>
          <w:p>
            <w:pPr>
              <w:jc w:val="center"/>
            </w:pPr>
            <w:r>
              <w:t>无</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40</w:t>
            </w:r>
          </w:p>
        </w:tc>
        <w:tc>
          <w:tcPr>
            <w:tcW w:w="1722" w:type="pct"/>
            <w:vAlign w:val="center"/>
          </w:tcPr>
          <w:p>
            <w:pPr>
              <w:jc w:val="center"/>
            </w:pPr>
            <w:r>
              <w:t>浑浊度</w:t>
            </w:r>
          </w:p>
        </w:tc>
        <w:tc>
          <w:tcPr>
            <w:tcW w:w="1130" w:type="pct"/>
            <w:vAlign w:val="center"/>
          </w:tcPr>
          <w:p>
            <w:pPr>
              <w:jc w:val="center"/>
            </w:pPr>
            <w:r>
              <w:t>≤3NTU</w:t>
            </w:r>
          </w:p>
        </w:tc>
        <w:tc>
          <w:tcPr>
            <w:tcW w:w="1623" w:type="pct"/>
            <w:vMerge w:val="continue"/>
            <w:vAlign w:val="center"/>
          </w:tcPr>
          <w:p>
            <w:pPr>
              <w:widowControl/>
              <w:jc w:val="left"/>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exact"/>
          <w:jc w:val="center"/>
        </w:trPr>
        <w:tc>
          <w:tcPr>
            <w:tcW w:w="525" w:type="pct"/>
            <w:vAlign w:val="center"/>
          </w:tcPr>
          <w:p>
            <w:pPr>
              <w:jc w:val="center"/>
            </w:pPr>
            <w:r>
              <w:t>41</w:t>
            </w:r>
          </w:p>
        </w:tc>
        <w:tc>
          <w:tcPr>
            <w:tcW w:w="1722" w:type="pct"/>
            <w:vAlign w:val="center"/>
          </w:tcPr>
          <w:p>
            <w:pPr>
              <w:jc w:val="center"/>
            </w:pPr>
            <w:r>
              <w:t>肉眼可见物</w:t>
            </w:r>
          </w:p>
        </w:tc>
        <w:tc>
          <w:tcPr>
            <w:tcW w:w="1130" w:type="pct"/>
            <w:vAlign w:val="center"/>
          </w:tcPr>
          <w:p>
            <w:pPr>
              <w:jc w:val="center"/>
            </w:pPr>
            <w:r>
              <w:t>无</w:t>
            </w:r>
          </w:p>
        </w:tc>
        <w:tc>
          <w:tcPr>
            <w:tcW w:w="1623" w:type="pct"/>
            <w:vMerge w:val="continue"/>
            <w:vAlign w:val="center"/>
          </w:tcPr>
          <w:p>
            <w:pPr>
              <w:widowControl/>
              <w:jc w:val="left"/>
            </w:pPr>
          </w:p>
        </w:tc>
      </w:tr>
    </w:tbl>
    <w:p>
      <w:pPr>
        <w:tabs>
          <w:tab w:val="left" w:pos="417"/>
        </w:tabs>
        <w:snapToGrid w:val="0"/>
        <w:spacing w:line="360" w:lineRule="auto"/>
        <w:ind w:firstLine="482" w:firstLineChars="200"/>
        <w:jc w:val="center"/>
        <w:rPr>
          <w:b/>
          <w:sz w:val="24"/>
        </w:rPr>
      </w:pPr>
    </w:p>
    <w:p>
      <w:pPr>
        <w:tabs>
          <w:tab w:val="left" w:pos="417"/>
        </w:tabs>
        <w:snapToGrid w:val="0"/>
        <w:spacing w:line="360" w:lineRule="auto"/>
        <w:ind w:firstLine="482" w:firstLineChars="200"/>
        <w:rPr>
          <w:b/>
          <w:kern w:val="0"/>
          <w:sz w:val="24"/>
          <w:szCs w:val="24"/>
        </w:rPr>
      </w:pPr>
      <w:r>
        <w:rPr>
          <w:b/>
          <w:kern w:val="0"/>
          <w:sz w:val="24"/>
          <w:szCs w:val="24"/>
        </w:rPr>
        <w:t>（4）声环境</w:t>
      </w:r>
    </w:p>
    <w:p>
      <w:pPr>
        <w:tabs>
          <w:tab w:val="left" w:pos="417"/>
        </w:tabs>
        <w:snapToGrid w:val="0"/>
        <w:spacing w:line="360" w:lineRule="auto"/>
        <w:ind w:firstLine="480" w:firstLineChars="200"/>
        <w:rPr>
          <w:kern w:val="0"/>
          <w:sz w:val="24"/>
          <w:szCs w:val="24"/>
        </w:rPr>
      </w:pPr>
      <w:r>
        <w:rPr>
          <w:rFonts w:hint="eastAsia"/>
          <w:kern w:val="0"/>
          <w:sz w:val="24"/>
          <w:szCs w:val="24"/>
        </w:rPr>
        <w:t>项目区</w:t>
      </w:r>
      <w:r>
        <w:rPr>
          <w:kern w:val="0"/>
          <w:sz w:val="24"/>
          <w:szCs w:val="24"/>
        </w:rPr>
        <w:t>声环境执行《声环境质量标准》（GB3096-2008）中2类标准</w:t>
      </w:r>
      <w:r>
        <w:rPr>
          <w:rFonts w:hint="eastAsia"/>
          <w:kern w:val="0"/>
          <w:sz w:val="24"/>
          <w:szCs w:val="24"/>
        </w:rPr>
        <w:t>，</w:t>
      </w:r>
      <w:r>
        <w:rPr>
          <w:kern w:val="0"/>
          <w:sz w:val="24"/>
          <w:szCs w:val="24"/>
        </w:rPr>
        <w:t>见表2.4-6。</w:t>
      </w:r>
    </w:p>
    <w:p>
      <w:pPr>
        <w:jc w:val="center"/>
        <w:rPr>
          <w:b/>
          <w:bCs/>
          <w:sz w:val="24"/>
          <w:szCs w:val="24"/>
        </w:rPr>
      </w:pPr>
      <w:r>
        <w:rPr>
          <w:b/>
          <w:bCs/>
          <w:sz w:val="24"/>
          <w:szCs w:val="24"/>
        </w:rPr>
        <w:t>表2.4-6     声环境质量标准</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95"/>
        <w:gridCol w:w="3214"/>
        <w:gridCol w:w="32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2095" w:type="dxa"/>
            <w:vMerge w:val="restart"/>
            <w:vAlign w:val="center"/>
          </w:tcPr>
          <w:p>
            <w:pPr>
              <w:widowControl/>
              <w:adjustRightInd w:val="0"/>
              <w:snapToGrid w:val="0"/>
              <w:jc w:val="center"/>
              <w:rPr>
                <w:bCs/>
                <w:kern w:val="0"/>
                <w:szCs w:val="21"/>
              </w:rPr>
            </w:pPr>
            <w:r>
              <w:rPr>
                <w:bCs/>
                <w:kern w:val="0"/>
                <w:szCs w:val="21"/>
              </w:rPr>
              <w:t>区域类别</w:t>
            </w:r>
          </w:p>
        </w:tc>
        <w:tc>
          <w:tcPr>
            <w:tcW w:w="6427" w:type="dxa"/>
            <w:gridSpan w:val="2"/>
            <w:vAlign w:val="center"/>
          </w:tcPr>
          <w:p>
            <w:pPr>
              <w:widowControl/>
              <w:adjustRightInd w:val="0"/>
              <w:snapToGrid w:val="0"/>
              <w:jc w:val="center"/>
              <w:rPr>
                <w:bCs/>
                <w:kern w:val="0"/>
                <w:szCs w:val="21"/>
              </w:rPr>
            </w:pPr>
            <w:r>
              <w:rPr>
                <w:bCs/>
                <w:kern w:val="0"/>
                <w:szCs w:val="21"/>
              </w:rPr>
              <w:t>噪声值dB（A）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2095" w:type="dxa"/>
            <w:vMerge w:val="continue"/>
            <w:vAlign w:val="center"/>
          </w:tcPr>
          <w:p>
            <w:pPr>
              <w:widowControl/>
              <w:adjustRightInd w:val="0"/>
              <w:snapToGrid w:val="0"/>
              <w:jc w:val="center"/>
              <w:rPr>
                <w:bCs/>
                <w:kern w:val="0"/>
                <w:szCs w:val="21"/>
              </w:rPr>
            </w:pPr>
          </w:p>
        </w:tc>
        <w:tc>
          <w:tcPr>
            <w:tcW w:w="3214" w:type="dxa"/>
            <w:vAlign w:val="center"/>
          </w:tcPr>
          <w:p>
            <w:pPr>
              <w:widowControl/>
              <w:adjustRightInd w:val="0"/>
              <w:snapToGrid w:val="0"/>
              <w:jc w:val="center"/>
              <w:rPr>
                <w:bCs/>
                <w:kern w:val="0"/>
                <w:szCs w:val="21"/>
              </w:rPr>
            </w:pPr>
            <w:r>
              <w:rPr>
                <w:bCs/>
                <w:kern w:val="0"/>
                <w:szCs w:val="21"/>
              </w:rPr>
              <w:t>昼间</w:t>
            </w:r>
          </w:p>
        </w:tc>
        <w:tc>
          <w:tcPr>
            <w:tcW w:w="3213" w:type="dxa"/>
            <w:vAlign w:val="center"/>
          </w:tcPr>
          <w:p>
            <w:pPr>
              <w:widowControl/>
              <w:adjustRightInd w:val="0"/>
              <w:snapToGrid w:val="0"/>
              <w:jc w:val="center"/>
              <w:rPr>
                <w:bCs/>
                <w:kern w:val="0"/>
                <w:szCs w:val="21"/>
              </w:rPr>
            </w:pPr>
            <w:r>
              <w:rPr>
                <w:bCs/>
                <w:kern w:val="0"/>
                <w:szCs w:val="21"/>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2095" w:type="dxa"/>
            <w:vAlign w:val="center"/>
          </w:tcPr>
          <w:p>
            <w:pPr>
              <w:widowControl/>
              <w:adjustRightInd w:val="0"/>
              <w:snapToGrid w:val="0"/>
              <w:jc w:val="center"/>
              <w:rPr>
                <w:bCs/>
                <w:kern w:val="0"/>
                <w:szCs w:val="21"/>
              </w:rPr>
            </w:pPr>
            <w:r>
              <w:rPr>
                <w:bCs/>
                <w:kern w:val="0"/>
                <w:szCs w:val="21"/>
              </w:rPr>
              <w:t>2类</w:t>
            </w:r>
          </w:p>
        </w:tc>
        <w:tc>
          <w:tcPr>
            <w:tcW w:w="3214" w:type="dxa"/>
            <w:vAlign w:val="center"/>
          </w:tcPr>
          <w:p>
            <w:pPr>
              <w:widowControl/>
              <w:adjustRightInd w:val="0"/>
              <w:snapToGrid w:val="0"/>
              <w:jc w:val="center"/>
              <w:rPr>
                <w:bCs/>
                <w:kern w:val="0"/>
                <w:szCs w:val="21"/>
              </w:rPr>
            </w:pPr>
            <w:r>
              <w:rPr>
                <w:bCs/>
                <w:kern w:val="0"/>
                <w:szCs w:val="21"/>
              </w:rPr>
              <w:t>60</w:t>
            </w:r>
          </w:p>
        </w:tc>
        <w:tc>
          <w:tcPr>
            <w:tcW w:w="3213" w:type="dxa"/>
            <w:vAlign w:val="center"/>
          </w:tcPr>
          <w:p>
            <w:pPr>
              <w:widowControl/>
              <w:adjustRightInd w:val="0"/>
              <w:snapToGrid w:val="0"/>
              <w:jc w:val="center"/>
              <w:rPr>
                <w:bCs/>
                <w:kern w:val="0"/>
                <w:szCs w:val="21"/>
              </w:rPr>
            </w:pPr>
            <w:r>
              <w:rPr>
                <w:bCs/>
                <w:kern w:val="0"/>
                <w:szCs w:val="21"/>
              </w:rPr>
              <w:t>50</w:t>
            </w:r>
          </w:p>
        </w:tc>
      </w:tr>
    </w:tbl>
    <w:p>
      <w:pPr>
        <w:tabs>
          <w:tab w:val="left" w:pos="417"/>
        </w:tabs>
        <w:snapToGrid w:val="0"/>
        <w:spacing w:line="360" w:lineRule="auto"/>
        <w:ind w:firstLine="482" w:firstLineChars="200"/>
        <w:rPr>
          <w:b/>
          <w:kern w:val="0"/>
          <w:sz w:val="24"/>
          <w:szCs w:val="24"/>
        </w:rPr>
      </w:pPr>
      <w:r>
        <w:rPr>
          <w:b/>
          <w:kern w:val="0"/>
          <w:sz w:val="24"/>
          <w:szCs w:val="24"/>
        </w:rPr>
        <w:t>（5）土壤</w:t>
      </w:r>
    </w:p>
    <w:p>
      <w:pPr>
        <w:tabs>
          <w:tab w:val="left" w:pos="417"/>
        </w:tabs>
        <w:snapToGrid w:val="0"/>
        <w:spacing w:line="360" w:lineRule="auto"/>
        <w:ind w:firstLine="480" w:firstLineChars="200"/>
        <w:rPr>
          <w:bCs/>
          <w:kern w:val="0"/>
          <w:sz w:val="24"/>
          <w:szCs w:val="24"/>
        </w:rPr>
      </w:pPr>
      <w:bookmarkStart w:id="27" w:name="_Hlk88231079"/>
      <w:r>
        <w:rPr>
          <w:rFonts w:hint="eastAsia"/>
          <w:bCs/>
          <w:kern w:val="0"/>
          <w:sz w:val="24"/>
          <w:szCs w:val="24"/>
        </w:rPr>
        <w:t>厂区周边</w:t>
      </w:r>
      <w:r>
        <w:rPr>
          <w:bCs/>
          <w:kern w:val="0"/>
          <w:sz w:val="24"/>
          <w:szCs w:val="24"/>
        </w:rPr>
        <w:t>土壤环境执行《土壤环境质量农用地土壤污染风险管控标准》（试行）（GB15618-2018）表1标准</w:t>
      </w:r>
      <w:r>
        <w:rPr>
          <w:rFonts w:hint="eastAsia"/>
          <w:bCs/>
          <w:kern w:val="0"/>
          <w:sz w:val="24"/>
          <w:szCs w:val="24"/>
        </w:rPr>
        <w:t>。</w:t>
      </w:r>
    </w:p>
    <w:p>
      <w:pPr>
        <w:spacing w:line="480" w:lineRule="exact"/>
        <w:ind w:firstLine="480" w:firstLineChars="200"/>
        <w:textAlignment w:val="baseline"/>
        <w:rPr>
          <w:sz w:val="24"/>
          <w:szCs w:val="24"/>
        </w:rPr>
      </w:pPr>
      <w:r>
        <w:rPr>
          <w:bCs/>
          <w:kern w:val="0"/>
          <w:sz w:val="24"/>
          <w:szCs w:val="24"/>
        </w:rPr>
        <w:t>建设用地土壤环境执行</w:t>
      </w:r>
      <w:r>
        <w:rPr>
          <w:sz w:val="24"/>
          <w:szCs w:val="24"/>
        </w:rPr>
        <w:t>《土壤环境质量 建设用地土壤污染风险管控标准》（试行）（GB36600-2018）表1中</w:t>
      </w:r>
      <w:r>
        <w:rPr>
          <w:bCs/>
          <w:kern w:val="0"/>
          <w:sz w:val="24"/>
          <w:szCs w:val="24"/>
        </w:rPr>
        <w:t>第二类用地</w:t>
      </w:r>
      <w:r>
        <w:rPr>
          <w:sz w:val="24"/>
          <w:szCs w:val="24"/>
        </w:rPr>
        <w:t>筛选值标准要求</w:t>
      </w:r>
      <w:r>
        <w:rPr>
          <w:rFonts w:hint="eastAsia"/>
          <w:sz w:val="24"/>
          <w:szCs w:val="24"/>
        </w:rPr>
        <w:t>和</w:t>
      </w:r>
      <w:r>
        <w:rPr>
          <w:bCs/>
          <w:kern w:val="0"/>
          <w:sz w:val="24"/>
          <w:szCs w:val="24"/>
        </w:rPr>
        <w:t>《</w:t>
      </w:r>
      <w:r>
        <w:rPr>
          <w:rFonts w:hint="eastAsia"/>
          <w:bCs/>
          <w:kern w:val="0"/>
          <w:sz w:val="24"/>
          <w:szCs w:val="24"/>
        </w:rPr>
        <w:t>河北省建设用地土壤污染风险筛选值</w:t>
      </w:r>
      <w:r>
        <w:rPr>
          <w:bCs/>
          <w:kern w:val="0"/>
          <w:sz w:val="24"/>
          <w:szCs w:val="24"/>
        </w:rPr>
        <w:t>》（</w:t>
      </w:r>
      <w:r>
        <w:rPr>
          <w:rFonts w:hint="eastAsia"/>
          <w:bCs/>
          <w:kern w:val="0"/>
          <w:sz w:val="24"/>
          <w:szCs w:val="24"/>
        </w:rPr>
        <w:t>DB</w:t>
      </w:r>
      <w:r>
        <w:rPr>
          <w:bCs/>
          <w:kern w:val="0"/>
          <w:sz w:val="24"/>
          <w:szCs w:val="24"/>
        </w:rPr>
        <w:t>13/</w:t>
      </w:r>
      <w:r>
        <w:rPr>
          <w:rFonts w:hint="eastAsia"/>
          <w:bCs/>
          <w:kern w:val="0"/>
          <w:sz w:val="24"/>
          <w:szCs w:val="24"/>
        </w:rPr>
        <w:t>T</w:t>
      </w:r>
      <w:r>
        <w:rPr>
          <w:bCs/>
          <w:kern w:val="0"/>
          <w:sz w:val="24"/>
          <w:szCs w:val="24"/>
        </w:rPr>
        <w:t>5216-2020）表1中第二类用地筛选值。二噁英类物质执行《土壤环境质量建设用地土壤污染风险管控标准》（试行）（GB36600-2018）表2中第二类用地筛选值标准要求（4×10</w:t>
      </w:r>
      <w:r>
        <w:rPr>
          <w:bCs/>
          <w:kern w:val="0"/>
          <w:sz w:val="24"/>
          <w:szCs w:val="24"/>
          <w:vertAlign w:val="superscript"/>
        </w:rPr>
        <w:t>-5</w:t>
      </w:r>
      <w:r>
        <w:rPr>
          <w:bCs/>
          <w:kern w:val="0"/>
          <w:sz w:val="24"/>
          <w:szCs w:val="24"/>
        </w:rPr>
        <w:t>mg/kg）；</w:t>
      </w:r>
      <w:r>
        <w:rPr>
          <w:sz w:val="24"/>
          <w:szCs w:val="24"/>
        </w:rPr>
        <w:t>具体标准限值见表2.4-7和表2.4-8。</w:t>
      </w:r>
    </w:p>
    <w:p>
      <w:pPr>
        <w:adjustRightInd w:val="0"/>
        <w:snapToGrid w:val="0"/>
        <w:jc w:val="center"/>
        <w:rPr>
          <w:rFonts w:eastAsia="黑体"/>
          <w:snapToGrid w:val="0"/>
          <w:kern w:val="0"/>
          <w:szCs w:val="21"/>
        </w:rPr>
      </w:pPr>
      <w:r>
        <w:rPr>
          <w:b/>
          <w:bCs/>
          <w:sz w:val="24"/>
          <w:szCs w:val="24"/>
        </w:rPr>
        <w:t>表2.4-7  农用地土壤污染控制风险筛选值</w:t>
      </w:r>
      <w:r>
        <w:rPr>
          <w:rFonts w:eastAsia="黑体"/>
          <w:snapToGrid w:val="0"/>
          <w:kern w:val="0"/>
          <w:szCs w:val="21"/>
        </w:rPr>
        <w:t>(单位：mg/kg，除pH外)</w:t>
      </w:r>
    </w:p>
    <w:tbl>
      <w:tblPr>
        <w:tblStyle w:val="39"/>
        <w:tblW w:w="505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930"/>
        <w:gridCol w:w="1116"/>
        <w:gridCol w:w="1024"/>
        <w:gridCol w:w="1281"/>
        <w:gridCol w:w="12"/>
        <w:gridCol w:w="1464"/>
        <w:gridCol w:w="24"/>
        <w:gridCol w:w="1171"/>
        <w:gridCol w:w="35"/>
        <w:gridCol w:w="13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84" w:hRule="atLeast"/>
          <w:jc w:val="center"/>
        </w:trPr>
        <w:tc>
          <w:tcPr>
            <w:tcW w:w="550" w:type="pct"/>
            <w:vMerge w:val="restart"/>
            <w:vAlign w:val="center"/>
          </w:tcPr>
          <w:p>
            <w:pPr>
              <w:adjustRightInd w:val="0"/>
              <w:snapToGrid w:val="0"/>
              <w:jc w:val="center"/>
              <w:rPr>
                <w:b/>
                <w:kern w:val="0"/>
                <w:szCs w:val="21"/>
              </w:rPr>
            </w:pPr>
            <w:r>
              <w:rPr>
                <w:b/>
                <w:kern w:val="0"/>
                <w:szCs w:val="21"/>
              </w:rPr>
              <w:t>序号</w:t>
            </w:r>
          </w:p>
        </w:tc>
        <w:tc>
          <w:tcPr>
            <w:tcW w:w="1266" w:type="pct"/>
            <w:gridSpan w:val="2"/>
            <w:vMerge w:val="restart"/>
            <w:vAlign w:val="center"/>
          </w:tcPr>
          <w:p>
            <w:pPr>
              <w:adjustRightInd w:val="0"/>
              <w:snapToGrid w:val="0"/>
              <w:jc w:val="center"/>
              <w:rPr>
                <w:b/>
                <w:kern w:val="0"/>
                <w:szCs w:val="21"/>
              </w:rPr>
            </w:pPr>
            <w:r>
              <w:rPr>
                <w:b/>
                <w:kern w:val="0"/>
                <w:szCs w:val="21"/>
              </w:rPr>
              <w:t>污染项目</w:t>
            </w:r>
            <w:r>
              <w:rPr>
                <w:rFonts w:hint="eastAsia" w:ascii="宋体" w:hAnsi="宋体" w:cs="宋体"/>
                <w:b/>
                <w:kern w:val="0"/>
                <w:szCs w:val="21"/>
              </w:rPr>
              <w:t>①②</w:t>
            </w:r>
          </w:p>
        </w:tc>
        <w:tc>
          <w:tcPr>
            <w:tcW w:w="3184" w:type="pct"/>
            <w:gridSpan w:val="7"/>
            <w:vAlign w:val="center"/>
          </w:tcPr>
          <w:p>
            <w:pPr>
              <w:adjustRightInd w:val="0"/>
              <w:snapToGrid w:val="0"/>
              <w:jc w:val="center"/>
              <w:rPr>
                <w:b/>
                <w:kern w:val="0"/>
                <w:szCs w:val="21"/>
              </w:rPr>
            </w:pPr>
            <w:r>
              <w:rPr>
                <w:b/>
                <w:kern w:val="0"/>
                <w:szCs w:val="21"/>
              </w:rPr>
              <w:t>风险筛选值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1266" w:type="pct"/>
            <w:gridSpan w:val="2"/>
            <w:vMerge w:val="continue"/>
            <w:vAlign w:val="center"/>
          </w:tcPr>
          <w:p>
            <w:pPr>
              <w:adjustRightInd w:val="0"/>
              <w:snapToGrid w:val="0"/>
              <w:jc w:val="center"/>
              <w:rPr>
                <w:kern w:val="0"/>
                <w:szCs w:val="21"/>
              </w:rPr>
            </w:pPr>
          </w:p>
        </w:tc>
        <w:tc>
          <w:tcPr>
            <w:tcW w:w="758" w:type="pct"/>
            <w:vAlign w:val="center"/>
          </w:tcPr>
          <w:p>
            <w:pPr>
              <w:adjustRightInd w:val="0"/>
              <w:snapToGrid w:val="0"/>
              <w:jc w:val="center"/>
              <w:rPr>
                <w:kern w:val="0"/>
                <w:szCs w:val="21"/>
              </w:rPr>
            </w:pPr>
            <w:r>
              <w:rPr>
                <w:kern w:val="0"/>
                <w:szCs w:val="21"/>
              </w:rPr>
              <w:t>pH≤5.5</w:t>
            </w:r>
          </w:p>
        </w:tc>
        <w:tc>
          <w:tcPr>
            <w:tcW w:w="873" w:type="pct"/>
            <w:gridSpan w:val="2"/>
            <w:vAlign w:val="center"/>
          </w:tcPr>
          <w:p>
            <w:pPr>
              <w:adjustRightInd w:val="0"/>
              <w:snapToGrid w:val="0"/>
              <w:jc w:val="center"/>
              <w:rPr>
                <w:kern w:val="0"/>
                <w:szCs w:val="21"/>
              </w:rPr>
            </w:pPr>
            <w:r>
              <w:rPr>
                <w:kern w:val="0"/>
                <w:szCs w:val="21"/>
              </w:rPr>
              <w:t>5.5＜pH≤6.5</w:t>
            </w:r>
          </w:p>
        </w:tc>
        <w:tc>
          <w:tcPr>
            <w:tcW w:w="707" w:type="pct"/>
            <w:gridSpan w:val="2"/>
            <w:vAlign w:val="center"/>
          </w:tcPr>
          <w:p>
            <w:pPr>
              <w:adjustRightInd w:val="0"/>
              <w:snapToGrid w:val="0"/>
              <w:jc w:val="center"/>
              <w:rPr>
                <w:kern w:val="0"/>
                <w:szCs w:val="21"/>
              </w:rPr>
            </w:pPr>
            <w:r>
              <w:rPr>
                <w:kern w:val="0"/>
                <w:szCs w:val="21"/>
              </w:rPr>
              <w:t>6.5＜pH≤7.5</w:t>
            </w:r>
          </w:p>
        </w:tc>
        <w:tc>
          <w:tcPr>
            <w:tcW w:w="845" w:type="pct"/>
            <w:gridSpan w:val="2"/>
            <w:vAlign w:val="center"/>
          </w:tcPr>
          <w:p>
            <w:pPr>
              <w:adjustRightInd w:val="0"/>
              <w:snapToGrid w:val="0"/>
              <w:jc w:val="center"/>
              <w:rPr>
                <w:kern w:val="0"/>
                <w:szCs w:val="21"/>
              </w:rPr>
            </w:pPr>
            <w:r>
              <w:rPr>
                <w:kern w:val="0"/>
                <w:szCs w:val="21"/>
              </w:rPr>
              <w:t>pH＞7.5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Merge w:val="restart"/>
            <w:vAlign w:val="center"/>
          </w:tcPr>
          <w:p>
            <w:pPr>
              <w:adjustRightInd w:val="0"/>
              <w:snapToGrid w:val="0"/>
              <w:jc w:val="center"/>
              <w:rPr>
                <w:kern w:val="0"/>
                <w:szCs w:val="21"/>
              </w:rPr>
            </w:pPr>
            <w:r>
              <w:rPr>
                <w:kern w:val="0"/>
                <w:szCs w:val="21"/>
              </w:rPr>
              <w:t>1</w:t>
            </w:r>
          </w:p>
        </w:tc>
        <w:tc>
          <w:tcPr>
            <w:tcW w:w="660" w:type="pct"/>
            <w:vMerge w:val="restart"/>
            <w:vAlign w:val="center"/>
          </w:tcPr>
          <w:p>
            <w:pPr>
              <w:adjustRightInd w:val="0"/>
              <w:snapToGrid w:val="0"/>
              <w:jc w:val="center"/>
              <w:rPr>
                <w:kern w:val="0"/>
                <w:szCs w:val="21"/>
              </w:rPr>
            </w:pPr>
            <w:r>
              <w:rPr>
                <w:kern w:val="0"/>
                <w:szCs w:val="21"/>
              </w:rPr>
              <w:t>镉</w:t>
            </w:r>
          </w:p>
        </w:tc>
        <w:tc>
          <w:tcPr>
            <w:tcW w:w="606" w:type="pct"/>
            <w:vAlign w:val="center"/>
          </w:tcPr>
          <w:p>
            <w:pPr>
              <w:adjustRightInd w:val="0"/>
              <w:snapToGrid w:val="0"/>
              <w:jc w:val="center"/>
              <w:rPr>
                <w:kern w:val="0"/>
                <w:szCs w:val="21"/>
              </w:rPr>
            </w:pPr>
            <w:r>
              <w:rPr>
                <w:kern w:val="0"/>
                <w:szCs w:val="21"/>
              </w:rPr>
              <w:t>水田</w:t>
            </w:r>
          </w:p>
        </w:tc>
        <w:tc>
          <w:tcPr>
            <w:tcW w:w="765" w:type="pct"/>
            <w:gridSpan w:val="2"/>
            <w:vAlign w:val="center"/>
          </w:tcPr>
          <w:p>
            <w:pPr>
              <w:adjustRightInd w:val="0"/>
              <w:snapToGrid w:val="0"/>
              <w:jc w:val="center"/>
              <w:rPr>
                <w:kern w:val="0"/>
                <w:szCs w:val="21"/>
              </w:rPr>
            </w:pPr>
            <w:r>
              <w:rPr>
                <w:kern w:val="0"/>
                <w:szCs w:val="21"/>
              </w:rPr>
              <w:t>0.4</w:t>
            </w:r>
          </w:p>
        </w:tc>
        <w:tc>
          <w:tcPr>
            <w:tcW w:w="880" w:type="pct"/>
            <w:gridSpan w:val="2"/>
            <w:vAlign w:val="center"/>
          </w:tcPr>
          <w:p>
            <w:pPr>
              <w:adjustRightInd w:val="0"/>
              <w:snapToGrid w:val="0"/>
              <w:jc w:val="center"/>
              <w:rPr>
                <w:kern w:val="0"/>
                <w:szCs w:val="21"/>
              </w:rPr>
            </w:pPr>
            <w:r>
              <w:rPr>
                <w:kern w:val="0"/>
                <w:szCs w:val="21"/>
              </w:rPr>
              <w:t>0.4</w:t>
            </w:r>
          </w:p>
        </w:tc>
        <w:tc>
          <w:tcPr>
            <w:tcW w:w="714" w:type="pct"/>
            <w:gridSpan w:val="2"/>
            <w:vAlign w:val="center"/>
          </w:tcPr>
          <w:p>
            <w:pPr>
              <w:adjustRightInd w:val="0"/>
              <w:snapToGrid w:val="0"/>
              <w:jc w:val="center"/>
              <w:rPr>
                <w:kern w:val="0"/>
                <w:szCs w:val="21"/>
              </w:rPr>
            </w:pPr>
            <w:r>
              <w:rPr>
                <w:kern w:val="0"/>
                <w:szCs w:val="21"/>
              </w:rPr>
              <w:t>0.6</w:t>
            </w:r>
          </w:p>
        </w:tc>
        <w:tc>
          <w:tcPr>
            <w:tcW w:w="825" w:type="pct"/>
            <w:vAlign w:val="center"/>
          </w:tcPr>
          <w:p>
            <w:pPr>
              <w:adjustRightInd w:val="0"/>
              <w:snapToGrid w:val="0"/>
              <w:jc w:val="center"/>
              <w:rPr>
                <w:kern w:val="0"/>
                <w:szCs w:val="21"/>
              </w:rPr>
            </w:pPr>
            <w:r>
              <w:rPr>
                <w:kern w:val="0"/>
                <w:szCs w:val="21"/>
              </w:rPr>
              <w:t>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660" w:type="pct"/>
            <w:vMerge w:val="continue"/>
            <w:vAlign w:val="center"/>
          </w:tcPr>
          <w:p>
            <w:pPr>
              <w:adjustRightInd w:val="0"/>
              <w:snapToGrid w:val="0"/>
              <w:jc w:val="center"/>
              <w:rPr>
                <w:kern w:val="0"/>
                <w:szCs w:val="21"/>
              </w:rPr>
            </w:pPr>
          </w:p>
        </w:tc>
        <w:tc>
          <w:tcPr>
            <w:tcW w:w="606" w:type="pct"/>
            <w:vAlign w:val="center"/>
          </w:tcPr>
          <w:p>
            <w:pPr>
              <w:adjustRightInd w:val="0"/>
              <w:snapToGrid w:val="0"/>
              <w:jc w:val="center"/>
              <w:rPr>
                <w:kern w:val="0"/>
                <w:szCs w:val="21"/>
              </w:rPr>
            </w:pPr>
            <w:r>
              <w:rPr>
                <w:kern w:val="0"/>
                <w:szCs w:val="21"/>
              </w:rPr>
              <w:t>其他</w:t>
            </w:r>
          </w:p>
        </w:tc>
        <w:tc>
          <w:tcPr>
            <w:tcW w:w="765" w:type="pct"/>
            <w:gridSpan w:val="2"/>
            <w:vAlign w:val="center"/>
          </w:tcPr>
          <w:p>
            <w:pPr>
              <w:adjustRightInd w:val="0"/>
              <w:snapToGrid w:val="0"/>
              <w:jc w:val="center"/>
              <w:rPr>
                <w:kern w:val="0"/>
                <w:szCs w:val="21"/>
              </w:rPr>
            </w:pPr>
            <w:r>
              <w:rPr>
                <w:kern w:val="0"/>
                <w:szCs w:val="21"/>
              </w:rPr>
              <w:t>0.3</w:t>
            </w:r>
          </w:p>
        </w:tc>
        <w:tc>
          <w:tcPr>
            <w:tcW w:w="880" w:type="pct"/>
            <w:gridSpan w:val="2"/>
            <w:vAlign w:val="center"/>
          </w:tcPr>
          <w:p>
            <w:pPr>
              <w:adjustRightInd w:val="0"/>
              <w:snapToGrid w:val="0"/>
              <w:jc w:val="center"/>
              <w:rPr>
                <w:kern w:val="0"/>
                <w:szCs w:val="21"/>
              </w:rPr>
            </w:pPr>
            <w:r>
              <w:rPr>
                <w:kern w:val="0"/>
                <w:szCs w:val="21"/>
              </w:rPr>
              <w:t>0.3</w:t>
            </w:r>
          </w:p>
        </w:tc>
        <w:tc>
          <w:tcPr>
            <w:tcW w:w="714" w:type="pct"/>
            <w:gridSpan w:val="2"/>
            <w:vAlign w:val="center"/>
          </w:tcPr>
          <w:p>
            <w:pPr>
              <w:adjustRightInd w:val="0"/>
              <w:snapToGrid w:val="0"/>
              <w:jc w:val="center"/>
              <w:rPr>
                <w:kern w:val="0"/>
                <w:szCs w:val="21"/>
              </w:rPr>
            </w:pPr>
            <w:r>
              <w:rPr>
                <w:kern w:val="0"/>
                <w:szCs w:val="21"/>
              </w:rPr>
              <w:t>0.3</w:t>
            </w:r>
          </w:p>
        </w:tc>
        <w:tc>
          <w:tcPr>
            <w:tcW w:w="825" w:type="pct"/>
            <w:vAlign w:val="center"/>
          </w:tcPr>
          <w:p>
            <w:pPr>
              <w:adjustRightInd w:val="0"/>
              <w:snapToGrid w:val="0"/>
              <w:jc w:val="center"/>
              <w:rPr>
                <w:kern w:val="0"/>
                <w:szCs w:val="21"/>
              </w:rPr>
            </w:pPr>
            <w:r>
              <w:rPr>
                <w:kern w:val="0"/>
                <w:szCs w:val="21"/>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Merge w:val="restart"/>
            <w:vAlign w:val="center"/>
          </w:tcPr>
          <w:p>
            <w:pPr>
              <w:adjustRightInd w:val="0"/>
              <w:snapToGrid w:val="0"/>
              <w:jc w:val="center"/>
              <w:rPr>
                <w:kern w:val="0"/>
                <w:szCs w:val="21"/>
              </w:rPr>
            </w:pPr>
            <w:r>
              <w:rPr>
                <w:kern w:val="0"/>
                <w:szCs w:val="21"/>
              </w:rPr>
              <w:t>2</w:t>
            </w:r>
          </w:p>
        </w:tc>
        <w:tc>
          <w:tcPr>
            <w:tcW w:w="660" w:type="pct"/>
            <w:vMerge w:val="restart"/>
            <w:vAlign w:val="center"/>
          </w:tcPr>
          <w:p>
            <w:pPr>
              <w:adjustRightInd w:val="0"/>
              <w:snapToGrid w:val="0"/>
              <w:jc w:val="center"/>
              <w:rPr>
                <w:kern w:val="0"/>
                <w:szCs w:val="21"/>
              </w:rPr>
            </w:pPr>
            <w:r>
              <w:rPr>
                <w:kern w:val="0"/>
                <w:szCs w:val="21"/>
              </w:rPr>
              <w:t>汞</w:t>
            </w:r>
          </w:p>
        </w:tc>
        <w:tc>
          <w:tcPr>
            <w:tcW w:w="606" w:type="pct"/>
            <w:vAlign w:val="center"/>
          </w:tcPr>
          <w:p>
            <w:pPr>
              <w:adjustRightInd w:val="0"/>
              <w:snapToGrid w:val="0"/>
              <w:jc w:val="center"/>
              <w:rPr>
                <w:kern w:val="0"/>
                <w:szCs w:val="21"/>
              </w:rPr>
            </w:pPr>
            <w:r>
              <w:rPr>
                <w:kern w:val="0"/>
                <w:szCs w:val="21"/>
              </w:rPr>
              <w:t>水田</w:t>
            </w:r>
          </w:p>
        </w:tc>
        <w:tc>
          <w:tcPr>
            <w:tcW w:w="765" w:type="pct"/>
            <w:gridSpan w:val="2"/>
            <w:vAlign w:val="center"/>
          </w:tcPr>
          <w:p>
            <w:pPr>
              <w:adjustRightInd w:val="0"/>
              <w:snapToGrid w:val="0"/>
              <w:jc w:val="center"/>
              <w:rPr>
                <w:kern w:val="0"/>
                <w:szCs w:val="21"/>
              </w:rPr>
            </w:pPr>
            <w:r>
              <w:rPr>
                <w:kern w:val="0"/>
                <w:szCs w:val="21"/>
              </w:rPr>
              <w:t>0.5</w:t>
            </w:r>
          </w:p>
        </w:tc>
        <w:tc>
          <w:tcPr>
            <w:tcW w:w="880" w:type="pct"/>
            <w:gridSpan w:val="2"/>
            <w:vAlign w:val="center"/>
          </w:tcPr>
          <w:p>
            <w:pPr>
              <w:adjustRightInd w:val="0"/>
              <w:snapToGrid w:val="0"/>
              <w:jc w:val="center"/>
              <w:rPr>
                <w:kern w:val="0"/>
                <w:szCs w:val="21"/>
              </w:rPr>
            </w:pPr>
            <w:r>
              <w:rPr>
                <w:kern w:val="0"/>
                <w:szCs w:val="21"/>
              </w:rPr>
              <w:t>0.5</w:t>
            </w:r>
          </w:p>
        </w:tc>
        <w:tc>
          <w:tcPr>
            <w:tcW w:w="714" w:type="pct"/>
            <w:gridSpan w:val="2"/>
            <w:vAlign w:val="center"/>
          </w:tcPr>
          <w:p>
            <w:pPr>
              <w:adjustRightInd w:val="0"/>
              <w:snapToGrid w:val="0"/>
              <w:jc w:val="center"/>
              <w:rPr>
                <w:kern w:val="0"/>
                <w:szCs w:val="21"/>
              </w:rPr>
            </w:pPr>
            <w:r>
              <w:rPr>
                <w:kern w:val="0"/>
                <w:szCs w:val="21"/>
              </w:rPr>
              <w:t>0.6</w:t>
            </w:r>
          </w:p>
        </w:tc>
        <w:tc>
          <w:tcPr>
            <w:tcW w:w="825" w:type="pct"/>
            <w:vAlign w:val="center"/>
          </w:tcPr>
          <w:p>
            <w:pPr>
              <w:adjustRightInd w:val="0"/>
              <w:snapToGrid w:val="0"/>
              <w:jc w:val="center"/>
              <w:rPr>
                <w:kern w:val="0"/>
                <w:szCs w:val="21"/>
              </w:rPr>
            </w:pPr>
            <w:r>
              <w:rPr>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660" w:type="pct"/>
            <w:vMerge w:val="continue"/>
            <w:vAlign w:val="center"/>
          </w:tcPr>
          <w:p>
            <w:pPr>
              <w:adjustRightInd w:val="0"/>
              <w:snapToGrid w:val="0"/>
              <w:jc w:val="center"/>
              <w:rPr>
                <w:kern w:val="0"/>
                <w:szCs w:val="21"/>
              </w:rPr>
            </w:pPr>
          </w:p>
        </w:tc>
        <w:tc>
          <w:tcPr>
            <w:tcW w:w="606" w:type="pct"/>
            <w:vAlign w:val="center"/>
          </w:tcPr>
          <w:p>
            <w:pPr>
              <w:adjustRightInd w:val="0"/>
              <w:snapToGrid w:val="0"/>
              <w:jc w:val="center"/>
              <w:rPr>
                <w:kern w:val="0"/>
                <w:szCs w:val="21"/>
              </w:rPr>
            </w:pPr>
            <w:r>
              <w:rPr>
                <w:kern w:val="0"/>
                <w:szCs w:val="21"/>
              </w:rPr>
              <w:t>其他</w:t>
            </w:r>
          </w:p>
        </w:tc>
        <w:tc>
          <w:tcPr>
            <w:tcW w:w="765" w:type="pct"/>
            <w:gridSpan w:val="2"/>
            <w:vAlign w:val="center"/>
          </w:tcPr>
          <w:p>
            <w:pPr>
              <w:adjustRightInd w:val="0"/>
              <w:snapToGrid w:val="0"/>
              <w:jc w:val="center"/>
              <w:rPr>
                <w:kern w:val="0"/>
                <w:szCs w:val="21"/>
              </w:rPr>
            </w:pPr>
            <w:r>
              <w:rPr>
                <w:kern w:val="0"/>
                <w:szCs w:val="21"/>
              </w:rPr>
              <w:t>1.3</w:t>
            </w:r>
          </w:p>
        </w:tc>
        <w:tc>
          <w:tcPr>
            <w:tcW w:w="880" w:type="pct"/>
            <w:gridSpan w:val="2"/>
            <w:vAlign w:val="center"/>
          </w:tcPr>
          <w:p>
            <w:pPr>
              <w:adjustRightInd w:val="0"/>
              <w:snapToGrid w:val="0"/>
              <w:jc w:val="center"/>
              <w:rPr>
                <w:kern w:val="0"/>
                <w:szCs w:val="21"/>
              </w:rPr>
            </w:pPr>
            <w:r>
              <w:rPr>
                <w:kern w:val="0"/>
                <w:szCs w:val="21"/>
              </w:rPr>
              <w:t>1.8</w:t>
            </w:r>
          </w:p>
        </w:tc>
        <w:tc>
          <w:tcPr>
            <w:tcW w:w="714" w:type="pct"/>
            <w:gridSpan w:val="2"/>
            <w:vAlign w:val="center"/>
          </w:tcPr>
          <w:p>
            <w:pPr>
              <w:adjustRightInd w:val="0"/>
              <w:snapToGrid w:val="0"/>
              <w:jc w:val="center"/>
              <w:rPr>
                <w:kern w:val="0"/>
                <w:szCs w:val="21"/>
              </w:rPr>
            </w:pPr>
            <w:r>
              <w:rPr>
                <w:kern w:val="0"/>
                <w:szCs w:val="21"/>
              </w:rPr>
              <w:t>2.4</w:t>
            </w:r>
          </w:p>
        </w:tc>
        <w:tc>
          <w:tcPr>
            <w:tcW w:w="825" w:type="pct"/>
            <w:vAlign w:val="center"/>
          </w:tcPr>
          <w:p>
            <w:pPr>
              <w:adjustRightInd w:val="0"/>
              <w:snapToGrid w:val="0"/>
              <w:jc w:val="center"/>
              <w:rPr>
                <w:kern w:val="0"/>
                <w:szCs w:val="21"/>
              </w:rPr>
            </w:pPr>
            <w:r>
              <w:rPr>
                <w:kern w:val="0"/>
                <w:szCs w:val="21"/>
              </w:rPr>
              <w:t>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Merge w:val="restart"/>
            <w:vAlign w:val="center"/>
          </w:tcPr>
          <w:p>
            <w:pPr>
              <w:adjustRightInd w:val="0"/>
              <w:snapToGrid w:val="0"/>
              <w:jc w:val="center"/>
              <w:rPr>
                <w:kern w:val="0"/>
                <w:szCs w:val="21"/>
              </w:rPr>
            </w:pPr>
            <w:r>
              <w:rPr>
                <w:kern w:val="0"/>
                <w:szCs w:val="21"/>
              </w:rPr>
              <w:t>3</w:t>
            </w:r>
          </w:p>
        </w:tc>
        <w:tc>
          <w:tcPr>
            <w:tcW w:w="660" w:type="pct"/>
            <w:vMerge w:val="restart"/>
            <w:vAlign w:val="center"/>
          </w:tcPr>
          <w:p>
            <w:pPr>
              <w:adjustRightInd w:val="0"/>
              <w:snapToGrid w:val="0"/>
              <w:jc w:val="center"/>
              <w:rPr>
                <w:kern w:val="0"/>
                <w:szCs w:val="21"/>
              </w:rPr>
            </w:pPr>
            <w:r>
              <w:rPr>
                <w:kern w:val="0"/>
                <w:szCs w:val="21"/>
              </w:rPr>
              <w:t>砷</w:t>
            </w:r>
          </w:p>
        </w:tc>
        <w:tc>
          <w:tcPr>
            <w:tcW w:w="606" w:type="pct"/>
            <w:vAlign w:val="center"/>
          </w:tcPr>
          <w:p>
            <w:pPr>
              <w:adjustRightInd w:val="0"/>
              <w:snapToGrid w:val="0"/>
              <w:jc w:val="center"/>
              <w:rPr>
                <w:kern w:val="0"/>
                <w:szCs w:val="21"/>
              </w:rPr>
            </w:pPr>
            <w:r>
              <w:rPr>
                <w:kern w:val="0"/>
                <w:szCs w:val="21"/>
              </w:rPr>
              <w:t>水田</w:t>
            </w:r>
          </w:p>
        </w:tc>
        <w:tc>
          <w:tcPr>
            <w:tcW w:w="765" w:type="pct"/>
            <w:gridSpan w:val="2"/>
            <w:vAlign w:val="center"/>
          </w:tcPr>
          <w:p>
            <w:pPr>
              <w:adjustRightInd w:val="0"/>
              <w:snapToGrid w:val="0"/>
              <w:jc w:val="center"/>
              <w:rPr>
                <w:kern w:val="0"/>
                <w:szCs w:val="21"/>
              </w:rPr>
            </w:pPr>
            <w:r>
              <w:rPr>
                <w:kern w:val="0"/>
                <w:szCs w:val="21"/>
              </w:rPr>
              <w:t>30</w:t>
            </w:r>
          </w:p>
        </w:tc>
        <w:tc>
          <w:tcPr>
            <w:tcW w:w="880" w:type="pct"/>
            <w:gridSpan w:val="2"/>
            <w:vAlign w:val="center"/>
          </w:tcPr>
          <w:p>
            <w:pPr>
              <w:adjustRightInd w:val="0"/>
              <w:snapToGrid w:val="0"/>
              <w:jc w:val="center"/>
              <w:rPr>
                <w:kern w:val="0"/>
                <w:szCs w:val="21"/>
              </w:rPr>
            </w:pPr>
            <w:r>
              <w:rPr>
                <w:kern w:val="0"/>
                <w:szCs w:val="21"/>
              </w:rPr>
              <w:t>30</w:t>
            </w:r>
          </w:p>
        </w:tc>
        <w:tc>
          <w:tcPr>
            <w:tcW w:w="714" w:type="pct"/>
            <w:gridSpan w:val="2"/>
            <w:vAlign w:val="center"/>
          </w:tcPr>
          <w:p>
            <w:pPr>
              <w:adjustRightInd w:val="0"/>
              <w:snapToGrid w:val="0"/>
              <w:jc w:val="center"/>
              <w:rPr>
                <w:kern w:val="0"/>
                <w:szCs w:val="21"/>
              </w:rPr>
            </w:pPr>
            <w:r>
              <w:rPr>
                <w:kern w:val="0"/>
                <w:szCs w:val="21"/>
              </w:rPr>
              <w:t>25</w:t>
            </w:r>
          </w:p>
        </w:tc>
        <w:tc>
          <w:tcPr>
            <w:tcW w:w="825" w:type="pct"/>
            <w:vAlign w:val="center"/>
          </w:tcPr>
          <w:p>
            <w:pPr>
              <w:adjustRightInd w:val="0"/>
              <w:snapToGrid w:val="0"/>
              <w:jc w:val="center"/>
              <w:rPr>
                <w:kern w:val="0"/>
                <w:szCs w:val="21"/>
              </w:rPr>
            </w:pPr>
            <w:r>
              <w:rPr>
                <w:kern w:val="0"/>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660" w:type="pct"/>
            <w:vMerge w:val="continue"/>
            <w:vAlign w:val="center"/>
          </w:tcPr>
          <w:p>
            <w:pPr>
              <w:adjustRightInd w:val="0"/>
              <w:snapToGrid w:val="0"/>
              <w:jc w:val="center"/>
              <w:rPr>
                <w:kern w:val="0"/>
                <w:szCs w:val="21"/>
              </w:rPr>
            </w:pPr>
          </w:p>
        </w:tc>
        <w:tc>
          <w:tcPr>
            <w:tcW w:w="606" w:type="pct"/>
            <w:vAlign w:val="center"/>
          </w:tcPr>
          <w:p>
            <w:pPr>
              <w:adjustRightInd w:val="0"/>
              <w:snapToGrid w:val="0"/>
              <w:jc w:val="center"/>
              <w:rPr>
                <w:kern w:val="0"/>
                <w:szCs w:val="21"/>
              </w:rPr>
            </w:pPr>
            <w:r>
              <w:rPr>
                <w:kern w:val="0"/>
                <w:szCs w:val="21"/>
              </w:rPr>
              <w:t>其他</w:t>
            </w:r>
          </w:p>
        </w:tc>
        <w:tc>
          <w:tcPr>
            <w:tcW w:w="765" w:type="pct"/>
            <w:gridSpan w:val="2"/>
            <w:vAlign w:val="center"/>
          </w:tcPr>
          <w:p>
            <w:pPr>
              <w:adjustRightInd w:val="0"/>
              <w:snapToGrid w:val="0"/>
              <w:jc w:val="center"/>
              <w:rPr>
                <w:kern w:val="0"/>
                <w:szCs w:val="21"/>
              </w:rPr>
            </w:pPr>
            <w:r>
              <w:rPr>
                <w:kern w:val="0"/>
                <w:szCs w:val="21"/>
              </w:rPr>
              <w:t>40</w:t>
            </w:r>
          </w:p>
        </w:tc>
        <w:tc>
          <w:tcPr>
            <w:tcW w:w="880" w:type="pct"/>
            <w:gridSpan w:val="2"/>
            <w:vAlign w:val="center"/>
          </w:tcPr>
          <w:p>
            <w:pPr>
              <w:adjustRightInd w:val="0"/>
              <w:snapToGrid w:val="0"/>
              <w:jc w:val="center"/>
              <w:rPr>
                <w:kern w:val="0"/>
                <w:szCs w:val="21"/>
              </w:rPr>
            </w:pPr>
            <w:r>
              <w:rPr>
                <w:kern w:val="0"/>
                <w:szCs w:val="21"/>
              </w:rPr>
              <w:t>40</w:t>
            </w:r>
          </w:p>
        </w:tc>
        <w:tc>
          <w:tcPr>
            <w:tcW w:w="714" w:type="pct"/>
            <w:gridSpan w:val="2"/>
            <w:vAlign w:val="center"/>
          </w:tcPr>
          <w:p>
            <w:pPr>
              <w:adjustRightInd w:val="0"/>
              <w:snapToGrid w:val="0"/>
              <w:jc w:val="center"/>
              <w:rPr>
                <w:kern w:val="0"/>
                <w:szCs w:val="21"/>
              </w:rPr>
            </w:pPr>
            <w:r>
              <w:rPr>
                <w:kern w:val="0"/>
                <w:szCs w:val="21"/>
              </w:rPr>
              <w:t>30</w:t>
            </w:r>
          </w:p>
        </w:tc>
        <w:tc>
          <w:tcPr>
            <w:tcW w:w="825" w:type="pct"/>
            <w:vAlign w:val="center"/>
          </w:tcPr>
          <w:p>
            <w:pPr>
              <w:adjustRightInd w:val="0"/>
              <w:snapToGrid w:val="0"/>
              <w:jc w:val="center"/>
              <w:rPr>
                <w:kern w:val="0"/>
                <w:szCs w:val="21"/>
              </w:rPr>
            </w:pPr>
            <w:r>
              <w:rPr>
                <w:kern w:val="0"/>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Merge w:val="restart"/>
            <w:vAlign w:val="center"/>
          </w:tcPr>
          <w:p>
            <w:pPr>
              <w:adjustRightInd w:val="0"/>
              <w:snapToGrid w:val="0"/>
              <w:jc w:val="center"/>
              <w:rPr>
                <w:kern w:val="0"/>
                <w:szCs w:val="21"/>
              </w:rPr>
            </w:pPr>
            <w:r>
              <w:rPr>
                <w:kern w:val="0"/>
                <w:szCs w:val="21"/>
              </w:rPr>
              <w:t>4</w:t>
            </w:r>
          </w:p>
        </w:tc>
        <w:tc>
          <w:tcPr>
            <w:tcW w:w="660" w:type="pct"/>
            <w:vMerge w:val="restart"/>
            <w:vAlign w:val="center"/>
          </w:tcPr>
          <w:p>
            <w:pPr>
              <w:adjustRightInd w:val="0"/>
              <w:snapToGrid w:val="0"/>
              <w:jc w:val="center"/>
              <w:rPr>
                <w:kern w:val="0"/>
                <w:szCs w:val="21"/>
              </w:rPr>
            </w:pPr>
            <w:r>
              <w:rPr>
                <w:kern w:val="0"/>
                <w:szCs w:val="21"/>
              </w:rPr>
              <w:t>铅</w:t>
            </w:r>
          </w:p>
        </w:tc>
        <w:tc>
          <w:tcPr>
            <w:tcW w:w="606" w:type="pct"/>
            <w:vAlign w:val="center"/>
          </w:tcPr>
          <w:p>
            <w:pPr>
              <w:adjustRightInd w:val="0"/>
              <w:snapToGrid w:val="0"/>
              <w:jc w:val="center"/>
              <w:rPr>
                <w:kern w:val="0"/>
                <w:szCs w:val="21"/>
              </w:rPr>
            </w:pPr>
            <w:r>
              <w:rPr>
                <w:kern w:val="0"/>
                <w:szCs w:val="21"/>
              </w:rPr>
              <w:t>水田</w:t>
            </w:r>
          </w:p>
        </w:tc>
        <w:tc>
          <w:tcPr>
            <w:tcW w:w="765" w:type="pct"/>
            <w:gridSpan w:val="2"/>
            <w:vAlign w:val="center"/>
          </w:tcPr>
          <w:p>
            <w:pPr>
              <w:adjustRightInd w:val="0"/>
              <w:snapToGrid w:val="0"/>
              <w:jc w:val="center"/>
              <w:rPr>
                <w:kern w:val="0"/>
                <w:szCs w:val="21"/>
              </w:rPr>
            </w:pPr>
            <w:r>
              <w:rPr>
                <w:kern w:val="0"/>
                <w:szCs w:val="21"/>
              </w:rPr>
              <w:t>80</w:t>
            </w:r>
          </w:p>
        </w:tc>
        <w:tc>
          <w:tcPr>
            <w:tcW w:w="880" w:type="pct"/>
            <w:gridSpan w:val="2"/>
            <w:vAlign w:val="center"/>
          </w:tcPr>
          <w:p>
            <w:pPr>
              <w:adjustRightInd w:val="0"/>
              <w:snapToGrid w:val="0"/>
              <w:jc w:val="center"/>
              <w:rPr>
                <w:kern w:val="0"/>
                <w:szCs w:val="21"/>
              </w:rPr>
            </w:pPr>
            <w:r>
              <w:rPr>
                <w:kern w:val="0"/>
                <w:szCs w:val="21"/>
              </w:rPr>
              <w:t>100</w:t>
            </w:r>
          </w:p>
        </w:tc>
        <w:tc>
          <w:tcPr>
            <w:tcW w:w="714" w:type="pct"/>
            <w:gridSpan w:val="2"/>
            <w:vAlign w:val="center"/>
          </w:tcPr>
          <w:p>
            <w:pPr>
              <w:adjustRightInd w:val="0"/>
              <w:snapToGrid w:val="0"/>
              <w:jc w:val="center"/>
              <w:rPr>
                <w:kern w:val="0"/>
                <w:szCs w:val="21"/>
              </w:rPr>
            </w:pPr>
            <w:r>
              <w:rPr>
                <w:kern w:val="0"/>
                <w:szCs w:val="21"/>
              </w:rPr>
              <w:t>140</w:t>
            </w:r>
          </w:p>
        </w:tc>
        <w:tc>
          <w:tcPr>
            <w:tcW w:w="825" w:type="pct"/>
            <w:vAlign w:val="center"/>
          </w:tcPr>
          <w:p>
            <w:pPr>
              <w:adjustRightInd w:val="0"/>
              <w:snapToGrid w:val="0"/>
              <w:jc w:val="center"/>
              <w:rPr>
                <w:kern w:val="0"/>
                <w:szCs w:val="21"/>
              </w:rPr>
            </w:pPr>
            <w:r>
              <w:rPr>
                <w:kern w:val="0"/>
                <w:szCs w:val="21"/>
              </w:rPr>
              <w:t>240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660" w:type="pct"/>
            <w:vMerge w:val="continue"/>
            <w:vAlign w:val="center"/>
          </w:tcPr>
          <w:p>
            <w:pPr>
              <w:adjustRightInd w:val="0"/>
              <w:snapToGrid w:val="0"/>
              <w:jc w:val="center"/>
              <w:rPr>
                <w:kern w:val="0"/>
                <w:szCs w:val="21"/>
              </w:rPr>
            </w:pPr>
          </w:p>
        </w:tc>
        <w:tc>
          <w:tcPr>
            <w:tcW w:w="606" w:type="pct"/>
            <w:vAlign w:val="center"/>
          </w:tcPr>
          <w:p>
            <w:pPr>
              <w:adjustRightInd w:val="0"/>
              <w:snapToGrid w:val="0"/>
              <w:jc w:val="center"/>
              <w:rPr>
                <w:kern w:val="0"/>
                <w:szCs w:val="21"/>
              </w:rPr>
            </w:pPr>
            <w:r>
              <w:rPr>
                <w:kern w:val="0"/>
                <w:szCs w:val="21"/>
              </w:rPr>
              <w:t>其他</w:t>
            </w:r>
          </w:p>
        </w:tc>
        <w:tc>
          <w:tcPr>
            <w:tcW w:w="765" w:type="pct"/>
            <w:gridSpan w:val="2"/>
            <w:vAlign w:val="center"/>
          </w:tcPr>
          <w:p>
            <w:pPr>
              <w:adjustRightInd w:val="0"/>
              <w:snapToGrid w:val="0"/>
              <w:jc w:val="center"/>
              <w:rPr>
                <w:kern w:val="0"/>
                <w:szCs w:val="21"/>
              </w:rPr>
            </w:pPr>
            <w:r>
              <w:rPr>
                <w:kern w:val="0"/>
                <w:szCs w:val="21"/>
              </w:rPr>
              <w:t>70</w:t>
            </w:r>
          </w:p>
        </w:tc>
        <w:tc>
          <w:tcPr>
            <w:tcW w:w="880" w:type="pct"/>
            <w:gridSpan w:val="2"/>
            <w:vAlign w:val="center"/>
          </w:tcPr>
          <w:p>
            <w:pPr>
              <w:adjustRightInd w:val="0"/>
              <w:snapToGrid w:val="0"/>
              <w:jc w:val="center"/>
              <w:rPr>
                <w:kern w:val="0"/>
                <w:szCs w:val="21"/>
              </w:rPr>
            </w:pPr>
            <w:r>
              <w:rPr>
                <w:kern w:val="0"/>
                <w:szCs w:val="21"/>
              </w:rPr>
              <w:t>90</w:t>
            </w:r>
          </w:p>
        </w:tc>
        <w:tc>
          <w:tcPr>
            <w:tcW w:w="714" w:type="pct"/>
            <w:gridSpan w:val="2"/>
            <w:vAlign w:val="center"/>
          </w:tcPr>
          <w:p>
            <w:pPr>
              <w:adjustRightInd w:val="0"/>
              <w:snapToGrid w:val="0"/>
              <w:jc w:val="center"/>
              <w:rPr>
                <w:kern w:val="0"/>
                <w:szCs w:val="21"/>
              </w:rPr>
            </w:pPr>
            <w:r>
              <w:rPr>
                <w:kern w:val="0"/>
                <w:szCs w:val="21"/>
              </w:rPr>
              <w:t>120</w:t>
            </w:r>
          </w:p>
        </w:tc>
        <w:tc>
          <w:tcPr>
            <w:tcW w:w="825" w:type="pct"/>
            <w:vAlign w:val="center"/>
          </w:tcPr>
          <w:p>
            <w:pPr>
              <w:adjustRightInd w:val="0"/>
              <w:snapToGrid w:val="0"/>
              <w:jc w:val="center"/>
              <w:rPr>
                <w:kern w:val="0"/>
                <w:szCs w:val="21"/>
              </w:rPr>
            </w:pPr>
            <w:r>
              <w:rPr>
                <w:kern w:val="0"/>
                <w:szCs w:val="21"/>
              </w:rPr>
              <w:t>170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Merge w:val="restart"/>
            <w:vAlign w:val="center"/>
          </w:tcPr>
          <w:p>
            <w:pPr>
              <w:adjustRightInd w:val="0"/>
              <w:snapToGrid w:val="0"/>
              <w:jc w:val="center"/>
              <w:rPr>
                <w:kern w:val="0"/>
                <w:szCs w:val="21"/>
              </w:rPr>
            </w:pPr>
            <w:r>
              <w:rPr>
                <w:kern w:val="0"/>
                <w:szCs w:val="21"/>
              </w:rPr>
              <w:t>5</w:t>
            </w:r>
          </w:p>
        </w:tc>
        <w:tc>
          <w:tcPr>
            <w:tcW w:w="660" w:type="pct"/>
            <w:vMerge w:val="restart"/>
            <w:vAlign w:val="center"/>
          </w:tcPr>
          <w:p>
            <w:pPr>
              <w:adjustRightInd w:val="0"/>
              <w:snapToGrid w:val="0"/>
              <w:jc w:val="center"/>
              <w:rPr>
                <w:kern w:val="0"/>
                <w:szCs w:val="21"/>
              </w:rPr>
            </w:pPr>
            <w:r>
              <w:rPr>
                <w:kern w:val="0"/>
                <w:szCs w:val="21"/>
              </w:rPr>
              <w:t>铬</w:t>
            </w:r>
          </w:p>
        </w:tc>
        <w:tc>
          <w:tcPr>
            <w:tcW w:w="606" w:type="pct"/>
            <w:vAlign w:val="center"/>
          </w:tcPr>
          <w:p>
            <w:pPr>
              <w:adjustRightInd w:val="0"/>
              <w:snapToGrid w:val="0"/>
              <w:jc w:val="center"/>
              <w:rPr>
                <w:kern w:val="0"/>
                <w:szCs w:val="21"/>
              </w:rPr>
            </w:pPr>
            <w:r>
              <w:rPr>
                <w:kern w:val="0"/>
                <w:szCs w:val="21"/>
              </w:rPr>
              <w:t>水田</w:t>
            </w:r>
          </w:p>
        </w:tc>
        <w:tc>
          <w:tcPr>
            <w:tcW w:w="765" w:type="pct"/>
            <w:gridSpan w:val="2"/>
            <w:vAlign w:val="center"/>
          </w:tcPr>
          <w:p>
            <w:pPr>
              <w:adjustRightInd w:val="0"/>
              <w:snapToGrid w:val="0"/>
              <w:jc w:val="center"/>
              <w:rPr>
                <w:kern w:val="0"/>
                <w:szCs w:val="21"/>
              </w:rPr>
            </w:pPr>
            <w:r>
              <w:rPr>
                <w:kern w:val="0"/>
                <w:szCs w:val="21"/>
              </w:rPr>
              <w:t>250</w:t>
            </w:r>
          </w:p>
        </w:tc>
        <w:tc>
          <w:tcPr>
            <w:tcW w:w="880" w:type="pct"/>
            <w:gridSpan w:val="2"/>
            <w:vAlign w:val="center"/>
          </w:tcPr>
          <w:p>
            <w:pPr>
              <w:adjustRightInd w:val="0"/>
              <w:snapToGrid w:val="0"/>
              <w:jc w:val="center"/>
              <w:rPr>
                <w:kern w:val="0"/>
                <w:szCs w:val="21"/>
              </w:rPr>
            </w:pPr>
            <w:r>
              <w:rPr>
                <w:kern w:val="0"/>
                <w:szCs w:val="21"/>
              </w:rPr>
              <w:t>250</w:t>
            </w:r>
          </w:p>
        </w:tc>
        <w:tc>
          <w:tcPr>
            <w:tcW w:w="714" w:type="pct"/>
            <w:gridSpan w:val="2"/>
            <w:vAlign w:val="center"/>
          </w:tcPr>
          <w:p>
            <w:pPr>
              <w:adjustRightInd w:val="0"/>
              <w:snapToGrid w:val="0"/>
              <w:jc w:val="center"/>
              <w:rPr>
                <w:kern w:val="0"/>
                <w:szCs w:val="21"/>
              </w:rPr>
            </w:pPr>
            <w:r>
              <w:rPr>
                <w:kern w:val="0"/>
                <w:szCs w:val="21"/>
              </w:rPr>
              <w:t>300</w:t>
            </w:r>
          </w:p>
        </w:tc>
        <w:tc>
          <w:tcPr>
            <w:tcW w:w="825" w:type="pct"/>
            <w:vAlign w:val="center"/>
          </w:tcPr>
          <w:p>
            <w:pPr>
              <w:adjustRightInd w:val="0"/>
              <w:snapToGrid w:val="0"/>
              <w:jc w:val="center"/>
              <w:rPr>
                <w:kern w:val="0"/>
                <w:szCs w:val="21"/>
              </w:rPr>
            </w:pPr>
            <w:r>
              <w:rPr>
                <w:kern w:val="0"/>
                <w:szCs w:val="21"/>
              </w:rPr>
              <w:t>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660" w:type="pct"/>
            <w:vMerge w:val="continue"/>
            <w:vAlign w:val="center"/>
          </w:tcPr>
          <w:p>
            <w:pPr>
              <w:adjustRightInd w:val="0"/>
              <w:snapToGrid w:val="0"/>
              <w:jc w:val="center"/>
              <w:rPr>
                <w:kern w:val="0"/>
                <w:szCs w:val="21"/>
              </w:rPr>
            </w:pPr>
          </w:p>
        </w:tc>
        <w:tc>
          <w:tcPr>
            <w:tcW w:w="606" w:type="pct"/>
            <w:vAlign w:val="center"/>
          </w:tcPr>
          <w:p>
            <w:pPr>
              <w:adjustRightInd w:val="0"/>
              <w:snapToGrid w:val="0"/>
              <w:jc w:val="center"/>
              <w:rPr>
                <w:kern w:val="0"/>
                <w:szCs w:val="21"/>
              </w:rPr>
            </w:pPr>
            <w:r>
              <w:rPr>
                <w:kern w:val="0"/>
                <w:szCs w:val="21"/>
              </w:rPr>
              <w:t>其他</w:t>
            </w:r>
          </w:p>
        </w:tc>
        <w:tc>
          <w:tcPr>
            <w:tcW w:w="765" w:type="pct"/>
            <w:gridSpan w:val="2"/>
            <w:vAlign w:val="center"/>
          </w:tcPr>
          <w:p>
            <w:pPr>
              <w:adjustRightInd w:val="0"/>
              <w:snapToGrid w:val="0"/>
              <w:jc w:val="center"/>
              <w:rPr>
                <w:kern w:val="0"/>
                <w:szCs w:val="21"/>
              </w:rPr>
            </w:pPr>
            <w:r>
              <w:rPr>
                <w:kern w:val="0"/>
                <w:szCs w:val="21"/>
              </w:rPr>
              <w:t>150</w:t>
            </w:r>
          </w:p>
        </w:tc>
        <w:tc>
          <w:tcPr>
            <w:tcW w:w="880" w:type="pct"/>
            <w:gridSpan w:val="2"/>
            <w:vAlign w:val="center"/>
          </w:tcPr>
          <w:p>
            <w:pPr>
              <w:adjustRightInd w:val="0"/>
              <w:snapToGrid w:val="0"/>
              <w:jc w:val="center"/>
              <w:rPr>
                <w:kern w:val="0"/>
                <w:szCs w:val="21"/>
              </w:rPr>
            </w:pPr>
            <w:r>
              <w:rPr>
                <w:kern w:val="0"/>
                <w:szCs w:val="21"/>
              </w:rPr>
              <w:t>150</w:t>
            </w:r>
          </w:p>
        </w:tc>
        <w:tc>
          <w:tcPr>
            <w:tcW w:w="714" w:type="pct"/>
            <w:gridSpan w:val="2"/>
            <w:vAlign w:val="center"/>
          </w:tcPr>
          <w:p>
            <w:pPr>
              <w:adjustRightInd w:val="0"/>
              <w:snapToGrid w:val="0"/>
              <w:jc w:val="center"/>
              <w:rPr>
                <w:kern w:val="0"/>
                <w:szCs w:val="21"/>
              </w:rPr>
            </w:pPr>
            <w:r>
              <w:rPr>
                <w:kern w:val="0"/>
                <w:szCs w:val="21"/>
              </w:rPr>
              <w:t>200</w:t>
            </w:r>
          </w:p>
        </w:tc>
        <w:tc>
          <w:tcPr>
            <w:tcW w:w="825" w:type="pct"/>
            <w:vAlign w:val="center"/>
          </w:tcPr>
          <w:p>
            <w:pPr>
              <w:adjustRightInd w:val="0"/>
              <w:snapToGrid w:val="0"/>
              <w:jc w:val="center"/>
              <w:rPr>
                <w:kern w:val="0"/>
                <w:szCs w:val="21"/>
              </w:rPr>
            </w:pPr>
            <w:r>
              <w:rPr>
                <w:kern w:val="0"/>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Merge w:val="restart"/>
            <w:vAlign w:val="center"/>
          </w:tcPr>
          <w:p>
            <w:pPr>
              <w:adjustRightInd w:val="0"/>
              <w:snapToGrid w:val="0"/>
              <w:jc w:val="center"/>
              <w:rPr>
                <w:kern w:val="0"/>
                <w:szCs w:val="21"/>
              </w:rPr>
            </w:pPr>
            <w:r>
              <w:rPr>
                <w:kern w:val="0"/>
                <w:szCs w:val="21"/>
              </w:rPr>
              <w:t>6</w:t>
            </w:r>
          </w:p>
        </w:tc>
        <w:tc>
          <w:tcPr>
            <w:tcW w:w="660" w:type="pct"/>
            <w:vMerge w:val="restart"/>
            <w:vAlign w:val="center"/>
          </w:tcPr>
          <w:p>
            <w:pPr>
              <w:adjustRightInd w:val="0"/>
              <w:snapToGrid w:val="0"/>
              <w:jc w:val="center"/>
              <w:rPr>
                <w:kern w:val="0"/>
                <w:szCs w:val="21"/>
              </w:rPr>
            </w:pPr>
            <w:r>
              <w:rPr>
                <w:kern w:val="0"/>
                <w:szCs w:val="21"/>
              </w:rPr>
              <w:t>铜</w:t>
            </w:r>
          </w:p>
        </w:tc>
        <w:tc>
          <w:tcPr>
            <w:tcW w:w="606" w:type="pct"/>
            <w:vAlign w:val="center"/>
          </w:tcPr>
          <w:p>
            <w:pPr>
              <w:adjustRightInd w:val="0"/>
              <w:snapToGrid w:val="0"/>
              <w:jc w:val="center"/>
              <w:rPr>
                <w:kern w:val="0"/>
                <w:szCs w:val="21"/>
              </w:rPr>
            </w:pPr>
            <w:r>
              <w:rPr>
                <w:kern w:val="0"/>
                <w:szCs w:val="21"/>
              </w:rPr>
              <w:t>水田</w:t>
            </w:r>
          </w:p>
        </w:tc>
        <w:tc>
          <w:tcPr>
            <w:tcW w:w="765" w:type="pct"/>
            <w:gridSpan w:val="2"/>
            <w:vAlign w:val="center"/>
          </w:tcPr>
          <w:p>
            <w:pPr>
              <w:adjustRightInd w:val="0"/>
              <w:snapToGrid w:val="0"/>
              <w:jc w:val="center"/>
              <w:rPr>
                <w:kern w:val="0"/>
                <w:szCs w:val="21"/>
              </w:rPr>
            </w:pPr>
            <w:r>
              <w:rPr>
                <w:kern w:val="0"/>
                <w:szCs w:val="21"/>
              </w:rPr>
              <w:t>150</w:t>
            </w:r>
          </w:p>
        </w:tc>
        <w:tc>
          <w:tcPr>
            <w:tcW w:w="880" w:type="pct"/>
            <w:gridSpan w:val="2"/>
            <w:vAlign w:val="center"/>
          </w:tcPr>
          <w:p>
            <w:pPr>
              <w:adjustRightInd w:val="0"/>
              <w:snapToGrid w:val="0"/>
              <w:jc w:val="center"/>
              <w:rPr>
                <w:kern w:val="0"/>
                <w:szCs w:val="21"/>
              </w:rPr>
            </w:pPr>
            <w:r>
              <w:rPr>
                <w:kern w:val="0"/>
                <w:szCs w:val="21"/>
              </w:rPr>
              <w:t>150</w:t>
            </w:r>
          </w:p>
        </w:tc>
        <w:tc>
          <w:tcPr>
            <w:tcW w:w="714" w:type="pct"/>
            <w:gridSpan w:val="2"/>
            <w:vAlign w:val="center"/>
          </w:tcPr>
          <w:p>
            <w:pPr>
              <w:adjustRightInd w:val="0"/>
              <w:snapToGrid w:val="0"/>
              <w:jc w:val="center"/>
              <w:rPr>
                <w:kern w:val="0"/>
                <w:szCs w:val="21"/>
              </w:rPr>
            </w:pPr>
            <w:r>
              <w:rPr>
                <w:kern w:val="0"/>
                <w:szCs w:val="21"/>
              </w:rPr>
              <w:t>200</w:t>
            </w:r>
          </w:p>
        </w:tc>
        <w:tc>
          <w:tcPr>
            <w:tcW w:w="825" w:type="pct"/>
            <w:vAlign w:val="center"/>
          </w:tcPr>
          <w:p>
            <w:pPr>
              <w:adjustRightInd w:val="0"/>
              <w:snapToGrid w:val="0"/>
              <w:jc w:val="center"/>
              <w:rPr>
                <w:kern w:val="0"/>
                <w:szCs w:val="21"/>
              </w:rPr>
            </w:pPr>
            <w:r>
              <w:rPr>
                <w:kern w:val="0"/>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9" w:hRule="atLeast"/>
          <w:jc w:val="center"/>
        </w:trPr>
        <w:tc>
          <w:tcPr>
            <w:tcW w:w="550" w:type="pct"/>
            <w:vMerge w:val="continue"/>
            <w:vAlign w:val="center"/>
          </w:tcPr>
          <w:p>
            <w:pPr>
              <w:adjustRightInd w:val="0"/>
              <w:snapToGrid w:val="0"/>
              <w:jc w:val="center"/>
              <w:rPr>
                <w:kern w:val="0"/>
                <w:szCs w:val="21"/>
              </w:rPr>
            </w:pPr>
          </w:p>
        </w:tc>
        <w:tc>
          <w:tcPr>
            <w:tcW w:w="660" w:type="pct"/>
            <w:vMerge w:val="continue"/>
            <w:vAlign w:val="center"/>
          </w:tcPr>
          <w:p>
            <w:pPr>
              <w:adjustRightInd w:val="0"/>
              <w:snapToGrid w:val="0"/>
              <w:jc w:val="center"/>
              <w:rPr>
                <w:kern w:val="0"/>
                <w:szCs w:val="21"/>
              </w:rPr>
            </w:pPr>
          </w:p>
        </w:tc>
        <w:tc>
          <w:tcPr>
            <w:tcW w:w="606" w:type="pct"/>
            <w:vAlign w:val="center"/>
          </w:tcPr>
          <w:p>
            <w:pPr>
              <w:adjustRightInd w:val="0"/>
              <w:snapToGrid w:val="0"/>
              <w:jc w:val="center"/>
              <w:rPr>
                <w:kern w:val="0"/>
                <w:szCs w:val="21"/>
              </w:rPr>
            </w:pPr>
            <w:r>
              <w:rPr>
                <w:kern w:val="0"/>
                <w:szCs w:val="21"/>
              </w:rPr>
              <w:t>其他</w:t>
            </w:r>
          </w:p>
        </w:tc>
        <w:tc>
          <w:tcPr>
            <w:tcW w:w="765" w:type="pct"/>
            <w:gridSpan w:val="2"/>
            <w:vAlign w:val="center"/>
          </w:tcPr>
          <w:p>
            <w:pPr>
              <w:adjustRightInd w:val="0"/>
              <w:snapToGrid w:val="0"/>
              <w:jc w:val="center"/>
              <w:rPr>
                <w:kern w:val="0"/>
                <w:szCs w:val="21"/>
              </w:rPr>
            </w:pPr>
            <w:r>
              <w:rPr>
                <w:kern w:val="0"/>
                <w:szCs w:val="21"/>
              </w:rPr>
              <w:t>50</w:t>
            </w:r>
          </w:p>
        </w:tc>
        <w:tc>
          <w:tcPr>
            <w:tcW w:w="880" w:type="pct"/>
            <w:gridSpan w:val="2"/>
            <w:vAlign w:val="center"/>
          </w:tcPr>
          <w:p>
            <w:pPr>
              <w:adjustRightInd w:val="0"/>
              <w:snapToGrid w:val="0"/>
              <w:jc w:val="center"/>
              <w:rPr>
                <w:kern w:val="0"/>
                <w:szCs w:val="21"/>
              </w:rPr>
            </w:pPr>
            <w:r>
              <w:rPr>
                <w:kern w:val="0"/>
                <w:szCs w:val="21"/>
              </w:rPr>
              <w:t>50</w:t>
            </w:r>
          </w:p>
        </w:tc>
        <w:tc>
          <w:tcPr>
            <w:tcW w:w="714" w:type="pct"/>
            <w:gridSpan w:val="2"/>
            <w:vAlign w:val="center"/>
          </w:tcPr>
          <w:p>
            <w:pPr>
              <w:adjustRightInd w:val="0"/>
              <w:snapToGrid w:val="0"/>
              <w:jc w:val="center"/>
              <w:rPr>
                <w:kern w:val="0"/>
                <w:szCs w:val="21"/>
              </w:rPr>
            </w:pPr>
            <w:r>
              <w:rPr>
                <w:kern w:val="0"/>
                <w:szCs w:val="21"/>
              </w:rPr>
              <w:t>100</w:t>
            </w:r>
          </w:p>
        </w:tc>
        <w:tc>
          <w:tcPr>
            <w:tcW w:w="825" w:type="pct"/>
            <w:vAlign w:val="center"/>
          </w:tcPr>
          <w:p>
            <w:pPr>
              <w:adjustRightInd w:val="0"/>
              <w:snapToGrid w:val="0"/>
              <w:jc w:val="center"/>
              <w:rPr>
                <w:kern w:val="0"/>
                <w:szCs w:val="21"/>
              </w:rPr>
            </w:pPr>
            <w:r>
              <w:rPr>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84" w:hRule="atLeast"/>
          <w:jc w:val="center"/>
        </w:trPr>
        <w:tc>
          <w:tcPr>
            <w:tcW w:w="550" w:type="pct"/>
            <w:vAlign w:val="center"/>
          </w:tcPr>
          <w:p>
            <w:pPr>
              <w:adjustRightInd w:val="0"/>
              <w:snapToGrid w:val="0"/>
              <w:jc w:val="center"/>
              <w:rPr>
                <w:kern w:val="0"/>
                <w:szCs w:val="21"/>
              </w:rPr>
            </w:pPr>
            <w:r>
              <w:rPr>
                <w:kern w:val="0"/>
                <w:szCs w:val="21"/>
              </w:rPr>
              <w:t>7</w:t>
            </w:r>
          </w:p>
        </w:tc>
        <w:tc>
          <w:tcPr>
            <w:tcW w:w="1266" w:type="pct"/>
            <w:gridSpan w:val="2"/>
            <w:vAlign w:val="center"/>
          </w:tcPr>
          <w:p>
            <w:pPr>
              <w:adjustRightInd w:val="0"/>
              <w:snapToGrid w:val="0"/>
              <w:jc w:val="center"/>
              <w:rPr>
                <w:kern w:val="0"/>
                <w:szCs w:val="21"/>
              </w:rPr>
            </w:pPr>
            <w:r>
              <w:rPr>
                <w:kern w:val="0"/>
                <w:szCs w:val="21"/>
              </w:rPr>
              <w:t>镍</w:t>
            </w:r>
          </w:p>
        </w:tc>
        <w:tc>
          <w:tcPr>
            <w:tcW w:w="765" w:type="pct"/>
            <w:gridSpan w:val="2"/>
            <w:vAlign w:val="center"/>
          </w:tcPr>
          <w:p>
            <w:pPr>
              <w:adjustRightInd w:val="0"/>
              <w:snapToGrid w:val="0"/>
              <w:jc w:val="center"/>
              <w:rPr>
                <w:kern w:val="0"/>
                <w:szCs w:val="21"/>
              </w:rPr>
            </w:pPr>
            <w:r>
              <w:rPr>
                <w:kern w:val="0"/>
                <w:szCs w:val="21"/>
              </w:rPr>
              <w:t>60</w:t>
            </w:r>
          </w:p>
        </w:tc>
        <w:tc>
          <w:tcPr>
            <w:tcW w:w="880" w:type="pct"/>
            <w:gridSpan w:val="2"/>
            <w:vAlign w:val="center"/>
          </w:tcPr>
          <w:p>
            <w:pPr>
              <w:adjustRightInd w:val="0"/>
              <w:snapToGrid w:val="0"/>
              <w:jc w:val="center"/>
              <w:rPr>
                <w:kern w:val="0"/>
                <w:szCs w:val="21"/>
              </w:rPr>
            </w:pPr>
            <w:r>
              <w:rPr>
                <w:kern w:val="0"/>
                <w:szCs w:val="21"/>
              </w:rPr>
              <w:t>70</w:t>
            </w:r>
          </w:p>
        </w:tc>
        <w:tc>
          <w:tcPr>
            <w:tcW w:w="714" w:type="pct"/>
            <w:gridSpan w:val="2"/>
            <w:vAlign w:val="center"/>
          </w:tcPr>
          <w:p>
            <w:pPr>
              <w:adjustRightInd w:val="0"/>
              <w:snapToGrid w:val="0"/>
              <w:jc w:val="center"/>
              <w:rPr>
                <w:kern w:val="0"/>
                <w:szCs w:val="21"/>
              </w:rPr>
            </w:pPr>
            <w:r>
              <w:rPr>
                <w:kern w:val="0"/>
                <w:szCs w:val="21"/>
              </w:rPr>
              <w:t>100</w:t>
            </w:r>
          </w:p>
        </w:tc>
        <w:tc>
          <w:tcPr>
            <w:tcW w:w="825" w:type="pct"/>
            <w:vAlign w:val="center"/>
          </w:tcPr>
          <w:p>
            <w:pPr>
              <w:adjustRightInd w:val="0"/>
              <w:snapToGrid w:val="0"/>
              <w:jc w:val="center"/>
              <w:rPr>
                <w:kern w:val="0"/>
                <w:szCs w:val="21"/>
              </w:rPr>
            </w:pPr>
            <w:r>
              <w:rPr>
                <w:kern w:val="0"/>
                <w:szCs w:val="21"/>
              </w:rPr>
              <w:t>190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Align w:val="center"/>
          </w:tcPr>
          <w:p>
            <w:pPr>
              <w:adjustRightInd w:val="0"/>
              <w:snapToGrid w:val="0"/>
              <w:jc w:val="center"/>
              <w:rPr>
                <w:kern w:val="0"/>
                <w:szCs w:val="21"/>
              </w:rPr>
            </w:pPr>
            <w:r>
              <w:rPr>
                <w:kern w:val="0"/>
                <w:szCs w:val="21"/>
              </w:rPr>
              <w:t>8</w:t>
            </w:r>
          </w:p>
        </w:tc>
        <w:tc>
          <w:tcPr>
            <w:tcW w:w="1266" w:type="pct"/>
            <w:gridSpan w:val="2"/>
            <w:vAlign w:val="center"/>
          </w:tcPr>
          <w:p>
            <w:pPr>
              <w:adjustRightInd w:val="0"/>
              <w:snapToGrid w:val="0"/>
              <w:jc w:val="center"/>
              <w:rPr>
                <w:kern w:val="0"/>
                <w:szCs w:val="21"/>
              </w:rPr>
            </w:pPr>
            <w:r>
              <w:rPr>
                <w:kern w:val="0"/>
                <w:szCs w:val="21"/>
              </w:rPr>
              <w:t>锌</w:t>
            </w:r>
          </w:p>
        </w:tc>
        <w:tc>
          <w:tcPr>
            <w:tcW w:w="765" w:type="pct"/>
            <w:gridSpan w:val="2"/>
            <w:vAlign w:val="center"/>
          </w:tcPr>
          <w:p>
            <w:pPr>
              <w:adjustRightInd w:val="0"/>
              <w:snapToGrid w:val="0"/>
              <w:jc w:val="center"/>
              <w:rPr>
                <w:kern w:val="0"/>
                <w:szCs w:val="21"/>
              </w:rPr>
            </w:pPr>
            <w:r>
              <w:rPr>
                <w:kern w:val="0"/>
                <w:szCs w:val="21"/>
              </w:rPr>
              <w:t>200</w:t>
            </w:r>
          </w:p>
        </w:tc>
        <w:tc>
          <w:tcPr>
            <w:tcW w:w="880" w:type="pct"/>
            <w:gridSpan w:val="2"/>
            <w:vAlign w:val="center"/>
          </w:tcPr>
          <w:p>
            <w:pPr>
              <w:adjustRightInd w:val="0"/>
              <w:snapToGrid w:val="0"/>
              <w:jc w:val="center"/>
              <w:rPr>
                <w:kern w:val="0"/>
                <w:szCs w:val="21"/>
              </w:rPr>
            </w:pPr>
            <w:r>
              <w:rPr>
                <w:kern w:val="0"/>
                <w:szCs w:val="21"/>
              </w:rPr>
              <w:t>200</w:t>
            </w:r>
          </w:p>
        </w:tc>
        <w:tc>
          <w:tcPr>
            <w:tcW w:w="714" w:type="pct"/>
            <w:gridSpan w:val="2"/>
            <w:vAlign w:val="center"/>
          </w:tcPr>
          <w:p>
            <w:pPr>
              <w:adjustRightInd w:val="0"/>
              <w:snapToGrid w:val="0"/>
              <w:jc w:val="center"/>
              <w:rPr>
                <w:kern w:val="0"/>
                <w:szCs w:val="21"/>
              </w:rPr>
            </w:pPr>
            <w:r>
              <w:rPr>
                <w:kern w:val="0"/>
                <w:szCs w:val="21"/>
              </w:rPr>
              <w:t>250</w:t>
            </w:r>
          </w:p>
        </w:tc>
        <w:tc>
          <w:tcPr>
            <w:tcW w:w="825" w:type="pct"/>
            <w:vAlign w:val="center"/>
          </w:tcPr>
          <w:p>
            <w:pPr>
              <w:adjustRightInd w:val="0"/>
              <w:snapToGrid w:val="0"/>
              <w:jc w:val="center"/>
              <w:rPr>
                <w:kern w:val="0"/>
                <w:szCs w:val="21"/>
              </w:rPr>
            </w:pPr>
            <w:r>
              <w:rPr>
                <w:kern w:val="0"/>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6" w:hRule="atLeast"/>
          <w:jc w:val="center"/>
        </w:trPr>
        <w:tc>
          <w:tcPr>
            <w:tcW w:w="550" w:type="pct"/>
            <w:vAlign w:val="center"/>
          </w:tcPr>
          <w:p>
            <w:pPr>
              <w:adjustRightInd w:val="0"/>
              <w:snapToGrid w:val="0"/>
              <w:jc w:val="center"/>
              <w:rPr>
                <w:kern w:val="0"/>
                <w:szCs w:val="21"/>
              </w:rPr>
            </w:pPr>
            <w:r>
              <w:rPr>
                <w:kern w:val="0"/>
                <w:szCs w:val="21"/>
              </w:rPr>
              <w:t>9</w:t>
            </w:r>
          </w:p>
        </w:tc>
        <w:tc>
          <w:tcPr>
            <w:tcW w:w="1266" w:type="pct"/>
            <w:gridSpan w:val="2"/>
            <w:vAlign w:val="center"/>
          </w:tcPr>
          <w:p>
            <w:pPr>
              <w:adjustRightInd w:val="0"/>
              <w:snapToGrid w:val="0"/>
              <w:jc w:val="center"/>
              <w:rPr>
                <w:kern w:val="0"/>
                <w:szCs w:val="21"/>
              </w:rPr>
            </w:pPr>
            <w:r>
              <w:rPr>
                <w:kern w:val="0"/>
                <w:szCs w:val="21"/>
              </w:rPr>
              <w:t>二噁英类TEQ-pg/g</w:t>
            </w:r>
          </w:p>
        </w:tc>
        <w:tc>
          <w:tcPr>
            <w:tcW w:w="3184" w:type="pct"/>
            <w:gridSpan w:val="7"/>
            <w:vAlign w:val="center"/>
          </w:tcPr>
          <w:p>
            <w:pPr>
              <w:adjustRightInd w:val="0"/>
              <w:snapToGrid w:val="0"/>
              <w:jc w:val="center"/>
              <w:rPr>
                <w:kern w:val="0"/>
                <w:szCs w:val="21"/>
              </w:rPr>
            </w:pPr>
            <w:r>
              <w:rPr>
                <w:bCs/>
                <w:kern w:val="0"/>
                <w:szCs w:val="21"/>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3" w:hRule="atLeast"/>
          <w:jc w:val="center"/>
        </w:trPr>
        <w:tc>
          <w:tcPr>
            <w:tcW w:w="5000" w:type="pct"/>
            <w:gridSpan w:val="10"/>
            <w:vAlign w:val="center"/>
          </w:tcPr>
          <w:p>
            <w:pPr>
              <w:adjustRightInd w:val="0"/>
              <w:snapToGrid w:val="0"/>
              <w:jc w:val="left"/>
              <w:rPr>
                <w:kern w:val="0"/>
                <w:szCs w:val="21"/>
              </w:rPr>
            </w:pPr>
            <w:r>
              <w:rPr>
                <w:kern w:val="0"/>
                <w:szCs w:val="21"/>
              </w:rPr>
              <w:t>注：</w:t>
            </w:r>
            <w:r>
              <w:rPr>
                <w:rFonts w:hint="eastAsia" w:ascii="宋体" w:hAnsi="宋体" w:cs="宋体"/>
                <w:kern w:val="0"/>
                <w:szCs w:val="21"/>
              </w:rPr>
              <w:t>①</w:t>
            </w:r>
            <w:r>
              <w:rPr>
                <w:kern w:val="0"/>
                <w:szCs w:val="21"/>
              </w:rPr>
              <w:t>重金属和类金属砷均按元素总量计；</w:t>
            </w:r>
            <w:r>
              <w:rPr>
                <w:rFonts w:hint="eastAsia" w:ascii="宋体" w:hAnsi="宋体" w:cs="宋体"/>
                <w:kern w:val="0"/>
                <w:szCs w:val="21"/>
              </w:rPr>
              <w:t>②</w:t>
            </w:r>
            <w:r>
              <w:rPr>
                <w:kern w:val="0"/>
                <w:szCs w:val="21"/>
              </w:rPr>
              <w:t>对于水旱轮作地，采用其中较严格的风险筛选值。</w:t>
            </w:r>
          </w:p>
        </w:tc>
      </w:tr>
    </w:tbl>
    <w:p>
      <w:pPr>
        <w:adjustRightInd w:val="0"/>
        <w:snapToGrid w:val="0"/>
        <w:jc w:val="center"/>
        <w:rPr>
          <w:rFonts w:eastAsia="黑体"/>
          <w:snapToGrid w:val="0"/>
          <w:kern w:val="0"/>
          <w:szCs w:val="21"/>
        </w:rPr>
      </w:pPr>
    </w:p>
    <w:p>
      <w:pPr>
        <w:spacing w:line="500" w:lineRule="exact"/>
        <w:jc w:val="center"/>
        <w:rPr>
          <w:rFonts w:eastAsia="黑体"/>
          <w:snapToGrid w:val="0"/>
          <w:kern w:val="0"/>
          <w:sz w:val="18"/>
          <w:szCs w:val="18"/>
        </w:rPr>
      </w:pPr>
      <w:r>
        <w:rPr>
          <w:b/>
          <w:bCs/>
          <w:sz w:val="24"/>
          <w:szCs w:val="24"/>
        </w:rPr>
        <w:t xml:space="preserve">表2.4-8  </w:t>
      </w:r>
      <w:r>
        <w:rPr>
          <w:rFonts w:hint="eastAsia"/>
          <w:b/>
          <w:bCs/>
          <w:sz w:val="24"/>
          <w:szCs w:val="24"/>
        </w:rPr>
        <w:t>河北省建设用地土壤污染风险筛选值</w:t>
      </w:r>
      <w:r>
        <w:rPr>
          <w:rFonts w:eastAsia="黑体"/>
          <w:snapToGrid w:val="0"/>
          <w:kern w:val="0"/>
          <w:sz w:val="18"/>
          <w:szCs w:val="18"/>
        </w:rPr>
        <w:t xml:space="preserve"> (单位：mg/kg)</w:t>
      </w:r>
    </w:p>
    <w:tbl>
      <w:tblPr>
        <w:tblStyle w:val="39"/>
        <w:tblW w:w="5001"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82"/>
        <w:gridCol w:w="2477"/>
        <w:gridCol w:w="2416"/>
        <w:gridCol w:w="28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b/>
                <w:snapToGrid w:val="0"/>
                <w:kern w:val="0"/>
                <w:szCs w:val="21"/>
              </w:rPr>
            </w:pPr>
            <w:r>
              <w:rPr>
                <w:rFonts w:eastAsiaTheme="minorEastAsia"/>
                <w:b/>
                <w:snapToGrid w:val="0"/>
                <w:kern w:val="0"/>
                <w:szCs w:val="21"/>
              </w:rPr>
              <w:t>序号</w:t>
            </w:r>
          </w:p>
        </w:tc>
        <w:tc>
          <w:tcPr>
            <w:tcW w:w="1453" w:type="pct"/>
            <w:shd w:val="clear" w:color="auto" w:fill="auto"/>
            <w:vAlign w:val="center"/>
          </w:tcPr>
          <w:p>
            <w:pPr>
              <w:adjustRightInd w:val="0"/>
              <w:snapToGrid w:val="0"/>
              <w:jc w:val="center"/>
              <w:rPr>
                <w:rFonts w:eastAsiaTheme="minorEastAsia"/>
                <w:b/>
                <w:snapToGrid w:val="0"/>
                <w:kern w:val="0"/>
                <w:szCs w:val="21"/>
              </w:rPr>
            </w:pPr>
            <w:r>
              <w:rPr>
                <w:rFonts w:eastAsiaTheme="minorEastAsia"/>
                <w:b/>
                <w:snapToGrid w:val="0"/>
                <w:kern w:val="0"/>
                <w:szCs w:val="21"/>
              </w:rPr>
              <w:t>污染物项目</w:t>
            </w:r>
          </w:p>
        </w:tc>
        <w:tc>
          <w:tcPr>
            <w:tcW w:w="1417" w:type="pct"/>
            <w:shd w:val="clear" w:color="auto" w:fill="auto"/>
            <w:vAlign w:val="center"/>
          </w:tcPr>
          <w:p>
            <w:pPr>
              <w:adjustRightInd w:val="0"/>
              <w:snapToGrid w:val="0"/>
              <w:jc w:val="center"/>
              <w:rPr>
                <w:rFonts w:eastAsiaTheme="minorEastAsia"/>
                <w:b/>
                <w:snapToGrid w:val="0"/>
                <w:kern w:val="0"/>
                <w:szCs w:val="21"/>
              </w:rPr>
            </w:pPr>
            <w:r>
              <w:rPr>
                <w:rFonts w:eastAsiaTheme="minorEastAsia"/>
                <w:b/>
                <w:snapToGrid w:val="0"/>
                <w:kern w:val="0"/>
                <w:szCs w:val="21"/>
              </w:rPr>
              <w:t>CAS编号</w:t>
            </w:r>
          </w:p>
        </w:tc>
        <w:tc>
          <w:tcPr>
            <w:tcW w:w="1671" w:type="pct"/>
            <w:shd w:val="clear" w:color="auto" w:fill="auto"/>
            <w:vAlign w:val="center"/>
          </w:tcPr>
          <w:p>
            <w:pPr>
              <w:adjustRightInd w:val="0"/>
              <w:snapToGrid w:val="0"/>
              <w:jc w:val="center"/>
              <w:rPr>
                <w:rFonts w:eastAsiaTheme="minorEastAsia"/>
                <w:b/>
                <w:snapToGrid w:val="0"/>
                <w:kern w:val="0"/>
                <w:szCs w:val="21"/>
              </w:rPr>
            </w:pPr>
            <w:r>
              <w:rPr>
                <w:rFonts w:eastAsiaTheme="minorEastAsia"/>
                <w:b/>
                <w:snapToGrid w:val="0"/>
                <w:kern w:val="0"/>
                <w:szCs w:val="21"/>
              </w:rPr>
              <w:t>筛选值—第二类用地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000" w:type="pct"/>
            <w:gridSpan w:val="4"/>
            <w:shd w:val="clear" w:color="auto" w:fill="auto"/>
            <w:vAlign w:val="center"/>
          </w:tcPr>
          <w:p>
            <w:pPr>
              <w:adjustRightInd w:val="0"/>
              <w:snapToGrid w:val="0"/>
              <w:jc w:val="center"/>
              <w:rPr>
                <w:rFonts w:eastAsiaTheme="minorEastAsia"/>
                <w:snapToGrid w:val="0"/>
                <w:kern w:val="0"/>
                <w:szCs w:val="21"/>
              </w:rPr>
            </w:pPr>
            <w:r>
              <w:rPr>
                <w:rFonts w:eastAsiaTheme="minorEastAsia"/>
                <w:snapToGrid w:val="0"/>
                <w:kern w:val="0"/>
                <w:szCs w:val="21"/>
              </w:rPr>
              <w:t>重金属和无机物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w:t>
            </w:r>
          </w:p>
        </w:tc>
        <w:tc>
          <w:tcPr>
            <w:tcW w:w="1453" w:type="pct"/>
            <w:vAlign w:val="center"/>
          </w:tcPr>
          <w:p>
            <w:pPr>
              <w:adjustRightInd w:val="0"/>
              <w:snapToGrid w:val="0"/>
              <w:jc w:val="center"/>
              <w:rPr>
                <w:rFonts w:eastAsiaTheme="minorEastAsia"/>
                <w:snapToGrid w:val="0"/>
                <w:kern w:val="0"/>
                <w:szCs w:val="21"/>
              </w:rPr>
            </w:pPr>
            <w:r>
              <w:rPr>
                <w:rFonts w:eastAsiaTheme="minorEastAsia"/>
                <w:szCs w:val="21"/>
              </w:rPr>
              <w:t>锌</w:t>
            </w:r>
          </w:p>
        </w:tc>
        <w:tc>
          <w:tcPr>
            <w:tcW w:w="1417" w:type="pct"/>
            <w:vAlign w:val="center"/>
          </w:tcPr>
          <w:p>
            <w:pPr>
              <w:adjustRightInd w:val="0"/>
              <w:snapToGrid w:val="0"/>
              <w:jc w:val="center"/>
              <w:rPr>
                <w:rFonts w:eastAsiaTheme="minorEastAsia"/>
                <w:snapToGrid w:val="0"/>
                <w:kern w:val="0"/>
                <w:szCs w:val="21"/>
              </w:rPr>
            </w:pPr>
            <w:r>
              <w:rPr>
                <w:rFonts w:eastAsiaTheme="minorEastAsia"/>
                <w:spacing w:val="-1"/>
                <w:szCs w:val="21"/>
              </w:rPr>
              <w:t>7440-66-6</w:t>
            </w:r>
          </w:p>
        </w:tc>
        <w:tc>
          <w:tcPr>
            <w:tcW w:w="1671" w:type="pct"/>
            <w:vAlign w:val="center"/>
          </w:tcPr>
          <w:p>
            <w:pPr>
              <w:adjustRightInd w:val="0"/>
              <w:snapToGrid w:val="0"/>
              <w:jc w:val="center"/>
              <w:rPr>
                <w:rFonts w:eastAsiaTheme="minorEastAsia"/>
                <w:snapToGrid w:val="0"/>
                <w:kern w:val="0"/>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w:t>
            </w:r>
          </w:p>
        </w:tc>
        <w:tc>
          <w:tcPr>
            <w:tcW w:w="1453" w:type="pct"/>
            <w:vAlign w:val="center"/>
          </w:tcPr>
          <w:p>
            <w:pPr>
              <w:adjustRightInd w:val="0"/>
              <w:snapToGrid w:val="0"/>
              <w:jc w:val="center"/>
              <w:rPr>
                <w:rFonts w:eastAsiaTheme="minorEastAsia"/>
                <w:snapToGrid w:val="0"/>
                <w:kern w:val="0"/>
                <w:szCs w:val="21"/>
              </w:rPr>
            </w:pPr>
            <w:r>
              <w:rPr>
                <w:rFonts w:eastAsiaTheme="minorEastAsia"/>
                <w:szCs w:val="21"/>
              </w:rPr>
              <w:t>钼</w:t>
            </w:r>
          </w:p>
        </w:tc>
        <w:tc>
          <w:tcPr>
            <w:tcW w:w="1417" w:type="pct"/>
            <w:vAlign w:val="center"/>
          </w:tcPr>
          <w:p>
            <w:pPr>
              <w:adjustRightInd w:val="0"/>
              <w:snapToGrid w:val="0"/>
              <w:jc w:val="center"/>
              <w:rPr>
                <w:rFonts w:eastAsiaTheme="minorEastAsia"/>
                <w:snapToGrid w:val="0"/>
                <w:kern w:val="0"/>
                <w:szCs w:val="21"/>
              </w:rPr>
            </w:pPr>
            <w:r>
              <w:rPr>
                <w:rFonts w:eastAsiaTheme="minorEastAsia"/>
                <w:spacing w:val="-1"/>
                <w:szCs w:val="21"/>
              </w:rPr>
              <w:t>7439-98-7</w:t>
            </w:r>
          </w:p>
        </w:tc>
        <w:tc>
          <w:tcPr>
            <w:tcW w:w="1671" w:type="pct"/>
            <w:vAlign w:val="center"/>
          </w:tcPr>
          <w:p>
            <w:pPr>
              <w:adjustRightInd w:val="0"/>
              <w:snapToGrid w:val="0"/>
              <w:jc w:val="center"/>
              <w:rPr>
                <w:rFonts w:eastAsiaTheme="minorEastAsia"/>
                <w:snapToGrid w:val="0"/>
                <w:kern w:val="0"/>
                <w:szCs w:val="21"/>
              </w:rPr>
            </w:pPr>
            <w:r>
              <w:rPr>
                <w:rFonts w:eastAsiaTheme="minorEastAsia"/>
                <w:szCs w:val="21"/>
              </w:rPr>
              <w:t>2</w:t>
            </w:r>
            <w:r>
              <w:rPr>
                <w:rFonts w:eastAsiaTheme="minorEastAsia"/>
                <w:spacing w:val="2"/>
                <w:szCs w:val="21"/>
              </w:rPr>
              <w:t xml:space="preserve"> </w:t>
            </w:r>
            <w:r>
              <w:rPr>
                <w:rFonts w:eastAsiaTheme="minorEastAsia"/>
                <w:spacing w:val="-1"/>
                <w:szCs w:val="21"/>
              </w:rPr>
              <w:t>418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w:t>
            </w:r>
          </w:p>
        </w:tc>
        <w:tc>
          <w:tcPr>
            <w:tcW w:w="1453" w:type="pct"/>
            <w:vAlign w:val="center"/>
          </w:tcPr>
          <w:p>
            <w:pPr>
              <w:adjustRightInd w:val="0"/>
              <w:snapToGrid w:val="0"/>
              <w:jc w:val="center"/>
              <w:rPr>
                <w:rFonts w:eastAsiaTheme="minorEastAsia"/>
                <w:snapToGrid w:val="0"/>
                <w:kern w:val="0"/>
                <w:szCs w:val="21"/>
              </w:rPr>
            </w:pPr>
            <w:r>
              <w:rPr>
                <w:rFonts w:eastAsiaTheme="minorEastAsia"/>
                <w:szCs w:val="21"/>
              </w:rPr>
              <w:t>硒</w:t>
            </w:r>
          </w:p>
        </w:tc>
        <w:tc>
          <w:tcPr>
            <w:tcW w:w="1417" w:type="pct"/>
            <w:vAlign w:val="center"/>
          </w:tcPr>
          <w:p>
            <w:pPr>
              <w:adjustRightInd w:val="0"/>
              <w:snapToGrid w:val="0"/>
              <w:jc w:val="center"/>
              <w:rPr>
                <w:rFonts w:eastAsiaTheme="minorEastAsia"/>
                <w:snapToGrid w:val="0"/>
                <w:kern w:val="0"/>
                <w:szCs w:val="21"/>
              </w:rPr>
            </w:pPr>
            <w:r>
              <w:rPr>
                <w:rFonts w:eastAsiaTheme="minorEastAsia"/>
                <w:spacing w:val="-1"/>
                <w:szCs w:val="21"/>
              </w:rPr>
              <w:t>7782-49-2</w:t>
            </w:r>
          </w:p>
        </w:tc>
        <w:tc>
          <w:tcPr>
            <w:tcW w:w="1671" w:type="pct"/>
            <w:vAlign w:val="center"/>
          </w:tcPr>
          <w:p>
            <w:pPr>
              <w:adjustRightInd w:val="0"/>
              <w:snapToGrid w:val="0"/>
              <w:jc w:val="center"/>
              <w:rPr>
                <w:rFonts w:eastAsiaTheme="minorEastAsia"/>
                <w:snapToGrid w:val="0"/>
                <w:kern w:val="0"/>
                <w:szCs w:val="21"/>
              </w:rPr>
            </w:pPr>
            <w:r>
              <w:rPr>
                <w:rFonts w:eastAsiaTheme="minorEastAsia"/>
                <w:szCs w:val="21"/>
              </w:rPr>
              <w:t>2</w:t>
            </w:r>
            <w:r>
              <w:rPr>
                <w:rFonts w:eastAsiaTheme="minorEastAsia"/>
                <w:spacing w:val="2"/>
                <w:szCs w:val="21"/>
              </w:rPr>
              <w:t xml:space="preserve"> </w:t>
            </w:r>
            <w:r>
              <w:rPr>
                <w:rFonts w:eastAsiaTheme="minorEastAsia"/>
                <w:spacing w:val="-1"/>
                <w:szCs w:val="21"/>
              </w:rPr>
              <w:t>393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w:t>
            </w:r>
          </w:p>
        </w:tc>
        <w:tc>
          <w:tcPr>
            <w:tcW w:w="1453" w:type="pct"/>
            <w:vAlign w:val="center"/>
          </w:tcPr>
          <w:p>
            <w:pPr>
              <w:adjustRightInd w:val="0"/>
              <w:snapToGrid w:val="0"/>
              <w:jc w:val="center"/>
              <w:rPr>
                <w:rFonts w:eastAsiaTheme="minorEastAsia"/>
                <w:snapToGrid w:val="0"/>
                <w:kern w:val="0"/>
                <w:szCs w:val="21"/>
              </w:rPr>
            </w:pPr>
            <w:r>
              <w:rPr>
                <w:rFonts w:eastAsiaTheme="minorEastAsia"/>
                <w:szCs w:val="21"/>
              </w:rPr>
              <w:t>铊</w:t>
            </w:r>
          </w:p>
        </w:tc>
        <w:tc>
          <w:tcPr>
            <w:tcW w:w="1417" w:type="pct"/>
            <w:vAlign w:val="center"/>
          </w:tcPr>
          <w:p>
            <w:pPr>
              <w:adjustRightInd w:val="0"/>
              <w:snapToGrid w:val="0"/>
              <w:jc w:val="center"/>
              <w:rPr>
                <w:rFonts w:eastAsiaTheme="minorEastAsia"/>
                <w:snapToGrid w:val="0"/>
                <w:kern w:val="0"/>
                <w:szCs w:val="21"/>
              </w:rPr>
            </w:pPr>
            <w:r>
              <w:rPr>
                <w:rFonts w:eastAsiaTheme="minorEastAsia"/>
                <w:spacing w:val="-1"/>
                <w:szCs w:val="21"/>
              </w:rPr>
              <w:t>7440-28-0</w:t>
            </w:r>
          </w:p>
        </w:tc>
        <w:tc>
          <w:tcPr>
            <w:tcW w:w="1671" w:type="pct"/>
            <w:vAlign w:val="center"/>
          </w:tcPr>
          <w:p>
            <w:pPr>
              <w:adjustRightInd w:val="0"/>
              <w:snapToGrid w:val="0"/>
              <w:jc w:val="center"/>
              <w:rPr>
                <w:rFonts w:eastAsiaTheme="minorEastAsia"/>
                <w:snapToGrid w:val="0"/>
                <w:kern w:val="0"/>
                <w:szCs w:val="21"/>
              </w:rPr>
            </w:pPr>
            <w:r>
              <w:rPr>
                <w:rFonts w:eastAsiaTheme="minorEastAsia"/>
                <w:spacing w:val="1"/>
                <w:szCs w:val="21"/>
              </w:rP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5</w:t>
            </w:r>
          </w:p>
        </w:tc>
        <w:tc>
          <w:tcPr>
            <w:tcW w:w="1453" w:type="pct"/>
            <w:vAlign w:val="center"/>
          </w:tcPr>
          <w:p>
            <w:pPr>
              <w:adjustRightInd w:val="0"/>
              <w:snapToGrid w:val="0"/>
              <w:jc w:val="center"/>
              <w:rPr>
                <w:rFonts w:eastAsiaTheme="minorEastAsia"/>
                <w:snapToGrid w:val="0"/>
                <w:kern w:val="0"/>
                <w:szCs w:val="21"/>
              </w:rPr>
            </w:pPr>
            <w:r>
              <w:rPr>
                <w:rFonts w:eastAsiaTheme="minorEastAsia"/>
                <w:szCs w:val="21"/>
              </w:rPr>
              <w:t>钡</w:t>
            </w:r>
          </w:p>
        </w:tc>
        <w:tc>
          <w:tcPr>
            <w:tcW w:w="1417" w:type="pct"/>
            <w:vAlign w:val="center"/>
          </w:tcPr>
          <w:p>
            <w:pPr>
              <w:adjustRightInd w:val="0"/>
              <w:snapToGrid w:val="0"/>
              <w:jc w:val="center"/>
              <w:rPr>
                <w:rFonts w:eastAsiaTheme="minorEastAsia"/>
                <w:snapToGrid w:val="0"/>
                <w:kern w:val="0"/>
                <w:szCs w:val="21"/>
              </w:rPr>
            </w:pPr>
            <w:r>
              <w:rPr>
                <w:rFonts w:eastAsiaTheme="minorEastAsia"/>
                <w:spacing w:val="-1"/>
                <w:szCs w:val="21"/>
              </w:rPr>
              <w:t>7440-39-3</w:t>
            </w:r>
          </w:p>
        </w:tc>
        <w:tc>
          <w:tcPr>
            <w:tcW w:w="1671" w:type="pct"/>
            <w:vAlign w:val="center"/>
          </w:tcPr>
          <w:p>
            <w:pPr>
              <w:adjustRightInd w:val="0"/>
              <w:snapToGrid w:val="0"/>
              <w:jc w:val="center"/>
              <w:rPr>
                <w:rFonts w:eastAsiaTheme="minorEastAsia"/>
                <w:snapToGrid w:val="0"/>
                <w:kern w:val="0"/>
                <w:szCs w:val="21"/>
              </w:rPr>
            </w:pPr>
            <w:r>
              <w:rPr>
                <w:rFonts w:eastAsiaTheme="minorEastAsia"/>
                <w:szCs w:val="21"/>
              </w:rPr>
              <w:t>5</w:t>
            </w:r>
            <w:r>
              <w:rPr>
                <w:rFonts w:eastAsiaTheme="minorEastAsia"/>
                <w:spacing w:val="2"/>
                <w:szCs w:val="21"/>
              </w:rPr>
              <w:t xml:space="preserve"> </w:t>
            </w:r>
            <w:r>
              <w:rPr>
                <w:rFonts w:eastAsiaTheme="minorEastAsia"/>
                <w:spacing w:val="-1"/>
                <w:szCs w:val="21"/>
              </w:rPr>
              <w:t>460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w:t>
            </w:r>
          </w:p>
        </w:tc>
        <w:tc>
          <w:tcPr>
            <w:tcW w:w="1453" w:type="pct"/>
            <w:vAlign w:val="center"/>
          </w:tcPr>
          <w:p>
            <w:pPr>
              <w:adjustRightInd w:val="0"/>
              <w:snapToGrid w:val="0"/>
              <w:jc w:val="center"/>
              <w:rPr>
                <w:rFonts w:eastAsiaTheme="minorEastAsia"/>
                <w:szCs w:val="21"/>
              </w:rPr>
            </w:pPr>
            <w:r>
              <w:rPr>
                <w:rFonts w:eastAsiaTheme="minorEastAsia"/>
                <w:szCs w:val="21"/>
              </w:rPr>
              <w:t>银</w:t>
            </w:r>
          </w:p>
        </w:tc>
        <w:tc>
          <w:tcPr>
            <w:tcW w:w="1417" w:type="pct"/>
            <w:vAlign w:val="center"/>
          </w:tcPr>
          <w:p>
            <w:pPr>
              <w:adjustRightInd w:val="0"/>
              <w:snapToGrid w:val="0"/>
              <w:jc w:val="center"/>
              <w:rPr>
                <w:rFonts w:eastAsiaTheme="minorEastAsia"/>
                <w:szCs w:val="21"/>
              </w:rPr>
            </w:pPr>
            <w:r>
              <w:rPr>
                <w:rFonts w:eastAsiaTheme="minorEastAsia"/>
                <w:spacing w:val="-1"/>
                <w:szCs w:val="21"/>
              </w:rPr>
              <w:t>7440-22-4</w:t>
            </w:r>
          </w:p>
        </w:tc>
        <w:tc>
          <w:tcPr>
            <w:tcW w:w="1671" w:type="pct"/>
            <w:vAlign w:val="center"/>
          </w:tcPr>
          <w:p>
            <w:pPr>
              <w:adjustRightInd w:val="0"/>
              <w:snapToGrid w:val="0"/>
              <w:jc w:val="center"/>
              <w:rPr>
                <w:rFonts w:eastAsiaTheme="minorEastAsia"/>
                <w:szCs w:val="21"/>
              </w:rPr>
            </w:pPr>
            <w:r>
              <w:rPr>
                <w:rFonts w:eastAsiaTheme="minorEastAsia"/>
                <w:szCs w:val="21"/>
              </w:rPr>
              <w:t>2</w:t>
            </w:r>
            <w:r>
              <w:rPr>
                <w:rFonts w:eastAsiaTheme="minorEastAsia"/>
                <w:spacing w:val="2"/>
                <w:szCs w:val="21"/>
              </w:rPr>
              <w:t xml:space="preserve"> </w:t>
            </w:r>
            <w:r>
              <w:rPr>
                <w:rFonts w:eastAsiaTheme="minorEastAsia"/>
                <w:spacing w:val="-1"/>
                <w:szCs w:val="21"/>
              </w:rPr>
              <w:t>418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w:t>
            </w:r>
          </w:p>
        </w:tc>
        <w:tc>
          <w:tcPr>
            <w:tcW w:w="1453" w:type="pct"/>
            <w:vAlign w:val="center"/>
          </w:tcPr>
          <w:p>
            <w:pPr>
              <w:adjustRightInd w:val="0"/>
              <w:snapToGrid w:val="0"/>
              <w:jc w:val="center"/>
              <w:rPr>
                <w:rFonts w:eastAsiaTheme="minorEastAsia"/>
                <w:szCs w:val="21"/>
              </w:rPr>
            </w:pPr>
            <w:r>
              <w:rPr>
                <w:rFonts w:eastAsiaTheme="minorEastAsia"/>
                <w:szCs w:val="21"/>
              </w:rPr>
              <w:t>锡</w:t>
            </w:r>
          </w:p>
        </w:tc>
        <w:tc>
          <w:tcPr>
            <w:tcW w:w="1417" w:type="pct"/>
            <w:vAlign w:val="center"/>
          </w:tcPr>
          <w:p>
            <w:pPr>
              <w:adjustRightInd w:val="0"/>
              <w:snapToGrid w:val="0"/>
              <w:jc w:val="center"/>
              <w:rPr>
                <w:rFonts w:eastAsiaTheme="minorEastAsia"/>
                <w:szCs w:val="21"/>
              </w:rPr>
            </w:pPr>
            <w:r>
              <w:rPr>
                <w:rFonts w:eastAsiaTheme="minorEastAsia"/>
                <w:spacing w:val="-1"/>
                <w:szCs w:val="21"/>
              </w:rPr>
              <w:t>7440-31-5</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8</w:t>
            </w:r>
          </w:p>
        </w:tc>
        <w:tc>
          <w:tcPr>
            <w:tcW w:w="1453" w:type="pct"/>
            <w:vAlign w:val="center"/>
          </w:tcPr>
          <w:p>
            <w:pPr>
              <w:adjustRightInd w:val="0"/>
              <w:snapToGrid w:val="0"/>
              <w:jc w:val="center"/>
              <w:rPr>
                <w:rFonts w:eastAsiaTheme="minorEastAsia"/>
                <w:szCs w:val="21"/>
              </w:rPr>
            </w:pPr>
            <w:r>
              <w:rPr>
                <w:rFonts w:eastAsiaTheme="minorEastAsia"/>
                <w:szCs w:val="21"/>
              </w:rPr>
              <w:t>氟化物（可溶性）</w:t>
            </w:r>
          </w:p>
        </w:tc>
        <w:tc>
          <w:tcPr>
            <w:tcW w:w="1417" w:type="pct"/>
            <w:vAlign w:val="center"/>
          </w:tcPr>
          <w:p>
            <w:pPr>
              <w:adjustRightInd w:val="0"/>
              <w:snapToGrid w:val="0"/>
              <w:jc w:val="center"/>
              <w:rPr>
                <w:rFonts w:eastAsiaTheme="minorEastAsia"/>
                <w:szCs w:val="21"/>
              </w:rPr>
            </w:pPr>
            <w:r>
              <w:rPr>
                <w:rFonts w:eastAsiaTheme="minorEastAsia"/>
                <w:spacing w:val="-1"/>
                <w:szCs w:val="21"/>
              </w:rPr>
              <w:t>7782-41-4</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9</w:t>
            </w:r>
          </w:p>
        </w:tc>
        <w:tc>
          <w:tcPr>
            <w:tcW w:w="1453" w:type="pct"/>
            <w:vAlign w:val="center"/>
          </w:tcPr>
          <w:p>
            <w:pPr>
              <w:adjustRightInd w:val="0"/>
              <w:snapToGrid w:val="0"/>
              <w:jc w:val="center"/>
              <w:rPr>
                <w:rFonts w:eastAsiaTheme="minorEastAsia"/>
                <w:szCs w:val="21"/>
              </w:rPr>
            </w:pPr>
            <w:r>
              <w:rPr>
                <w:rFonts w:eastAsiaTheme="minorEastAsia"/>
                <w:szCs w:val="21"/>
              </w:rPr>
              <w:t>氨氮</w:t>
            </w:r>
          </w:p>
        </w:tc>
        <w:tc>
          <w:tcPr>
            <w:tcW w:w="1417" w:type="pct"/>
            <w:vAlign w:val="center"/>
          </w:tcPr>
          <w:p>
            <w:pPr>
              <w:adjustRightInd w:val="0"/>
              <w:snapToGrid w:val="0"/>
              <w:jc w:val="center"/>
              <w:rPr>
                <w:rFonts w:eastAsiaTheme="minorEastAsia"/>
                <w:szCs w:val="21"/>
              </w:rPr>
            </w:pPr>
            <w:r>
              <w:rPr>
                <w:rFonts w:eastAsiaTheme="minorEastAsia"/>
                <w:spacing w:val="-1"/>
                <w:szCs w:val="21"/>
              </w:rPr>
              <w:t>7664-41-7</w:t>
            </w:r>
          </w:p>
        </w:tc>
        <w:tc>
          <w:tcPr>
            <w:tcW w:w="1671" w:type="pct"/>
            <w:vAlign w:val="center"/>
          </w:tcPr>
          <w:p>
            <w:pPr>
              <w:adjustRightInd w:val="0"/>
              <w:snapToGrid w:val="0"/>
              <w:jc w:val="center"/>
              <w:rPr>
                <w:rFonts w:eastAsiaTheme="minorEastAsia"/>
                <w:szCs w:val="21"/>
              </w:rPr>
            </w:pPr>
            <w:r>
              <w:rPr>
                <w:rFonts w:eastAsiaTheme="minorEastAsia"/>
                <w:szCs w:val="21"/>
              </w:rPr>
              <w:t>1</w:t>
            </w:r>
            <w:r>
              <w:rPr>
                <w:rFonts w:eastAsiaTheme="minorEastAsia"/>
                <w:spacing w:val="2"/>
                <w:szCs w:val="21"/>
              </w:rPr>
              <w:t xml:space="preserve"> </w:t>
            </w:r>
            <w:r>
              <w:rPr>
                <w:rFonts w:eastAsiaTheme="minorEastAsia"/>
                <w:spacing w:val="-1"/>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000" w:type="pct"/>
            <w:gridSpan w:val="4"/>
            <w:shd w:val="clear" w:color="auto" w:fill="auto"/>
            <w:vAlign w:val="center"/>
          </w:tcPr>
          <w:p>
            <w:pPr>
              <w:adjustRightInd w:val="0"/>
              <w:snapToGrid w:val="0"/>
              <w:jc w:val="center"/>
              <w:rPr>
                <w:rFonts w:eastAsiaTheme="minorEastAsia"/>
                <w:szCs w:val="21"/>
              </w:rPr>
            </w:pPr>
            <w:r>
              <w:rPr>
                <w:rFonts w:eastAsiaTheme="minorEastAsia"/>
                <w:szCs w:val="21"/>
              </w:rPr>
              <w:t>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10</w:t>
            </w:r>
          </w:p>
        </w:tc>
        <w:tc>
          <w:tcPr>
            <w:tcW w:w="1453" w:type="pct"/>
            <w:vAlign w:val="center"/>
          </w:tcPr>
          <w:p>
            <w:pPr>
              <w:adjustRightInd w:val="0"/>
              <w:snapToGrid w:val="0"/>
              <w:jc w:val="center"/>
              <w:rPr>
                <w:rFonts w:eastAsiaTheme="minorEastAsia"/>
                <w:szCs w:val="21"/>
              </w:rPr>
            </w:pPr>
            <w:r>
              <w:rPr>
                <w:rFonts w:eastAsiaTheme="minorEastAsia"/>
                <w:kern w:val="0"/>
                <w:szCs w:val="21"/>
              </w:rPr>
              <w:t>丙酮</w:t>
            </w:r>
          </w:p>
        </w:tc>
        <w:tc>
          <w:tcPr>
            <w:tcW w:w="1417" w:type="pct"/>
            <w:vAlign w:val="center"/>
          </w:tcPr>
          <w:p>
            <w:pPr>
              <w:adjustRightInd w:val="0"/>
              <w:snapToGrid w:val="0"/>
              <w:jc w:val="center"/>
              <w:rPr>
                <w:rFonts w:eastAsiaTheme="minorEastAsia"/>
                <w:szCs w:val="21"/>
              </w:rPr>
            </w:pPr>
            <w:r>
              <w:rPr>
                <w:rFonts w:eastAsiaTheme="minorEastAsia"/>
                <w:kern w:val="0"/>
                <w:szCs w:val="21"/>
              </w:rPr>
              <w:t>67-64-1</w:t>
            </w:r>
          </w:p>
        </w:tc>
        <w:tc>
          <w:tcPr>
            <w:tcW w:w="1671" w:type="pct"/>
            <w:vAlign w:val="center"/>
          </w:tcPr>
          <w:p>
            <w:pPr>
              <w:adjustRightInd w:val="0"/>
              <w:snapToGrid w:val="0"/>
              <w:jc w:val="center"/>
              <w:rPr>
                <w:rFonts w:eastAsiaTheme="minorEastAsia"/>
                <w:szCs w:val="21"/>
              </w:rPr>
            </w:pPr>
            <w:r>
              <w:rPr>
                <w:rFonts w:eastAsiaTheme="minorEastAsia"/>
                <w:kern w:val="0"/>
                <w:szCs w:val="21"/>
              </w:rPr>
              <w:t>10</w:t>
            </w:r>
            <w:r>
              <w:rPr>
                <w:rFonts w:eastAsiaTheme="minorEastAsia"/>
                <w:spacing w:val="-1"/>
                <w:kern w:val="0"/>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11</w:t>
            </w:r>
          </w:p>
        </w:tc>
        <w:tc>
          <w:tcPr>
            <w:tcW w:w="1453" w:type="pct"/>
            <w:vAlign w:val="center"/>
          </w:tcPr>
          <w:p>
            <w:pPr>
              <w:adjustRightInd w:val="0"/>
              <w:snapToGrid w:val="0"/>
              <w:jc w:val="center"/>
              <w:rPr>
                <w:rFonts w:eastAsiaTheme="minorEastAsia"/>
                <w:szCs w:val="21"/>
              </w:rPr>
            </w:pPr>
            <w:r>
              <w:rPr>
                <w:rFonts w:eastAsiaTheme="minorEastAsia"/>
                <w:kern w:val="0"/>
                <w:szCs w:val="21"/>
              </w:rPr>
              <w:t>二硫化碳</w:t>
            </w:r>
          </w:p>
        </w:tc>
        <w:tc>
          <w:tcPr>
            <w:tcW w:w="1417" w:type="pct"/>
            <w:vAlign w:val="center"/>
          </w:tcPr>
          <w:p>
            <w:pPr>
              <w:adjustRightInd w:val="0"/>
              <w:snapToGrid w:val="0"/>
              <w:jc w:val="center"/>
              <w:rPr>
                <w:rFonts w:eastAsiaTheme="minorEastAsia"/>
                <w:szCs w:val="21"/>
              </w:rPr>
            </w:pPr>
            <w:r>
              <w:rPr>
                <w:rFonts w:eastAsiaTheme="minorEastAsia"/>
                <w:kern w:val="0"/>
                <w:szCs w:val="21"/>
              </w:rPr>
              <w:t>75-15-0</w:t>
            </w:r>
          </w:p>
        </w:tc>
        <w:tc>
          <w:tcPr>
            <w:tcW w:w="1671" w:type="pct"/>
            <w:vAlign w:val="center"/>
          </w:tcPr>
          <w:p>
            <w:pPr>
              <w:adjustRightInd w:val="0"/>
              <w:snapToGrid w:val="0"/>
              <w:jc w:val="center"/>
              <w:rPr>
                <w:rFonts w:eastAsiaTheme="minorEastAsia"/>
                <w:szCs w:val="21"/>
              </w:rPr>
            </w:pPr>
            <w:r>
              <w:rPr>
                <w:rFonts w:eastAsiaTheme="minorEastAsia"/>
                <w:spacing w:val="1"/>
                <w:kern w:val="0"/>
                <w:szCs w:val="21"/>
              </w:rPr>
              <w:t>228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12</w:t>
            </w:r>
          </w:p>
        </w:tc>
        <w:tc>
          <w:tcPr>
            <w:tcW w:w="1453" w:type="pct"/>
            <w:vAlign w:val="center"/>
          </w:tcPr>
          <w:p>
            <w:pPr>
              <w:adjustRightInd w:val="0"/>
              <w:snapToGrid w:val="0"/>
              <w:jc w:val="center"/>
              <w:rPr>
                <w:rFonts w:eastAsiaTheme="minorEastAsia"/>
                <w:szCs w:val="21"/>
              </w:rPr>
            </w:pPr>
            <w:r>
              <w:rPr>
                <w:rFonts w:eastAsiaTheme="minorEastAsia"/>
                <w:kern w:val="0"/>
                <w:szCs w:val="21"/>
              </w:rPr>
              <w:t>溴氯甲烷</w:t>
            </w:r>
          </w:p>
        </w:tc>
        <w:tc>
          <w:tcPr>
            <w:tcW w:w="1417" w:type="pct"/>
            <w:vAlign w:val="center"/>
          </w:tcPr>
          <w:p>
            <w:pPr>
              <w:adjustRightInd w:val="0"/>
              <w:snapToGrid w:val="0"/>
              <w:jc w:val="center"/>
              <w:rPr>
                <w:rFonts w:eastAsiaTheme="minorEastAsia"/>
                <w:szCs w:val="21"/>
              </w:rPr>
            </w:pPr>
            <w:r>
              <w:rPr>
                <w:rFonts w:eastAsiaTheme="minorEastAsia"/>
                <w:kern w:val="0"/>
                <w:szCs w:val="21"/>
              </w:rPr>
              <w:t>74-97-5</w:t>
            </w:r>
          </w:p>
        </w:tc>
        <w:tc>
          <w:tcPr>
            <w:tcW w:w="1671" w:type="pct"/>
            <w:vAlign w:val="center"/>
          </w:tcPr>
          <w:p>
            <w:pPr>
              <w:adjustRightInd w:val="0"/>
              <w:snapToGrid w:val="0"/>
              <w:jc w:val="center"/>
              <w:rPr>
                <w:rFonts w:eastAsiaTheme="minorEastAsia"/>
                <w:szCs w:val="21"/>
              </w:rPr>
            </w:pPr>
            <w:r>
              <w:rPr>
                <w:rFonts w:eastAsiaTheme="minorEastAsia"/>
                <w:spacing w:val="1"/>
                <w:kern w:val="0"/>
                <w:szCs w:val="21"/>
              </w:rPr>
              <w:t>140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13</w:t>
            </w:r>
          </w:p>
        </w:tc>
        <w:tc>
          <w:tcPr>
            <w:tcW w:w="1453" w:type="pct"/>
            <w:vAlign w:val="center"/>
          </w:tcPr>
          <w:p>
            <w:pPr>
              <w:adjustRightInd w:val="0"/>
              <w:snapToGrid w:val="0"/>
              <w:jc w:val="center"/>
              <w:rPr>
                <w:rFonts w:eastAsiaTheme="minorEastAsia"/>
                <w:szCs w:val="21"/>
              </w:rPr>
            </w:pPr>
            <w:r>
              <w:rPr>
                <w:rFonts w:eastAsiaTheme="minorEastAsia"/>
                <w:kern w:val="0"/>
                <w:szCs w:val="21"/>
              </w:rPr>
              <w:t>2-氯甲苯</w:t>
            </w:r>
          </w:p>
        </w:tc>
        <w:tc>
          <w:tcPr>
            <w:tcW w:w="1417" w:type="pct"/>
            <w:vAlign w:val="center"/>
          </w:tcPr>
          <w:p>
            <w:pPr>
              <w:adjustRightInd w:val="0"/>
              <w:snapToGrid w:val="0"/>
              <w:jc w:val="center"/>
              <w:rPr>
                <w:rFonts w:eastAsiaTheme="minorEastAsia"/>
                <w:szCs w:val="21"/>
              </w:rPr>
            </w:pPr>
            <w:r>
              <w:rPr>
                <w:rFonts w:eastAsiaTheme="minorEastAsia"/>
                <w:kern w:val="0"/>
                <w:szCs w:val="21"/>
              </w:rPr>
              <w:t>95-49-8</w:t>
            </w:r>
          </w:p>
        </w:tc>
        <w:tc>
          <w:tcPr>
            <w:tcW w:w="1671" w:type="pct"/>
            <w:vAlign w:val="center"/>
          </w:tcPr>
          <w:p>
            <w:pPr>
              <w:adjustRightInd w:val="0"/>
              <w:snapToGrid w:val="0"/>
              <w:jc w:val="center"/>
              <w:rPr>
                <w:rFonts w:eastAsiaTheme="minorEastAsia"/>
                <w:szCs w:val="21"/>
              </w:rPr>
            </w:pPr>
            <w:r>
              <w:rPr>
                <w:rFonts w:eastAsiaTheme="minorEastAsia"/>
                <w:spacing w:val="1"/>
                <w:kern w:val="0"/>
                <w:szCs w:val="21"/>
              </w:rPr>
              <w:t>910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14</w:t>
            </w:r>
          </w:p>
        </w:tc>
        <w:tc>
          <w:tcPr>
            <w:tcW w:w="1453" w:type="pct"/>
            <w:vAlign w:val="center"/>
          </w:tcPr>
          <w:p>
            <w:pPr>
              <w:adjustRightInd w:val="0"/>
              <w:snapToGrid w:val="0"/>
              <w:jc w:val="center"/>
              <w:rPr>
                <w:rFonts w:eastAsiaTheme="minorEastAsia"/>
                <w:szCs w:val="21"/>
              </w:rPr>
            </w:pPr>
            <w:r>
              <w:rPr>
                <w:rFonts w:eastAsiaTheme="minorEastAsia"/>
                <w:szCs w:val="21"/>
              </w:rPr>
              <w:t>4-氯甲苯</w:t>
            </w:r>
          </w:p>
        </w:tc>
        <w:tc>
          <w:tcPr>
            <w:tcW w:w="1417" w:type="pct"/>
            <w:vAlign w:val="center"/>
          </w:tcPr>
          <w:p>
            <w:pPr>
              <w:adjustRightInd w:val="0"/>
              <w:snapToGrid w:val="0"/>
              <w:jc w:val="center"/>
              <w:rPr>
                <w:rFonts w:eastAsiaTheme="minorEastAsia"/>
                <w:szCs w:val="21"/>
              </w:rPr>
            </w:pPr>
            <w:r>
              <w:rPr>
                <w:rFonts w:eastAsiaTheme="minorEastAsia"/>
                <w:spacing w:val="-1"/>
                <w:szCs w:val="21"/>
              </w:rPr>
              <w:t>106-43-4</w:t>
            </w:r>
          </w:p>
        </w:tc>
        <w:tc>
          <w:tcPr>
            <w:tcW w:w="1671" w:type="pct"/>
            <w:vAlign w:val="center"/>
          </w:tcPr>
          <w:p>
            <w:pPr>
              <w:adjustRightInd w:val="0"/>
              <w:snapToGrid w:val="0"/>
              <w:jc w:val="center"/>
              <w:rPr>
                <w:rFonts w:eastAsiaTheme="minorEastAsia"/>
                <w:szCs w:val="21"/>
              </w:rPr>
            </w:pPr>
            <w:r>
              <w:rPr>
                <w:rFonts w:eastAsiaTheme="minorEastAsia"/>
                <w:spacing w:val="1"/>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15</w:t>
            </w:r>
          </w:p>
        </w:tc>
        <w:tc>
          <w:tcPr>
            <w:tcW w:w="1453" w:type="pct"/>
            <w:vAlign w:val="center"/>
          </w:tcPr>
          <w:p>
            <w:pPr>
              <w:adjustRightInd w:val="0"/>
              <w:snapToGrid w:val="0"/>
              <w:jc w:val="center"/>
              <w:rPr>
                <w:rFonts w:eastAsiaTheme="minorEastAsia"/>
                <w:szCs w:val="21"/>
              </w:rPr>
            </w:pPr>
            <w:r>
              <w:rPr>
                <w:rFonts w:eastAsiaTheme="minorEastAsia"/>
                <w:szCs w:val="21"/>
              </w:rPr>
              <w:t>1,2,4-三氯苯</w:t>
            </w:r>
          </w:p>
        </w:tc>
        <w:tc>
          <w:tcPr>
            <w:tcW w:w="1417" w:type="pct"/>
            <w:vAlign w:val="center"/>
          </w:tcPr>
          <w:p>
            <w:pPr>
              <w:adjustRightInd w:val="0"/>
              <w:snapToGrid w:val="0"/>
              <w:jc w:val="center"/>
              <w:rPr>
                <w:rFonts w:eastAsiaTheme="minorEastAsia"/>
                <w:szCs w:val="21"/>
              </w:rPr>
            </w:pPr>
            <w:r>
              <w:rPr>
                <w:rFonts w:eastAsiaTheme="minorEastAsia"/>
                <w:spacing w:val="-1"/>
                <w:szCs w:val="21"/>
              </w:rPr>
              <w:t>120-82-1</w:t>
            </w:r>
          </w:p>
        </w:tc>
        <w:tc>
          <w:tcPr>
            <w:tcW w:w="1671" w:type="pct"/>
            <w:vAlign w:val="center"/>
          </w:tcPr>
          <w:p>
            <w:pPr>
              <w:adjustRightInd w:val="0"/>
              <w:snapToGrid w:val="0"/>
              <w:jc w:val="center"/>
              <w:rPr>
                <w:rFonts w:eastAsiaTheme="minorEastAsia"/>
                <w:szCs w:val="21"/>
              </w:rPr>
            </w:pPr>
            <w:r>
              <w:rPr>
                <w:rFonts w:eastAsiaTheme="minorEastAsia"/>
                <w:spacing w:val="1"/>
                <w:szCs w:val="21"/>
              </w:rPr>
              <w:t>101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16</w:t>
            </w:r>
          </w:p>
        </w:tc>
        <w:tc>
          <w:tcPr>
            <w:tcW w:w="1453" w:type="pct"/>
            <w:vAlign w:val="center"/>
          </w:tcPr>
          <w:p>
            <w:pPr>
              <w:adjustRightInd w:val="0"/>
              <w:snapToGrid w:val="0"/>
              <w:jc w:val="center"/>
              <w:rPr>
                <w:rFonts w:eastAsiaTheme="minorEastAsia"/>
                <w:szCs w:val="21"/>
              </w:rPr>
            </w:pPr>
            <w:r>
              <w:rPr>
                <w:rFonts w:eastAsiaTheme="minorEastAsia"/>
                <w:szCs w:val="21"/>
              </w:rPr>
              <w:t>1,2,3-三氯苯</w:t>
            </w:r>
          </w:p>
        </w:tc>
        <w:tc>
          <w:tcPr>
            <w:tcW w:w="1417" w:type="pct"/>
            <w:vAlign w:val="center"/>
          </w:tcPr>
          <w:p>
            <w:pPr>
              <w:adjustRightInd w:val="0"/>
              <w:snapToGrid w:val="0"/>
              <w:jc w:val="center"/>
              <w:rPr>
                <w:rFonts w:eastAsiaTheme="minorEastAsia"/>
                <w:szCs w:val="21"/>
              </w:rPr>
            </w:pPr>
            <w:r>
              <w:rPr>
                <w:rFonts w:eastAsiaTheme="minorEastAsia"/>
                <w:szCs w:val="21"/>
              </w:rPr>
              <w:t>87-61-6</w:t>
            </w:r>
          </w:p>
        </w:tc>
        <w:tc>
          <w:tcPr>
            <w:tcW w:w="1671" w:type="pct"/>
            <w:vAlign w:val="center"/>
          </w:tcPr>
          <w:p>
            <w:pPr>
              <w:adjustRightInd w:val="0"/>
              <w:snapToGrid w:val="0"/>
              <w:jc w:val="center"/>
              <w:rPr>
                <w:rFonts w:eastAsiaTheme="minorEastAsia"/>
                <w:szCs w:val="21"/>
              </w:rPr>
            </w:pPr>
            <w:r>
              <w:rPr>
                <w:rFonts w:eastAsiaTheme="minorEastAsia"/>
                <w:spacing w:val="1"/>
                <w:szCs w:val="21"/>
              </w:rPr>
              <w:t>387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17</w:t>
            </w:r>
          </w:p>
        </w:tc>
        <w:tc>
          <w:tcPr>
            <w:tcW w:w="1453" w:type="pct"/>
            <w:vAlign w:val="center"/>
          </w:tcPr>
          <w:p>
            <w:pPr>
              <w:adjustRightInd w:val="0"/>
              <w:snapToGrid w:val="0"/>
              <w:jc w:val="center"/>
              <w:rPr>
                <w:rFonts w:eastAsiaTheme="minorEastAsia"/>
                <w:szCs w:val="21"/>
              </w:rPr>
            </w:pPr>
            <w:r>
              <w:rPr>
                <w:rFonts w:eastAsiaTheme="minorEastAsia"/>
                <w:szCs w:val="21"/>
              </w:rPr>
              <w:t>1,3-二氯丙烷</w:t>
            </w:r>
          </w:p>
        </w:tc>
        <w:tc>
          <w:tcPr>
            <w:tcW w:w="1417" w:type="pct"/>
            <w:vAlign w:val="center"/>
          </w:tcPr>
          <w:p>
            <w:pPr>
              <w:adjustRightInd w:val="0"/>
              <w:snapToGrid w:val="0"/>
              <w:jc w:val="center"/>
              <w:rPr>
                <w:rFonts w:eastAsiaTheme="minorEastAsia"/>
                <w:szCs w:val="21"/>
              </w:rPr>
            </w:pPr>
            <w:r>
              <w:rPr>
                <w:rFonts w:eastAsiaTheme="minorEastAsia"/>
                <w:spacing w:val="-1"/>
                <w:szCs w:val="21"/>
              </w:rPr>
              <w:t>142-28-9</w:t>
            </w:r>
          </w:p>
        </w:tc>
        <w:tc>
          <w:tcPr>
            <w:tcW w:w="1671" w:type="pct"/>
            <w:vAlign w:val="center"/>
          </w:tcPr>
          <w:p>
            <w:pPr>
              <w:adjustRightInd w:val="0"/>
              <w:snapToGrid w:val="0"/>
              <w:jc w:val="center"/>
              <w:rPr>
                <w:rFonts w:eastAsiaTheme="minorEastAsia"/>
                <w:szCs w:val="21"/>
              </w:rPr>
            </w:pPr>
            <w:r>
              <w:rPr>
                <w:rFonts w:eastAsiaTheme="minorEastAsia"/>
                <w:spacing w:val="1"/>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18</w:t>
            </w:r>
          </w:p>
        </w:tc>
        <w:tc>
          <w:tcPr>
            <w:tcW w:w="1453" w:type="pct"/>
            <w:vAlign w:val="center"/>
          </w:tcPr>
          <w:p>
            <w:pPr>
              <w:adjustRightInd w:val="0"/>
              <w:snapToGrid w:val="0"/>
              <w:jc w:val="center"/>
              <w:rPr>
                <w:rFonts w:eastAsiaTheme="minorEastAsia"/>
                <w:szCs w:val="21"/>
              </w:rPr>
            </w:pPr>
            <w:r>
              <w:rPr>
                <w:rFonts w:eastAsiaTheme="minorEastAsia"/>
                <w:szCs w:val="21"/>
              </w:rPr>
              <w:t>1,1,2-三氯丙烷</w:t>
            </w:r>
          </w:p>
        </w:tc>
        <w:tc>
          <w:tcPr>
            <w:tcW w:w="1417" w:type="pct"/>
            <w:vAlign w:val="center"/>
          </w:tcPr>
          <w:p>
            <w:pPr>
              <w:adjustRightInd w:val="0"/>
              <w:snapToGrid w:val="0"/>
              <w:jc w:val="center"/>
              <w:rPr>
                <w:rFonts w:eastAsiaTheme="minorEastAsia"/>
                <w:szCs w:val="21"/>
              </w:rPr>
            </w:pPr>
            <w:r>
              <w:rPr>
                <w:rFonts w:eastAsiaTheme="minorEastAsia"/>
                <w:spacing w:val="-1"/>
                <w:szCs w:val="21"/>
              </w:rPr>
              <w:t>598-77-6</w:t>
            </w:r>
          </w:p>
        </w:tc>
        <w:tc>
          <w:tcPr>
            <w:tcW w:w="1671" w:type="pct"/>
            <w:vAlign w:val="center"/>
          </w:tcPr>
          <w:p>
            <w:pPr>
              <w:adjustRightInd w:val="0"/>
              <w:snapToGrid w:val="0"/>
              <w:jc w:val="center"/>
              <w:rPr>
                <w:rFonts w:eastAsiaTheme="minorEastAsia"/>
                <w:szCs w:val="21"/>
              </w:rPr>
            </w:pPr>
            <w:r>
              <w:rPr>
                <w:rFonts w:eastAsiaTheme="minorEastAsia"/>
                <w:szCs w:val="21"/>
              </w:rPr>
              <w:t>1</w:t>
            </w:r>
            <w:r>
              <w:rPr>
                <w:rFonts w:eastAsiaTheme="minorEastAsia"/>
                <w:spacing w:val="2"/>
                <w:szCs w:val="21"/>
              </w:rPr>
              <w:t xml:space="preserve"> </w:t>
            </w:r>
            <w:r>
              <w:rPr>
                <w:rFonts w:eastAsiaTheme="minorEastAsia"/>
                <w:spacing w:val="-1"/>
                <w:szCs w:val="21"/>
              </w:rPr>
              <w:t>596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19</w:t>
            </w:r>
          </w:p>
        </w:tc>
        <w:tc>
          <w:tcPr>
            <w:tcW w:w="1453" w:type="pct"/>
            <w:vAlign w:val="center"/>
          </w:tcPr>
          <w:p>
            <w:pPr>
              <w:adjustRightInd w:val="0"/>
              <w:snapToGrid w:val="0"/>
              <w:jc w:val="center"/>
              <w:rPr>
                <w:rFonts w:eastAsiaTheme="minorEastAsia"/>
                <w:szCs w:val="21"/>
              </w:rPr>
            </w:pPr>
            <w:r>
              <w:rPr>
                <w:rFonts w:eastAsiaTheme="minorEastAsia"/>
                <w:szCs w:val="21"/>
              </w:rPr>
              <w:t>溴甲烷</w:t>
            </w:r>
          </w:p>
        </w:tc>
        <w:tc>
          <w:tcPr>
            <w:tcW w:w="1417" w:type="pct"/>
            <w:vAlign w:val="center"/>
          </w:tcPr>
          <w:p>
            <w:pPr>
              <w:adjustRightInd w:val="0"/>
              <w:snapToGrid w:val="0"/>
              <w:jc w:val="center"/>
              <w:rPr>
                <w:rFonts w:eastAsiaTheme="minorEastAsia"/>
                <w:szCs w:val="21"/>
              </w:rPr>
            </w:pPr>
            <w:r>
              <w:rPr>
                <w:rFonts w:eastAsiaTheme="minorEastAsia"/>
                <w:szCs w:val="21"/>
              </w:rPr>
              <w:t>74-83-9</w:t>
            </w:r>
          </w:p>
        </w:tc>
        <w:tc>
          <w:tcPr>
            <w:tcW w:w="1671" w:type="pct"/>
            <w:vAlign w:val="center"/>
          </w:tcPr>
          <w:p>
            <w:pPr>
              <w:adjustRightInd w:val="0"/>
              <w:snapToGrid w:val="0"/>
              <w:jc w:val="center"/>
              <w:rPr>
                <w:rFonts w:eastAsiaTheme="minorEastAsia"/>
                <w:szCs w:val="21"/>
              </w:rPr>
            </w:pPr>
            <w:r>
              <w:rPr>
                <w:rFonts w:eastAsiaTheme="minorEastAsia"/>
                <w:spacing w:val="1"/>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20</w:t>
            </w:r>
          </w:p>
        </w:tc>
        <w:tc>
          <w:tcPr>
            <w:tcW w:w="1453" w:type="pct"/>
            <w:vAlign w:val="center"/>
          </w:tcPr>
          <w:p>
            <w:pPr>
              <w:adjustRightInd w:val="0"/>
              <w:snapToGrid w:val="0"/>
              <w:jc w:val="center"/>
              <w:rPr>
                <w:rFonts w:eastAsiaTheme="minorEastAsia"/>
                <w:szCs w:val="21"/>
              </w:rPr>
            </w:pPr>
            <w:r>
              <w:rPr>
                <w:rFonts w:eastAsiaTheme="minorEastAsia"/>
                <w:szCs w:val="21"/>
              </w:rPr>
              <w:t>氯乙烷</w:t>
            </w:r>
          </w:p>
        </w:tc>
        <w:tc>
          <w:tcPr>
            <w:tcW w:w="1417" w:type="pct"/>
            <w:vAlign w:val="center"/>
          </w:tcPr>
          <w:p>
            <w:pPr>
              <w:adjustRightInd w:val="0"/>
              <w:snapToGrid w:val="0"/>
              <w:jc w:val="center"/>
              <w:rPr>
                <w:rFonts w:eastAsiaTheme="minorEastAsia"/>
                <w:szCs w:val="21"/>
              </w:rPr>
            </w:pPr>
            <w:r>
              <w:rPr>
                <w:rFonts w:eastAsiaTheme="minorEastAsia"/>
                <w:szCs w:val="21"/>
              </w:rPr>
              <w:t>75-00-3</w:t>
            </w:r>
          </w:p>
        </w:tc>
        <w:tc>
          <w:tcPr>
            <w:tcW w:w="1671" w:type="pct"/>
            <w:vAlign w:val="center"/>
          </w:tcPr>
          <w:p>
            <w:pPr>
              <w:adjustRightInd w:val="0"/>
              <w:snapToGrid w:val="0"/>
              <w:jc w:val="center"/>
              <w:rPr>
                <w:rFonts w:eastAsiaTheme="minorEastAsia"/>
                <w:szCs w:val="21"/>
              </w:rPr>
            </w:pPr>
            <w:r>
              <w:rPr>
                <w:rFonts w:eastAsiaTheme="minorEastAsia"/>
                <w:szCs w:val="21"/>
              </w:rPr>
              <w:t>4</w:t>
            </w:r>
            <w:r>
              <w:rPr>
                <w:rFonts w:eastAsiaTheme="minorEastAsia"/>
                <w:spacing w:val="2"/>
                <w:szCs w:val="21"/>
              </w:rPr>
              <w:t xml:space="preserve"> </w:t>
            </w:r>
            <w:r>
              <w:rPr>
                <w:rFonts w:eastAsiaTheme="minorEastAsia"/>
                <w:spacing w:val="-1"/>
                <w:szCs w:val="21"/>
              </w:rPr>
              <w:t>165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21</w:t>
            </w:r>
          </w:p>
        </w:tc>
        <w:tc>
          <w:tcPr>
            <w:tcW w:w="1453" w:type="pct"/>
            <w:vAlign w:val="center"/>
          </w:tcPr>
          <w:p>
            <w:pPr>
              <w:adjustRightInd w:val="0"/>
              <w:snapToGrid w:val="0"/>
              <w:jc w:val="center"/>
              <w:rPr>
                <w:rFonts w:eastAsiaTheme="minorEastAsia"/>
                <w:szCs w:val="21"/>
              </w:rPr>
            </w:pPr>
            <w:r>
              <w:rPr>
                <w:rFonts w:eastAsiaTheme="minorEastAsia"/>
                <w:szCs w:val="21"/>
              </w:rPr>
              <w:t>三氯氟甲烷</w:t>
            </w:r>
          </w:p>
        </w:tc>
        <w:tc>
          <w:tcPr>
            <w:tcW w:w="1417" w:type="pct"/>
            <w:vAlign w:val="center"/>
          </w:tcPr>
          <w:p>
            <w:pPr>
              <w:adjustRightInd w:val="0"/>
              <w:snapToGrid w:val="0"/>
              <w:jc w:val="center"/>
              <w:rPr>
                <w:rFonts w:eastAsiaTheme="minorEastAsia"/>
                <w:szCs w:val="21"/>
              </w:rPr>
            </w:pPr>
            <w:r>
              <w:rPr>
                <w:rFonts w:eastAsiaTheme="minorEastAsia"/>
                <w:szCs w:val="21"/>
              </w:rPr>
              <w:t>75-69-4</w:t>
            </w:r>
          </w:p>
        </w:tc>
        <w:tc>
          <w:tcPr>
            <w:tcW w:w="1671" w:type="pct"/>
            <w:vAlign w:val="center"/>
          </w:tcPr>
          <w:p>
            <w:pPr>
              <w:adjustRightInd w:val="0"/>
              <w:snapToGrid w:val="0"/>
              <w:jc w:val="center"/>
              <w:rPr>
                <w:rFonts w:eastAsiaTheme="minorEastAsia"/>
                <w:szCs w:val="21"/>
              </w:rPr>
            </w:pPr>
            <w:r>
              <w:rPr>
                <w:rFonts w:eastAsiaTheme="minorEastAsia"/>
                <w:szCs w:val="21"/>
              </w:rPr>
              <w:t>1</w:t>
            </w:r>
            <w:r>
              <w:rPr>
                <w:rFonts w:eastAsiaTheme="minorEastAsia"/>
                <w:spacing w:val="2"/>
                <w:szCs w:val="21"/>
              </w:rPr>
              <w:t xml:space="preserve"> </w:t>
            </w:r>
            <w:r>
              <w:rPr>
                <w:rFonts w:eastAsiaTheme="minorEastAsia"/>
                <w:spacing w:val="-1"/>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22</w:t>
            </w:r>
          </w:p>
        </w:tc>
        <w:tc>
          <w:tcPr>
            <w:tcW w:w="1453" w:type="pct"/>
            <w:vAlign w:val="center"/>
          </w:tcPr>
          <w:p>
            <w:pPr>
              <w:adjustRightInd w:val="0"/>
              <w:snapToGrid w:val="0"/>
              <w:jc w:val="center"/>
              <w:rPr>
                <w:rFonts w:eastAsiaTheme="minorEastAsia"/>
                <w:szCs w:val="21"/>
              </w:rPr>
            </w:pPr>
            <w:r>
              <w:rPr>
                <w:rFonts w:eastAsiaTheme="minorEastAsia"/>
                <w:szCs w:val="21"/>
              </w:rPr>
              <w:t>二溴甲烷</w:t>
            </w:r>
          </w:p>
        </w:tc>
        <w:tc>
          <w:tcPr>
            <w:tcW w:w="1417" w:type="pct"/>
            <w:vAlign w:val="center"/>
          </w:tcPr>
          <w:p>
            <w:pPr>
              <w:adjustRightInd w:val="0"/>
              <w:snapToGrid w:val="0"/>
              <w:jc w:val="center"/>
              <w:rPr>
                <w:rFonts w:eastAsiaTheme="minorEastAsia"/>
                <w:szCs w:val="21"/>
              </w:rPr>
            </w:pPr>
            <w:r>
              <w:rPr>
                <w:rFonts w:eastAsiaTheme="minorEastAsia"/>
                <w:szCs w:val="21"/>
              </w:rPr>
              <w:t>74-95-3</w:t>
            </w:r>
          </w:p>
        </w:tc>
        <w:tc>
          <w:tcPr>
            <w:tcW w:w="1671" w:type="pct"/>
            <w:vAlign w:val="center"/>
          </w:tcPr>
          <w:p>
            <w:pPr>
              <w:adjustRightInd w:val="0"/>
              <w:snapToGrid w:val="0"/>
              <w:jc w:val="center"/>
              <w:rPr>
                <w:rFonts w:eastAsiaTheme="minorEastAsia"/>
                <w:szCs w:val="21"/>
              </w:rPr>
            </w:pPr>
            <w:r>
              <w:rPr>
                <w:rFonts w:eastAsiaTheme="minorEastAsia"/>
                <w:spacing w:val="1"/>
                <w:szCs w:val="21"/>
              </w:rPr>
              <w:t>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23</w:t>
            </w:r>
          </w:p>
        </w:tc>
        <w:tc>
          <w:tcPr>
            <w:tcW w:w="1453" w:type="pct"/>
            <w:vAlign w:val="center"/>
          </w:tcPr>
          <w:p>
            <w:pPr>
              <w:adjustRightInd w:val="0"/>
              <w:snapToGrid w:val="0"/>
              <w:jc w:val="center"/>
              <w:rPr>
                <w:rFonts w:eastAsiaTheme="minorEastAsia"/>
                <w:szCs w:val="21"/>
              </w:rPr>
            </w:pPr>
            <w:r>
              <w:rPr>
                <w:rFonts w:eastAsiaTheme="minorEastAsia"/>
                <w:szCs w:val="21"/>
              </w:rPr>
              <w:t>1,2-二溴-3-氯丙烷</w:t>
            </w:r>
          </w:p>
        </w:tc>
        <w:tc>
          <w:tcPr>
            <w:tcW w:w="1417" w:type="pct"/>
            <w:vAlign w:val="center"/>
          </w:tcPr>
          <w:p>
            <w:pPr>
              <w:adjustRightInd w:val="0"/>
              <w:snapToGrid w:val="0"/>
              <w:jc w:val="center"/>
              <w:rPr>
                <w:rFonts w:eastAsiaTheme="minorEastAsia"/>
                <w:szCs w:val="21"/>
              </w:rPr>
            </w:pPr>
            <w:r>
              <w:rPr>
                <w:rFonts w:eastAsiaTheme="minorEastAsia"/>
                <w:szCs w:val="21"/>
              </w:rPr>
              <w:t>96-12-8</w:t>
            </w:r>
          </w:p>
        </w:tc>
        <w:tc>
          <w:tcPr>
            <w:tcW w:w="1671" w:type="pct"/>
            <w:vAlign w:val="center"/>
          </w:tcPr>
          <w:p>
            <w:pPr>
              <w:adjustRightInd w:val="0"/>
              <w:snapToGrid w:val="0"/>
              <w:jc w:val="center"/>
              <w:rPr>
                <w:rFonts w:eastAsiaTheme="minorEastAsia"/>
                <w:szCs w:val="21"/>
              </w:rPr>
            </w:pPr>
            <w:r>
              <w:rPr>
                <w:rFonts w:eastAsiaTheme="minorEastAsia"/>
                <w:szCs w:val="21"/>
              </w:rPr>
              <w:t>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24</w:t>
            </w:r>
          </w:p>
        </w:tc>
        <w:tc>
          <w:tcPr>
            <w:tcW w:w="1453" w:type="pct"/>
            <w:vAlign w:val="center"/>
          </w:tcPr>
          <w:p>
            <w:pPr>
              <w:adjustRightInd w:val="0"/>
              <w:snapToGrid w:val="0"/>
              <w:jc w:val="center"/>
              <w:rPr>
                <w:rFonts w:eastAsiaTheme="minorEastAsia"/>
                <w:szCs w:val="21"/>
              </w:rPr>
            </w:pPr>
            <w:r>
              <w:rPr>
                <w:rFonts w:eastAsiaTheme="minorEastAsia"/>
                <w:szCs w:val="21"/>
              </w:rPr>
              <w:t>二氯二氟甲烷</w:t>
            </w:r>
          </w:p>
        </w:tc>
        <w:tc>
          <w:tcPr>
            <w:tcW w:w="1417" w:type="pct"/>
            <w:vAlign w:val="center"/>
          </w:tcPr>
          <w:p>
            <w:pPr>
              <w:adjustRightInd w:val="0"/>
              <w:snapToGrid w:val="0"/>
              <w:jc w:val="center"/>
              <w:rPr>
                <w:rFonts w:eastAsiaTheme="minorEastAsia"/>
                <w:szCs w:val="21"/>
              </w:rPr>
            </w:pPr>
            <w:r>
              <w:rPr>
                <w:rFonts w:eastAsiaTheme="minorEastAsia"/>
                <w:szCs w:val="21"/>
              </w:rPr>
              <w:t>75-71-8</w:t>
            </w:r>
          </w:p>
        </w:tc>
        <w:tc>
          <w:tcPr>
            <w:tcW w:w="1671" w:type="pct"/>
            <w:vAlign w:val="center"/>
          </w:tcPr>
          <w:p>
            <w:pPr>
              <w:adjustRightInd w:val="0"/>
              <w:snapToGrid w:val="0"/>
              <w:jc w:val="center"/>
              <w:rPr>
                <w:rFonts w:eastAsiaTheme="minorEastAsia"/>
                <w:szCs w:val="21"/>
              </w:rPr>
            </w:pPr>
            <w:r>
              <w:rPr>
                <w:rFonts w:eastAsiaTheme="minorEastAsia"/>
                <w:spacing w:val="1"/>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25</w:t>
            </w:r>
          </w:p>
        </w:tc>
        <w:tc>
          <w:tcPr>
            <w:tcW w:w="1453" w:type="pct"/>
            <w:vAlign w:val="center"/>
          </w:tcPr>
          <w:p>
            <w:pPr>
              <w:adjustRightInd w:val="0"/>
              <w:snapToGrid w:val="0"/>
              <w:jc w:val="center"/>
              <w:rPr>
                <w:rFonts w:eastAsiaTheme="minorEastAsia"/>
                <w:szCs w:val="21"/>
              </w:rPr>
            </w:pPr>
            <w:r>
              <w:rPr>
                <w:rFonts w:eastAsiaTheme="minorEastAsia"/>
                <w:szCs w:val="21"/>
              </w:rPr>
              <w:t>丙烯腈</w:t>
            </w:r>
          </w:p>
        </w:tc>
        <w:tc>
          <w:tcPr>
            <w:tcW w:w="1417" w:type="pct"/>
            <w:vAlign w:val="center"/>
          </w:tcPr>
          <w:p>
            <w:pPr>
              <w:adjustRightInd w:val="0"/>
              <w:snapToGrid w:val="0"/>
              <w:jc w:val="center"/>
              <w:rPr>
                <w:rFonts w:eastAsiaTheme="minorEastAsia"/>
                <w:szCs w:val="21"/>
              </w:rPr>
            </w:pPr>
            <w:r>
              <w:rPr>
                <w:rFonts w:eastAsiaTheme="minorEastAsia"/>
                <w:spacing w:val="-1"/>
                <w:szCs w:val="21"/>
              </w:rPr>
              <w:t>107-13-1</w:t>
            </w:r>
          </w:p>
        </w:tc>
        <w:tc>
          <w:tcPr>
            <w:tcW w:w="1671" w:type="pct"/>
            <w:vAlign w:val="center"/>
          </w:tcPr>
          <w:p>
            <w:pPr>
              <w:adjustRightInd w:val="0"/>
              <w:snapToGrid w:val="0"/>
              <w:jc w:val="center"/>
              <w:rPr>
                <w:rFonts w:eastAsiaTheme="minorEastAsia"/>
                <w:szCs w:val="21"/>
              </w:rPr>
            </w:pPr>
            <w:r>
              <w:rPr>
                <w:rFonts w:eastAsiaTheme="minorEastAsia"/>
                <w:spacing w:val="1"/>
                <w:szCs w:val="21"/>
              </w:rPr>
              <w:t>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26</w:t>
            </w:r>
          </w:p>
        </w:tc>
        <w:tc>
          <w:tcPr>
            <w:tcW w:w="1453" w:type="pct"/>
            <w:vAlign w:val="center"/>
          </w:tcPr>
          <w:p>
            <w:pPr>
              <w:adjustRightInd w:val="0"/>
              <w:snapToGrid w:val="0"/>
              <w:jc w:val="center"/>
              <w:rPr>
                <w:rFonts w:eastAsiaTheme="minorEastAsia"/>
                <w:szCs w:val="21"/>
              </w:rPr>
            </w:pPr>
            <w:r>
              <w:rPr>
                <w:rFonts w:eastAsiaTheme="minorEastAsia"/>
                <w:szCs w:val="21"/>
              </w:rPr>
              <w:t>溴苯</w:t>
            </w:r>
          </w:p>
        </w:tc>
        <w:tc>
          <w:tcPr>
            <w:tcW w:w="1417" w:type="pct"/>
            <w:vAlign w:val="center"/>
          </w:tcPr>
          <w:p>
            <w:pPr>
              <w:adjustRightInd w:val="0"/>
              <w:snapToGrid w:val="0"/>
              <w:jc w:val="center"/>
              <w:rPr>
                <w:rFonts w:eastAsiaTheme="minorEastAsia"/>
                <w:szCs w:val="21"/>
              </w:rPr>
            </w:pPr>
            <w:r>
              <w:rPr>
                <w:rFonts w:eastAsiaTheme="minorEastAsia"/>
                <w:spacing w:val="-1"/>
                <w:szCs w:val="21"/>
              </w:rPr>
              <w:t>108-86-1</w:t>
            </w:r>
          </w:p>
        </w:tc>
        <w:tc>
          <w:tcPr>
            <w:tcW w:w="1671" w:type="pct"/>
            <w:vAlign w:val="center"/>
          </w:tcPr>
          <w:p>
            <w:pPr>
              <w:adjustRightInd w:val="0"/>
              <w:snapToGrid w:val="0"/>
              <w:jc w:val="center"/>
              <w:rPr>
                <w:rFonts w:eastAsiaTheme="minorEastAsia"/>
                <w:szCs w:val="21"/>
              </w:rPr>
            </w:pPr>
            <w:r>
              <w:rPr>
                <w:rFonts w:eastAsiaTheme="minorEastAsia"/>
                <w:spacing w:val="1"/>
                <w:szCs w:val="21"/>
              </w:rPr>
              <w:t>683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27</w:t>
            </w:r>
          </w:p>
        </w:tc>
        <w:tc>
          <w:tcPr>
            <w:tcW w:w="1453" w:type="pct"/>
            <w:vAlign w:val="center"/>
          </w:tcPr>
          <w:p>
            <w:pPr>
              <w:adjustRightInd w:val="0"/>
              <w:snapToGrid w:val="0"/>
              <w:jc w:val="center"/>
              <w:rPr>
                <w:rFonts w:eastAsiaTheme="minorEastAsia"/>
                <w:szCs w:val="21"/>
              </w:rPr>
            </w:pPr>
            <w:r>
              <w:rPr>
                <w:rFonts w:eastAsiaTheme="minorEastAsia"/>
                <w:szCs w:val="21"/>
              </w:rPr>
              <w:t>异丙基苯</w:t>
            </w:r>
          </w:p>
        </w:tc>
        <w:tc>
          <w:tcPr>
            <w:tcW w:w="1417" w:type="pct"/>
            <w:vAlign w:val="center"/>
          </w:tcPr>
          <w:p>
            <w:pPr>
              <w:adjustRightInd w:val="0"/>
              <w:snapToGrid w:val="0"/>
              <w:jc w:val="center"/>
              <w:rPr>
                <w:rFonts w:eastAsiaTheme="minorEastAsia"/>
                <w:szCs w:val="21"/>
              </w:rPr>
            </w:pPr>
            <w:r>
              <w:rPr>
                <w:rFonts w:eastAsiaTheme="minorEastAsia"/>
                <w:szCs w:val="21"/>
              </w:rPr>
              <w:t>98-82-8</w:t>
            </w:r>
          </w:p>
        </w:tc>
        <w:tc>
          <w:tcPr>
            <w:tcW w:w="1671" w:type="pct"/>
            <w:vAlign w:val="center"/>
          </w:tcPr>
          <w:p>
            <w:pPr>
              <w:adjustRightInd w:val="0"/>
              <w:snapToGrid w:val="0"/>
              <w:jc w:val="center"/>
              <w:rPr>
                <w:rFonts w:eastAsiaTheme="minorEastAsia"/>
                <w:szCs w:val="21"/>
              </w:rPr>
            </w:pPr>
            <w:r>
              <w:rPr>
                <w:rFonts w:eastAsiaTheme="minorEastAsia"/>
                <w:spacing w:val="1"/>
                <w:szCs w:val="21"/>
              </w:rPr>
              <w:t>270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28</w:t>
            </w:r>
          </w:p>
        </w:tc>
        <w:tc>
          <w:tcPr>
            <w:tcW w:w="1453" w:type="pct"/>
            <w:vAlign w:val="center"/>
          </w:tcPr>
          <w:p>
            <w:pPr>
              <w:adjustRightInd w:val="0"/>
              <w:snapToGrid w:val="0"/>
              <w:jc w:val="center"/>
              <w:rPr>
                <w:rFonts w:eastAsiaTheme="minorEastAsia"/>
                <w:szCs w:val="21"/>
              </w:rPr>
            </w:pPr>
            <w:r>
              <w:rPr>
                <w:rFonts w:eastAsiaTheme="minorEastAsia"/>
                <w:szCs w:val="21"/>
              </w:rPr>
              <w:t>正丙苯</w:t>
            </w:r>
          </w:p>
        </w:tc>
        <w:tc>
          <w:tcPr>
            <w:tcW w:w="1417" w:type="pct"/>
            <w:vAlign w:val="center"/>
          </w:tcPr>
          <w:p>
            <w:pPr>
              <w:adjustRightInd w:val="0"/>
              <w:snapToGrid w:val="0"/>
              <w:jc w:val="center"/>
              <w:rPr>
                <w:rFonts w:eastAsiaTheme="minorEastAsia"/>
                <w:szCs w:val="21"/>
              </w:rPr>
            </w:pPr>
            <w:r>
              <w:rPr>
                <w:rFonts w:eastAsiaTheme="minorEastAsia"/>
                <w:spacing w:val="-1"/>
                <w:szCs w:val="21"/>
              </w:rPr>
              <w:t>103-65-1</w:t>
            </w:r>
          </w:p>
        </w:tc>
        <w:tc>
          <w:tcPr>
            <w:tcW w:w="1671" w:type="pct"/>
            <w:vAlign w:val="center"/>
          </w:tcPr>
          <w:p>
            <w:pPr>
              <w:adjustRightInd w:val="0"/>
              <w:snapToGrid w:val="0"/>
              <w:jc w:val="center"/>
              <w:rPr>
                <w:rFonts w:eastAsiaTheme="minorEastAsia"/>
                <w:szCs w:val="21"/>
              </w:rPr>
            </w:pPr>
            <w:r>
              <w:rPr>
                <w:rFonts w:eastAsiaTheme="minorEastAsia"/>
                <w:spacing w:val="1"/>
                <w:szCs w:val="21"/>
              </w:rPr>
              <w:t>260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29</w:t>
            </w:r>
          </w:p>
        </w:tc>
        <w:tc>
          <w:tcPr>
            <w:tcW w:w="1453" w:type="pct"/>
            <w:vAlign w:val="center"/>
          </w:tcPr>
          <w:p>
            <w:pPr>
              <w:adjustRightInd w:val="0"/>
              <w:snapToGrid w:val="0"/>
              <w:jc w:val="center"/>
              <w:rPr>
                <w:rFonts w:eastAsiaTheme="minorEastAsia"/>
                <w:szCs w:val="21"/>
              </w:rPr>
            </w:pPr>
            <w:r>
              <w:rPr>
                <w:rFonts w:eastAsiaTheme="minorEastAsia"/>
                <w:szCs w:val="21"/>
              </w:rPr>
              <w:t>叔丁基苯</w:t>
            </w:r>
          </w:p>
        </w:tc>
        <w:tc>
          <w:tcPr>
            <w:tcW w:w="1417" w:type="pct"/>
            <w:vAlign w:val="center"/>
          </w:tcPr>
          <w:p>
            <w:pPr>
              <w:adjustRightInd w:val="0"/>
              <w:snapToGrid w:val="0"/>
              <w:jc w:val="center"/>
              <w:rPr>
                <w:rFonts w:eastAsiaTheme="minorEastAsia"/>
                <w:szCs w:val="21"/>
              </w:rPr>
            </w:pPr>
            <w:r>
              <w:rPr>
                <w:rFonts w:eastAsiaTheme="minorEastAsia"/>
                <w:szCs w:val="21"/>
              </w:rPr>
              <w:t>98-06-6</w:t>
            </w:r>
          </w:p>
        </w:tc>
        <w:tc>
          <w:tcPr>
            <w:tcW w:w="1671" w:type="pct"/>
            <w:vAlign w:val="center"/>
          </w:tcPr>
          <w:p>
            <w:pPr>
              <w:adjustRightInd w:val="0"/>
              <w:snapToGrid w:val="0"/>
              <w:jc w:val="center"/>
              <w:rPr>
                <w:rFonts w:eastAsiaTheme="minorEastAsia"/>
                <w:szCs w:val="21"/>
              </w:rPr>
            </w:pPr>
            <w:r>
              <w:rPr>
                <w:rFonts w:eastAsiaTheme="minorEastAsia"/>
                <w:spacing w:val="1"/>
                <w:szCs w:val="21"/>
              </w:rPr>
              <w:t>180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30</w:t>
            </w:r>
          </w:p>
        </w:tc>
        <w:tc>
          <w:tcPr>
            <w:tcW w:w="1453" w:type="pct"/>
            <w:vAlign w:val="center"/>
          </w:tcPr>
          <w:p>
            <w:pPr>
              <w:adjustRightInd w:val="0"/>
              <w:snapToGrid w:val="0"/>
              <w:jc w:val="center"/>
              <w:rPr>
                <w:rFonts w:eastAsiaTheme="minorEastAsia"/>
                <w:szCs w:val="21"/>
              </w:rPr>
            </w:pPr>
            <w:r>
              <w:rPr>
                <w:rFonts w:eastAsiaTheme="minorEastAsia"/>
                <w:szCs w:val="21"/>
              </w:rPr>
              <w:t>仲丁基苯</w:t>
            </w:r>
          </w:p>
        </w:tc>
        <w:tc>
          <w:tcPr>
            <w:tcW w:w="1417" w:type="pct"/>
            <w:vAlign w:val="center"/>
          </w:tcPr>
          <w:p>
            <w:pPr>
              <w:adjustRightInd w:val="0"/>
              <w:snapToGrid w:val="0"/>
              <w:jc w:val="center"/>
              <w:rPr>
                <w:rFonts w:eastAsiaTheme="minorEastAsia"/>
                <w:szCs w:val="21"/>
              </w:rPr>
            </w:pPr>
            <w:r>
              <w:rPr>
                <w:rFonts w:eastAsiaTheme="minorEastAsia"/>
                <w:spacing w:val="-1"/>
                <w:szCs w:val="21"/>
              </w:rPr>
              <w:t>135-98-8</w:t>
            </w:r>
          </w:p>
        </w:tc>
        <w:tc>
          <w:tcPr>
            <w:tcW w:w="1671" w:type="pct"/>
            <w:vAlign w:val="center"/>
          </w:tcPr>
          <w:p>
            <w:pPr>
              <w:adjustRightInd w:val="0"/>
              <w:snapToGrid w:val="0"/>
              <w:jc w:val="center"/>
              <w:rPr>
                <w:rFonts w:eastAsiaTheme="minorEastAsia"/>
                <w:szCs w:val="21"/>
              </w:rPr>
            </w:pPr>
            <w:r>
              <w:rPr>
                <w:rFonts w:eastAsiaTheme="minorEastAsia"/>
                <w:spacing w:val="1"/>
                <w:szCs w:val="21"/>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31</w:t>
            </w:r>
          </w:p>
        </w:tc>
        <w:tc>
          <w:tcPr>
            <w:tcW w:w="1453" w:type="pct"/>
            <w:vAlign w:val="center"/>
          </w:tcPr>
          <w:p>
            <w:pPr>
              <w:adjustRightInd w:val="0"/>
              <w:snapToGrid w:val="0"/>
              <w:jc w:val="center"/>
              <w:rPr>
                <w:rFonts w:eastAsiaTheme="minorEastAsia"/>
                <w:szCs w:val="21"/>
              </w:rPr>
            </w:pPr>
            <w:r>
              <w:rPr>
                <w:rFonts w:eastAsiaTheme="minorEastAsia"/>
                <w:szCs w:val="21"/>
              </w:rPr>
              <w:t>正丁苯</w:t>
            </w:r>
          </w:p>
        </w:tc>
        <w:tc>
          <w:tcPr>
            <w:tcW w:w="1417" w:type="pct"/>
            <w:vAlign w:val="center"/>
          </w:tcPr>
          <w:p>
            <w:pPr>
              <w:adjustRightInd w:val="0"/>
              <w:snapToGrid w:val="0"/>
              <w:jc w:val="center"/>
              <w:rPr>
                <w:rFonts w:eastAsiaTheme="minorEastAsia"/>
                <w:szCs w:val="21"/>
              </w:rPr>
            </w:pPr>
            <w:r>
              <w:rPr>
                <w:rFonts w:eastAsiaTheme="minorEastAsia"/>
                <w:spacing w:val="-1"/>
                <w:szCs w:val="21"/>
              </w:rPr>
              <w:t>104-51-8</w:t>
            </w:r>
          </w:p>
        </w:tc>
        <w:tc>
          <w:tcPr>
            <w:tcW w:w="1671" w:type="pct"/>
            <w:vAlign w:val="center"/>
          </w:tcPr>
          <w:p>
            <w:pPr>
              <w:adjustRightInd w:val="0"/>
              <w:snapToGrid w:val="0"/>
              <w:jc w:val="center"/>
              <w:rPr>
                <w:rFonts w:eastAsiaTheme="minorEastAsia"/>
                <w:szCs w:val="21"/>
              </w:rPr>
            </w:pPr>
            <w:r>
              <w:rPr>
                <w:rFonts w:eastAsiaTheme="minorEastAsia"/>
                <w:spacing w:val="1"/>
                <w:szCs w:val="21"/>
              </w:rPr>
              <w:t>110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32</w:t>
            </w:r>
          </w:p>
        </w:tc>
        <w:tc>
          <w:tcPr>
            <w:tcW w:w="1453" w:type="pct"/>
            <w:vAlign w:val="center"/>
          </w:tcPr>
          <w:p>
            <w:pPr>
              <w:adjustRightInd w:val="0"/>
              <w:snapToGrid w:val="0"/>
              <w:jc w:val="center"/>
              <w:rPr>
                <w:rFonts w:eastAsiaTheme="minorEastAsia"/>
                <w:szCs w:val="21"/>
              </w:rPr>
            </w:pPr>
            <w:r>
              <w:rPr>
                <w:rFonts w:eastAsiaTheme="minorEastAsia"/>
                <w:szCs w:val="21"/>
              </w:rPr>
              <w:t>1,3,5-三甲苯</w:t>
            </w:r>
          </w:p>
        </w:tc>
        <w:tc>
          <w:tcPr>
            <w:tcW w:w="1417" w:type="pct"/>
            <w:vAlign w:val="center"/>
          </w:tcPr>
          <w:p>
            <w:pPr>
              <w:adjustRightInd w:val="0"/>
              <w:snapToGrid w:val="0"/>
              <w:jc w:val="center"/>
              <w:rPr>
                <w:rFonts w:eastAsiaTheme="minorEastAsia"/>
                <w:szCs w:val="21"/>
              </w:rPr>
            </w:pPr>
            <w:r>
              <w:rPr>
                <w:rFonts w:eastAsiaTheme="minorEastAsia"/>
                <w:spacing w:val="-1"/>
                <w:szCs w:val="21"/>
              </w:rPr>
              <w:t>108-67-8</w:t>
            </w:r>
          </w:p>
        </w:tc>
        <w:tc>
          <w:tcPr>
            <w:tcW w:w="1671" w:type="pct"/>
            <w:vAlign w:val="center"/>
          </w:tcPr>
          <w:p>
            <w:pPr>
              <w:adjustRightInd w:val="0"/>
              <w:snapToGrid w:val="0"/>
              <w:jc w:val="center"/>
              <w:rPr>
                <w:rFonts w:eastAsiaTheme="minorEastAsia"/>
                <w:szCs w:val="21"/>
              </w:rPr>
            </w:pPr>
            <w:r>
              <w:rPr>
                <w:rFonts w:eastAsiaTheme="minorEastAsia"/>
                <w:spacing w:val="1"/>
                <w:szCs w:val="21"/>
              </w:rPr>
              <w:t>180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33</w:t>
            </w:r>
          </w:p>
        </w:tc>
        <w:tc>
          <w:tcPr>
            <w:tcW w:w="1453" w:type="pct"/>
            <w:vAlign w:val="center"/>
          </w:tcPr>
          <w:p>
            <w:pPr>
              <w:adjustRightInd w:val="0"/>
              <w:snapToGrid w:val="0"/>
              <w:jc w:val="center"/>
              <w:rPr>
                <w:rFonts w:eastAsiaTheme="minorEastAsia"/>
                <w:szCs w:val="21"/>
              </w:rPr>
            </w:pPr>
            <w:r>
              <w:rPr>
                <w:rFonts w:eastAsiaTheme="minorEastAsia"/>
                <w:szCs w:val="21"/>
              </w:rPr>
              <w:t>1,2,4-三甲苯</w:t>
            </w:r>
          </w:p>
        </w:tc>
        <w:tc>
          <w:tcPr>
            <w:tcW w:w="1417" w:type="pct"/>
            <w:vAlign w:val="center"/>
          </w:tcPr>
          <w:p>
            <w:pPr>
              <w:adjustRightInd w:val="0"/>
              <w:snapToGrid w:val="0"/>
              <w:jc w:val="center"/>
              <w:rPr>
                <w:rFonts w:eastAsiaTheme="minorEastAsia"/>
                <w:szCs w:val="21"/>
              </w:rPr>
            </w:pPr>
            <w:r>
              <w:rPr>
                <w:rFonts w:eastAsiaTheme="minorEastAsia"/>
                <w:szCs w:val="21"/>
              </w:rPr>
              <w:t>95-63-6</w:t>
            </w:r>
          </w:p>
        </w:tc>
        <w:tc>
          <w:tcPr>
            <w:tcW w:w="1671" w:type="pct"/>
            <w:vAlign w:val="center"/>
          </w:tcPr>
          <w:p>
            <w:pPr>
              <w:adjustRightInd w:val="0"/>
              <w:snapToGrid w:val="0"/>
              <w:jc w:val="center"/>
              <w:rPr>
                <w:rFonts w:eastAsiaTheme="minorEastAsia"/>
                <w:szCs w:val="21"/>
              </w:rPr>
            </w:pPr>
            <w:r>
              <w:rPr>
                <w:rFonts w:eastAsiaTheme="minorEastAsia"/>
                <w:spacing w:val="1"/>
                <w:szCs w:val="21"/>
              </w:rPr>
              <w:t>220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34</w:t>
            </w:r>
          </w:p>
        </w:tc>
        <w:tc>
          <w:tcPr>
            <w:tcW w:w="1453" w:type="pct"/>
            <w:vAlign w:val="center"/>
          </w:tcPr>
          <w:p>
            <w:pPr>
              <w:adjustRightInd w:val="0"/>
              <w:snapToGrid w:val="0"/>
              <w:jc w:val="center"/>
              <w:rPr>
                <w:rFonts w:eastAsiaTheme="minorEastAsia"/>
                <w:szCs w:val="21"/>
              </w:rPr>
            </w:pPr>
            <w:r>
              <w:rPr>
                <w:rFonts w:eastAsiaTheme="minorEastAsia"/>
                <w:szCs w:val="21"/>
              </w:rPr>
              <w:t>2-丁酮</w:t>
            </w:r>
          </w:p>
        </w:tc>
        <w:tc>
          <w:tcPr>
            <w:tcW w:w="1417" w:type="pct"/>
            <w:vAlign w:val="center"/>
          </w:tcPr>
          <w:p>
            <w:pPr>
              <w:adjustRightInd w:val="0"/>
              <w:snapToGrid w:val="0"/>
              <w:jc w:val="center"/>
              <w:rPr>
                <w:rFonts w:eastAsiaTheme="minorEastAsia"/>
                <w:szCs w:val="21"/>
              </w:rPr>
            </w:pPr>
            <w:r>
              <w:rPr>
                <w:rFonts w:eastAsiaTheme="minorEastAsia"/>
                <w:szCs w:val="21"/>
              </w:rPr>
              <w:t>78-93-3</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35</w:t>
            </w:r>
          </w:p>
        </w:tc>
        <w:tc>
          <w:tcPr>
            <w:tcW w:w="1453" w:type="pct"/>
            <w:vAlign w:val="center"/>
          </w:tcPr>
          <w:p>
            <w:pPr>
              <w:adjustRightInd w:val="0"/>
              <w:snapToGrid w:val="0"/>
              <w:jc w:val="center"/>
              <w:rPr>
                <w:rFonts w:eastAsiaTheme="minorEastAsia"/>
                <w:szCs w:val="21"/>
              </w:rPr>
            </w:pPr>
            <w:r>
              <w:rPr>
                <w:rFonts w:eastAsiaTheme="minorEastAsia"/>
                <w:szCs w:val="21"/>
              </w:rPr>
              <w:t>4-甲基-2-戊酮</w:t>
            </w:r>
          </w:p>
        </w:tc>
        <w:tc>
          <w:tcPr>
            <w:tcW w:w="1417" w:type="pct"/>
            <w:vAlign w:val="center"/>
          </w:tcPr>
          <w:p>
            <w:pPr>
              <w:adjustRightInd w:val="0"/>
              <w:snapToGrid w:val="0"/>
              <w:jc w:val="center"/>
              <w:rPr>
                <w:rFonts w:eastAsiaTheme="minorEastAsia"/>
                <w:szCs w:val="21"/>
              </w:rPr>
            </w:pPr>
            <w:r>
              <w:rPr>
                <w:rFonts w:eastAsiaTheme="minorEastAsia"/>
                <w:spacing w:val="-1"/>
                <w:szCs w:val="21"/>
              </w:rPr>
              <w:t>108-10-1</w:t>
            </w:r>
          </w:p>
        </w:tc>
        <w:tc>
          <w:tcPr>
            <w:tcW w:w="1671" w:type="pct"/>
            <w:vAlign w:val="center"/>
          </w:tcPr>
          <w:p>
            <w:pPr>
              <w:adjustRightInd w:val="0"/>
              <w:snapToGrid w:val="0"/>
              <w:jc w:val="center"/>
              <w:rPr>
                <w:rFonts w:eastAsiaTheme="minorEastAsia"/>
                <w:szCs w:val="21"/>
              </w:rPr>
            </w:pPr>
            <w:r>
              <w:rPr>
                <w:rFonts w:eastAsiaTheme="minorEastAsia"/>
                <w:szCs w:val="21"/>
              </w:rPr>
              <w:t>3</w:t>
            </w:r>
            <w:r>
              <w:rPr>
                <w:rFonts w:eastAsiaTheme="minorEastAsia"/>
                <w:spacing w:val="2"/>
                <w:szCs w:val="21"/>
              </w:rPr>
              <w:t xml:space="preserve"> </w:t>
            </w:r>
            <w:r>
              <w:rPr>
                <w:rFonts w:eastAsiaTheme="minorEastAsia"/>
                <w:spacing w:val="-1"/>
                <w:szCs w:val="21"/>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36</w:t>
            </w:r>
          </w:p>
        </w:tc>
        <w:tc>
          <w:tcPr>
            <w:tcW w:w="1453" w:type="pct"/>
            <w:vAlign w:val="center"/>
          </w:tcPr>
          <w:p>
            <w:pPr>
              <w:adjustRightInd w:val="0"/>
              <w:snapToGrid w:val="0"/>
              <w:jc w:val="center"/>
              <w:rPr>
                <w:rFonts w:eastAsiaTheme="minorEastAsia"/>
                <w:szCs w:val="21"/>
              </w:rPr>
            </w:pPr>
            <w:r>
              <w:rPr>
                <w:rFonts w:eastAsiaTheme="minorEastAsia"/>
                <w:szCs w:val="21"/>
              </w:rPr>
              <w:t>2-己酮</w:t>
            </w:r>
          </w:p>
        </w:tc>
        <w:tc>
          <w:tcPr>
            <w:tcW w:w="1417" w:type="pct"/>
            <w:vAlign w:val="center"/>
          </w:tcPr>
          <w:p>
            <w:pPr>
              <w:adjustRightInd w:val="0"/>
              <w:snapToGrid w:val="0"/>
              <w:jc w:val="center"/>
              <w:rPr>
                <w:rFonts w:eastAsiaTheme="minorEastAsia"/>
                <w:szCs w:val="21"/>
              </w:rPr>
            </w:pPr>
            <w:r>
              <w:rPr>
                <w:rFonts w:eastAsiaTheme="minorEastAsia"/>
                <w:spacing w:val="-1"/>
                <w:szCs w:val="21"/>
              </w:rPr>
              <w:t>591-78-6</w:t>
            </w:r>
          </w:p>
        </w:tc>
        <w:tc>
          <w:tcPr>
            <w:tcW w:w="1671" w:type="pct"/>
            <w:vAlign w:val="center"/>
          </w:tcPr>
          <w:p>
            <w:pPr>
              <w:adjustRightInd w:val="0"/>
              <w:snapToGrid w:val="0"/>
              <w:jc w:val="center"/>
              <w:rPr>
                <w:rFonts w:eastAsiaTheme="minorEastAsia"/>
                <w:szCs w:val="21"/>
              </w:rPr>
            </w:pPr>
            <w:r>
              <w:rPr>
                <w:rFonts w:eastAsiaTheme="minorEastAsia"/>
                <w:spacing w:val="1"/>
                <w:szCs w:val="21"/>
              </w:rPr>
              <w:t>920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37</w:t>
            </w:r>
          </w:p>
        </w:tc>
        <w:tc>
          <w:tcPr>
            <w:tcW w:w="1453" w:type="pct"/>
            <w:vAlign w:val="center"/>
          </w:tcPr>
          <w:p>
            <w:pPr>
              <w:adjustRightInd w:val="0"/>
              <w:snapToGrid w:val="0"/>
              <w:jc w:val="center"/>
              <w:rPr>
                <w:rFonts w:eastAsiaTheme="minorEastAsia"/>
                <w:szCs w:val="21"/>
              </w:rPr>
            </w:pPr>
            <w:r>
              <w:rPr>
                <w:rFonts w:eastAsiaTheme="minorEastAsia"/>
                <w:szCs w:val="21"/>
              </w:rPr>
              <w:t>甲醛</w:t>
            </w:r>
          </w:p>
        </w:tc>
        <w:tc>
          <w:tcPr>
            <w:tcW w:w="1417" w:type="pct"/>
            <w:vAlign w:val="center"/>
          </w:tcPr>
          <w:p>
            <w:pPr>
              <w:adjustRightInd w:val="0"/>
              <w:snapToGrid w:val="0"/>
              <w:jc w:val="center"/>
              <w:rPr>
                <w:rFonts w:eastAsiaTheme="minorEastAsia"/>
                <w:szCs w:val="21"/>
              </w:rPr>
            </w:pPr>
            <w:r>
              <w:rPr>
                <w:rFonts w:eastAsiaTheme="minorEastAsia"/>
                <w:szCs w:val="21"/>
              </w:rPr>
              <w:t>50-00-0</w:t>
            </w:r>
          </w:p>
        </w:tc>
        <w:tc>
          <w:tcPr>
            <w:tcW w:w="1671" w:type="pct"/>
            <w:vAlign w:val="center"/>
          </w:tcPr>
          <w:p>
            <w:pPr>
              <w:adjustRightInd w:val="0"/>
              <w:snapToGrid w:val="0"/>
              <w:jc w:val="center"/>
              <w:rPr>
                <w:rFonts w:eastAsiaTheme="minorEastAsia"/>
                <w:szCs w:val="21"/>
              </w:rPr>
            </w:pPr>
            <w:r>
              <w:rPr>
                <w:rFonts w:eastAsiaTheme="minorEastAsia"/>
                <w:spacing w:val="1"/>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000" w:type="pct"/>
            <w:gridSpan w:val="4"/>
            <w:shd w:val="clear" w:color="auto" w:fill="auto"/>
            <w:vAlign w:val="center"/>
          </w:tcPr>
          <w:p>
            <w:pPr>
              <w:adjustRightInd w:val="0"/>
              <w:snapToGrid w:val="0"/>
              <w:jc w:val="center"/>
              <w:rPr>
                <w:rFonts w:eastAsiaTheme="minorEastAsia"/>
                <w:szCs w:val="21"/>
              </w:rPr>
            </w:pPr>
            <w:r>
              <w:rPr>
                <w:rFonts w:eastAsiaTheme="minorEastAsia"/>
                <w:szCs w:val="21"/>
              </w:rPr>
              <w:t>半挥发性有机物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38</w:t>
            </w:r>
          </w:p>
        </w:tc>
        <w:tc>
          <w:tcPr>
            <w:tcW w:w="1453" w:type="pct"/>
            <w:vAlign w:val="center"/>
          </w:tcPr>
          <w:p>
            <w:pPr>
              <w:adjustRightInd w:val="0"/>
              <w:snapToGrid w:val="0"/>
              <w:jc w:val="center"/>
              <w:rPr>
                <w:rFonts w:eastAsiaTheme="minorEastAsia"/>
                <w:szCs w:val="21"/>
              </w:rPr>
            </w:pPr>
            <w:r>
              <w:rPr>
                <w:rFonts w:eastAsiaTheme="minorEastAsia"/>
                <w:kern w:val="0"/>
                <w:szCs w:val="21"/>
              </w:rPr>
              <w:t>六氯乙烷</w:t>
            </w:r>
          </w:p>
        </w:tc>
        <w:tc>
          <w:tcPr>
            <w:tcW w:w="1417" w:type="pct"/>
            <w:vAlign w:val="center"/>
          </w:tcPr>
          <w:p>
            <w:pPr>
              <w:adjustRightInd w:val="0"/>
              <w:snapToGrid w:val="0"/>
              <w:jc w:val="center"/>
              <w:rPr>
                <w:rFonts w:eastAsiaTheme="minorEastAsia"/>
                <w:szCs w:val="21"/>
              </w:rPr>
            </w:pPr>
            <w:r>
              <w:rPr>
                <w:rFonts w:eastAsiaTheme="minorEastAsia"/>
                <w:kern w:val="0"/>
                <w:szCs w:val="21"/>
              </w:rPr>
              <w:t>67-72-1</w:t>
            </w:r>
          </w:p>
        </w:tc>
        <w:tc>
          <w:tcPr>
            <w:tcW w:w="1671" w:type="pct"/>
            <w:vAlign w:val="center"/>
          </w:tcPr>
          <w:p>
            <w:pPr>
              <w:adjustRightInd w:val="0"/>
              <w:snapToGrid w:val="0"/>
              <w:jc w:val="center"/>
              <w:rPr>
                <w:rFonts w:eastAsiaTheme="minorEastAsia"/>
                <w:szCs w:val="21"/>
              </w:rPr>
            </w:pPr>
            <w:r>
              <w:rPr>
                <w:rFonts w:eastAsiaTheme="minorEastAsia"/>
                <w:kern w:val="0"/>
                <w:szCs w:val="21"/>
              </w:rPr>
              <w:t>10.4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39</w:t>
            </w:r>
          </w:p>
        </w:tc>
        <w:tc>
          <w:tcPr>
            <w:tcW w:w="1453" w:type="pct"/>
            <w:vAlign w:val="center"/>
          </w:tcPr>
          <w:p>
            <w:pPr>
              <w:adjustRightInd w:val="0"/>
              <w:snapToGrid w:val="0"/>
              <w:jc w:val="center"/>
              <w:rPr>
                <w:rFonts w:eastAsiaTheme="minorEastAsia"/>
                <w:szCs w:val="21"/>
              </w:rPr>
            </w:pPr>
            <w:r>
              <w:rPr>
                <w:rFonts w:eastAsiaTheme="minorEastAsia"/>
                <w:kern w:val="0"/>
                <w:szCs w:val="21"/>
              </w:rPr>
              <w:t>N-亚硝基二丙胺</w:t>
            </w:r>
          </w:p>
        </w:tc>
        <w:tc>
          <w:tcPr>
            <w:tcW w:w="1417" w:type="pct"/>
            <w:vAlign w:val="center"/>
          </w:tcPr>
          <w:p>
            <w:pPr>
              <w:adjustRightInd w:val="0"/>
              <w:snapToGrid w:val="0"/>
              <w:jc w:val="center"/>
              <w:rPr>
                <w:rFonts w:eastAsiaTheme="minorEastAsia"/>
                <w:szCs w:val="21"/>
              </w:rPr>
            </w:pPr>
            <w:r>
              <w:rPr>
                <w:rFonts w:eastAsiaTheme="minorEastAsia"/>
                <w:spacing w:val="-1"/>
                <w:kern w:val="0"/>
                <w:szCs w:val="21"/>
              </w:rPr>
              <w:t>621-64-7</w:t>
            </w:r>
          </w:p>
        </w:tc>
        <w:tc>
          <w:tcPr>
            <w:tcW w:w="1671" w:type="pct"/>
            <w:vAlign w:val="center"/>
          </w:tcPr>
          <w:p>
            <w:pPr>
              <w:adjustRightInd w:val="0"/>
              <w:snapToGrid w:val="0"/>
              <w:jc w:val="center"/>
              <w:rPr>
                <w:rFonts w:eastAsiaTheme="minorEastAsia"/>
                <w:szCs w:val="21"/>
              </w:rPr>
            </w:pPr>
            <w:r>
              <w:rPr>
                <w:rFonts w:eastAsiaTheme="minorEastAsia"/>
                <w:kern w:val="0"/>
                <w:szCs w:val="21"/>
              </w:rPr>
              <w:t>0.24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40</w:t>
            </w:r>
          </w:p>
        </w:tc>
        <w:tc>
          <w:tcPr>
            <w:tcW w:w="1453" w:type="pct"/>
            <w:vAlign w:val="center"/>
          </w:tcPr>
          <w:p>
            <w:pPr>
              <w:adjustRightInd w:val="0"/>
              <w:snapToGrid w:val="0"/>
              <w:jc w:val="center"/>
              <w:rPr>
                <w:rFonts w:eastAsiaTheme="minorEastAsia"/>
                <w:szCs w:val="21"/>
              </w:rPr>
            </w:pPr>
            <w:r>
              <w:rPr>
                <w:rFonts w:eastAsiaTheme="minorEastAsia"/>
                <w:kern w:val="0"/>
                <w:szCs w:val="21"/>
              </w:rPr>
              <w:t>N-亚硝基二甲胺</w:t>
            </w:r>
          </w:p>
        </w:tc>
        <w:tc>
          <w:tcPr>
            <w:tcW w:w="1417" w:type="pct"/>
            <w:vAlign w:val="center"/>
          </w:tcPr>
          <w:p>
            <w:pPr>
              <w:adjustRightInd w:val="0"/>
              <w:snapToGrid w:val="0"/>
              <w:jc w:val="center"/>
              <w:rPr>
                <w:rFonts w:eastAsiaTheme="minorEastAsia"/>
                <w:szCs w:val="21"/>
              </w:rPr>
            </w:pPr>
            <w:r>
              <w:rPr>
                <w:rFonts w:eastAsiaTheme="minorEastAsia"/>
                <w:kern w:val="0"/>
                <w:szCs w:val="21"/>
              </w:rPr>
              <w:t>62-75-9</w:t>
            </w:r>
          </w:p>
        </w:tc>
        <w:tc>
          <w:tcPr>
            <w:tcW w:w="1671" w:type="pct"/>
            <w:vAlign w:val="center"/>
          </w:tcPr>
          <w:p>
            <w:pPr>
              <w:adjustRightInd w:val="0"/>
              <w:snapToGrid w:val="0"/>
              <w:jc w:val="center"/>
              <w:rPr>
                <w:rFonts w:eastAsiaTheme="minorEastAsia"/>
                <w:szCs w:val="21"/>
              </w:rPr>
            </w:pPr>
            <w:r>
              <w:rPr>
                <w:rFonts w:eastAsiaTheme="minorEastAsia"/>
                <w:spacing w:val="-1"/>
                <w:kern w:val="0"/>
                <w:szCs w:val="21"/>
              </w:rPr>
              <w:t>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41</w:t>
            </w:r>
          </w:p>
        </w:tc>
        <w:tc>
          <w:tcPr>
            <w:tcW w:w="1453" w:type="pct"/>
            <w:vAlign w:val="center"/>
          </w:tcPr>
          <w:p>
            <w:pPr>
              <w:adjustRightInd w:val="0"/>
              <w:snapToGrid w:val="0"/>
              <w:jc w:val="center"/>
              <w:rPr>
                <w:rFonts w:eastAsiaTheme="minorEastAsia"/>
                <w:szCs w:val="21"/>
              </w:rPr>
            </w:pPr>
            <w:r>
              <w:rPr>
                <w:rFonts w:eastAsiaTheme="minorEastAsia"/>
                <w:kern w:val="0"/>
                <w:szCs w:val="21"/>
              </w:rPr>
              <w:t>六氯丁二烯</w:t>
            </w:r>
          </w:p>
        </w:tc>
        <w:tc>
          <w:tcPr>
            <w:tcW w:w="1417" w:type="pct"/>
            <w:vAlign w:val="center"/>
          </w:tcPr>
          <w:p>
            <w:pPr>
              <w:adjustRightInd w:val="0"/>
              <w:snapToGrid w:val="0"/>
              <w:jc w:val="center"/>
              <w:rPr>
                <w:rFonts w:eastAsiaTheme="minorEastAsia"/>
                <w:szCs w:val="21"/>
              </w:rPr>
            </w:pPr>
            <w:r>
              <w:rPr>
                <w:rFonts w:eastAsiaTheme="minorEastAsia"/>
                <w:kern w:val="0"/>
                <w:szCs w:val="21"/>
              </w:rPr>
              <w:t>87-68-3</w:t>
            </w:r>
          </w:p>
        </w:tc>
        <w:tc>
          <w:tcPr>
            <w:tcW w:w="1671" w:type="pct"/>
            <w:vAlign w:val="center"/>
          </w:tcPr>
          <w:p>
            <w:pPr>
              <w:adjustRightInd w:val="0"/>
              <w:snapToGrid w:val="0"/>
              <w:jc w:val="center"/>
              <w:rPr>
                <w:rFonts w:eastAsiaTheme="minorEastAsia"/>
                <w:szCs w:val="21"/>
              </w:rPr>
            </w:pPr>
            <w:r>
              <w:rPr>
                <w:rFonts w:eastAsiaTheme="minorEastAsia"/>
                <w:spacing w:val="1"/>
                <w:kern w:val="0"/>
                <w:szCs w:val="21"/>
              </w:rPr>
              <w:t>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42</w:t>
            </w:r>
          </w:p>
        </w:tc>
        <w:tc>
          <w:tcPr>
            <w:tcW w:w="1453" w:type="pct"/>
            <w:vAlign w:val="center"/>
          </w:tcPr>
          <w:p>
            <w:pPr>
              <w:adjustRightInd w:val="0"/>
              <w:snapToGrid w:val="0"/>
              <w:jc w:val="center"/>
              <w:rPr>
                <w:rFonts w:eastAsiaTheme="minorEastAsia"/>
                <w:szCs w:val="21"/>
              </w:rPr>
            </w:pPr>
            <w:r>
              <w:rPr>
                <w:rFonts w:eastAsiaTheme="minorEastAsia"/>
                <w:kern w:val="0"/>
                <w:szCs w:val="21"/>
              </w:rPr>
              <w:t>4-甲基苯酚</w:t>
            </w:r>
          </w:p>
        </w:tc>
        <w:tc>
          <w:tcPr>
            <w:tcW w:w="1417" w:type="pct"/>
            <w:vAlign w:val="center"/>
          </w:tcPr>
          <w:p>
            <w:pPr>
              <w:adjustRightInd w:val="0"/>
              <w:snapToGrid w:val="0"/>
              <w:jc w:val="center"/>
              <w:rPr>
                <w:rFonts w:eastAsiaTheme="minorEastAsia"/>
                <w:szCs w:val="21"/>
              </w:rPr>
            </w:pPr>
            <w:r>
              <w:rPr>
                <w:rFonts w:eastAsiaTheme="minorEastAsia"/>
                <w:spacing w:val="-1"/>
                <w:kern w:val="0"/>
                <w:szCs w:val="21"/>
              </w:rPr>
              <w:t>106-44-5</w:t>
            </w:r>
          </w:p>
        </w:tc>
        <w:tc>
          <w:tcPr>
            <w:tcW w:w="1671" w:type="pct"/>
            <w:vAlign w:val="center"/>
          </w:tcPr>
          <w:p>
            <w:pPr>
              <w:adjustRightInd w:val="0"/>
              <w:snapToGrid w:val="0"/>
              <w:jc w:val="center"/>
              <w:rPr>
                <w:rFonts w:eastAsiaTheme="minorEastAsia"/>
                <w:szCs w:val="21"/>
              </w:rPr>
            </w:pPr>
            <w:r>
              <w:rPr>
                <w:rFonts w:eastAsiaTheme="minorEastAsia"/>
                <w:kern w:val="0"/>
                <w:szCs w:val="21"/>
              </w:rPr>
              <w:t>10</w:t>
            </w:r>
            <w:r>
              <w:rPr>
                <w:rFonts w:eastAsiaTheme="minorEastAsia"/>
                <w:spacing w:val="-1"/>
                <w:kern w:val="0"/>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43</w:t>
            </w:r>
          </w:p>
        </w:tc>
        <w:tc>
          <w:tcPr>
            <w:tcW w:w="1453" w:type="pct"/>
            <w:vAlign w:val="center"/>
          </w:tcPr>
          <w:p>
            <w:pPr>
              <w:adjustRightInd w:val="0"/>
              <w:snapToGrid w:val="0"/>
              <w:jc w:val="center"/>
              <w:rPr>
                <w:rFonts w:eastAsiaTheme="minorEastAsia"/>
                <w:szCs w:val="21"/>
              </w:rPr>
            </w:pPr>
            <w:r>
              <w:rPr>
                <w:rFonts w:eastAsiaTheme="minorEastAsia"/>
                <w:kern w:val="0"/>
                <w:szCs w:val="21"/>
              </w:rPr>
              <w:t>2,4-二甲基苯酚</w:t>
            </w:r>
          </w:p>
        </w:tc>
        <w:tc>
          <w:tcPr>
            <w:tcW w:w="1417" w:type="pct"/>
            <w:vAlign w:val="center"/>
          </w:tcPr>
          <w:p>
            <w:pPr>
              <w:adjustRightInd w:val="0"/>
              <w:snapToGrid w:val="0"/>
              <w:jc w:val="center"/>
              <w:rPr>
                <w:rFonts w:eastAsiaTheme="minorEastAsia"/>
                <w:szCs w:val="21"/>
              </w:rPr>
            </w:pPr>
            <w:r>
              <w:rPr>
                <w:rFonts w:eastAsiaTheme="minorEastAsia"/>
                <w:spacing w:val="-1"/>
                <w:kern w:val="0"/>
                <w:szCs w:val="21"/>
              </w:rPr>
              <w:t>105-67-9</w:t>
            </w:r>
          </w:p>
        </w:tc>
        <w:tc>
          <w:tcPr>
            <w:tcW w:w="1671" w:type="pct"/>
            <w:vAlign w:val="center"/>
          </w:tcPr>
          <w:p>
            <w:pPr>
              <w:adjustRightInd w:val="0"/>
              <w:snapToGrid w:val="0"/>
              <w:jc w:val="center"/>
              <w:rPr>
                <w:rFonts w:eastAsiaTheme="minorEastAsia"/>
                <w:szCs w:val="21"/>
              </w:rPr>
            </w:pPr>
            <w:r>
              <w:rPr>
                <w:rFonts w:eastAsiaTheme="minorEastAsia"/>
                <w:kern w:val="0"/>
                <w:szCs w:val="21"/>
              </w:rPr>
              <w:t>5</w:t>
            </w:r>
            <w:r>
              <w:rPr>
                <w:rFonts w:eastAsiaTheme="minorEastAsia"/>
                <w:spacing w:val="2"/>
                <w:kern w:val="0"/>
                <w:szCs w:val="21"/>
              </w:rPr>
              <w:t xml:space="preserve"> </w:t>
            </w:r>
            <w:r>
              <w:rPr>
                <w:rFonts w:eastAsiaTheme="minorEastAsia"/>
                <w:spacing w:val="-1"/>
                <w:kern w:val="0"/>
                <w:szCs w:val="21"/>
              </w:rPr>
              <w:t>927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44</w:t>
            </w:r>
          </w:p>
        </w:tc>
        <w:tc>
          <w:tcPr>
            <w:tcW w:w="1453" w:type="pct"/>
            <w:vAlign w:val="center"/>
          </w:tcPr>
          <w:p>
            <w:pPr>
              <w:adjustRightInd w:val="0"/>
              <w:snapToGrid w:val="0"/>
              <w:jc w:val="center"/>
              <w:rPr>
                <w:rFonts w:eastAsiaTheme="minorEastAsia"/>
                <w:szCs w:val="21"/>
              </w:rPr>
            </w:pPr>
            <w:r>
              <w:rPr>
                <w:rFonts w:eastAsiaTheme="minorEastAsia"/>
                <w:kern w:val="0"/>
                <w:szCs w:val="21"/>
              </w:rPr>
              <w:t>2,3,4,6-四氯苯酚</w:t>
            </w:r>
          </w:p>
        </w:tc>
        <w:tc>
          <w:tcPr>
            <w:tcW w:w="1417" w:type="pct"/>
            <w:vAlign w:val="center"/>
          </w:tcPr>
          <w:p>
            <w:pPr>
              <w:adjustRightInd w:val="0"/>
              <w:snapToGrid w:val="0"/>
              <w:jc w:val="center"/>
              <w:rPr>
                <w:rFonts w:eastAsiaTheme="minorEastAsia"/>
                <w:szCs w:val="21"/>
              </w:rPr>
            </w:pPr>
            <w:r>
              <w:rPr>
                <w:rFonts w:eastAsiaTheme="minorEastAsia"/>
                <w:kern w:val="0"/>
                <w:szCs w:val="21"/>
              </w:rPr>
              <w:t>58-90-2</w:t>
            </w:r>
          </w:p>
        </w:tc>
        <w:tc>
          <w:tcPr>
            <w:tcW w:w="1671" w:type="pct"/>
            <w:vAlign w:val="center"/>
          </w:tcPr>
          <w:p>
            <w:pPr>
              <w:adjustRightInd w:val="0"/>
              <w:snapToGrid w:val="0"/>
              <w:jc w:val="center"/>
              <w:rPr>
                <w:rFonts w:eastAsiaTheme="minorEastAsia"/>
                <w:szCs w:val="21"/>
              </w:rPr>
            </w:pPr>
            <w:r>
              <w:rPr>
                <w:rFonts w:eastAsiaTheme="minorEastAsia"/>
                <w:kern w:val="0"/>
                <w:szCs w:val="21"/>
              </w:rPr>
              <w:t>8</w:t>
            </w:r>
            <w:r>
              <w:rPr>
                <w:rFonts w:eastAsiaTheme="minorEastAsia"/>
                <w:spacing w:val="2"/>
                <w:kern w:val="0"/>
                <w:szCs w:val="21"/>
              </w:rPr>
              <w:t xml:space="preserve"> </w:t>
            </w:r>
            <w:r>
              <w:rPr>
                <w:rFonts w:eastAsiaTheme="minorEastAsia"/>
                <w:spacing w:val="-1"/>
                <w:kern w:val="0"/>
                <w:szCs w:val="21"/>
              </w:rPr>
              <w:t>890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45</w:t>
            </w:r>
          </w:p>
        </w:tc>
        <w:tc>
          <w:tcPr>
            <w:tcW w:w="1453" w:type="pct"/>
            <w:vAlign w:val="center"/>
          </w:tcPr>
          <w:p>
            <w:pPr>
              <w:adjustRightInd w:val="0"/>
              <w:snapToGrid w:val="0"/>
              <w:jc w:val="center"/>
              <w:rPr>
                <w:rFonts w:eastAsiaTheme="minorEastAsia"/>
                <w:szCs w:val="21"/>
              </w:rPr>
            </w:pPr>
            <w:r>
              <w:rPr>
                <w:rFonts w:eastAsiaTheme="minorEastAsia"/>
                <w:kern w:val="0"/>
                <w:szCs w:val="21"/>
              </w:rPr>
              <w:t>2-甲基苯酚</w:t>
            </w:r>
          </w:p>
        </w:tc>
        <w:tc>
          <w:tcPr>
            <w:tcW w:w="1417" w:type="pct"/>
            <w:vAlign w:val="center"/>
          </w:tcPr>
          <w:p>
            <w:pPr>
              <w:adjustRightInd w:val="0"/>
              <w:snapToGrid w:val="0"/>
              <w:jc w:val="center"/>
              <w:rPr>
                <w:rFonts w:eastAsiaTheme="minorEastAsia"/>
                <w:szCs w:val="21"/>
              </w:rPr>
            </w:pPr>
            <w:r>
              <w:rPr>
                <w:rFonts w:eastAsiaTheme="minorEastAsia"/>
                <w:kern w:val="0"/>
                <w:szCs w:val="21"/>
              </w:rPr>
              <w:t>95-48-7</w:t>
            </w:r>
          </w:p>
        </w:tc>
        <w:tc>
          <w:tcPr>
            <w:tcW w:w="1671" w:type="pct"/>
            <w:vAlign w:val="center"/>
          </w:tcPr>
          <w:p>
            <w:pPr>
              <w:adjustRightInd w:val="0"/>
              <w:snapToGrid w:val="0"/>
              <w:jc w:val="center"/>
              <w:rPr>
                <w:rFonts w:eastAsiaTheme="minorEastAsia"/>
                <w:szCs w:val="21"/>
              </w:rPr>
            </w:pPr>
            <w:r>
              <w:rPr>
                <w:rFonts w:eastAsiaTheme="minorEastAsia"/>
                <w:kern w:val="0"/>
                <w:szCs w:val="21"/>
              </w:rPr>
              <w:t>10</w:t>
            </w:r>
            <w:r>
              <w:rPr>
                <w:rFonts w:eastAsiaTheme="minorEastAsia"/>
                <w:spacing w:val="-1"/>
                <w:kern w:val="0"/>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46</w:t>
            </w:r>
          </w:p>
        </w:tc>
        <w:tc>
          <w:tcPr>
            <w:tcW w:w="1453" w:type="pct"/>
            <w:vAlign w:val="center"/>
          </w:tcPr>
          <w:p>
            <w:pPr>
              <w:adjustRightInd w:val="0"/>
              <w:snapToGrid w:val="0"/>
              <w:jc w:val="center"/>
              <w:rPr>
                <w:rFonts w:eastAsiaTheme="minorEastAsia"/>
                <w:szCs w:val="21"/>
              </w:rPr>
            </w:pPr>
            <w:r>
              <w:rPr>
                <w:rFonts w:eastAsiaTheme="minorEastAsia"/>
                <w:kern w:val="0"/>
                <w:szCs w:val="21"/>
              </w:rPr>
              <w:t>2,6-二硝基甲苯</w:t>
            </w:r>
          </w:p>
        </w:tc>
        <w:tc>
          <w:tcPr>
            <w:tcW w:w="1417" w:type="pct"/>
            <w:vAlign w:val="center"/>
          </w:tcPr>
          <w:p>
            <w:pPr>
              <w:adjustRightInd w:val="0"/>
              <w:snapToGrid w:val="0"/>
              <w:jc w:val="center"/>
              <w:rPr>
                <w:rFonts w:eastAsiaTheme="minorEastAsia"/>
                <w:szCs w:val="21"/>
              </w:rPr>
            </w:pPr>
            <w:r>
              <w:rPr>
                <w:rFonts w:eastAsiaTheme="minorEastAsia"/>
                <w:spacing w:val="-1"/>
                <w:kern w:val="0"/>
                <w:szCs w:val="21"/>
              </w:rPr>
              <w:t>606-20-2</w:t>
            </w:r>
          </w:p>
        </w:tc>
        <w:tc>
          <w:tcPr>
            <w:tcW w:w="1671" w:type="pct"/>
            <w:vAlign w:val="center"/>
          </w:tcPr>
          <w:p>
            <w:pPr>
              <w:adjustRightInd w:val="0"/>
              <w:snapToGrid w:val="0"/>
              <w:jc w:val="center"/>
              <w:rPr>
                <w:rFonts w:eastAsiaTheme="minorEastAsia"/>
                <w:szCs w:val="21"/>
              </w:rPr>
            </w:pPr>
            <w:r>
              <w:rPr>
                <w:rFonts w:eastAsiaTheme="minorEastAsia"/>
                <w:spacing w:val="1"/>
                <w:kern w:val="0"/>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napToGrid w:val="0"/>
                <w:kern w:val="0"/>
                <w:szCs w:val="21"/>
              </w:rPr>
            </w:pPr>
            <w:r>
              <w:rPr>
                <w:rFonts w:eastAsiaTheme="minorEastAsia"/>
                <w:szCs w:val="21"/>
              </w:rPr>
              <w:t>47</w:t>
            </w:r>
          </w:p>
        </w:tc>
        <w:tc>
          <w:tcPr>
            <w:tcW w:w="1453" w:type="pct"/>
            <w:vAlign w:val="center"/>
          </w:tcPr>
          <w:p>
            <w:pPr>
              <w:adjustRightInd w:val="0"/>
              <w:snapToGrid w:val="0"/>
              <w:jc w:val="center"/>
              <w:rPr>
                <w:rFonts w:eastAsiaTheme="minorEastAsia"/>
                <w:szCs w:val="21"/>
              </w:rPr>
            </w:pPr>
            <w:r>
              <w:rPr>
                <w:rFonts w:eastAsiaTheme="minorEastAsia"/>
                <w:kern w:val="0"/>
                <w:szCs w:val="21"/>
              </w:rPr>
              <w:t>异佛乐酮</w:t>
            </w:r>
          </w:p>
        </w:tc>
        <w:tc>
          <w:tcPr>
            <w:tcW w:w="1417" w:type="pct"/>
            <w:vAlign w:val="center"/>
          </w:tcPr>
          <w:p>
            <w:pPr>
              <w:adjustRightInd w:val="0"/>
              <w:snapToGrid w:val="0"/>
              <w:jc w:val="center"/>
              <w:rPr>
                <w:rFonts w:eastAsiaTheme="minorEastAsia"/>
                <w:szCs w:val="21"/>
              </w:rPr>
            </w:pPr>
            <w:r>
              <w:rPr>
                <w:rFonts w:eastAsiaTheme="minorEastAsia"/>
                <w:kern w:val="0"/>
                <w:szCs w:val="21"/>
              </w:rPr>
              <w:t>78-59-1</w:t>
            </w:r>
          </w:p>
        </w:tc>
        <w:tc>
          <w:tcPr>
            <w:tcW w:w="1671" w:type="pct"/>
            <w:vAlign w:val="center"/>
          </w:tcPr>
          <w:p>
            <w:pPr>
              <w:adjustRightInd w:val="0"/>
              <w:snapToGrid w:val="0"/>
              <w:jc w:val="center"/>
              <w:rPr>
                <w:rFonts w:eastAsiaTheme="minorEastAsia"/>
                <w:szCs w:val="21"/>
              </w:rPr>
            </w:pPr>
            <w:r>
              <w:rPr>
                <w:rFonts w:eastAsiaTheme="minorEastAsia"/>
                <w:kern w:val="0"/>
                <w:szCs w:val="21"/>
              </w:rPr>
              <w:t>1</w:t>
            </w:r>
            <w:r>
              <w:rPr>
                <w:rFonts w:eastAsiaTheme="minorEastAsia"/>
                <w:spacing w:val="2"/>
                <w:kern w:val="0"/>
                <w:szCs w:val="21"/>
              </w:rPr>
              <w:t xml:space="preserve"> </w:t>
            </w:r>
            <w:r>
              <w:rPr>
                <w:rFonts w:eastAsiaTheme="minorEastAsia"/>
                <w:spacing w:val="-1"/>
                <w:kern w:val="0"/>
                <w:szCs w:val="21"/>
              </w:rPr>
              <w:t>897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48</w:t>
            </w:r>
          </w:p>
        </w:tc>
        <w:tc>
          <w:tcPr>
            <w:tcW w:w="1453" w:type="pct"/>
            <w:vAlign w:val="center"/>
          </w:tcPr>
          <w:p>
            <w:pPr>
              <w:adjustRightInd w:val="0"/>
              <w:snapToGrid w:val="0"/>
              <w:jc w:val="center"/>
              <w:rPr>
                <w:rFonts w:eastAsiaTheme="minorEastAsia"/>
                <w:szCs w:val="21"/>
              </w:rPr>
            </w:pPr>
            <w:r>
              <w:rPr>
                <w:rFonts w:eastAsiaTheme="minorEastAsia"/>
                <w:szCs w:val="21"/>
              </w:rPr>
              <w:t>4-氯-3-甲基苯酚</w:t>
            </w:r>
          </w:p>
        </w:tc>
        <w:tc>
          <w:tcPr>
            <w:tcW w:w="1417" w:type="pct"/>
            <w:vAlign w:val="center"/>
          </w:tcPr>
          <w:p>
            <w:pPr>
              <w:adjustRightInd w:val="0"/>
              <w:snapToGrid w:val="0"/>
              <w:jc w:val="center"/>
              <w:rPr>
                <w:rFonts w:eastAsiaTheme="minorEastAsia"/>
                <w:szCs w:val="21"/>
              </w:rPr>
            </w:pPr>
            <w:r>
              <w:rPr>
                <w:rFonts w:eastAsiaTheme="minorEastAsia"/>
                <w:szCs w:val="21"/>
              </w:rPr>
              <w:t>59-50-7</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49</w:t>
            </w:r>
          </w:p>
        </w:tc>
        <w:tc>
          <w:tcPr>
            <w:tcW w:w="1453" w:type="pct"/>
            <w:vAlign w:val="center"/>
          </w:tcPr>
          <w:p>
            <w:pPr>
              <w:adjustRightInd w:val="0"/>
              <w:snapToGrid w:val="0"/>
              <w:jc w:val="center"/>
              <w:rPr>
                <w:rFonts w:eastAsiaTheme="minorEastAsia"/>
                <w:szCs w:val="21"/>
              </w:rPr>
            </w:pPr>
            <w:r>
              <w:rPr>
                <w:rFonts w:eastAsiaTheme="minorEastAsia"/>
                <w:szCs w:val="21"/>
              </w:rPr>
              <w:t>4,6-二硝基邻甲酚</w:t>
            </w:r>
          </w:p>
        </w:tc>
        <w:tc>
          <w:tcPr>
            <w:tcW w:w="1417" w:type="pct"/>
            <w:vAlign w:val="center"/>
          </w:tcPr>
          <w:p>
            <w:pPr>
              <w:adjustRightInd w:val="0"/>
              <w:snapToGrid w:val="0"/>
              <w:jc w:val="center"/>
              <w:rPr>
                <w:rFonts w:eastAsiaTheme="minorEastAsia"/>
                <w:szCs w:val="21"/>
              </w:rPr>
            </w:pPr>
            <w:r>
              <w:rPr>
                <w:rFonts w:eastAsiaTheme="minorEastAsia"/>
                <w:spacing w:val="-1"/>
                <w:szCs w:val="21"/>
              </w:rPr>
              <w:t>534-52-1</w:t>
            </w:r>
          </w:p>
        </w:tc>
        <w:tc>
          <w:tcPr>
            <w:tcW w:w="1671" w:type="pct"/>
            <w:vAlign w:val="center"/>
          </w:tcPr>
          <w:p>
            <w:pPr>
              <w:adjustRightInd w:val="0"/>
              <w:snapToGrid w:val="0"/>
              <w:jc w:val="center"/>
              <w:rPr>
                <w:rFonts w:eastAsiaTheme="minorEastAsia"/>
                <w:szCs w:val="21"/>
              </w:rPr>
            </w:pPr>
            <w:r>
              <w:rPr>
                <w:rFonts w:eastAsiaTheme="minorEastAsia"/>
                <w:spacing w:val="1"/>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50</w:t>
            </w:r>
          </w:p>
        </w:tc>
        <w:tc>
          <w:tcPr>
            <w:tcW w:w="1453" w:type="pct"/>
            <w:vAlign w:val="center"/>
          </w:tcPr>
          <w:p>
            <w:pPr>
              <w:adjustRightInd w:val="0"/>
              <w:snapToGrid w:val="0"/>
              <w:jc w:val="center"/>
              <w:rPr>
                <w:rFonts w:eastAsiaTheme="minorEastAsia"/>
                <w:szCs w:val="21"/>
              </w:rPr>
            </w:pPr>
            <w:r>
              <w:rPr>
                <w:rFonts w:eastAsiaTheme="minorEastAsia"/>
                <w:szCs w:val="21"/>
              </w:rPr>
              <w:t>偶氮苯</w:t>
            </w:r>
          </w:p>
        </w:tc>
        <w:tc>
          <w:tcPr>
            <w:tcW w:w="1417" w:type="pct"/>
            <w:vAlign w:val="center"/>
          </w:tcPr>
          <w:p>
            <w:pPr>
              <w:adjustRightInd w:val="0"/>
              <w:snapToGrid w:val="0"/>
              <w:jc w:val="center"/>
              <w:rPr>
                <w:rFonts w:eastAsiaTheme="minorEastAsia"/>
                <w:szCs w:val="21"/>
              </w:rPr>
            </w:pPr>
            <w:r>
              <w:rPr>
                <w:rFonts w:eastAsiaTheme="minorEastAsia"/>
                <w:spacing w:val="-1"/>
                <w:szCs w:val="21"/>
              </w:rPr>
              <w:t>103-33-3</w:t>
            </w:r>
          </w:p>
        </w:tc>
        <w:tc>
          <w:tcPr>
            <w:tcW w:w="1671" w:type="pct"/>
            <w:vAlign w:val="center"/>
          </w:tcPr>
          <w:p>
            <w:pPr>
              <w:adjustRightInd w:val="0"/>
              <w:snapToGrid w:val="0"/>
              <w:jc w:val="center"/>
              <w:rPr>
                <w:rFonts w:eastAsiaTheme="minorEastAsia"/>
                <w:szCs w:val="21"/>
              </w:rPr>
            </w:pPr>
            <w:r>
              <w:rPr>
                <w:rFonts w:eastAsiaTheme="minorEastAsia"/>
                <w:spacing w:val="1"/>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51</w:t>
            </w:r>
          </w:p>
        </w:tc>
        <w:tc>
          <w:tcPr>
            <w:tcW w:w="1453" w:type="pct"/>
            <w:vAlign w:val="center"/>
          </w:tcPr>
          <w:p>
            <w:pPr>
              <w:adjustRightInd w:val="0"/>
              <w:snapToGrid w:val="0"/>
              <w:jc w:val="center"/>
              <w:rPr>
                <w:rFonts w:eastAsiaTheme="minorEastAsia"/>
                <w:szCs w:val="21"/>
              </w:rPr>
            </w:pPr>
            <w:r>
              <w:rPr>
                <w:rFonts w:eastAsiaTheme="minorEastAsia"/>
                <w:szCs w:val="21"/>
              </w:rPr>
              <w:t>苯酚</w:t>
            </w:r>
          </w:p>
        </w:tc>
        <w:tc>
          <w:tcPr>
            <w:tcW w:w="1417" w:type="pct"/>
            <w:vAlign w:val="center"/>
          </w:tcPr>
          <w:p>
            <w:pPr>
              <w:adjustRightInd w:val="0"/>
              <w:snapToGrid w:val="0"/>
              <w:jc w:val="center"/>
              <w:rPr>
                <w:rFonts w:eastAsiaTheme="minorEastAsia"/>
                <w:szCs w:val="21"/>
              </w:rPr>
            </w:pPr>
            <w:r>
              <w:rPr>
                <w:rFonts w:eastAsiaTheme="minorEastAsia"/>
                <w:spacing w:val="-1"/>
                <w:szCs w:val="21"/>
              </w:rPr>
              <w:t>108-95-2</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52</w:t>
            </w:r>
          </w:p>
        </w:tc>
        <w:tc>
          <w:tcPr>
            <w:tcW w:w="1453" w:type="pct"/>
            <w:vAlign w:val="center"/>
          </w:tcPr>
          <w:p>
            <w:pPr>
              <w:adjustRightInd w:val="0"/>
              <w:snapToGrid w:val="0"/>
              <w:jc w:val="center"/>
              <w:rPr>
                <w:rFonts w:eastAsiaTheme="minorEastAsia"/>
                <w:szCs w:val="21"/>
              </w:rPr>
            </w:pPr>
            <w:r>
              <w:rPr>
                <w:rFonts w:eastAsiaTheme="minorEastAsia"/>
                <w:szCs w:val="21"/>
              </w:rPr>
              <w:t>2,4,5-三氯酚</w:t>
            </w:r>
          </w:p>
        </w:tc>
        <w:tc>
          <w:tcPr>
            <w:tcW w:w="1417" w:type="pct"/>
            <w:vAlign w:val="center"/>
          </w:tcPr>
          <w:p>
            <w:pPr>
              <w:adjustRightInd w:val="0"/>
              <w:snapToGrid w:val="0"/>
              <w:jc w:val="center"/>
              <w:rPr>
                <w:rFonts w:eastAsiaTheme="minorEastAsia"/>
                <w:szCs w:val="21"/>
              </w:rPr>
            </w:pPr>
            <w:r>
              <w:rPr>
                <w:rFonts w:eastAsiaTheme="minorEastAsia"/>
                <w:szCs w:val="21"/>
              </w:rPr>
              <w:t>95-95-4</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53</w:t>
            </w:r>
          </w:p>
        </w:tc>
        <w:tc>
          <w:tcPr>
            <w:tcW w:w="1453" w:type="pct"/>
            <w:vAlign w:val="center"/>
          </w:tcPr>
          <w:p>
            <w:pPr>
              <w:adjustRightInd w:val="0"/>
              <w:snapToGrid w:val="0"/>
              <w:jc w:val="center"/>
              <w:rPr>
                <w:rFonts w:eastAsiaTheme="minorEastAsia"/>
                <w:szCs w:val="21"/>
              </w:rPr>
            </w:pPr>
            <w:r>
              <w:rPr>
                <w:rFonts w:eastAsiaTheme="minorEastAsia"/>
                <w:szCs w:val="21"/>
              </w:rPr>
              <w:t>4-硝基苯胺</w:t>
            </w:r>
          </w:p>
        </w:tc>
        <w:tc>
          <w:tcPr>
            <w:tcW w:w="1417" w:type="pct"/>
            <w:vAlign w:val="center"/>
          </w:tcPr>
          <w:p>
            <w:pPr>
              <w:adjustRightInd w:val="0"/>
              <w:snapToGrid w:val="0"/>
              <w:jc w:val="center"/>
              <w:rPr>
                <w:rFonts w:eastAsiaTheme="minorEastAsia"/>
                <w:szCs w:val="21"/>
              </w:rPr>
            </w:pPr>
            <w:r>
              <w:rPr>
                <w:rFonts w:eastAsiaTheme="minorEastAsia"/>
                <w:spacing w:val="-1"/>
                <w:szCs w:val="21"/>
              </w:rPr>
              <w:t>100-01-6</w:t>
            </w:r>
          </w:p>
        </w:tc>
        <w:tc>
          <w:tcPr>
            <w:tcW w:w="1671" w:type="pct"/>
            <w:vAlign w:val="center"/>
          </w:tcPr>
          <w:p>
            <w:pPr>
              <w:adjustRightInd w:val="0"/>
              <w:snapToGrid w:val="0"/>
              <w:jc w:val="center"/>
              <w:rPr>
                <w:rFonts w:eastAsiaTheme="minorEastAsia"/>
                <w:szCs w:val="21"/>
              </w:rPr>
            </w:pPr>
            <w:r>
              <w:rPr>
                <w:rFonts w:eastAsiaTheme="minorEastAsia"/>
                <w:spacing w:val="1"/>
                <w:szCs w:val="21"/>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54</w:t>
            </w:r>
          </w:p>
        </w:tc>
        <w:tc>
          <w:tcPr>
            <w:tcW w:w="1453" w:type="pct"/>
            <w:vAlign w:val="center"/>
          </w:tcPr>
          <w:p>
            <w:pPr>
              <w:adjustRightInd w:val="0"/>
              <w:snapToGrid w:val="0"/>
              <w:jc w:val="center"/>
              <w:rPr>
                <w:rFonts w:eastAsiaTheme="minorEastAsia"/>
                <w:szCs w:val="21"/>
              </w:rPr>
            </w:pPr>
            <w:r>
              <w:rPr>
                <w:rFonts w:eastAsiaTheme="minorEastAsia"/>
                <w:szCs w:val="21"/>
              </w:rPr>
              <w:t>4-氯苯胺</w:t>
            </w:r>
          </w:p>
        </w:tc>
        <w:tc>
          <w:tcPr>
            <w:tcW w:w="1417" w:type="pct"/>
            <w:vAlign w:val="center"/>
          </w:tcPr>
          <w:p>
            <w:pPr>
              <w:adjustRightInd w:val="0"/>
              <w:snapToGrid w:val="0"/>
              <w:jc w:val="center"/>
              <w:rPr>
                <w:rFonts w:eastAsiaTheme="minorEastAsia"/>
                <w:szCs w:val="21"/>
              </w:rPr>
            </w:pPr>
            <w:r>
              <w:rPr>
                <w:rFonts w:eastAsiaTheme="minorEastAsia"/>
                <w:spacing w:val="-1"/>
                <w:szCs w:val="21"/>
              </w:rPr>
              <w:t>106-47-8</w:t>
            </w:r>
          </w:p>
        </w:tc>
        <w:tc>
          <w:tcPr>
            <w:tcW w:w="1671" w:type="pct"/>
            <w:vAlign w:val="center"/>
          </w:tcPr>
          <w:p>
            <w:pPr>
              <w:adjustRightInd w:val="0"/>
              <w:snapToGrid w:val="0"/>
              <w:jc w:val="center"/>
              <w:rPr>
                <w:rFonts w:eastAsiaTheme="minorEastAsia"/>
                <w:szCs w:val="21"/>
              </w:rPr>
            </w:pPr>
            <w:r>
              <w:rPr>
                <w:rFonts w:eastAsiaTheme="minorEastAsia"/>
                <w:szCs w:val="21"/>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55</w:t>
            </w:r>
          </w:p>
        </w:tc>
        <w:tc>
          <w:tcPr>
            <w:tcW w:w="1453" w:type="pct"/>
            <w:vAlign w:val="center"/>
          </w:tcPr>
          <w:p>
            <w:pPr>
              <w:adjustRightInd w:val="0"/>
              <w:snapToGrid w:val="0"/>
              <w:jc w:val="center"/>
              <w:rPr>
                <w:rFonts w:eastAsiaTheme="minorEastAsia"/>
                <w:szCs w:val="21"/>
              </w:rPr>
            </w:pPr>
            <w:r>
              <w:rPr>
                <w:rFonts w:eastAsiaTheme="minorEastAsia"/>
                <w:szCs w:val="21"/>
              </w:rPr>
              <w:t>2-硝基苯胺</w:t>
            </w:r>
          </w:p>
        </w:tc>
        <w:tc>
          <w:tcPr>
            <w:tcW w:w="1417" w:type="pct"/>
            <w:vAlign w:val="center"/>
          </w:tcPr>
          <w:p>
            <w:pPr>
              <w:adjustRightInd w:val="0"/>
              <w:snapToGrid w:val="0"/>
              <w:jc w:val="center"/>
              <w:rPr>
                <w:rFonts w:eastAsiaTheme="minorEastAsia"/>
                <w:szCs w:val="21"/>
              </w:rPr>
            </w:pPr>
            <w:r>
              <w:rPr>
                <w:rFonts w:eastAsiaTheme="minorEastAsia"/>
                <w:szCs w:val="21"/>
              </w:rPr>
              <w:t>88-74-4</w:t>
            </w:r>
          </w:p>
        </w:tc>
        <w:tc>
          <w:tcPr>
            <w:tcW w:w="1671" w:type="pct"/>
            <w:vAlign w:val="center"/>
          </w:tcPr>
          <w:p>
            <w:pPr>
              <w:adjustRightInd w:val="0"/>
              <w:snapToGrid w:val="0"/>
              <w:jc w:val="center"/>
              <w:rPr>
                <w:rFonts w:eastAsiaTheme="minorEastAsia"/>
                <w:szCs w:val="21"/>
              </w:rPr>
            </w:pPr>
            <w:r>
              <w:rPr>
                <w:rFonts w:eastAsiaTheme="minorEastAsia"/>
                <w:spacing w:val="1"/>
                <w:szCs w:val="21"/>
              </w:rP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56</w:t>
            </w:r>
          </w:p>
        </w:tc>
        <w:tc>
          <w:tcPr>
            <w:tcW w:w="1453" w:type="pct"/>
            <w:vAlign w:val="center"/>
          </w:tcPr>
          <w:p>
            <w:pPr>
              <w:adjustRightInd w:val="0"/>
              <w:snapToGrid w:val="0"/>
              <w:jc w:val="center"/>
              <w:rPr>
                <w:rFonts w:eastAsiaTheme="minorEastAsia"/>
                <w:szCs w:val="21"/>
              </w:rPr>
            </w:pPr>
            <w:r>
              <w:rPr>
                <w:rFonts w:eastAsiaTheme="minorEastAsia"/>
                <w:szCs w:val="21"/>
              </w:rPr>
              <w:t>2-氯萘</w:t>
            </w:r>
          </w:p>
        </w:tc>
        <w:tc>
          <w:tcPr>
            <w:tcW w:w="1417" w:type="pct"/>
            <w:vAlign w:val="center"/>
          </w:tcPr>
          <w:p>
            <w:pPr>
              <w:adjustRightInd w:val="0"/>
              <w:snapToGrid w:val="0"/>
              <w:jc w:val="center"/>
              <w:rPr>
                <w:rFonts w:eastAsiaTheme="minorEastAsia"/>
                <w:szCs w:val="21"/>
              </w:rPr>
            </w:pPr>
            <w:r>
              <w:rPr>
                <w:rFonts w:eastAsiaTheme="minorEastAsia"/>
                <w:szCs w:val="21"/>
              </w:rPr>
              <w:t>91-58-7</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57</w:t>
            </w:r>
          </w:p>
        </w:tc>
        <w:tc>
          <w:tcPr>
            <w:tcW w:w="1453" w:type="pct"/>
            <w:vAlign w:val="center"/>
          </w:tcPr>
          <w:p>
            <w:pPr>
              <w:adjustRightInd w:val="0"/>
              <w:snapToGrid w:val="0"/>
              <w:jc w:val="center"/>
              <w:rPr>
                <w:rFonts w:eastAsiaTheme="minorEastAsia"/>
                <w:szCs w:val="21"/>
              </w:rPr>
            </w:pPr>
            <w:r>
              <w:rPr>
                <w:rFonts w:eastAsiaTheme="minorEastAsia"/>
                <w:szCs w:val="21"/>
              </w:rPr>
              <w:t>苊</w:t>
            </w:r>
          </w:p>
        </w:tc>
        <w:tc>
          <w:tcPr>
            <w:tcW w:w="1417" w:type="pct"/>
            <w:vAlign w:val="center"/>
          </w:tcPr>
          <w:p>
            <w:pPr>
              <w:adjustRightInd w:val="0"/>
              <w:snapToGrid w:val="0"/>
              <w:jc w:val="center"/>
              <w:rPr>
                <w:rFonts w:eastAsiaTheme="minorEastAsia"/>
                <w:szCs w:val="21"/>
              </w:rPr>
            </w:pPr>
            <w:r>
              <w:rPr>
                <w:rFonts w:eastAsiaTheme="minorEastAsia"/>
                <w:szCs w:val="21"/>
              </w:rPr>
              <w:t>83-32-9</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58</w:t>
            </w:r>
          </w:p>
        </w:tc>
        <w:tc>
          <w:tcPr>
            <w:tcW w:w="1453" w:type="pct"/>
            <w:vAlign w:val="center"/>
          </w:tcPr>
          <w:p>
            <w:pPr>
              <w:adjustRightInd w:val="0"/>
              <w:snapToGrid w:val="0"/>
              <w:jc w:val="center"/>
              <w:rPr>
                <w:rFonts w:eastAsiaTheme="minorEastAsia"/>
                <w:szCs w:val="21"/>
              </w:rPr>
            </w:pPr>
            <w:r>
              <w:rPr>
                <w:rFonts w:eastAsiaTheme="minorEastAsia"/>
                <w:szCs w:val="21"/>
              </w:rPr>
              <w:t>蒽</w:t>
            </w:r>
          </w:p>
        </w:tc>
        <w:tc>
          <w:tcPr>
            <w:tcW w:w="1417" w:type="pct"/>
            <w:vAlign w:val="center"/>
          </w:tcPr>
          <w:p>
            <w:pPr>
              <w:adjustRightInd w:val="0"/>
              <w:snapToGrid w:val="0"/>
              <w:jc w:val="center"/>
              <w:rPr>
                <w:rFonts w:eastAsiaTheme="minorEastAsia"/>
                <w:szCs w:val="21"/>
              </w:rPr>
            </w:pPr>
            <w:r>
              <w:rPr>
                <w:rFonts w:eastAsiaTheme="minorEastAsia"/>
                <w:spacing w:val="-1"/>
                <w:szCs w:val="21"/>
              </w:rPr>
              <w:t>120-12-7</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59</w:t>
            </w:r>
          </w:p>
        </w:tc>
        <w:tc>
          <w:tcPr>
            <w:tcW w:w="1453" w:type="pct"/>
            <w:vAlign w:val="center"/>
          </w:tcPr>
          <w:p>
            <w:pPr>
              <w:adjustRightInd w:val="0"/>
              <w:snapToGrid w:val="0"/>
              <w:jc w:val="center"/>
              <w:rPr>
                <w:rFonts w:eastAsiaTheme="minorEastAsia"/>
                <w:szCs w:val="21"/>
              </w:rPr>
            </w:pPr>
            <w:r>
              <w:rPr>
                <w:rFonts w:eastAsiaTheme="minorEastAsia"/>
                <w:szCs w:val="21"/>
              </w:rPr>
              <w:t>荧蒽</w:t>
            </w:r>
          </w:p>
        </w:tc>
        <w:tc>
          <w:tcPr>
            <w:tcW w:w="1417" w:type="pct"/>
            <w:vAlign w:val="center"/>
          </w:tcPr>
          <w:p>
            <w:pPr>
              <w:adjustRightInd w:val="0"/>
              <w:snapToGrid w:val="0"/>
              <w:jc w:val="center"/>
              <w:rPr>
                <w:rFonts w:eastAsiaTheme="minorEastAsia"/>
                <w:szCs w:val="21"/>
              </w:rPr>
            </w:pPr>
            <w:r>
              <w:rPr>
                <w:rFonts w:eastAsiaTheme="minorEastAsia"/>
                <w:spacing w:val="-1"/>
                <w:szCs w:val="21"/>
              </w:rPr>
              <w:t>206-44-0</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60</w:t>
            </w:r>
          </w:p>
        </w:tc>
        <w:tc>
          <w:tcPr>
            <w:tcW w:w="1453" w:type="pct"/>
            <w:vAlign w:val="center"/>
          </w:tcPr>
          <w:p>
            <w:pPr>
              <w:adjustRightInd w:val="0"/>
              <w:snapToGrid w:val="0"/>
              <w:jc w:val="center"/>
              <w:rPr>
                <w:rFonts w:eastAsiaTheme="minorEastAsia"/>
                <w:szCs w:val="21"/>
              </w:rPr>
            </w:pPr>
            <w:r>
              <w:rPr>
                <w:rFonts w:eastAsiaTheme="minorEastAsia"/>
                <w:szCs w:val="21"/>
              </w:rPr>
              <w:t>芴</w:t>
            </w:r>
          </w:p>
        </w:tc>
        <w:tc>
          <w:tcPr>
            <w:tcW w:w="1417" w:type="pct"/>
            <w:vAlign w:val="center"/>
          </w:tcPr>
          <w:p>
            <w:pPr>
              <w:adjustRightInd w:val="0"/>
              <w:snapToGrid w:val="0"/>
              <w:jc w:val="center"/>
              <w:rPr>
                <w:rFonts w:eastAsiaTheme="minorEastAsia"/>
                <w:szCs w:val="21"/>
              </w:rPr>
            </w:pPr>
            <w:r>
              <w:rPr>
                <w:rFonts w:eastAsiaTheme="minorEastAsia"/>
                <w:szCs w:val="21"/>
              </w:rPr>
              <w:t>86-73-7</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61</w:t>
            </w:r>
          </w:p>
        </w:tc>
        <w:tc>
          <w:tcPr>
            <w:tcW w:w="1453" w:type="pct"/>
            <w:vAlign w:val="center"/>
          </w:tcPr>
          <w:p>
            <w:pPr>
              <w:adjustRightInd w:val="0"/>
              <w:snapToGrid w:val="0"/>
              <w:jc w:val="center"/>
              <w:rPr>
                <w:rFonts w:eastAsiaTheme="minorEastAsia"/>
                <w:szCs w:val="21"/>
              </w:rPr>
            </w:pPr>
            <w:r>
              <w:rPr>
                <w:rFonts w:eastAsiaTheme="minorEastAsia"/>
                <w:szCs w:val="21"/>
              </w:rPr>
              <w:t>芘</w:t>
            </w:r>
          </w:p>
        </w:tc>
        <w:tc>
          <w:tcPr>
            <w:tcW w:w="1417" w:type="pct"/>
            <w:vAlign w:val="center"/>
          </w:tcPr>
          <w:p>
            <w:pPr>
              <w:adjustRightInd w:val="0"/>
              <w:snapToGrid w:val="0"/>
              <w:jc w:val="center"/>
              <w:rPr>
                <w:rFonts w:eastAsiaTheme="minorEastAsia"/>
                <w:szCs w:val="21"/>
              </w:rPr>
            </w:pPr>
            <w:r>
              <w:rPr>
                <w:rFonts w:eastAsiaTheme="minorEastAsia"/>
                <w:spacing w:val="-1"/>
                <w:szCs w:val="21"/>
              </w:rPr>
              <w:t>129-00-0</w:t>
            </w:r>
          </w:p>
        </w:tc>
        <w:tc>
          <w:tcPr>
            <w:tcW w:w="1671" w:type="pct"/>
            <w:vAlign w:val="center"/>
          </w:tcPr>
          <w:p>
            <w:pPr>
              <w:adjustRightInd w:val="0"/>
              <w:snapToGrid w:val="0"/>
              <w:jc w:val="center"/>
              <w:rPr>
                <w:rFonts w:eastAsiaTheme="minorEastAsia"/>
                <w:szCs w:val="21"/>
              </w:rPr>
            </w:pPr>
            <w:r>
              <w:rPr>
                <w:rFonts w:eastAsiaTheme="minorEastAsia"/>
                <w:szCs w:val="21"/>
              </w:rPr>
              <w:t>7</w:t>
            </w:r>
            <w:r>
              <w:rPr>
                <w:rFonts w:eastAsiaTheme="minorEastAsia"/>
                <w:spacing w:val="2"/>
                <w:szCs w:val="21"/>
              </w:rPr>
              <w:t xml:space="preserve"> </w:t>
            </w:r>
            <w:r>
              <w:rPr>
                <w:rFonts w:eastAsiaTheme="minorEastAsia"/>
                <w:spacing w:val="-1"/>
                <w:szCs w:val="21"/>
              </w:rPr>
              <w:t>964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62</w:t>
            </w:r>
          </w:p>
        </w:tc>
        <w:tc>
          <w:tcPr>
            <w:tcW w:w="1453" w:type="pct"/>
            <w:vAlign w:val="center"/>
          </w:tcPr>
          <w:p>
            <w:pPr>
              <w:adjustRightInd w:val="0"/>
              <w:snapToGrid w:val="0"/>
              <w:jc w:val="center"/>
              <w:rPr>
                <w:rFonts w:eastAsiaTheme="minorEastAsia"/>
                <w:szCs w:val="21"/>
              </w:rPr>
            </w:pPr>
            <w:r>
              <w:rPr>
                <w:rFonts w:eastAsiaTheme="minorEastAsia"/>
                <w:szCs w:val="21"/>
              </w:rPr>
              <w:t>菲</w:t>
            </w:r>
          </w:p>
        </w:tc>
        <w:tc>
          <w:tcPr>
            <w:tcW w:w="1417" w:type="pct"/>
            <w:vAlign w:val="center"/>
          </w:tcPr>
          <w:p>
            <w:pPr>
              <w:adjustRightInd w:val="0"/>
              <w:snapToGrid w:val="0"/>
              <w:jc w:val="center"/>
              <w:rPr>
                <w:rFonts w:eastAsiaTheme="minorEastAsia"/>
                <w:szCs w:val="21"/>
              </w:rPr>
            </w:pPr>
            <w:r>
              <w:rPr>
                <w:rFonts w:eastAsiaTheme="minorEastAsia"/>
                <w:szCs w:val="21"/>
              </w:rPr>
              <w:t>85-01-8</w:t>
            </w:r>
          </w:p>
        </w:tc>
        <w:tc>
          <w:tcPr>
            <w:tcW w:w="1671" w:type="pct"/>
            <w:vAlign w:val="center"/>
          </w:tcPr>
          <w:p>
            <w:pPr>
              <w:adjustRightInd w:val="0"/>
              <w:snapToGrid w:val="0"/>
              <w:jc w:val="center"/>
              <w:rPr>
                <w:rFonts w:eastAsiaTheme="minorEastAsia"/>
                <w:szCs w:val="21"/>
              </w:rPr>
            </w:pPr>
            <w:r>
              <w:rPr>
                <w:rFonts w:eastAsiaTheme="minorEastAsia"/>
                <w:szCs w:val="21"/>
              </w:rPr>
              <w:t>7</w:t>
            </w:r>
            <w:r>
              <w:rPr>
                <w:rFonts w:eastAsiaTheme="minorEastAsia"/>
                <w:spacing w:val="2"/>
                <w:szCs w:val="21"/>
              </w:rPr>
              <w:t xml:space="preserve"> </w:t>
            </w:r>
            <w:r>
              <w:rPr>
                <w:rFonts w:eastAsiaTheme="minorEastAsia"/>
                <w:spacing w:val="-1"/>
                <w:szCs w:val="21"/>
              </w:rPr>
              <w:t>190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63</w:t>
            </w:r>
          </w:p>
        </w:tc>
        <w:tc>
          <w:tcPr>
            <w:tcW w:w="1453" w:type="pct"/>
            <w:vAlign w:val="center"/>
          </w:tcPr>
          <w:p>
            <w:pPr>
              <w:adjustRightInd w:val="0"/>
              <w:snapToGrid w:val="0"/>
              <w:jc w:val="center"/>
              <w:rPr>
                <w:rFonts w:eastAsiaTheme="minorEastAsia"/>
                <w:szCs w:val="21"/>
              </w:rPr>
            </w:pPr>
            <w:r>
              <w:rPr>
                <w:rFonts w:eastAsiaTheme="minorEastAsia"/>
                <w:szCs w:val="21"/>
              </w:rPr>
              <w:t>苯并[g,h,i]苝</w:t>
            </w:r>
          </w:p>
        </w:tc>
        <w:tc>
          <w:tcPr>
            <w:tcW w:w="1417" w:type="pct"/>
            <w:vAlign w:val="center"/>
          </w:tcPr>
          <w:p>
            <w:pPr>
              <w:adjustRightInd w:val="0"/>
              <w:snapToGrid w:val="0"/>
              <w:jc w:val="center"/>
              <w:rPr>
                <w:rFonts w:eastAsiaTheme="minorEastAsia"/>
                <w:szCs w:val="21"/>
              </w:rPr>
            </w:pPr>
            <w:r>
              <w:rPr>
                <w:rFonts w:eastAsiaTheme="minorEastAsia"/>
                <w:spacing w:val="-1"/>
                <w:szCs w:val="21"/>
              </w:rPr>
              <w:t>191-24-2</w:t>
            </w:r>
          </w:p>
        </w:tc>
        <w:tc>
          <w:tcPr>
            <w:tcW w:w="1671" w:type="pct"/>
            <w:vAlign w:val="center"/>
          </w:tcPr>
          <w:p>
            <w:pPr>
              <w:adjustRightInd w:val="0"/>
              <w:snapToGrid w:val="0"/>
              <w:jc w:val="center"/>
              <w:rPr>
                <w:rFonts w:eastAsiaTheme="minorEastAsia"/>
                <w:szCs w:val="21"/>
              </w:rPr>
            </w:pPr>
            <w:r>
              <w:rPr>
                <w:rFonts w:eastAsiaTheme="minorEastAsia"/>
                <w:szCs w:val="21"/>
              </w:rPr>
              <w:t>7</w:t>
            </w:r>
            <w:r>
              <w:rPr>
                <w:rFonts w:eastAsiaTheme="minorEastAsia"/>
                <w:spacing w:val="2"/>
                <w:szCs w:val="21"/>
              </w:rPr>
              <w:t xml:space="preserve"> </w:t>
            </w:r>
            <w:r>
              <w:rPr>
                <w:rFonts w:eastAsiaTheme="minorEastAsia"/>
                <w:spacing w:val="-1"/>
                <w:szCs w:val="21"/>
              </w:rPr>
              <w:t>190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64</w:t>
            </w:r>
          </w:p>
        </w:tc>
        <w:tc>
          <w:tcPr>
            <w:tcW w:w="1453" w:type="pct"/>
            <w:vAlign w:val="center"/>
          </w:tcPr>
          <w:p>
            <w:pPr>
              <w:adjustRightInd w:val="0"/>
              <w:snapToGrid w:val="0"/>
              <w:jc w:val="center"/>
              <w:rPr>
                <w:rFonts w:eastAsiaTheme="minorEastAsia"/>
                <w:szCs w:val="21"/>
              </w:rPr>
            </w:pPr>
            <w:r>
              <w:rPr>
                <w:rFonts w:eastAsiaTheme="minorEastAsia"/>
                <w:szCs w:val="21"/>
              </w:rPr>
              <w:t>2-甲基萘</w:t>
            </w:r>
          </w:p>
        </w:tc>
        <w:tc>
          <w:tcPr>
            <w:tcW w:w="1417" w:type="pct"/>
            <w:vAlign w:val="center"/>
          </w:tcPr>
          <w:p>
            <w:pPr>
              <w:adjustRightInd w:val="0"/>
              <w:snapToGrid w:val="0"/>
              <w:jc w:val="center"/>
              <w:rPr>
                <w:rFonts w:eastAsiaTheme="minorEastAsia"/>
                <w:szCs w:val="21"/>
              </w:rPr>
            </w:pPr>
            <w:r>
              <w:rPr>
                <w:rFonts w:eastAsiaTheme="minorEastAsia"/>
                <w:szCs w:val="21"/>
              </w:rPr>
              <w:t>91-57-6</w:t>
            </w:r>
          </w:p>
        </w:tc>
        <w:tc>
          <w:tcPr>
            <w:tcW w:w="1671" w:type="pct"/>
            <w:vAlign w:val="center"/>
          </w:tcPr>
          <w:p>
            <w:pPr>
              <w:adjustRightInd w:val="0"/>
              <w:snapToGrid w:val="0"/>
              <w:jc w:val="center"/>
              <w:rPr>
                <w:rFonts w:eastAsiaTheme="minorEastAsia"/>
                <w:szCs w:val="21"/>
              </w:rPr>
            </w:pPr>
            <w:r>
              <w:rPr>
                <w:rFonts w:eastAsiaTheme="minorEastAsia"/>
                <w:szCs w:val="21"/>
              </w:rPr>
              <w:t>1</w:t>
            </w:r>
            <w:r>
              <w:rPr>
                <w:rFonts w:eastAsiaTheme="minorEastAsia"/>
                <w:spacing w:val="2"/>
                <w:szCs w:val="21"/>
              </w:rPr>
              <w:t xml:space="preserve"> </w:t>
            </w:r>
            <w:r>
              <w:rPr>
                <w:rFonts w:eastAsiaTheme="minorEastAsia"/>
                <w:spacing w:val="-1"/>
                <w:szCs w:val="21"/>
              </w:rPr>
              <w:t>062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65</w:t>
            </w:r>
          </w:p>
        </w:tc>
        <w:tc>
          <w:tcPr>
            <w:tcW w:w="1453" w:type="pct"/>
            <w:vAlign w:val="center"/>
          </w:tcPr>
          <w:p>
            <w:pPr>
              <w:adjustRightInd w:val="0"/>
              <w:snapToGrid w:val="0"/>
              <w:jc w:val="center"/>
              <w:rPr>
                <w:rFonts w:eastAsiaTheme="minorEastAsia"/>
                <w:szCs w:val="21"/>
              </w:rPr>
            </w:pPr>
            <w:r>
              <w:rPr>
                <w:rFonts w:eastAsiaTheme="minorEastAsia"/>
                <w:szCs w:val="21"/>
              </w:rPr>
              <w:t>邻苯二甲酸二乙酯</w:t>
            </w:r>
          </w:p>
        </w:tc>
        <w:tc>
          <w:tcPr>
            <w:tcW w:w="1417" w:type="pct"/>
            <w:vAlign w:val="center"/>
          </w:tcPr>
          <w:p>
            <w:pPr>
              <w:adjustRightInd w:val="0"/>
              <w:snapToGrid w:val="0"/>
              <w:jc w:val="center"/>
              <w:rPr>
                <w:rFonts w:eastAsiaTheme="minorEastAsia"/>
                <w:szCs w:val="21"/>
              </w:rPr>
            </w:pPr>
            <w:r>
              <w:rPr>
                <w:rFonts w:eastAsiaTheme="minorEastAsia"/>
                <w:szCs w:val="21"/>
              </w:rPr>
              <w:t>84-66-2</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66</w:t>
            </w:r>
          </w:p>
        </w:tc>
        <w:tc>
          <w:tcPr>
            <w:tcW w:w="1453" w:type="pct"/>
            <w:vAlign w:val="center"/>
          </w:tcPr>
          <w:p>
            <w:pPr>
              <w:adjustRightInd w:val="0"/>
              <w:snapToGrid w:val="0"/>
              <w:jc w:val="center"/>
              <w:rPr>
                <w:rFonts w:eastAsiaTheme="minorEastAsia"/>
                <w:szCs w:val="21"/>
              </w:rPr>
            </w:pPr>
            <w:r>
              <w:rPr>
                <w:rFonts w:eastAsiaTheme="minorEastAsia"/>
                <w:szCs w:val="21"/>
              </w:rPr>
              <w:t>双（2-氯乙氧基）甲烷</w:t>
            </w:r>
          </w:p>
        </w:tc>
        <w:tc>
          <w:tcPr>
            <w:tcW w:w="1417" w:type="pct"/>
            <w:vAlign w:val="center"/>
          </w:tcPr>
          <w:p>
            <w:pPr>
              <w:adjustRightInd w:val="0"/>
              <w:snapToGrid w:val="0"/>
              <w:jc w:val="center"/>
              <w:rPr>
                <w:rFonts w:eastAsiaTheme="minorEastAsia"/>
                <w:szCs w:val="21"/>
              </w:rPr>
            </w:pPr>
            <w:r>
              <w:rPr>
                <w:rFonts w:eastAsiaTheme="minorEastAsia"/>
                <w:spacing w:val="-1"/>
                <w:szCs w:val="21"/>
              </w:rPr>
              <w:t>111-91-1</w:t>
            </w:r>
          </w:p>
        </w:tc>
        <w:tc>
          <w:tcPr>
            <w:tcW w:w="1671" w:type="pct"/>
            <w:vAlign w:val="center"/>
          </w:tcPr>
          <w:p>
            <w:pPr>
              <w:adjustRightInd w:val="0"/>
              <w:snapToGrid w:val="0"/>
              <w:jc w:val="center"/>
              <w:rPr>
                <w:rFonts w:eastAsiaTheme="minorEastAsia"/>
                <w:szCs w:val="21"/>
              </w:rPr>
            </w:pPr>
            <w:r>
              <w:rPr>
                <w:rFonts w:eastAsiaTheme="minorEastAsia"/>
                <w:spacing w:val="1"/>
                <w:szCs w:val="21"/>
              </w:rPr>
              <w:t>889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67</w:t>
            </w:r>
          </w:p>
        </w:tc>
        <w:tc>
          <w:tcPr>
            <w:tcW w:w="1453" w:type="pct"/>
            <w:vAlign w:val="center"/>
          </w:tcPr>
          <w:p>
            <w:pPr>
              <w:adjustRightInd w:val="0"/>
              <w:snapToGrid w:val="0"/>
              <w:jc w:val="center"/>
              <w:rPr>
                <w:rFonts w:eastAsiaTheme="minorEastAsia"/>
                <w:szCs w:val="21"/>
              </w:rPr>
            </w:pPr>
            <w:r>
              <w:rPr>
                <w:rFonts w:eastAsiaTheme="minorEastAsia"/>
                <w:szCs w:val="21"/>
              </w:rPr>
              <w:t>二苯并呋喃</w:t>
            </w:r>
          </w:p>
        </w:tc>
        <w:tc>
          <w:tcPr>
            <w:tcW w:w="1417" w:type="pct"/>
            <w:vAlign w:val="center"/>
          </w:tcPr>
          <w:p>
            <w:pPr>
              <w:adjustRightInd w:val="0"/>
              <w:snapToGrid w:val="0"/>
              <w:jc w:val="center"/>
              <w:rPr>
                <w:rFonts w:eastAsiaTheme="minorEastAsia"/>
                <w:szCs w:val="21"/>
              </w:rPr>
            </w:pPr>
            <w:r>
              <w:rPr>
                <w:rFonts w:eastAsiaTheme="minorEastAsia"/>
                <w:spacing w:val="-1"/>
                <w:szCs w:val="21"/>
              </w:rPr>
              <w:t>132-64-9</w:t>
            </w:r>
          </w:p>
        </w:tc>
        <w:tc>
          <w:tcPr>
            <w:tcW w:w="1671" w:type="pct"/>
            <w:vAlign w:val="center"/>
          </w:tcPr>
          <w:p>
            <w:pPr>
              <w:adjustRightInd w:val="0"/>
              <w:snapToGrid w:val="0"/>
              <w:jc w:val="center"/>
              <w:rPr>
                <w:rFonts w:eastAsiaTheme="minorEastAsia"/>
                <w:szCs w:val="21"/>
              </w:rPr>
            </w:pPr>
            <w:r>
              <w:rPr>
                <w:rFonts w:eastAsiaTheme="minorEastAsia"/>
                <w:spacing w:val="1"/>
                <w:szCs w:val="21"/>
              </w:rPr>
              <w:t>407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68</w:t>
            </w:r>
          </w:p>
        </w:tc>
        <w:tc>
          <w:tcPr>
            <w:tcW w:w="1453" w:type="pct"/>
            <w:vAlign w:val="center"/>
          </w:tcPr>
          <w:p>
            <w:pPr>
              <w:adjustRightInd w:val="0"/>
              <w:snapToGrid w:val="0"/>
              <w:jc w:val="center"/>
              <w:rPr>
                <w:rFonts w:eastAsiaTheme="minorEastAsia"/>
                <w:szCs w:val="21"/>
              </w:rPr>
            </w:pPr>
            <w:r>
              <w:rPr>
                <w:rFonts w:eastAsiaTheme="minorEastAsia"/>
                <w:szCs w:val="21"/>
              </w:rPr>
              <w:t>二氯乙醚</w:t>
            </w:r>
          </w:p>
        </w:tc>
        <w:tc>
          <w:tcPr>
            <w:tcW w:w="1417" w:type="pct"/>
            <w:vAlign w:val="center"/>
          </w:tcPr>
          <w:p>
            <w:pPr>
              <w:adjustRightInd w:val="0"/>
              <w:snapToGrid w:val="0"/>
              <w:jc w:val="center"/>
              <w:rPr>
                <w:rFonts w:eastAsiaTheme="minorEastAsia"/>
                <w:szCs w:val="21"/>
              </w:rPr>
            </w:pPr>
            <w:r>
              <w:rPr>
                <w:rFonts w:eastAsiaTheme="minorEastAsia"/>
                <w:spacing w:val="-1"/>
                <w:szCs w:val="21"/>
              </w:rPr>
              <w:t>111-44-4</w:t>
            </w:r>
          </w:p>
        </w:tc>
        <w:tc>
          <w:tcPr>
            <w:tcW w:w="1671" w:type="pct"/>
            <w:vAlign w:val="center"/>
          </w:tcPr>
          <w:p>
            <w:pPr>
              <w:adjustRightInd w:val="0"/>
              <w:snapToGrid w:val="0"/>
              <w:jc w:val="center"/>
              <w:rPr>
                <w:rFonts w:eastAsiaTheme="minorEastAsia"/>
                <w:szCs w:val="21"/>
              </w:rPr>
            </w:pPr>
            <w:r>
              <w:rPr>
                <w:rFonts w:eastAsiaTheme="minorEastAsia"/>
                <w:spacing w:val="1"/>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000" w:type="pct"/>
            <w:gridSpan w:val="4"/>
            <w:shd w:val="clear" w:color="auto" w:fill="auto"/>
            <w:vAlign w:val="center"/>
          </w:tcPr>
          <w:p>
            <w:pPr>
              <w:adjustRightInd w:val="0"/>
              <w:snapToGrid w:val="0"/>
              <w:jc w:val="center"/>
              <w:rPr>
                <w:rFonts w:eastAsiaTheme="minorEastAsia"/>
                <w:szCs w:val="21"/>
              </w:rPr>
            </w:pPr>
            <w:r>
              <w:rPr>
                <w:rFonts w:eastAsiaTheme="minorEastAsia"/>
                <w:szCs w:val="21"/>
              </w:rPr>
              <w:t>有机农药类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69</w:t>
            </w:r>
          </w:p>
        </w:tc>
        <w:tc>
          <w:tcPr>
            <w:tcW w:w="1453" w:type="pct"/>
            <w:vAlign w:val="center"/>
          </w:tcPr>
          <w:p>
            <w:pPr>
              <w:adjustRightInd w:val="0"/>
              <w:snapToGrid w:val="0"/>
              <w:jc w:val="center"/>
              <w:rPr>
                <w:rFonts w:eastAsiaTheme="minorEastAsia"/>
                <w:szCs w:val="21"/>
              </w:rPr>
            </w:pPr>
            <w:r>
              <w:rPr>
                <w:rFonts w:eastAsiaTheme="minorEastAsia"/>
                <w:szCs w:val="21"/>
              </w:rPr>
              <w:t>毒杀芬</w:t>
            </w:r>
          </w:p>
        </w:tc>
        <w:tc>
          <w:tcPr>
            <w:tcW w:w="1417" w:type="pct"/>
            <w:vAlign w:val="center"/>
          </w:tcPr>
          <w:p>
            <w:pPr>
              <w:adjustRightInd w:val="0"/>
              <w:snapToGrid w:val="0"/>
              <w:jc w:val="center"/>
              <w:rPr>
                <w:rFonts w:eastAsiaTheme="minorEastAsia"/>
                <w:szCs w:val="21"/>
              </w:rPr>
            </w:pPr>
            <w:r>
              <w:rPr>
                <w:rFonts w:eastAsiaTheme="minorEastAsia"/>
                <w:spacing w:val="-1"/>
                <w:szCs w:val="21"/>
              </w:rPr>
              <w:t>8001-35-2</w:t>
            </w:r>
          </w:p>
        </w:tc>
        <w:tc>
          <w:tcPr>
            <w:tcW w:w="1671" w:type="pct"/>
            <w:vAlign w:val="center"/>
          </w:tcPr>
          <w:p>
            <w:pPr>
              <w:adjustRightInd w:val="0"/>
              <w:snapToGrid w:val="0"/>
              <w:jc w:val="center"/>
              <w:rPr>
                <w:rFonts w:eastAsiaTheme="minorEastAsia"/>
                <w:szCs w:val="21"/>
              </w:rPr>
            </w:pPr>
            <w:r>
              <w:rPr>
                <w:rFonts w:eastAsiaTheme="minorEastAsia"/>
                <w:spacing w:val="1"/>
                <w:szCs w:val="21"/>
              </w:rPr>
              <w:t>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70</w:t>
            </w:r>
          </w:p>
        </w:tc>
        <w:tc>
          <w:tcPr>
            <w:tcW w:w="1453" w:type="pct"/>
            <w:vAlign w:val="center"/>
          </w:tcPr>
          <w:p>
            <w:pPr>
              <w:adjustRightInd w:val="0"/>
              <w:snapToGrid w:val="0"/>
              <w:jc w:val="center"/>
              <w:rPr>
                <w:rFonts w:eastAsiaTheme="minorEastAsia"/>
                <w:szCs w:val="21"/>
              </w:rPr>
            </w:pPr>
            <w:r>
              <w:rPr>
                <w:rFonts w:eastAsiaTheme="minorEastAsia"/>
                <w:szCs w:val="21"/>
              </w:rPr>
              <w:t>艾氏剂</w:t>
            </w:r>
          </w:p>
        </w:tc>
        <w:tc>
          <w:tcPr>
            <w:tcW w:w="1417" w:type="pct"/>
            <w:vAlign w:val="center"/>
          </w:tcPr>
          <w:p>
            <w:pPr>
              <w:adjustRightInd w:val="0"/>
              <w:snapToGrid w:val="0"/>
              <w:jc w:val="center"/>
              <w:rPr>
                <w:rFonts w:eastAsiaTheme="minorEastAsia"/>
                <w:szCs w:val="21"/>
              </w:rPr>
            </w:pPr>
            <w:r>
              <w:rPr>
                <w:rFonts w:eastAsiaTheme="minorEastAsia"/>
                <w:spacing w:val="-1"/>
                <w:szCs w:val="21"/>
              </w:rPr>
              <w:t>309-00-2</w:t>
            </w:r>
          </w:p>
        </w:tc>
        <w:tc>
          <w:tcPr>
            <w:tcW w:w="1671" w:type="pct"/>
            <w:vAlign w:val="center"/>
          </w:tcPr>
          <w:p>
            <w:pPr>
              <w:adjustRightInd w:val="0"/>
              <w:snapToGrid w:val="0"/>
              <w:jc w:val="center"/>
              <w:rPr>
                <w:rFonts w:eastAsiaTheme="minorEastAsia"/>
                <w:szCs w:val="21"/>
              </w:rPr>
            </w:pPr>
            <w:r>
              <w:rPr>
                <w:rFonts w:eastAsiaTheme="minorEastAsia"/>
                <w:spacing w:val="1"/>
                <w:szCs w:val="21"/>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71</w:t>
            </w:r>
          </w:p>
        </w:tc>
        <w:tc>
          <w:tcPr>
            <w:tcW w:w="1453" w:type="pct"/>
            <w:vAlign w:val="center"/>
          </w:tcPr>
          <w:p>
            <w:pPr>
              <w:adjustRightInd w:val="0"/>
              <w:snapToGrid w:val="0"/>
              <w:jc w:val="center"/>
              <w:rPr>
                <w:rFonts w:eastAsiaTheme="minorEastAsia"/>
                <w:szCs w:val="21"/>
              </w:rPr>
            </w:pPr>
            <w:r>
              <w:rPr>
                <w:rFonts w:eastAsiaTheme="minorEastAsia"/>
                <w:szCs w:val="21"/>
              </w:rPr>
              <w:t>狄氏剂</w:t>
            </w:r>
          </w:p>
        </w:tc>
        <w:tc>
          <w:tcPr>
            <w:tcW w:w="1417" w:type="pct"/>
            <w:vAlign w:val="center"/>
          </w:tcPr>
          <w:p>
            <w:pPr>
              <w:adjustRightInd w:val="0"/>
              <w:snapToGrid w:val="0"/>
              <w:jc w:val="center"/>
              <w:rPr>
                <w:rFonts w:eastAsiaTheme="minorEastAsia"/>
                <w:szCs w:val="21"/>
              </w:rPr>
            </w:pPr>
            <w:r>
              <w:rPr>
                <w:rFonts w:eastAsiaTheme="minorEastAsia"/>
                <w:szCs w:val="21"/>
              </w:rPr>
              <w:t>60-57-1</w:t>
            </w:r>
          </w:p>
        </w:tc>
        <w:tc>
          <w:tcPr>
            <w:tcW w:w="1671" w:type="pct"/>
            <w:vAlign w:val="center"/>
          </w:tcPr>
          <w:p>
            <w:pPr>
              <w:adjustRightInd w:val="0"/>
              <w:snapToGrid w:val="0"/>
              <w:jc w:val="center"/>
              <w:rPr>
                <w:rFonts w:eastAsiaTheme="minorEastAsia"/>
                <w:szCs w:val="21"/>
              </w:rPr>
            </w:pPr>
            <w:r>
              <w:rPr>
                <w:rFonts w:eastAsiaTheme="minorEastAsia"/>
                <w:spacing w:val="1"/>
                <w:szCs w:val="21"/>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72</w:t>
            </w:r>
          </w:p>
        </w:tc>
        <w:tc>
          <w:tcPr>
            <w:tcW w:w="1453" w:type="pct"/>
            <w:vAlign w:val="center"/>
          </w:tcPr>
          <w:p>
            <w:pPr>
              <w:adjustRightInd w:val="0"/>
              <w:snapToGrid w:val="0"/>
              <w:jc w:val="center"/>
              <w:rPr>
                <w:rFonts w:eastAsiaTheme="minorEastAsia"/>
                <w:szCs w:val="21"/>
              </w:rPr>
            </w:pPr>
            <w:r>
              <w:rPr>
                <w:rFonts w:eastAsiaTheme="minorEastAsia"/>
                <w:szCs w:val="21"/>
              </w:rPr>
              <w:t>异狄氏剂</w:t>
            </w:r>
          </w:p>
        </w:tc>
        <w:tc>
          <w:tcPr>
            <w:tcW w:w="1417" w:type="pct"/>
            <w:vAlign w:val="center"/>
          </w:tcPr>
          <w:p>
            <w:pPr>
              <w:adjustRightInd w:val="0"/>
              <w:snapToGrid w:val="0"/>
              <w:jc w:val="center"/>
              <w:rPr>
                <w:rFonts w:eastAsiaTheme="minorEastAsia"/>
                <w:szCs w:val="21"/>
              </w:rPr>
            </w:pPr>
            <w:r>
              <w:rPr>
                <w:rFonts w:eastAsiaTheme="minorEastAsia"/>
                <w:szCs w:val="21"/>
              </w:rPr>
              <w:t>72-20-8</w:t>
            </w:r>
          </w:p>
        </w:tc>
        <w:tc>
          <w:tcPr>
            <w:tcW w:w="1671" w:type="pct"/>
            <w:vAlign w:val="center"/>
          </w:tcPr>
          <w:p>
            <w:pPr>
              <w:adjustRightInd w:val="0"/>
              <w:snapToGrid w:val="0"/>
              <w:jc w:val="center"/>
              <w:rPr>
                <w:rFonts w:eastAsiaTheme="minorEastAsia"/>
                <w:szCs w:val="21"/>
              </w:rPr>
            </w:pPr>
            <w:r>
              <w:rPr>
                <w:rFonts w:eastAsiaTheme="minorEastAsia"/>
                <w:spacing w:val="1"/>
                <w:szCs w:val="21"/>
              </w:rPr>
              <w:t>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73</w:t>
            </w:r>
          </w:p>
        </w:tc>
        <w:tc>
          <w:tcPr>
            <w:tcW w:w="1453" w:type="pct"/>
            <w:vAlign w:val="center"/>
          </w:tcPr>
          <w:p>
            <w:pPr>
              <w:adjustRightInd w:val="0"/>
              <w:snapToGrid w:val="0"/>
              <w:jc w:val="center"/>
              <w:rPr>
                <w:rFonts w:eastAsiaTheme="minorEastAsia"/>
                <w:szCs w:val="21"/>
              </w:rPr>
            </w:pPr>
            <w:r>
              <w:rPr>
                <w:rFonts w:eastAsiaTheme="minorEastAsia"/>
                <w:szCs w:val="21"/>
              </w:rPr>
              <w:t>草甘膦</w:t>
            </w:r>
          </w:p>
        </w:tc>
        <w:tc>
          <w:tcPr>
            <w:tcW w:w="1417" w:type="pct"/>
            <w:vAlign w:val="center"/>
          </w:tcPr>
          <w:p>
            <w:pPr>
              <w:adjustRightInd w:val="0"/>
              <w:snapToGrid w:val="0"/>
              <w:jc w:val="center"/>
              <w:rPr>
                <w:rFonts w:eastAsiaTheme="minorEastAsia"/>
                <w:szCs w:val="21"/>
              </w:rPr>
            </w:pPr>
            <w:r>
              <w:rPr>
                <w:rFonts w:eastAsiaTheme="minorEastAsia"/>
                <w:spacing w:val="-1"/>
                <w:szCs w:val="21"/>
              </w:rPr>
              <w:t>1071-83-6</w:t>
            </w:r>
          </w:p>
        </w:tc>
        <w:tc>
          <w:tcPr>
            <w:tcW w:w="1671" w:type="pct"/>
            <w:vAlign w:val="center"/>
          </w:tcPr>
          <w:p>
            <w:pPr>
              <w:adjustRightInd w:val="0"/>
              <w:snapToGrid w:val="0"/>
              <w:jc w:val="center"/>
              <w:rPr>
                <w:rFonts w:eastAsiaTheme="minorEastAsia"/>
                <w:szCs w:val="21"/>
              </w:rPr>
            </w:pPr>
            <w:r>
              <w:rPr>
                <w:rFonts w:eastAsiaTheme="minorEastAsia"/>
                <w:szCs w:val="21"/>
              </w:rPr>
              <w:t>10</w:t>
            </w:r>
            <w:r>
              <w:rPr>
                <w:rFonts w:eastAsiaTheme="minorEastAsia"/>
                <w:spacing w:val="-1"/>
                <w:szCs w:val="21"/>
              </w:rPr>
              <w:t xml:space="preserve"> 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74</w:t>
            </w:r>
          </w:p>
        </w:tc>
        <w:tc>
          <w:tcPr>
            <w:tcW w:w="1453" w:type="pct"/>
            <w:vAlign w:val="center"/>
          </w:tcPr>
          <w:p>
            <w:pPr>
              <w:adjustRightInd w:val="0"/>
              <w:snapToGrid w:val="0"/>
              <w:jc w:val="center"/>
              <w:rPr>
                <w:rFonts w:eastAsiaTheme="minorEastAsia"/>
                <w:szCs w:val="21"/>
              </w:rPr>
            </w:pPr>
            <w:r>
              <w:rPr>
                <w:rFonts w:eastAsiaTheme="minorEastAsia"/>
                <w:szCs w:val="21"/>
              </w:rPr>
              <w:t>甲拌磷</w:t>
            </w:r>
          </w:p>
        </w:tc>
        <w:tc>
          <w:tcPr>
            <w:tcW w:w="1417" w:type="pct"/>
            <w:vAlign w:val="center"/>
          </w:tcPr>
          <w:p>
            <w:pPr>
              <w:adjustRightInd w:val="0"/>
              <w:snapToGrid w:val="0"/>
              <w:jc w:val="center"/>
              <w:rPr>
                <w:rFonts w:eastAsiaTheme="minorEastAsia"/>
                <w:szCs w:val="21"/>
              </w:rPr>
            </w:pPr>
            <w:r>
              <w:rPr>
                <w:rFonts w:eastAsiaTheme="minorEastAsia"/>
                <w:spacing w:val="-1"/>
                <w:szCs w:val="21"/>
              </w:rPr>
              <w:t>298-02-2</w:t>
            </w:r>
          </w:p>
        </w:tc>
        <w:tc>
          <w:tcPr>
            <w:tcW w:w="1671" w:type="pct"/>
            <w:vAlign w:val="center"/>
          </w:tcPr>
          <w:p>
            <w:pPr>
              <w:adjustRightInd w:val="0"/>
              <w:snapToGrid w:val="0"/>
              <w:jc w:val="center"/>
              <w:rPr>
                <w:rFonts w:eastAsiaTheme="minorEastAsia"/>
                <w:szCs w:val="21"/>
              </w:rPr>
            </w:pPr>
            <w:r>
              <w:rPr>
                <w:rFonts w:eastAsiaTheme="minorEastAsia"/>
                <w:spacing w:val="1"/>
                <w:szCs w:val="21"/>
              </w:rPr>
              <w:t>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75</w:t>
            </w:r>
          </w:p>
        </w:tc>
        <w:tc>
          <w:tcPr>
            <w:tcW w:w="1453" w:type="pct"/>
            <w:vAlign w:val="center"/>
          </w:tcPr>
          <w:p>
            <w:pPr>
              <w:adjustRightInd w:val="0"/>
              <w:snapToGrid w:val="0"/>
              <w:jc w:val="center"/>
              <w:rPr>
                <w:rFonts w:eastAsiaTheme="minorEastAsia"/>
                <w:szCs w:val="21"/>
              </w:rPr>
            </w:pPr>
            <w:r>
              <w:rPr>
                <w:rFonts w:eastAsiaTheme="minorEastAsia"/>
                <w:szCs w:val="21"/>
              </w:rPr>
              <w:t>乙拌磷</w:t>
            </w:r>
          </w:p>
        </w:tc>
        <w:tc>
          <w:tcPr>
            <w:tcW w:w="1417" w:type="pct"/>
            <w:vAlign w:val="center"/>
          </w:tcPr>
          <w:p>
            <w:pPr>
              <w:adjustRightInd w:val="0"/>
              <w:snapToGrid w:val="0"/>
              <w:jc w:val="center"/>
              <w:rPr>
                <w:rFonts w:eastAsiaTheme="minorEastAsia"/>
                <w:szCs w:val="21"/>
              </w:rPr>
            </w:pPr>
            <w:r>
              <w:rPr>
                <w:rFonts w:eastAsiaTheme="minorEastAsia"/>
                <w:spacing w:val="-1"/>
                <w:szCs w:val="21"/>
              </w:rPr>
              <w:t>298-04-4</w:t>
            </w:r>
          </w:p>
        </w:tc>
        <w:tc>
          <w:tcPr>
            <w:tcW w:w="1671" w:type="pct"/>
            <w:vAlign w:val="center"/>
          </w:tcPr>
          <w:p>
            <w:pPr>
              <w:adjustRightInd w:val="0"/>
              <w:snapToGrid w:val="0"/>
              <w:jc w:val="center"/>
              <w:rPr>
                <w:rFonts w:eastAsiaTheme="minorEastAsia"/>
                <w:szCs w:val="21"/>
              </w:rPr>
            </w:pPr>
            <w:r>
              <w:rPr>
                <w:rFonts w:eastAsiaTheme="minorEastAsia"/>
                <w:spacing w:val="1"/>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76</w:t>
            </w:r>
          </w:p>
        </w:tc>
        <w:tc>
          <w:tcPr>
            <w:tcW w:w="1453" w:type="pct"/>
            <w:vAlign w:val="center"/>
          </w:tcPr>
          <w:p>
            <w:pPr>
              <w:adjustRightInd w:val="0"/>
              <w:snapToGrid w:val="0"/>
              <w:jc w:val="center"/>
              <w:rPr>
                <w:rFonts w:eastAsiaTheme="minorEastAsia"/>
                <w:szCs w:val="21"/>
              </w:rPr>
            </w:pPr>
            <w:r>
              <w:rPr>
                <w:rFonts w:eastAsiaTheme="minorEastAsia"/>
                <w:szCs w:val="21"/>
              </w:rPr>
              <w:t>甲基对硫磷</w:t>
            </w:r>
          </w:p>
        </w:tc>
        <w:tc>
          <w:tcPr>
            <w:tcW w:w="1417" w:type="pct"/>
            <w:vAlign w:val="center"/>
          </w:tcPr>
          <w:p>
            <w:pPr>
              <w:adjustRightInd w:val="0"/>
              <w:snapToGrid w:val="0"/>
              <w:jc w:val="center"/>
              <w:rPr>
                <w:rFonts w:eastAsiaTheme="minorEastAsia"/>
                <w:szCs w:val="21"/>
              </w:rPr>
            </w:pPr>
            <w:r>
              <w:rPr>
                <w:rFonts w:eastAsiaTheme="minorEastAsia"/>
                <w:spacing w:val="-1"/>
                <w:szCs w:val="21"/>
              </w:rPr>
              <w:t>298-00-0</w:t>
            </w:r>
          </w:p>
        </w:tc>
        <w:tc>
          <w:tcPr>
            <w:tcW w:w="1671" w:type="pct"/>
            <w:vAlign w:val="center"/>
          </w:tcPr>
          <w:p>
            <w:pPr>
              <w:adjustRightInd w:val="0"/>
              <w:snapToGrid w:val="0"/>
              <w:jc w:val="center"/>
              <w:rPr>
                <w:rFonts w:eastAsiaTheme="minorEastAsia"/>
                <w:szCs w:val="21"/>
              </w:rPr>
            </w:pPr>
            <w:r>
              <w:rPr>
                <w:rFonts w:eastAsiaTheme="minorEastAsia"/>
                <w:spacing w:val="1"/>
                <w:szCs w:val="21"/>
              </w:rPr>
              <w:t>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77</w:t>
            </w:r>
          </w:p>
        </w:tc>
        <w:tc>
          <w:tcPr>
            <w:tcW w:w="1453" w:type="pct"/>
            <w:vAlign w:val="center"/>
          </w:tcPr>
          <w:p>
            <w:pPr>
              <w:adjustRightInd w:val="0"/>
              <w:snapToGrid w:val="0"/>
              <w:jc w:val="center"/>
              <w:rPr>
                <w:rFonts w:eastAsiaTheme="minorEastAsia"/>
                <w:szCs w:val="21"/>
              </w:rPr>
            </w:pPr>
            <w:r>
              <w:rPr>
                <w:rFonts w:eastAsiaTheme="minorEastAsia"/>
                <w:szCs w:val="21"/>
              </w:rPr>
              <w:t>二嗪磷</w:t>
            </w:r>
          </w:p>
        </w:tc>
        <w:tc>
          <w:tcPr>
            <w:tcW w:w="1417" w:type="pct"/>
            <w:vAlign w:val="center"/>
          </w:tcPr>
          <w:p>
            <w:pPr>
              <w:adjustRightInd w:val="0"/>
              <w:snapToGrid w:val="0"/>
              <w:jc w:val="center"/>
              <w:rPr>
                <w:rFonts w:eastAsiaTheme="minorEastAsia"/>
                <w:szCs w:val="21"/>
              </w:rPr>
            </w:pPr>
            <w:r>
              <w:rPr>
                <w:rFonts w:eastAsiaTheme="minorEastAsia"/>
                <w:spacing w:val="-1"/>
                <w:szCs w:val="21"/>
              </w:rPr>
              <w:t>333-41-5</w:t>
            </w:r>
          </w:p>
        </w:tc>
        <w:tc>
          <w:tcPr>
            <w:tcW w:w="1671" w:type="pct"/>
            <w:vAlign w:val="center"/>
          </w:tcPr>
          <w:p>
            <w:pPr>
              <w:adjustRightInd w:val="0"/>
              <w:snapToGrid w:val="0"/>
              <w:jc w:val="center"/>
              <w:rPr>
                <w:rFonts w:eastAsiaTheme="minorEastAsia"/>
                <w:szCs w:val="21"/>
              </w:rPr>
            </w:pPr>
            <w:r>
              <w:rPr>
                <w:rFonts w:eastAsiaTheme="minorEastAsia"/>
                <w:spacing w:val="1"/>
                <w:szCs w:val="21"/>
              </w:rPr>
              <w:t>207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59" w:type="pct"/>
            <w:shd w:val="clear" w:color="auto" w:fill="auto"/>
            <w:vAlign w:val="center"/>
          </w:tcPr>
          <w:p>
            <w:pPr>
              <w:adjustRightInd w:val="0"/>
              <w:snapToGrid w:val="0"/>
              <w:jc w:val="center"/>
              <w:rPr>
                <w:rFonts w:eastAsiaTheme="minorEastAsia"/>
                <w:szCs w:val="21"/>
              </w:rPr>
            </w:pPr>
            <w:r>
              <w:rPr>
                <w:rFonts w:eastAsiaTheme="minorEastAsia"/>
                <w:szCs w:val="21"/>
              </w:rPr>
              <w:t>78</w:t>
            </w:r>
          </w:p>
        </w:tc>
        <w:tc>
          <w:tcPr>
            <w:tcW w:w="1453" w:type="pct"/>
            <w:vAlign w:val="center"/>
          </w:tcPr>
          <w:p>
            <w:pPr>
              <w:adjustRightInd w:val="0"/>
              <w:snapToGrid w:val="0"/>
              <w:jc w:val="center"/>
              <w:rPr>
                <w:rFonts w:eastAsiaTheme="minorEastAsia"/>
                <w:szCs w:val="21"/>
              </w:rPr>
            </w:pPr>
            <w:r>
              <w:rPr>
                <w:rFonts w:eastAsiaTheme="minorEastAsia"/>
                <w:szCs w:val="21"/>
              </w:rPr>
              <w:t>环氧七氯</w:t>
            </w:r>
          </w:p>
        </w:tc>
        <w:tc>
          <w:tcPr>
            <w:tcW w:w="1417" w:type="pct"/>
            <w:vAlign w:val="center"/>
          </w:tcPr>
          <w:p>
            <w:pPr>
              <w:adjustRightInd w:val="0"/>
              <w:snapToGrid w:val="0"/>
              <w:jc w:val="center"/>
              <w:rPr>
                <w:rFonts w:eastAsiaTheme="minorEastAsia"/>
                <w:szCs w:val="21"/>
              </w:rPr>
            </w:pPr>
            <w:r>
              <w:rPr>
                <w:rFonts w:eastAsiaTheme="minorEastAsia"/>
                <w:spacing w:val="-1"/>
                <w:szCs w:val="21"/>
              </w:rPr>
              <w:t>1024-57-3</w:t>
            </w:r>
          </w:p>
        </w:tc>
        <w:tc>
          <w:tcPr>
            <w:tcW w:w="1671" w:type="pct"/>
            <w:vAlign w:val="center"/>
          </w:tcPr>
          <w:p>
            <w:pPr>
              <w:adjustRightInd w:val="0"/>
              <w:snapToGrid w:val="0"/>
              <w:jc w:val="center"/>
              <w:rPr>
                <w:rFonts w:eastAsiaTheme="minorEastAsia"/>
                <w:szCs w:val="21"/>
              </w:rPr>
            </w:pPr>
            <w:r>
              <w:rPr>
                <w:rFonts w:eastAsiaTheme="minorEastAsia"/>
                <w:spacing w:val="1"/>
                <w:szCs w:val="21"/>
              </w:rPr>
              <w:t>0.3</w:t>
            </w:r>
          </w:p>
        </w:tc>
      </w:tr>
    </w:tbl>
    <w:p>
      <w:pPr>
        <w:spacing w:line="480" w:lineRule="exact"/>
        <w:jc w:val="center"/>
        <w:rPr>
          <w:rFonts w:eastAsia="黑体"/>
          <w:sz w:val="24"/>
          <w:szCs w:val="24"/>
        </w:rPr>
      </w:pPr>
      <w:r>
        <w:rPr>
          <w:rFonts w:eastAsia="黑体"/>
          <w:sz w:val="24"/>
          <w:szCs w:val="24"/>
        </w:rPr>
        <w:t>表2.4-9    建设用地土壤污染风险筛选值一览表单位：mg/kg</w:t>
      </w:r>
    </w:p>
    <w:tbl>
      <w:tblPr>
        <w:tblStyle w:val="39"/>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41"/>
        <w:gridCol w:w="2586"/>
        <w:gridCol w:w="1701"/>
        <w:gridCol w:w="1692"/>
        <w:gridCol w:w="9"/>
        <w:gridCol w:w="209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Merge w:val="restart"/>
            <w:vAlign w:val="center"/>
          </w:tcPr>
          <w:p>
            <w:pPr>
              <w:widowControl/>
              <w:adjustRightInd w:val="0"/>
              <w:snapToGrid w:val="0"/>
              <w:jc w:val="center"/>
              <w:rPr>
                <w:szCs w:val="21"/>
              </w:rPr>
            </w:pPr>
            <w:r>
              <w:rPr>
                <w:szCs w:val="21"/>
              </w:rPr>
              <w:t>序号</w:t>
            </w:r>
          </w:p>
        </w:tc>
        <w:tc>
          <w:tcPr>
            <w:tcW w:w="2586" w:type="dxa"/>
            <w:vMerge w:val="restart"/>
            <w:vAlign w:val="center"/>
          </w:tcPr>
          <w:p>
            <w:pPr>
              <w:widowControl/>
              <w:adjustRightInd w:val="0"/>
              <w:snapToGrid w:val="0"/>
              <w:jc w:val="center"/>
              <w:rPr>
                <w:szCs w:val="21"/>
              </w:rPr>
            </w:pPr>
            <w:r>
              <w:rPr>
                <w:szCs w:val="21"/>
              </w:rPr>
              <w:t>污染物项目</w:t>
            </w:r>
          </w:p>
        </w:tc>
        <w:tc>
          <w:tcPr>
            <w:tcW w:w="1701" w:type="dxa"/>
            <w:vMerge w:val="restart"/>
            <w:vAlign w:val="center"/>
          </w:tcPr>
          <w:p>
            <w:pPr>
              <w:widowControl/>
              <w:adjustRightInd w:val="0"/>
              <w:snapToGrid w:val="0"/>
              <w:jc w:val="center"/>
              <w:rPr>
                <w:szCs w:val="21"/>
              </w:rPr>
            </w:pPr>
            <w:r>
              <w:rPr>
                <w:szCs w:val="21"/>
              </w:rPr>
              <w:t>CAS编号</w:t>
            </w:r>
          </w:p>
        </w:tc>
        <w:tc>
          <w:tcPr>
            <w:tcW w:w="3792" w:type="dxa"/>
            <w:gridSpan w:val="3"/>
            <w:vAlign w:val="center"/>
          </w:tcPr>
          <w:p>
            <w:pPr>
              <w:widowControl/>
              <w:adjustRightInd w:val="0"/>
              <w:snapToGrid w:val="0"/>
              <w:jc w:val="center"/>
              <w:rPr>
                <w:szCs w:val="21"/>
              </w:rPr>
            </w:pPr>
            <w:r>
              <w:rPr>
                <w:szCs w:val="21"/>
              </w:rPr>
              <w:t>筛选值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Merge w:val="continue"/>
            <w:vAlign w:val="center"/>
          </w:tcPr>
          <w:p>
            <w:pPr>
              <w:widowControl/>
              <w:adjustRightInd w:val="0"/>
              <w:snapToGrid w:val="0"/>
              <w:jc w:val="left"/>
              <w:rPr>
                <w:szCs w:val="21"/>
              </w:rPr>
            </w:pPr>
          </w:p>
        </w:tc>
        <w:tc>
          <w:tcPr>
            <w:tcW w:w="2586" w:type="dxa"/>
            <w:vMerge w:val="continue"/>
            <w:vAlign w:val="center"/>
          </w:tcPr>
          <w:p>
            <w:pPr>
              <w:widowControl/>
              <w:adjustRightInd w:val="0"/>
              <w:snapToGrid w:val="0"/>
              <w:jc w:val="left"/>
              <w:rPr>
                <w:szCs w:val="21"/>
              </w:rPr>
            </w:pPr>
          </w:p>
        </w:tc>
        <w:tc>
          <w:tcPr>
            <w:tcW w:w="1701" w:type="dxa"/>
            <w:vMerge w:val="continue"/>
            <w:vAlign w:val="center"/>
          </w:tcPr>
          <w:p>
            <w:pPr>
              <w:widowControl/>
              <w:adjustRightInd w:val="0"/>
              <w:snapToGrid w:val="0"/>
              <w:jc w:val="left"/>
              <w:rPr>
                <w:szCs w:val="21"/>
              </w:rPr>
            </w:pPr>
          </w:p>
        </w:tc>
        <w:tc>
          <w:tcPr>
            <w:tcW w:w="1692" w:type="dxa"/>
            <w:vAlign w:val="center"/>
          </w:tcPr>
          <w:p>
            <w:pPr>
              <w:widowControl/>
              <w:adjustRightInd w:val="0"/>
              <w:snapToGrid w:val="0"/>
              <w:jc w:val="center"/>
              <w:rPr>
                <w:szCs w:val="21"/>
              </w:rPr>
            </w:pPr>
            <w:r>
              <w:rPr>
                <w:szCs w:val="21"/>
              </w:rPr>
              <w:t>第二类用地</w:t>
            </w:r>
          </w:p>
        </w:tc>
        <w:tc>
          <w:tcPr>
            <w:tcW w:w="2100" w:type="dxa"/>
            <w:gridSpan w:val="2"/>
          </w:tcPr>
          <w:p>
            <w:pPr>
              <w:widowControl/>
              <w:adjustRightInd w:val="0"/>
              <w:snapToGrid w:val="0"/>
              <w:jc w:val="center"/>
              <w:rPr>
                <w:szCs w:val="21"/>
              </w:rPr>
            </w:pPr>
            <w:r>
              <w:rPr>
                <w:szCs w:val="21"/>
              </w:rPr>
              <w:t>第一类用地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720" w:type="dxa"/>
            <w:gridSpan w:val="6"/>
            <w:vAlign w:val="center"/>
          </w:tcPr>
          <w:p>
            <w:pPr>
              <w:widowControl/>
              <w:adjustRightInd w:val="0"/>
              <w:snapToGrid w:val="0"/>
              <w:jc w:val="center"/>
              <w:rPr>
                <w:szCs w:val="21"/>
              </w:rPr>
            </w:pPr>
            <w:r>
              <w:rPr>
                <w:szCs w:val="21"/>
              </w:rPr>
              <w:t>重金属和无机物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w:t>
            </w:r>
          </w:p>
        </w:tc>
        <w:tc>
          <w:tcPr>
            <w:tcW w:w="2586" w:type="dxa"/>
            <w:vAlign w:val="center"/>
          </w:tcPr>
          <w:p>
            <w:pPr>
              <w:widowControl/>
              <w:adjustRightInd w:val="0"/>
              <w:snapToGrid w:val="0"/>
              <w:jc w:val="center"/>
              <w:rPr>
                <w:szCs w:val="21"/>
              </w:rPr>
            </w:pPr>
            <w:r>
              <w:rPr>
                <w:szCs w:val="21"/>
              </w:rPr>
              <w:t>砷</w:t>
            </w:r>
          </w:p>
        </w:tc>
        <w:tc>
          <w:tcPr>
            <w:tcW w:w="1701" w:type="dxa"/>
            <w:vAlign w:val="center"/>
          </w:tcPr>
          <w:p>
            <w:pPr>
              <w:widowControl/>
              <w:adjustRightInd w:val="0"/>
              <w:snapToGrid w:val="0"/>
              <w:jc w:val="center"/>
              <w:rPr>
                <w:szCs w:val="21"/>
              </w:rPr>
            </w:pPr>
            <w:r>
              <w:rPr>
                <w:szCs w:val="21"/>
              </w:rPr>
              <w:t>7440-38-2</w:t>
            </w:r>
          </w:p>
        </w:tc>
        <w:tc>
          <w:tcPr>
            <w:tcW w:w="1692" w:type="dxa"/>
            <w:vAlign w:val="center"/>
          </w:tcPr>
          <w:p>
            <w:pPr>
              <w:widowControl/>
              <w:adjustRightInd w:val="0"/>
              <w:snapToGrid w:val="0"/>
              <w:jc w:val="center"/>
              <w:rPr>
                <w:szCs w:val="21"/>
              </w:rPr>
            </w:pPr>
            <w:r>
              <w:rPr>
                <w:szCs w:val="21"/>
              </w:rPr>
              <w:t>60</w:t>
            </w:r>
          </w:p>
        </w:tc>
        <w:tc>
          <w:tcPr>
            <w:tcW w:w="2100" w:type="dxa"/>
            <w:gridSpan w:val="2"/>
          </w:tcPr>
          <w:p>
            <w:pPr>
              <w:widowControl/>
              <w:adjustRightInd w:val="0"/>
              <w:snapToGrid w:val="0"/>
              <w:jc w:val="center"/>
              <w:rPr>
                <w:szCs w:val="21"/>
              </w:rPr>
            </w:pPr>
            <w:r>
              <w:rPr>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w:t>
            </w:r>
          </w:p>
        </w:tc>
        <w:tc>
          <w:tcPr>
            <w:tcW w:w="2586" w:type="dxa"/>
            <w:vAlign w:val="center"/>
          </w:tcPr>
          <w:p>
            <w:pPr>
              <w:widowControl/>
              <w:adjustRightInd w:val="0"/>
              <w:snapToGrid w:val="0"/>
              <w:jc w:val="center"/>
              <w:rPr>
                <w:szCs w:val="21"/>
              </w:rPr>
            </w:pPr>
            <w:r>
              <w:rPr>
                <w:szCs w:val="21"/>
              </w:rPr>
              <w:t>镉</w:t>
            </w:r>
          </w:p>
        </w:tc>
        <w:tc>
          <w:tcPr>
            <w:tcW w:w="1701" w:type="dxa"/>
            <w:vAlign w:val="center"/>
          </w:tcPr>
          <w:p>
            <w:pPr>
              <w:widowControl/>
              <w:adjustRightInd w:val="0"/>
              <w:snapToGrid w:val="0"/>
              <w:jc w:val="center"/>
              <w:rPr>
                <w:szCs w:val="21"/>
              </w:rPr>
            </w:pPr>
            <w:r>
              <w:rPr>
                <w:szCs w:val="21"/>
              </w:rPr>
              <w:t>7440-43-9</w:t>
            </w:r>
          </w:p>
        </w:tc>
        <w:tc>
          <w:tcPr>
            <w:tcW w:w="1692" w:type="dxa"/>
            <w:vAlign w:val="center"/>
          </w:tcPr>
          <w:p>
            <w:pPr>
              <w:widowControl/>
              <w:adjustRightInd w:val="0"/>
              <w:snapToGrid w:val="0"/>
              <w:jc w:val="center"/>
              <w:rPr>
                <w:szCs w:val="21"/>
              </w:rPr>
            </w:pPr>
            <w:r>
              <w:rPr>
                <w:szCs w:val="21"/>
              </w:rPr>
              <w:t>65</w:t>
            </w:r>
          </w:p>
        </w:tc>
        <w:tc>
          <w:tcPr>
            <w:tcW w:w="2100" w:type="dxa"/>
            <w:gridSpan w:val="2"/>
          </w:tcPr>
          <w:p>
            <w:pPr>
              <w:widowControl/>
              <w:adjustRightInd w:val="0"/>
              <w:snapToGrid w:val="0"/>
              <w:jc w:val="center"/>
              <w:rPr>
                <w:szCs w:val="21"/>
              </w:rPr>
            </w:pPr>
            <w:r>
              <w:rPr>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w:t>
            </w:r>
          </w:p>
        </w:tc>
        <w:tc>
          <w:tcPr>
            <w:tcW w:w="2586" w:type="dxa"/>
            <w:vAlign w:val="center"/>
          </w:tcPr>
          <w:p>
            <w:pPr>
              <w:widowControl/>
              <w:adjustRightInd w:val="0"/>
              <w:snapToGrid w:val="0"/>
              <w:jc w:val="center"/>
              <w:rPr>
                <w:szCs w:val="21"/>
              </w:rPr>
            </w:pPr>
            <w:r>
              <w:rPr>
                <w:szCs w:val="21"/>
              </w:rPr>
              <w:t>铬（六价）</w:t>
            </w:r>
          </w:p>
        </w:tc>
        <w:tc>
          <w:tcPr>
            <w:tcW w:w="1701" w:type="dxa"/>
            <w:vAlign w:val="center"/>
          </w:tcPr>
          <w:p>
            <w:pPr>
              <w:widowControl/>
              <w:adjustRightInd w:val="0"/>
              <w:snapToGrid w:val="0"/>
              <w:jc w:val="center"/>
              <w:rPr>
                <w:szCs w:val="21"/>
              </w:rPr>
            </w:pPr>
            <w:r>
              <w:rPr>
                <w:szCs w:val="21"/>
              </w:rPr>
              <w:t>18540-29-9</w:t>
            </w:r>
          </w:p>
        </w:tc>
        <w:tc>
          <w:tcPr>
            <w:tcW w:w="1692" w:type="dxa"/>
            <w:vAlign w:val="center"/>
          </w:tcPr>
          <w:p>
            <w:pPr>
              <w:widowControl/>
              <w:adjustRightInd w:val="0"/>
              <w:snapToGrid w:val="0"/>
              <w:jc w:val="center"/>
              <w:rPr>
                <w:szCs w:val="21"/>
              </w:rPr>
            </w:pPr>
            <w:r>
              <w:rPr>
                <w:szCs w:val="21"/>
              </w:rPr>
              <w:t>5.7</w:t>
            </w:r>
          </w:p>
        </w:tc>
        <w:tc>
          <w:tcPr>
            <w:tcW w:w="2100" w:type="dxa"/>
            <w:gridSpan w:val="2"/>
          </w:tcPr>
          <w:p>
            <w:pPr>
              <w:widowControl/>
              <w:adjustRightInd w:val="0"/>
              <w:snapToGrid w:val="0"/>
              <w:jc w:val="center"/>
              <w:rPr>
                <w:szCs w:val="21"/>
              </w:rPr>
            </w:pPr>
            <w:r>
              <w:rPr>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w:t>
            </w:r>
          </w:p>
        </w:tc>
        <w:tc>
          <w:tcPr>
            <w:tcW w:w="2586" w:type="dxa"/>
            <w:vAlign w:val="center"/>
          </w:tcPr>
          <w:p>
            <w:pPr>
              <w:widowControl/>
              <w:adjustRightInd w:val="0"/>
              <w:snapToGrid w:val="0"/>
              <w:jc w:val="center"/>
              <w:rPr>
                <w:szCs w:val="21"/>
              </w:rPr>
            </w:pPr>
            <w:r>
              <w:rPr>
                <w:szCs w:val="21"/>
              </w:rPr>
              <w:t>铜</w:t>
            </w:r>
          </w:p>
        </w:tc>
        <w:tc>
          <w:tcPr>
            <w:tcW w:w="1701" w:type="dxa"/>
            <w:vAlign w:val="center"/>
          </w:tcPr>
          <w:p>
            <w:pPr>
              <w:widowControl/>
              <w:adjustRightInd w:val="0"/>
              <w:snapToGrid w:val="0"/>
              <w:jc w:val="center"/>
              <w:rPr>
                <w:szCs w:val="21"/>
              </w:rPr>
            </w:pPr>
            <w:r>
              <w:rPr>
                <w:szCs w:val="21"/>
              </w:rPr>
              <w:t>7440-50-8</w:t>
            </w:r>
          </w:p>
        </w:tc>
        <w:tc>
          <w:tcPr>
            <w:tcW w:w="1692" w:type="dxa"/>
            <w:vAlign w:val="center"/>
          </w:tcPr>
          <w:p>
            <w:pPr>
              <w:widowControl/>
              <w:adjustRightInd w:val="0"/>
              <w:snapToGrid w:val="0"/>
              <w:jc w:val="center"/>
              <w:rPr>
                <w:szCs w:val="21"/>
              </w:rPr>
            </w:pPr>
            <w:r>
              <w:rPr>
                <w:szCs w:val="21"/>
              </w:rPr>
              <w:t>18000</w:t>
            </w:r>
          </w:p>
        </w:tc>
        <w:tc>
          <w:tcPr>
            <w:tcW w:w="2100" w:type="dxa"/>
            <w:gridSpan w:val="2"/>
          </w:tcPr>
          <w:p>
            <w:pPr>
              <w:widowControl/>
              <w:adjustRightInd w:val="0"/>
              <w:snapToGrid w:val="0"/>
              <w:jc w:val="center"/>
              <w:rPr>
                <w:szCs w:val="21"/>
              </w:rPr>
            </w:pPr>
            <w:r>
              <w:rPr>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5</w:t>
            </w:r>
          </w:p>
        </w:tc>
        <w:tc>
          <w:tcPr>
            <w:tcW w:w="2586" w:type="dxa"/>
            <w:vAlign w:val="center"/>
          </w:tcPr>
          <w:p>
            <w:pPr>
              <w:widowControl/>
              <w:adjustRightInd w:val="0"/>
              <w:snapToGrid w:val="0"/>
              <w:jc w:val="center"/>
              <w:rPr>
                <w:szCs w:val="21"/>
              </w:rPr>
            </w:pPr>
            <w:r>
              <w:rPr>
                <w:szCs w:val="21"/>
              </w:rPr>
              <w:t>铅</w:t>
            </w:r>
          </w:p>
        </w:tc>
        <w:tc>
          <w:tcPr>
            <w:tcW w:w="1701" w:type="dxa"/>
            <w:vAlign w:val="center"/>
          </w:tcPr>
          <w:p>
            <w:pPr>
              <w:widowControl/>
              <w:adjustRightInd w:val="0"/>
              <w:snapToGrid w:val="0"/>
              <w:jc w:val="center"/>
              <w:rPr>
                <w:szCs w:val="21"/>
              </w:rPr>
            </w:pPr>
            <w:r>
              <w:rPr>
                <w:szCs w:val="21"/>
              </w:rPr>
              <w:t>7439-92-1</w:t>
            </w:r>
          </w:p>
        </w:tc>
        <w:tc>
          <w:tcPr>
            <w:tcW w:w="1692" w:type="dxa"/>
            <w:vAlign w:val="center"/>
          </w:tcPr>
          <w:p>
            <w:pPr>
              <w:widowControl/>
              <w:adjustRightInd w:val="0"/>
              <w:snapToGrid w:val="0"/>
              <w:jc w:val="center"/>
              <w:rPr>
                <w:szCs w:val="21"/>
              </w:rPr>
            </w:pPr>
            <w:r>
              <w:rPr>
                <w:szCs w:val="21"/>
              </w:rPr>
              <w:t>800</w:t>
            </w:r>
          </w:p>
        </w:tc>
        <w:tc>
          <w:tcPr>
            <w:tcW w:w="2100" w:type="dxa"/>
            <w:gridSpan w:val="2"/>
          </w:tcPr>
          <w:p>
            <w:pPr>
              <w:widowControl/>
              <w:adjustRightInd w:val="0"/>
              <w:snapToGrid w:val="0"/>
              <w:jc w:val="center"/>
              <w:rPr>
                <w:szCs w:val="21"/>
              </w:rPr>
            </w:pPr>
            <w:r>
              <w:rPr>
                <w:szCs w:val="21"/>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6</w:t>
            </w:r>
          </w:p>
        </w:tc>
        <w:tc>
          <w:tcPr>
            <w:tcW w:w="2586" w:type="dxa"/>
            <w:vAlign w:val="center"/>
          </w:tcPr>
          <w:p>
            <w:pPr>
              <w:widowControl/>
              <w:adjustRightInd w:val="0"/>
              <w:snapToGrid w:val="0"/>
              <w:jc w:val="center"/>
              <w:rPr>
                <w:szCs w:val="21"/>
              </w:rPr>
            </w:pPr>
            <w:r>
              <w:rPr>
                <w:szCs w:val="21"/>
              </w:rPr>
              <w:t>汞</w:t>
            </w:r>
          </w:p>
        </w:tc>
        <w:tc>
          <w:tcPr>
            <w:tcW w:w="1701" w:type="dxa"/>
            <w:vAlign w:val="center"/>
          </w:tcPr>
          <w:p>
            <w:pPr>
              <w:widowControl/>
              <w:adjustRightInd w:val="0"/>
              <w:snapToGrid w:val="0"/>
              <w:jc w:val="center"/>
              <w:rPr>
                <w:szCs w:val="21"/>
              </w:rPr>
            </w:pPr>
            <w:r>
              <w:rPr>
                <w:szCs w:val="21"/>
              </w:rPr>
              <w:t>7439-97-6</w:t>
            </w:r>
          </w:p>
        </w:tc>
        <w:tc>
          <w:tcPr>
            <w:tcW w:w="1692" w:type="dxa"/>
            <w:vAlign w:val="center"/>
          </w:tcPr>
          <w:p>
            <w:pPr>
              <w:widowControl/>
              <w:adjustRightInd w:val="0"/>
              <w:snapToGrid w:val="0"/>
              <w:jc w:val="center"/>
              <w:rPr>
                <w:szCs w:val="21"/>
              </w:rPr>
            </w:pPr>
            <w:r>
              <w:rPr>
                <w:szCs w:val="21"/>
              </w:rPr>
              <w:t>38</w:t>
            </w:r>
          </w:p>
        </w:tc>
        <w:tc>
          <w:tcPr>
            <w:tcW w:w="2100" w:type="dxa"/>
            <w:gridSpan w:val="2"/>
          </w:tcPr>
          <w:p>
            <w:pPr>
              <w:widowControl/>
              <w:adjustRightInd w:val="0"/>
              <w:snapToGrid w:val="0"/>
              <w:jc w:val="center"/>
              <w:rPr>
                <w:szCs w:val="21"/>
              </w:rPr>
            </w:pPr>
            <w:r>
              <w:rPr>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7</w:t>
            </w:r>
          </w:p>
        </w:tc>
        <w:tc>
          <w:tcPr>
            <w:tcW w:w="2586" w:type="dxa"/>
            <w:vAlign w:val="center"/>
          </w:tcPr>
          <w:p>
            <w:pPr>
              <w:widowControl/>
              <w:adjustRightInd w:val="0"/>
              <w:snapToGrid w:val="0"/>
              <w:jc w:val="center"/>
              <w:rPr>
                <w:szCs w:val="21"/>
              </w:rPr>
            </w:pPr>
            <w:r>
              <w:rPr>
                <w:szCs w:val="21"/>
              </w:rPr>
              <w:t>镍</w:t>
            </w:r>
          </w:p>
        </w:tc>
        <w:tc>
          <w:tcPr>
            <w:tcW w:w="1701" w:type="dxa"/>
            <w:vAlign w:val="center"/>
          </w:tcPr>
          <w:p>
            <w:pPr>
              <w:widowControl/>
              <w:adjustRightInd w:val="0"/>
              <w:snapToGrid w:val="0"/>
              <w:jc w:val="center"/>
              <w:rPr>
                <w:szCs w:val="21"/>
              </w:rPr>
            </w:pPr>
            <w:r>
              <w:rPr>
                <w:szCs w:val="21"/>
              </w:rPr>
              <w:t>7440-02-0</w:t>
            </w:r>
          </w:p>
        </w:tc>
        <w:tc>
          <w:tcPr>
            <w:tcW w:w="1692" w:type="dxa"/>
            <w:vAlign w:val="center"/>
          </w:tcPr>
          <w:p>
            <w:pPr>
              <w:widowControl/>
              <w:adjustRightInd w:val="0"/>
              <w:snapToGrid w:val="0"/>
              <w:jc w:val="center"/>
              <w:rPr>
                <w:szCs w:val="21"/>
              </w:rPr>
            </w:pPr>
            <w:r>
              <w:rPr>
                <w:szCs w:val="21"/>
              </w:rPr>
              <w:t>900</w:t>
            </w:r>
          </w:p>
        </w:tc>
        <w:tc>
          <w:tcPr>
            <w:tcW w:w="2100" w:type="dxa"/>
            <w:gridSpan w:val="2"/>
          </w:tcPr>
          <w:p>
            <w:pPr>
              <w:widowControl/>
              <w:adjustRightInd w:val="0"/>
              <w:snapToGrid w:val="0"/>
              <w:jc w:val="center"/>
              <w:rPr>
                <w:szCs w:val="21"/>
              </w:rPr>
            </w:pPr>
            <w:r>
              <w:rPr>
                <w:szCs w:val="21"/>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720" w:type="dxa"/>
            <w:gridSpan w:val="6"/>
            <w:vAlign w:val="center"/>
          </w:tcPr>
          <w:p>
            <w:pPr>
              <w:widowControl/>
              <w:adjustRightInd w:val="0"/>
              <w:snapToGrid w:val="0"/>
              <w:jc w:val="center"/>
              <w:rPr>
                <w:szCs w:val="21"/>
              </w:rPr>
            </w:pPr>
            <w:r>
              <w:rPr>
                <w:szCs w:val="21"/>
              </w:rPr>
              <w:t>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8</w:t>
            </w:r>
          </w:p>
        </w:tc>
        <w:tc>
          <w:tcPr>
            <w:tcW w:w="2586" w:type="dxa"/>
            <w:vAlign w:val="center"/>
          </w:tcPr>
          <w:p>
            <w:pPr>
              <w:widowControl/>
              <w:adjustRightInd w:val="0"/>
              <w:snapToGrid w:val="0"/>
              <w:jc w:val="center"/>
              <w:rPr>
                <w:szCs w:val="21"/>
              </w:rPr>
            </w:pPr>
            <w:r>
              <w:rPr>
                <w:szCs w:val="21"/>
              </w:rPr>
              <w:t>四氯化碳</w:t>
            </w:r>
          </w:p>
        </w:tc>
        <w:tc>
          <w:tcPr>
            <w:tcW w:w="1701" w:type="dxa"/>
            <w:vAlign w:val="center"/>
          </w:tcPr>
          <w:p>
            <w:pPr>
              <w:widowControl/>
              <w:adjustRightInd w:val="0"/>
              <w:snapToGrid w:val="0"/>
              <w:jc w:val="center"/>
              <w:rPr>
                <w:szCs w:val="21"/>
              </w:rPr>
            </w:pPr>
            <w:r>
              <w:rPr>
                <w:szCs w:val="21"/>
              </w:rPr>
              <w:t>56-23-5</w:t>
            </w:r>
          </w:p>
        </w:tc>
        <w:tc>
          <w:tcPr>
            <w:tcW w:w="1692" w:type="dxa"/>
            <w:vAlign w:val="center"/>
          </w:tcPr>
          <w:p>
            <w:pPr>
              <w:widowControl/>
              <w:adjustRightInd w:val="0"/>
              <w:snapToGrid w:val="0"/>
              <w:jc w:val="center"/>
              <w:rPr>
                <w:szCs w:val="21"/>
              </w:rPr>
            </w:pPr>
            <w:r>
              <w:rPr>
                <w:szCs w:val="21"/>
              </w:rPr>
              <w:t>2.8</w:t>
            </w:r>
          </w:p>
        </w:tc>
        <w:tc>
          <w:tcPr>
            <w:tcW w:w="2100" w:type="dxa"/>
            <w:gridSpan w:val="2"/>
          </w:tcPr>
          <w:p>
            <w:pPr>
              <w:widowControl/>
              <w:adjustRightInd w:val="0"/>
              <w:snapToGrid w:val="0"/>
              <w:jc w:val="center"/>
              <w:rPr>
                <w:szCs w:val="21"/>
              </w:rPr>
            </w:pPr>
            <w:r>
              <w:rPr>
                <w:szCs w:val="21"/>
              </w:rPr>
              <w:t>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9</w:t>
            </w:r>
          </w:p>
        </w:tc>
        <w:tc>
          <w:tcPr>
            <w:tcW w:w="2586" w:type="dxa"/>
            <w:vAlign w:val="center"/>
          </w:tcPr>
          <w:p>
            <w:pPr>
              <w:widowControl/>
              <w:adjustRightInd w:val="0"/>
              <w:snapToGrid w:val="0"/>
              <w:jc w:val="center"/>
              <w:rPr>
                <w:szCs w:val="21"/>
              </w:rPr>
            </w:pPr>
            <w:r>
              <w:rPr>
                <w:szCs w:val="21"/>
              </w:rPr>
              <w:t>氯仿</w:t>
            </w:r>
          </w:p>
        </w:tc>
        <w:tc>
          <w:tcPr>
            <w:tcW w:w="1701" w:type="dxa"/>
            <w:vAlign w:val="center"/>
          </w:tcPr>
          <w:p>
            <w:pPr>
              <w:widowControl/>
              <w:adjustRightInd w:val="0"/>
              <w:snapToGrid w:val="0"/>
              <w:jc w:val="center"/>
              <w:rPr>
                <w:szCs w:val="21"/>
              </w:rPr>
            </w:pPr>
            <w:r>
              <w:rPr>
                <w:szCs w:val="21"/>
              </w:rPr>
              <w:t>67-66-3</w:t>
            </w:r>
          </w:p>
        </w:tc>
        <w:tc>
          <w:tcPr>
            <w:tcW w:w="1692" w:type="dxa"/>
            <w:vAlign w:val="center"/>
          </w:tcPr>
          <w:p>
            <w:pPr>
              <w:widowControl/>
              <w:adjustRightInd w:val="0"/>
              <w:snapToGrid w:val="0"/>
              <w:jc w:val="center"/>
              <w:rPr>
                <w:szCs w:val="21"/>
              </w:rPr>
            </w:pPr>
            <w:r>
              <w:rPr>
                <w:szCs w:val="21"/>
              </w:rPr>
              <w:t>0.9</w:t>
            </w:r>
          </w:p>
        </w:tc>
        <w:tc>
          <w:tcPr>
            <w:tcW w:w="2100" w:type="dxa"/>
            <w:gridSpan w:val="2"/>
          </w:tcPr>
          <w:p>
            <w:pPr>
              <w:widowControl/>
              <w:adjustRightInd w:val="0"/>
              <w:snapToGrid w:val="0"/>
              <w:jc w:val="center"/>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10</w:t>
            </w:r>
          </w:p>
        </w:tc>
        <w:tc>
          <w:tcPr>
            <w:tcW w:w="2586" w:type="dxa"/>
            <w:vAlign w:val="center"/>
          </w:tcPr>
          <w:p>
            <w:pPr>
              <w:widowControl/>
              <w:adjustRightInd w:val="0"/>
              <w:snapToGrid w:val="0"/>
              <w:jc w:val="center"/>
              <w:rPr>
                <w:szCs w:val="21"/>
              </w:rPr>
            </w:pPr>
            <w:r>
              <w:rPr>
                <w:szCs w:val="21"/>
              </w:rPr>
              <w:t>氯甲烷</w:t>
            </w:r>
          </w:p>
        </w:tc>
        <w:tc>
          <w:tcPr>
            <w:tcW w:w="1701" w:type="dxa"/>
            <w:vAlign w:val="center"/>
          </w:tcPr>
          <w:p>
            <w:pPr>
              <w:widowControl/>
              <w:adjustRightInd w:val="0"/>
              <w:snapToGrid w:val="0"/>
              <w:jc w:val="center"/>
              <w:rPr>
                <w:szCs w:val="21"/>
              </w:rPr>
            </w:pPr>
            <w:r>
              <w:rPr>
                <w:szCs w:val="21"/>
              </w:rPr>
              <w:t>74-87-3</w:t>
            </w:r>
          </w:p>
        </w:tc>
        <w:tc>
          <w:tcPr>
            <w:tcW w:w="1692" w:type="dxa"/>
            <w:vAlign w:val="center"/>
          </w:tcPr>
          <w:p>
            <w:pPr>
              <w:widowControl/>
              <w:adjustRightInd w:val="0"/>
              <w:snapToGrid w:val="0"/>
              <w:jc w:val="center"/>
              <w:rPr>
                <w:szCs w:val="21"/>
              </w:rPr>
            </w:pPr>
            <w:r>
              <w:rPr>
                <w:szCs w:val="21"/>
              </w:rPr>
              <w:t>37</w:t>
            </w:r>
          </w:p>
        </w:tc>
        <w:tc>
          <w:tcPr>
            <w:tcW w:w="2100" w:type="dxa"/>
            <w:gridSpan w:val="2"/>
          </w:tcPr>
          <w:p>
            <w:pPr>
              <w:widowControl/>
              <w:adjustRightInd w:val="0"/>
              <w:snapToGrid w:val="0"/>
              <w:jc w:val="center"/>
              <w:rPr>
                <w:szCs w:val="21"/>
              </w:rPr>
            </w:pPr>
            <w:r>
              <w:rPr>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11</w:t>
            </w:r>
          </w:p>
        </w:tc>
        <w:tc>
          <w:tcPr>
            <w:tcW w:w="2586" w:type="dxa"/>
            <w:vAlign w:val="center"/>
          </w:tcPr>
          <w:p>
            <w:pPr>
              <w:widowControl/>
              <w:adjustRightInd w:val="0"/>
              <w:snapToGrid w:val="0"/>
              <w:jc w:val="center"/>
              <w:rPr>
                <w:szCs w:val="21"/>
              </w:rPr>
            </w:pPr>
            <w:r>
              <w:rPr>
                <w:szCs w:val="21"/>
              </w:rPr>
              <w:t>1,1-二氯乙烷</w:t>
            </w:r>
          </w:p>
        </w:tc>
        <w:tc>
          <w:tcPr>
            <w:tcW w:w="1701" w:type="dxa"/>
            <w:vAlign w:val="center"/>
          </w:tcPr>
          <w:p>
            <w:pPr>
              <w:widowControl/>
              <w:adjustRightInd w:val="0"/>
              <w:snapToGrid w:val="0"/>
              <w:jc w:val="center"/>
              <w:rPr>
                <w:szCs w:val="21"/>
              </w:rPr>
            </w:pPr>
            <w:r>
              <w:rPr>
                <w:szCs w:val="21"/>
              </w:rPr>
              <w:t>75-34-3</w:t>
            </w:r>
          </w:p>
        </w:tc>
        <w:tc>
          <w:tcPr>
            <w:tcW w:w="1692" w:type="dxa"/>
            <w:vAlign w:val="center"/>
          </w:tcPr>
          <w:p>
            <w:pPr>
              <w:widowControl/>
              <w:adjustRightInd w:val="0"/>
              <w:snapToGrid w:val="0"/>
              <w:jc w:val="center"/>
              <w:rPr>
                <w:szCs w:val="21"/>
              </w:rPr>
            </w:pPr>
            <w:r>
              <w:rPr>
                <w:szCs w:val="21"/>
              </w:rPr>
              <w:t>9</w:t>
            </w:r>
          </w:p>
        </w:tc>
        <w:tc>
          <w:tcPr>
            <w:tcW w:w="2100" w:type="dxa"/>
            <w:gridSpan w:val="2"/>
          </w:tcPr>
          <w:p>
            <w:pPr>
              <w:widowControl/>
              <w:adjustRightInd w:val="0"/>
              <w:snapToGrid w:val="0"/>
              <w:jc w:val="center"/>
              <w:rPr>
                <w:szCs w:val="21"/>
              </w:rPr>
            </w:pPr>
            <w:r>
              <w:rPr>
                <w:szCs w:val="21"/>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12</w:t>
            </w:r>
          </w:p>
        </w:tc>
        <w:tc>
          <w:tcPr>
            <w:tcW w:w="2586" w:type="dxa"/>
            <w:vAlign w:val="center"/>
          </w:tcPr>
          <w:p>
            <w:pPr>
              <w:widowControl/>
              <w:adjustRightInd w:val="0"/>
              <w:snapToGrid w:val="0"/>
              <w:jc w:val="center"/>
              <w:rPr>
                <w:szCs w:val="21"/>
              </w:rPr>
            </w:pPr>
            <w:r>
              <w:rPr>
                <w:szCs w:val="21"/>
              </w:rPr>
              <w:t>1,2-二氯乙烷</w:t>
            </w:r>
          </w:p>
        </w:tc>
        <w:tc>
          <w:tcPr>
            <w:tcW w:w="1701" w:type="dxa"/>
            <w:vAlign w:val="center"/>
          </w:tcPr>
          <w:p>
            <w:pPr>
              <w:widowControl/>
              <w:adjustRightInd w:val="0"/>
              <w:snapToGrid w:val="0"/>
              <w:jc w:val="center"/>
              <w:rPr>
                <w:szCs w:val="21"/>
              </w:rPr>
            </w:pPr>
            <w:r>
              <w:rPr>
                <w:szCs w:val="21"/>
              </w:rPr>
              <w:t>107-06-2</w:t>
            </w:r>
          </w:p>
        </w:tc>
        <w:tc>
          <w:tcPr>
            <w:tcW w:w="1692" w:type="dxa"/>
            <w:vAlign w:val="center"/>
          </w:tcPr>
          <w:p>
            <w:pPr>
              <w:widowControl/>
              <w:adjustRightInd w:val="0"/>
              <w:snapToGrid w:val="0"/>
              <w:jc w:val="center"/>
              <w:rPr>
                <w:szCs w:val="21"/>
              </w:rPr>
            </w:pPr>
            <w:r>
              <w:rPr>
                <w:szCs w:val="21"/>
              </w:rPr>
              <w:t>5</w:t>
            </w:r>
          </w:p>
        </w:tc>
        <w:tc>
          <w:tcPr>
            <w:tcW w:w="2100" w:type="dxa"/>
            <w:gridSpan w:val="2"/>
          </w:tcPr>
          <w:p>
            <w:pPr>
              <w:widowControl/>
              <w:adjustRightInd w:val="0"/>
              <w:snapToGrid w:val="0"/>
              <w:jc w:val="center"/>
              <w:rPr>
                <w:szCs w:val="21"/>
              </w:rPr>
            </w:pPr>
            <w:r>
              <w:rPr>
                <w:szCs w:val="21"/>
              </w:rPr>
              <w:t>0.52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720" w:type="dxa"/>
            <w:gridSpan w:val="6"/>
            <w:vAlign w:val="center"/>
          </w:tcPr>
          <w:p>
            <w:pPr>
              <w:widowControl/>
              <w:adjustRightInd w:val="0"/>
              <w:snapToGrid w:val="0"/>
              <w:jc w:val="center"/>
              <w:rPr>
                <w:szCs w:val="21"/>
              </w:rPr>
            </w:pPr>
            <w:r>
              <w:rPr>
                <w:szCs w:val="21"/>
              </w:rPr>
              <w:t>半挥发性有机物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13</w:t>
            </w:r>
          </w:p>
        </w:tc>
        <w:tc>
          <w:tcPr>
            <w:tcW w:w="2586" w:type="dxa"/>
            <w:vAlign w:val="center"/>
          </w:tcPr>
          <w:p>
            <w:pPr>
              <w:widowControl/>
              <w:adjustRightInd w:val="0"/>
              <w:snapToGrid w:val="0"/>
              <w:jc w:val="center"/>
              <w:rPr>
                <w:szCs w:val="21"/>
              </w:rPr>
            </w:pPr>
            <w:r>
              <w:rPr>
                <w:szCs w:val="21"/>
              </w:rPr>
              <w:t>1,1-二氯乙烯</w:t>
            </w:r>
          </w:p>
        </w:tc>
        <w:tc>
          <w:tcPr>
            <w:tcW w:w="1701" w:type="dxa"/>
            <w:vAlign w:val="center"/>
          </w:tcPr>
          <w:p>
            <w:pPr>
              <w:widowControl/>
              <w:adjustRightInd w:val="0"/>
              <w:snapToGrid w:val="0"/>
              <w:jc w:val="center"/>
              <w:rPr>
                <w:szCs w:val="21"/>
              </w:rPr>
            </w:pPr>
            <w:r>
              <w:rPr>
                <w:szCs w:val="21"/>
              </w:rPr>
              <w:t>75-35-4</w:t>
            </w:r>
          </w:p>
        </w:tc>
        <w:tc>
          <w:tcPr>
            <w:tcW w:w="1701" w:type="dxa"/>
            <w:gridSpan w:val="2"/>
            <w:vAlign w:val="center"/>
          </w:tcPr>
          <w:p>
            <w:pPr>
              <w:widowControl/>
              <w:adjustRightInd w:val="0"/>
              <w:snapToGrid w:val="0"/>
              <w:jc w:val="center"/>
              <w:rPr>
                <w:szCs w:val="21"/>
              </w:rPr>
            </w:pPr>
            <w:r>
              <w:rPr>
                <w:szCs w:val="21"/>
              </w:rPr>
              <w:t>66</w:t>
            </w:r>
          </w:p>
        </w:tc>
        <w:tc>
          <w:tcPr>
            <w:tcW w:w="2091" w:type="dxa"/>
          </w:tcPr>
          <w:p>
            <w:pPr>
              <w:widowControl/>
              <w:adjustRightInd w:val="0"/>
              <w:snapToGrid w:val="0"/>
              <w:jc w:val="center"/>
              <w:rPr>
                <w:szCs w:val="21"/>
              </w:rPr>
            </w:pPr>
            <w:r>
              <w:rPr>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14</w:t>
            </w:r>
          </w:p>
        </w:tc>
        <w:tc>
          <w:tcPr>
            <w:tcW w:w="2586" w:type="dxa"/>
            <w:vAlign w:val="center"/>
          </w:tcPr>
          <w:p>
            <w:pPr>
              <w:widowControl/>
              <w:adjustRightInd w:val="0"/>
              <w:snapToGrid w:val="0"/>
              <w:jc w:val="center"/>
              <w:rPr>
                <w:szCs w:val="21"/>
              </w:rPr>
            </w:pPr>
            <w:r>
              <w:rPr>
                <w:szCs w:val="21"/>
              </w:rPr>
              <w:t>顺-1,2-二氯乙烯</w:t>
            </w:r>
          </w:p>
        </w:tc>
        <w:tc>
          <w:tcPr>
            <w:tcW w:w="1701" w:type="dxa"/>
            <w:vAlign w:val="center"/>
          </w:tcPr>
          <w:p>
            <w:pPr>
              <w:widowControl/>
              <w:adjustRightInd w:val="0"/>
              <w:snapToGrid w:val="0"/>
              <w:jc w:val="center"/>
              <w:rPr>
                <w:szCs w:val="21"/>
              </w:rPr>
            </w:pPr>
            <w:r>
              <w:rPr>
                <w:szCs w:val="21"/>
              </w:rPr>
              <w:t>156-59-2</w:t>
            </w:r>
          </w:p>
        </w:tc>
        <w:tc>
          <w:tcPr>
            <w:tcW w:w="1701" w:type="dxa"/>
            <w:gridSpan w:val="2"/>
            <w:vAlign w:val="center"/>
          </w:tcPr>
          <w:p>
            <w:pPr>
              <w:widowControl/>
              <w:adjustRightInd w:val="0"/>
              <w:snapToGrid w:val="0"/>
              <w:jc w:val="center"/>
              <w:rPr>
                <w:szCs w:val="21"/>
              </w:rPr>
            </w:pPr>
            <w:r>
              <w:rPr>
                <w:szCs w:val="21"/>
              </w:rPr>
              <w:t>596</w:t>
            </w:r>
          </w:p>
        </w:tc>
        <w:tc>
          <w:tcPr>
            <w:tcW w:w="2091" w:type="dxa"/>
          </w:tcPr>
          <w:p>
            <w:pPr>
              <w:widowControl/>
              <w:adjustRightInd w:val="0"/>
              <w:snapToGrid w:val="0"/>
              <w:jc w:val="center"/>
              <w:rPr>
                <w:szCs w:val="21"/>
              </w:rPr>
            </w:pPr>
            <w:r>
              <w:rPr>
                <w:szCs w:val="21"/>
              </w:rPr>
              <w:t>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15</w:t>
            </w:r>
          </w:p>
        </w:tc>
        <w:tc>
          <w:tcPr>
            <w:tcW w:w="2586" w:type="dxa"/>
            <w:vAlign w:val="center"/>
          </w:tcPr>
          <w:p>
            <w:pPr>
              <w:widowControl/>
              <w:adjustRightInd w:val="0"/>
              <w:snapToGrid w:val="0"/>
              <w:jc w:val="center"/>
              <w:rPr>
                <w:szCs w:val="21"/>
              </w:rPr>
            </w:pPr>
            <w:r>
              <w:rPr>
                <w:szCs w:val="21"/>
              </w:rPr>
              <w:t>反-1,2-二氯乙烯</w:t>
            </w:r>
          </w:p>
        </w:tc>
        <w:tc>
          <w:tcPr>
            <w:tcW w:w="1701" w:type="dxa"/>
            <w:vAlign w:val="center"/>
          </w:tcPr>
          <w:p>
            <w:pPr>
              <w:widowControl/>
              <w:adjustRightInd w:val="0"/>
              <w:snapToGrid w:val="0"/>
              <w:jc w:val="center"/>
              <w:rPr>
                <w:szCs w:val="21"/>
              </w:rPr>
            </w:pPr>
            <w:r>
              <w:rPr>
                <w:szCs w:val="21"/>
              </w:rPr>
              <w:t>156-60-5</w:t>
            </w:r>
          </w:p>
        </w:tc>
        <w:tc>
          <w:tcPr>
            <w:tcW w:w="1701" w:type="dxa"/>
            <w:gridSpan w:val="2"/>
            <w:vAlign w:val="center"/>
          </w:tcPr>
          <w:p>
            <w:pPr>
              <w:widowControl/>
              <w:adjustRightInd w:val="0"/>
              <w:snapToGrid w:val="0"/>
              <w:jc w:val="center"/>
              <w:rPr>
                <w:szCs w:val="21"/>
              </w:rPr>
            </w:pPr>
            <w:r>
              <w:rPr>
                <w:szCs w:val="21"/>
              </w:rPr>
              <w:t>54</w:t>
            </w:r>
          </w:p>
        </w:tc>
        <w:tc>
          <w:tcPr>
            <w:tcW w:w="2091" w:type="dxa"/>
          </w:tcPr>
          <w:p>
            <w:pPr>
              <w:widowControl/>
              <w:adjustRightInd w:val="0"/>
              <w:snapToGrid w:val="0"/>
              <w:jc w:val="center"/>
              <w:rPr>
                <w:szCs w:val="21"/>
              </w:rPr>
            </w:pPr>
            <w:r>
              <w:rPr>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16</w:t>
            </w:r>
          </w:p>
        </w:tc>
        <w:tc>
          <w:tcPr>
            <w:tcW w:w="2586" w:type="dxa"/>
            <w:vAlign w:val="center"/>
          </w:tcPr>
          <w:p>
            <w:pPr>
              <w:widowControl/>
              <w:adjustRightInd w:val="0"/>
              <w:snapToGrid w:val="0"/>
              <w:jc w:val="center"/>
              <w:rPr>
                <w:szCs w:val="21"/>
              </w:rPr>
            </w:pPr>
            <w:r>
              <w:rPr>
                <w:szCs w:val="21"/>
              </w:rPr>
              <w:t>二氯甲烷</w:t>
            </w:r>
          </w:p>
        </w:tc>
        <w:tc>
          <w:tcPr>
            <w:tcW w:w="1701" w:type="dxa"/>
            <w:vAlign w:val="center"/>
          </w:tcPr>
          <w:p>
            <w:pPr>
              <w:widowControl/>
              <w:adjustRightInd w:val="0"/>
              <w:snapToGrid w:val="0"/>
              <w:jc w:val="center"/>
              <w:rPr>
                <w:szCs w:val="21"/>
              </w:rPr>
            </w:pPr>
            <w:r>
              <w:rPr>
                <w:szCs w:val="21"/>
              </w:rPr>
              <w:t>75-09-2</w:t>
            </w:r>
          </w:p>
        </w:tc>
        <w:tc>
          <w:tcPr>
            <w:tcW w:w="1701" w:type="dxa"/>
            <w:gridSpan w:val="2"/>
            <w:vAlign w:val="center"/>
          </w:tcPr>
          <w:p>
            <w:pPr>
              <w:widowControl/>
              <w:adjustRightInd w:val="0"/>
              <w:snapToGrid w:val="0"/>
              <w:jc w:val="center"/>
              <w:rPr>
                <w:szCs w:val="21"/>
              </w:rPr>
            </w:pPr>
            <w:r>
              <w:rPr>
                <w:szCs w:val="21"/>
              </w:rPr>
              <w:t>616</w:t>
            </w:r>
          </w:p>
        </w:tc>
        <w:tc>
          <w:tcPr>
            <w:tcW w:w="2091" w:type="dxa"/>
          </w:tcPr>
          <w:p>
            <w:pPr>
              <w:widowControl/>
              <w:adjustRightInd w:val="0"/>
              <w:snapToGrid w:val="0"/>
              <w:jc w:val="center"/>
              <w:rPr>
                <w:szCs w:val="21"/>
              </w:rPr>
            </w:pPr>
            <w:r>
              <w:rPr>
                <w:szCs w:val="21"/>
              </w:rPr>
              <w:t>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17</w:t>
            </w:r>
          </w:p>
        </w:tc>
        <w:tc>
          <w:tcPr>
            <w:tcW w:w="2586" w:type="dxa"/>
            <w:vAlign w:val="center"/>
          </w:tcPr>
          <w:p>
            <w:pPr>
              <w:widowControl/>
              <w:adjustRightInd w:val="0"/>
              <w:snapToGrid w:val="0"/>
              <w:jc w:val="center"/>
              <w:rPr>
                <w:szCs w:val="21"/>
              </w:rPr>
            </w:pPr>
            <w:r>
              <w:rPr>
                <w:szCs w:val="21"/>
              </w:rPr>
              <w:t>1,2-二氯丙烷</w:t>
            </w:r>
          </w:p>
        </w:tc>
        <w:tc>
          <w:tcPr>
            <w:tcW w:w="1701" w:type="dxa"/>
            <w:vAlign w:val="center"/>
          </w:tcPr>
          <w:p>
            <w:pPr>
              <w:widowControl/>
              <w:adjustRightInd w:val="0"/>
              <w:snapToGrid w:val="0"/>
              <w:jc w:val="center"/>
              <w:rPr>
                <w:szCs w:val="21"/>
              </w:rPr>
            </w:pPr>
            <w:r>
              <w:rPr>
                <w:szCs w:val="21"/>
              </w:rPr>
              <w:t>78-87-5</w:t>
            </w:r>
          </w:p>
        </w:tc>
        <w:tc>
          <w:tcPr>
            <w:tcW w:w="1701" w:type="dxa"/>
            <w:gridSpan w:val="2"/>
            <w:vAlign w:val="center"/>
          </w:tcPr>
          <w:p>
            <w:pPr>
              <w:widowControl/>
              <w:adjustRightInd w:val="0"/>
              <w:snapToGrid w:val="0"/>
              <w:jc w:val="center"/>
              <w:rPr>
                <w:szCs w:val="21"/>
              </w:rPr>
            </w:pPr>
            <w:r>
              <w:rPr>
                <w:szCs w:val="21"/>
              </w:rPr>
              <w:t>5</w:t>
            </w:r>
          </w:p>
        </w:tc>
        <w:tc>
          <w:tcPr>
            <w:tcW w:w="2091" w:type="dxa"/>
          </w:tcPr>
          <w:p>
            <w:pPr>
              <w:widowControl/>
              <w:adjustRightInd w:val="0"/>
              <w:snapToGrid w:val="0"/>
              <w:jc w:val="center"/>
              <w:rPr>
                <w:szCs w:val="21"/>
              </w:rPr>
            </w:pPr>
            <w:r>
              <w:rPr>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18</w:t>
            </w:r>
          </w:p>
        </w:tc>
        <w:tc>
          <w:tcPr>
            <w:tcW w:w="2586" w:type="dxa"/>
            <w:vAlign w:val="center"/>
          </w:tcPr>
          <w:p>
            <w:pPr>
              <w:widowControl/>
              <w:adjustRightInd w:val="0"/>
              <w:snapToGrid w:val="0"/>
              <w:jc w:val="center"/>
              <w:rPr>
                <w:szCs w:val="21"/>
              </w:rPr>
            </w:pPr>
            <w:r>
              <w:rPr>
                <w:szCs w:val="21"/>
              </w:rPr>
              <w:t>1,1,1,2-四氯乙烷</w:t>
            </w:r>
          </w:p>
        </w:tc>
        <w:tc>
          <w:tcPr>
            <w:tcW w:w="1701" w:type="dxa"/>
            <w:vAlign w:val="center"/>
          </w:tcPr>
          <w:p>
            <w:pPr>
              <w:widowControl/>
              <w:adjustRightInd w:val="0"/>
              <w:snapToGrid w:val="0"/>
              <w:jc w:val="center"/>
              <w:rPr>
                <w:szCs w:val="21"/>
              </w:rPr>
            </w:pPr>
            <w:r>
              <w:rPr>
                <w:szCs w:val="21"/>
              </w:rPr>
              <w:t>630-20-6</w:t>
            </w:r>
          </w:p>
        </w:tc>
        <w:tc>
          <w:tcPr>
            <w:tcW w:w="1701" w:type="dxa"/>
            <w:gridSpan w:val="2"/>
            <w:vAlign w:val="center"/>
          </w:tcPr>
          <w:p>
            <w:pPr>
              <w:widowControl/>
              <w:adjustRightInd w:val="0"/>
              <w:snapToGrid w:val="0"/>
              <w:jc w:val="center"/>
              <w:rPr>
                <w:szCs w:val="21"/>
              </w:rPr>
            </w:pPr>
            <w:r>
              <w:rPr>
                <w:szCs w:val="21"/>
              </w:rPr>
              <w:t>10</w:t>
            </w:r>
          </w:p>
        </w:tc>
        <w:tc>
          <w:tcPr>
            <w:tcW w:w="2091" w:type="dxa"/>
          </w:tcPr>
          <w:p>
            <w:pPr>
              <w:widowControl/>
              <w:adjustRightInd w:val="0"/>
              <w:snapToGrid w:val="0"/>
              <w:jc w:val="center"/>
              <w:rPr>
                <w:szCs w:val="21"/>
              </w:rPr>
            </w:pPr>
            <w:r>
              <w:rPr>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19</w:t>
            </w:r>
          </w:p>
        </w:tc>
        <w:tc>
          <w:tcPr>
            <w:tcW w:w="2586" w:type="dxa"/>
            <w:vAlign w:val="center"/>
          </w:tcPr>
          <w:p>
            <w:pPr>
              <w:widowControl/>
              <w:adjustRightInd w:val="0"/>
              <w:snapToGrid w:val="0"/>
              <w:jc w:val="center"/>
              <w:rPr>
                <w:szCs w:val="21"/>
              </w:rPr>
            </w:pPr>
            <w:r>
              <w:rPr>
                <w:szCs w:val="21"/>
              </w:rPr>
              <w:t>1,1,2,2-四氯乙烷</w:t>
            </w:r>
          </w:p>
        </w:tc>
        <w:tc>
          <w:tcPr>
            <w:tcW w:w="1701" w:type="dxa"/>
            <w:vAlign w:val="center"/>
          </w:tcPr>
          <w:p>
            <w:pPr>
              <w:widowControl/>
              <w:adjustRightInd w:val="0"/>
              <w:snapToGrid w:val="0"/>
              <w:jc w:val="center"/>
              <w:rPr>
                <w:szCs w:val="21"/>
              </w:rPr>
            </w:pPr>
            <w:r>
              <w:rPr>
                <w:szCs w:val="21"/>
              </w:rPr>
              <w:t>79-34-5</w:t>
            </w:r>
          </w:p>
        </w:tc>
        <w:tc>
          <w:tcPr>
            <w:tcW w:w="1701" w:type="dxa"/>
            <w:gridSpan w:val="2"/>
            <w:vAlign w:val="center"/>
          </w:tcPr>
          <w:p>
            <w:pPr>
              <w:widowControl/>
              <w:adjustRightInd w:val="0"/>
              <w:snapToGrid w:val="0"/>
              <w:jc w:val="center"/>
              <w:rPr>
                <w:szCs w:val="21"/>
              </w:rPr>
            </w:pPr>
            <w:r>
              <w:rPr>
                <w:szCs w:val="21"/>
              </w:rPr>
              <w:t>6.8</w:t>
            </w:r>
          </w:p>
        </w:tc>
        <w:tc>
          <w:tcPr>
            <w:tcW w:w="2091" w:type="dxa"/>
          </w:tcPr>
          <w:p>
            <w:pPr>
              <w:widowControl/>
              <w:adjustRightInd w:val="0"/>
              <w:snapToGrid w:val="0"/>
              <w:jc w:val="center"/>
              <w:rPr>
                <w:szCs w:val="21"/>
              </w:rPr>
            </w:pPr>
            <w:r>
              <w:rPr>
                <w:szCs w:val="21"/>
              </w:rPr>
              <w:t>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20</w:t>
            </w:r>
          </w:p>
        </w:tc>
        <w:tc>
          <w:tcPr>
            <w:tcW w:w="2586" w:type="dxa"/>
            <w:vAlign w:val="center"/>
          </w:tcPr>
          <w:p>
            <w:pPr>
              <w:widowControl/>
              <w:adjustRightInd w:val="0"/>
              <w:snapToGrid w:val="0"/>
              <w:jc w:val="center"/>
              <w:rPr>
                <w:szCs w:val="21"/>
              </w:rPr>
            </w:pPr>
            <w:r>
              <w:rPr>
                <w:szCs w:val="21"/>
              </w:rPr>
              <w:t>四氯乙烯</w:t>
            </w:r>
          </w:p>
        </w:tc>
        <w:tc>
          <w:tcPr>
            <w:tcW w:w="1701" w:type="dxa"/>
            <w:vAlign w:val="center"/>
          </w:tcPr>
          <w:p>
            <w:pPr>
              <w:widowControl/>
              <w:adjustRightInd w:val="0"/>
              <w:snapToGrid w:val="0"/>
              <w:jc w:val="center"/>
              <w:rPr>
                <w:szCs w:val="21"/>
              </w:rPr>
            </w:pPr>
            <w:r>
              <w:rPr>
                <w:szCs w:val="21"/>
              </w:rPr>
              <w:t>127-18-4</w:t>
            </w:r>
          </w:p>
        </w:tc>
        <w:tc>
          <w:tcPr>
            <w:tcW w:w="1701" w:type="dxa"/>
            <w:gridSpan w:val="2"/>
            <w:vAlign w:val="center"/>
          </w:tcPr>
          <w:p>
            <w:pPr>
              <w:widowControl/>
              <w:adjustRightInd w:val="0"/>
              <w:snapToGrid w:val="0"/>
              <w:jc w:val="center"/>
              <w:rPr>
                <w:szCs w:val="21"/>
              </w:rPr>
            </w:pPr>
            <w:r>
              <w:rPr>
                <w:szCs w:val="21"/>
              </w:rPr>
              <w:t>53</w:t>
            </w:r>
          </w:p>
        </w:tc>
        <w:tc>
          <w:tcPr>
            <w:tcW w:w="2091" w:type="dxa"/>
          </w:tcPr>
          <w:p>
            <w:pPr>
              <w:widowControl/>
              <w:adjustRightInd w:val="0"/>
              <w:snapToGrid w:val="0"/>
              <w:jc w:val="center"/>
              <w:rPr>
                <w:szCs w:val="21"/>
              </w:rPr>
            </w:pPr>
            <w:r>
              <w:rPr>
                <w:szCs w:val="21"/>
              </w:rPr>
              <w:t>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21</w:t>
            </w:r>
          </w:p>
        </w:tc>
        <w:tc>
          <w:tcPr>
            <w:tcW w:w="2586" w:type="dxa"/>
            <w:shd w:val="clear" w:color="auto" w:fill="auto"/>
            <w:vAlign w:val="center"/>
          </w:tcPr>
          <w:p>
            <w:pPr>
              <w:adjustRightInd w:val="0"/>
              <w:snapToGrid w:val="0"/>
              <w:jc w:val="center"/>
            </w:pPr>
            <w:r>
              <w:t>1,1,1-三氯乙烷</w:t>
            </w:r>
          </w:p>
        </w:tc>
        <w:tc>
          <w:tcPr>
            <w:tcW w:w="1701" w:type="dxa"/>
            <w:vAlign w:val="center"/>
          </w:tcPr>
          <w:p>
            <w:pPr>
              <w:widowControl/>
              <w:adjustRightInd w:val="0"/>
              <w:snapToGrid w:val="0"/>
              <w:jc w:val="center"/>
              <w:rPr>
                <w:szCs w:val="21"/>
              </w:rPr>
            </w:pPr>
            <w:r>
              <w:rPr>
                <w:szCs w:val="21"/>
              </w:rPr>
              <w:t>71-55-6</w:t>
            </w:r>
          </w:p>
        </w:tc>
        <w:tc>
          <w:tcPr>
            <w:tcW w:w="1701" w:type="dxa"/>
            <w:gridSpan w:val="2"/>
            <w:vAlign w:val="center"/>
          </w:tcPr>
          <w:p>
            <w:pPr>
              <w:widowControl/>
              <w:adjustRightInd w:val="0"/>
              <w:snapToGrid w:val="0"/>
              <w:jc w:val="center"/>
              <w:rPr>
                <w:szCs w:val="21"/>
              </w:rPr>
            </w:pPr>
            <w:r>
              <w:rPr>
                <w:szCs w:val="21"/>
              </w:rPr>
              <w:t>840</w:t>
            </w:r>
          </w:p>
        </w:tc>
        <w:tc>
          <w:tcPr>
            <w:tcW w:w="2091" w:type="dxa"/>
          </w:tcPr>
          <w:p>
            <w:pPr>
              <w:widowControl/>
              <w:adjustRightInd w:val="0"/>
              <w:snapToGrid w:val="0"/>
              <w:jc w:val="center"/>
              <w:rPr>
                <w:szCs w:val="21"/>
              </w:rPr>
            </w:pPr>
            <w:r>
              <w:rPr>
                <w:szCs w:val="21"/>
              </w:rPr>
              <w:t>701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22</w:t>
            </w:r>
          </w:p>
        </w:tc>
        <w:tc>
          <w:tcPr>
            <w:tcW w:w="2586" w:type="dxa"/>
            <w:shd w:val="clear" w:color="auto" w:fill="auto"/>
            <w:vAlign w:val="center"/>
          </w:tcPr>
          <w:p>
            <w:pPr>
              <w:adjustRightInd w:val="0"/>
              <w:snapToGrid w:val="0"/>
              <w:jc w:val="center"/>
            </w:pPr>
            <w:r>
              <w:t>1,1,2-三氯乙烷</w:t>
            </w:r>
          </w:p>
        </w:tc>
        <w:tc>
          <w:tcPr>
            <w:tcW w:w="1701" w:type="dxa"/>
            <w:vAlign w:val="center"/>
          </w:tcPr>
          <w:p>
            <w:pPr>
              <w:widowControl/>
              <w:adjustRightInd w:val="0"/>
              <w:snapToGrid w:val="0"/>
              <w:jc w:val="center"/>
              <w:rPr>
                <w:szCs w:val="21"/>
              </w:rPr>
            </w:pPr>
            <w:r>
              <w:rPr>
                <w:szCs w:val="21"/>
              </w:rPr>
              <w:t>79-00-5</w:t>
            </w:r>
          </w:p>
        </w:tc>
        <w:tc>
          <w:tcPr>
            <w:tcW w:w="1701" w:type="dxa"/>
            <w:gridSpan w:val="2"/>
            <w:vAlign w:val="center"/>
          </w:tcPr>
          <w:p>
            <w:pPr>
              <w:widowControl/>
              <w:adjustRightInd w:val="0"/>
              <w:snapToGrid w:val="0"/>
              <w:jc w:val="center"/>
              <w:rPr>
                <w:szCs w:val="21"/>
              </w:rPr>
            </w:pPr>
            <w:r>
              <w:rPr>
                <w:szCs w:val="21"/>
              </w:rPr>
              <w:t>2.8</w:t>
            </w:r>
          </w:p>
        </w:tc>
        <w:tc>
          <w:tcPr>
            <w:tcW w:w="2091" w:type="dxa"/>
          </w:tcPr>
          <w:p>
            <w:pPr>
              <w:widowControl/>
              <w:adjustRightInd w:val="0"/>
              <w:snapToGrid w:val="0"/>
              <w:jc w:val="center"/>
              <w:rPr>
                <w:szCs w:val="21"/>
              </w:rPr>
            </w:pPr>
            <w:r>
              <w:rPr>
                <w:szCs w:val="21"/>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23</w:t>
            </w:r>
          </w:p>
        </w:tc>
        <w:tc>
          <w:tcPr>
            <w:tcW w:w="2586" w:type="dxa"/>
            <w:shd w:val="clear" w:color="auto" w:fill="auto"/>
            <w:vAlign w:val="center"/>
          </w:tcPr>
          <w:p>
            <w:pPr>
              <w:adjustRightInd w:val="0"/>
              <w:snapToGrid w:val="0"/>
              <w:jc w:val="center"/>
            </w:pPr>
            <w:r>
              <w:t>三氯乙烯</w:t>
            </w:r>
          </w:p>
        </w:tc>
        <w:tc>
          <w:tcPr>
            <w:tcW w:w="1701" w:type="dxa"/>
            <w:vAlign w:val="center"/>
          </w:tcPr>
          <w:p>
            <w:pPr>
              <w:widowControl/>
              <w:adjustRightInd w:val="0"/>
              <w:snapToGrid w:val="0"/>
              <w:jc w:val="center"/>
              <w:rPr>
                <w:szCs w:val="21"/>
              </w:rPr>
            </w:pPr>
            <w:r>
              <w:rPr>
                <w:szCs w:val="21"/>
              </w:rPr>
              <w:t>79-01-6</w:t>
            </w:r>
          </w:p>
        </w:tc>
        <w:tc>
          <w:tcPr>
            <w:tcW w:w="1701" w:type="dxa"/>
            <w:gridSpan w:val="2"/>
            <w:vAlign w:val="center"/>
          </w:tcPr>
          <w:p>
            <w:pPr>
              <w:widowControl/>
              <w:adjustRightInd w:val="0"/>
              <w:snapToGrid w:val="0"/>
              <w:jc w:val="center"/>
              <w:rPr>
                <w:szCs w:val="21"/>
              </w:rPr>
            </w:pPr>
            <w:r>
              <w:rPr>
                <w:szCs w:val="21"/>
              </w:rPr>
              <w:t>2.8</w:t>
            </w:r>
          </w:p>
        </w:tc>
        <w:tc>
          <w:tcPr>
            <w:tcW w:w="2091" w:type="dxa"/>
          </w:tcPr>
          <w:p>
            <w:pPr>
              <w:widowControl/>
              <w:adjustRightInd w:val="0"/>
              <w:snapToGrid w:val="0"/>
              <w:jc w:val="center"/>
              <w:rPr>
                <w:szCs w:val="21"/>
              </w:rPr>
            </w:pPr>
            <w:r>
              <w:rPr>
                <w:szCs w:val="21"/>
              </w:rPr>
              <w:t>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24</w:t>
            </w:r>
          </w:p>
        </w:tc>
        <w:tc>
          <w:tcPr>
            <w:tcW w:w="2586" w:type="dxa"/>
            <w:shd w:val="clear" w:color="auto" w:fill="auto"/>
            <w:vAlign w:val="center"/>
          </w:tcPr>
          <w:p>
            <w:pPr>
              <w:adjustRightInd w:val="0"/>
              <w:snapToGrid w:val="0"/>
              <w:jc w:val="center"/>
            </w:pPr>
            <w:r>
              <w:t>1,2,3-三氯丙烷</w:t>
            </w:r>
          </w:p>
        </w:tc>
        <w:tc>
          <w:tcPr>
            <w:tcW w:w="1701" w:type="dxa"/>
            <w:vAlign w:val="center"/>
          </w:tcPr>
          <w:p>
            <w:pPr>
              <w:widowControl/>
              <w:adjustRightInd w:val="0"/>
              <w:snapToGrid w:val="0"/>
              <w:jc w:val="center"/>
              <w:rPr>
                <w:szCs w:val="21"/>
              </w:rPr>
            </w:pPr>
            <w:r>
              <w:rPr>
                <w:szCs w:val="21"/>
              </w:rPr>
              <w:t>96-18-4</w:t>
            </w:r>
          </w:p>
        </w:tc>
        <w:tc>
          <w:tcPr>
            <w:tcW w:w="1701" w:type="dxa"/>
            <w:gridSpan w:val="2"/>
            <w:vAlign w:val="center"/>
          </w:tcPr>
          <w:p>
            <w:pPr>
              <w:widowControl/>
              <w:adjustRightInd w:val="0"/>
              <w:snapToGrid w:val="0"/>
              <w:jc w:val="center"/>
              <w:rPr>
                <w:szCs w:val="21"/>
              </w:rPr>
            </w:pPr>
            <w:r>
              <w:rPr>
                <w:szCs w:val="21"/>
              </w:rPr>
              <w:t>0.5</w:t>
            </w:r>
          </w:p>
        </w:tc>
        <w:tc>
          <w:tcPr>
            <w:tcW w:w="2091" w:type="dxa"/>
          </w:tcPr>
          <w:p>
            <w:pPr>
              <w:widowControl/>
              <w:adjustRightInd w:val="0"/>
              <w:snapToGrid w:val="0"/>
              <w:jc w:val="center"/>
              <w:rPr>
                <w:szCs w:val="21"/>
              </w:rPr>
            </w:pPr>
            <w:r>
              <w:rPr>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25</w:t>
            </w:r>
          </w:p>
        </w:tc>
        <w:tc>
          <w:tcPr>
            <w:tcW w:w="2586" w:type="dxa"/>
            <w:shd w:val="clear" w:color="auto" w:fill="auto"/>
            <w:vAlign w:val="center"/>
          </w:tcPr>
          <w:p>
            <w:pPr>
              <w:adjustRightInd w:val="0"/>
              <w:snapToGrid w:val="0"/>
              <w:jc w:val="center"/>
            </w:pPr>
            <w:r>
              <w:t>氯乙烯</w:t>
            </w:r>
          </w:p>
        </w:tc>
        <w:tc>
          <w:tcPr>
            <w:tcW w:w="1701" w:type="dxa"/>
            <w:vAlign w:val="center"/>
          </w:tcPr>
          <w:p>
            <w:pPr>
              <w:widowControl/>
              <w:adjustRightInd w:val="0"/>
              <w:snapToGrid w:val="0"/>
              <w:jc w:val="center"/>
              <w:rPr>
                <w:szCs w:val="21"/>
              </w:rPr>
            </w:pPr>
            <w:r>
              <w:rPr>
                <w:szCs w:val="21"/>
              </w:rPr>
              <w:t>75-01-4</w:t>
            </w:r>
          </w:p>
        </w:tc>
        <w:tc>
          <w:tcPr>
            <w:tcW w:w="1701" w:type="dxa"/>
            <w:gridSpan w:val="2"/>
            <w:vAlign w:val="center"/>
          </w:tcPr>
          <w:p>
            <w:pPr>
              <w:widowControl/>
              <w:adjustRightInd w:val="0"/>
              <w:snapToGrid w:val="0"/>
              <w:jc w:val="center"/>
              <w:rPr>
                <w:szCs w:val="21"/>
              </w:rPr>
            </w:pPr>
            <w:r>
              <w:rPr>
                <w:szCs w:val="21"/>
              </w:rPr>
              <w:t>0.43</w:t>
            </w:r>
          </w:p>
        </w:tc>
        <w:tc>
          <w:tcPr>
            <w:tcW w:w="2091" w:type="dxa"/>
          </w:tcPr>
          <w:p>
            <w:pPr>
              <w:widowControl/>
              <w:adjustRightInd w:val="0"/>
              <w:snapToGrid w:val="0"/>
              <w:jc w:val="center"/>
              <w:rPr>
                <w:szCs w:val="21"/>
              </w:rPr>
            </w:pPr>
            <w:r>
              <w:rPr>
                <w:szCs w:val="21"/>
              </w:rPr>
              <w:t>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26</w:t>
            </w:r>
          </w:p>
        </w:tc>
        <w:tc>
          <w:tcPr>
            <w:tcW w:w="2586" w:type="dxa"/>
            <w:shd w:val="clear" w:color="auto" w:fill="auto"/>
            <w:vAlign w:val="center"/>
          </w:tcPr>
          <w:p>
            <w:pPr>
              <w:adjustRightInd w:val="0"/>
              <w:snapToGrid w:val="0"/>
              <w:jc w:val="center"/>
            </w:pPr>
            <w:r>
              <w:t>苯</w:t>
            </w:r>
          </w:p>
        </w:tc>
        <w:tc>
          <w:tcPr>
            <w:tcW w:w="1701" w:type="dxa"/>
            <w:vAlign w:val="center"/>
          </w:tcPr>
          <w:p>
            <w:pPr>
              <w:widowControl/>
              <w:adjustRightInd w:val="0"/>
              <w:snapToGrid w:val="0"/>
              <w:jc w:val="center"/>
              <w:rPr>
                <w:szCs w:val="21"/>
              </w:rPr>
            </w:pPr>
            <w:r>
              <w:rPr>
                <w:szCs w:val="21"/>
              </w:rPr>
              <w:t>71-43-2</w:t>
            </w:r>
          </w:p>
        </w:tc>
        <w:tc>
          <w:tcPr>
            <w:tcW w:w="1701" w:type="dxa"/>
            <w:gridSpan w:val="2"/>
            <w:vAlign w:val="center"/>
          </w:tcPr>
          <w:p>
            <w:pPr>
              <w:widowControl/>
              <w:adjustRightInd w:val="0"/>
              <w:snapToGrid w:val="0"/>
              <w:jc w:val="center"/>
              <w:rPr>
                <w:szCs w:val="21"/>
              </w:rPr>
            </w:pPr>
            <w:r>
              <w:rPr>
                <w:szCs w:val="21"/>
              </w:rPr>
              <w:t>4</w:t>
            </w:r>
          </w:p>
        </w:tc>
        <w:tc>
          <w:tcPr>
            <w:tcW w:w="2091" w:type="dxa"/>
          </w:tcPr>
          <w:p>
            <w:pPr>
              <w:widowControl/>
              <w:adjustRightInd w:val="0"/>
              <w:snapToGrid w:val="0"/>
              <w:jc w:val="center"/>
              <w:rPr>
                <w:szCs w:val="21"/>
              </w:rPr>
            </w:pPr>
            <w:r>
              <w:rPr>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27</w:t>
            </w:r>
          </w:p>
        </w:tc>
        <w:tc>
          <w:tcPr>
            <w:tcW w:w="2586" w:type="dxa"/>
            <w:shd w:val="clear" w:color="auto" w:fill="auto"/>
            <w:vAlign w:val="center"/>
          </w:tcPr>
          <w:p>
            <w:pPr>
              <w:adjustRightInd w:val="0"/>
              <w:snapToGrid w:val="0"/>
              <w:jc w:val="center"/>
            </w:pPr>
            <w:r>
              <w:t>氯苯</w:t>
            </w:r>
          </w:p>
        </w:tc>
        <w:tc>
          <w:tcPr>
            <w:tcW w:w="1701" w:type="dxa"/>
            <w:vAlign w:val="center"/>
          </w:tcPr>
          <w:p>
            <w:pPr>
              <w:widowControl/>
              <w:adjustRightInd w:val="0"/>
              <w:snapToGrid w:val="0"/>
              <w:jc w:val="center"/>
              <w:rPr>
                <w:szCs w:val="21"/>
              </w:rPr>
            </w:pPr>
            <w:r>
              <w:rPr>
                <w:szCs w:val="21"/>
              </w:rPr>
              <w:t>108-90-7</w:t>
            </w:r>
          </w:p>
        </w:tc>
        <w:tc>
          <w:tcPr>
            <w:tcW w:w="1701" w:type="dxa"/>
            <w:gridSpan w:val="2"/>
            <w:vAlign w:val="center"/>
          </w:tcPr>
          <w:p>
            <w:pPr>
              <w:widowControl/>
              <w:adjustRightInd w:val="0"/>
              <w:snapToGrid w:val="0"/>
              <w:jc w:val="center"/>
              <w:rPr>
                <w:szCs w:val="21"/>
              </w:rPr>
            </w:pPr>
            <w:r>
              <w:rPr>
                <w:szCs w:val="21"/>
              </w:rPr>
              <w:t>270</w:t>
            </w:r>
          </w:p>
        </w:tc>
        <w:tc>
          <w:tcPr>
            <w:tcW w:w="2091" w:type="dxa"/>
          </w:tcPr>
          <w:p>
            <w:pPr>
              <w:widowControl/>
              <w:adjustRightInd w:val="0"/>
              <w:snapToGrid w:val="0"/>
              <w:jc w:val="center"/>
              <w:rPr>
                <w:szCs w:val="21"/>
              </w:rPr>
            </w:pPr>
            <w:r>
              <w:rPr>
                <w:szCs w:val="21"/>
              </w:rPr>
              <w:t>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28</w:t>
            </w:r>
          </w:p>
        </w:tc>
        <w:tc>
          <w:tcPr>
            <w:tcW w:w="2586" w:type="dxa"/>
            <w:shd w:val="clear" w:color="auto" w:fill="auto"/>
            <w:vAlign w:val="center"/>
          </w:tcPr>
          <w:p>
            <w:pPr>
              <w:adjustRightInd w:val="0"/>
              <w:snapToGrid w:val="0"/>
              <w:jc w:val="center"/>
            </w:pPr>
            <w:r>
              <w:t>1,2-二氯苯</w:t>
            </w:r>
          </w:p>
        </w:tc>
        <w:tc>
          <w:tcPr>
            <w:tcW w:w="1701" w:type="dxa"/>
            <w:vAlign w:val="center"/>
          </w:tcPr>
          <w:p>
            <w:pPr>
              <w:widowControl/>
              <w:adjustRightInd w:val="0"/>
              <w:snapToGrid w:val="0"/>
              <w:jc w:val="center"/>
              <w:rPr>
                <w:szCs w:val="21"/>
              </w:rPr>
            </w:pPr>
            <w:r>
              <w:rPr>
                <w:szCs w:val="21"/>
              </w:rPr>
              <w:t>95-50-1</w:t>
            </w:r>
          </w:p>
        </w:tc>
        <w:tc>
          <w:tcPr>
            <w:tcW w:w="1701" w:type="dxa"/>
            <w:gridSpan w:val="2"/>
            <w:vAlign w:val="center"/>
          </w:tcPr>
          <w:p>
            <w:pPr>
              <w:widowControl/>
              <w:adjustRightInd w:val="0"/>
              <w:snapToGrid w:val="0"/>
              <w:jc w:val="center"/>
              <w:rPr>
                <w:szCs w:val="21"/>
              </w:rPr>
            </w:pPr>
            <w:r>
              <w:rPr>
                <w:szCs w:val="21"/>
              </w:rPr>
              <w:t>560</w:t>
            </w:r>
          </w:p>
        </w:tc>
        <w:tc>
          <w:tcPr>
            <w:tcW w:w="2091" w:type="dxa"/>
          </w:tcPr>
          <w:p>
            <w:pPr>
              <w:widowControl/>
              <w:adjustRightInd w:val="0"/>
              <w:snapToGrid w:val="0"/>
              <w:jc w:val="center"/>
              <w:rPr>
                <w:szCs w:val="21"/>
              </w:rPr>
            </w:pPr>
            <w:r>
              <w:rPr>
                <w:szCs w:val="21"/>
              </w:rPr>
              <w:t>560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29</w:t>
            </w:r>
          </w:p>
        </w:tc>
        <w:tc>
          <w:tcPr>
            <w:tcW w:w="2586" w:type="dxa"/>
            <w:shd w:val="clear" w:color="auto" w:fill="auto"/>
            <w:vAlign w:val="center"/>
          </w:tcPr>
          <w:p>
            <w:pPr>
              <w:adjustRightInd w:val="0"/>
              <w:snapToGrid w:val="0"/>
              <w:jc w:val="center"/>
            </w:pPr>
            <w:r>
              <w:t>1,4-二氯苯</w:t>
            </w:r>
          </w:p>
        </w:tc>
        <w:tc>
          <w:tcPr>
            <w:tcW w:w="1701" w:type="dxa"/>
            <w:vAlign w:val="center"/>
          </w:tcPr>
          <w:p>
            <w:pPr>
              <w:widowControl/>
              <w:adjustRightInd w:val="0"/>
              <w:snapToGrid w:val="0"/>
              <w:jc w:val="center"/>
              <w:rPr>
                <w:szCs w:val="21"/>
              </w:rPr>
            </w:pPr>
            <w:r>
              <w:rPr>
                <w:szCs w:val="21"/>
              </w:rPr>
              <w:t>106-46-7</w:t>
            </w:r>
          </w:p>
        </w:tc>
        <w:tc>
          <w:tcPr>
            <w:tcW w:w="1701" w:type="dxa"/>
            <w:gridSpan w:val="2"/>
            <w:vAlign w:val="center"/>
          </w:tcPr>
          <w:p>
            <w:pPr>
              <w:widowControl/>
              <w:adjustRightInd w:val="0"/>
              <w:snapToGrid w:val="0"/>
              <w:jc w:val="center"/>
              <w:rPr>
                <w:szCs w:val="21"/>
              </w:rPr>
            </w:pPr>
            <w:r>
              <w:rPr>
                <w:szCs w:val="21"/>
              </w:rPr>
              <w:t>20</w:t>
            </w:r>
          </w:p>
        </w:tc>
        <w:tc>
          <w:tcPr>
            <w:tcW w:w="2091" w:type="dxa"/>
          </w:tcPr>
          <w:p>
            <w:pPr>
              <w:widowControl/>
              <w:adjustRightInd w:val="0"/>
              <w:snapToGrid w:val="0"/>
              <w:jc w:val="center"/>
              <w:rPr>
                <w:szCs w:val="21"/>
              </w:rPr>
            </w:pPr>
            <w:r>
              <w:rPr>
                <w:szCs w:val="21"/>
              </w:rPr>
              <w:t>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30</w:t>
            </w:r>
          </w:p>
        </w:tc>
        <w:tc>
          <w:tcPr>
            <w:tcW w:w="2586" w:type="dxa"/>
            <w:shd w:val="clear" w:color="auto" w:fill="auto"/>
            <w:vAlign w:val="center"/>
          </w:tcPr>
          <w:p>
            <w:pPr>
              <w:adjustRightInd w:val="0"/>
              <w:snapToGrid w:val="0"/>
              <w:jc w:val="center"/>
            </w:pPr>
            <w:r>
              <w:t>乙苯</w:t>
            </w:r>
          </w:p>
        </w:tc>
        <w:tc>
          <w:tcPr>
            <w:tcW w:w="1701" w:type="dxa"/>
            <w:vAlign w:val="center"/>
          </w:tcPr>
          <w:p>
            <w:pPr>
              <w:widowControl/>
              <w:adjustRightInd w:val="0"/>
              <w:snapToGrid w:val="0"/>
              <w:jc w:val="center"/>
              <w:rPr>
                <w:szCs w:val="21"/>
              </w:rPr>
            </w:pPr>
            <w:r>
              <w:rPr>
                <w:szCs w:val="21"/>
              </w:rPr>
              <w:t>100-41-4</w:t>
            </w:r>
          </w:p>
        </w:tc>
        <w:tc>
          <w:tcPr>
            <w:tcW w:w="1701" w:type="dxa"/>
            <w:gridSpan w:val="2"/>
            <w:vAlign w:val="center"/>
          </w:tcPr>
          <w:p>
            <w:pPr>
              <w:widowControl/>
              <w:adjustRightInd w:val="0"/>
              <w:snapToGrid w:val="0"/>
              <w:jc w:val="center"/>
              <w:rPr>
                <w:szCs w:val="21"/>
              </w:rPr>
            </w:pPr>
            <w:r>
              <w:rPr>
                <w:szCs w:val="21"/>
              </w:rPr>
              <w:t>28</w:t>
            </w:r>
          </w:p>
        </w:tc>
        <w:tc>
          <w:tcPr>
            <w:tcW w:w="2091" w:type="dxa"/>
          </w:tcPr>
          <w:p>
            <w:pPr>
              <w:widowControl/>
              <w:adjustRightInd w:val="0"/>
              <w:snapToGrid w:val="0"/>
              <w:jc w:val="center"/>
              <w:rPr>
                <w:szCs w:val="21"/>
              </w:rPr>
            </w:pPr>
            <w:r>
              <w:rPr>
                <w:szCs w:val="21"/>
              </w:rPr>
              <w:t>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31</w:t>
            </w:r>
          </w:p>
        </w:tc>
        <w:tc>
          <w:tcPr>
            <w:tcW w:w="2586" w:type="dxa"/>
            <w:shd w:val="clear" w:color="auto" w:fill="auto"/>
            <w:vAlign w:val="center"/>
          </w:tcPr>
          <w:p>
            <w:pPr>
              <w:adjustRightInd w:val="0"/>
              <w:snapToGrid w:val="0"/>
              <w:jc w:val="center"/>
            </w:pPr>
            <w:r>
              <w:t>苯乙烯</w:t>
            </w:r>
          </w:p>
        </w:tc>
        <w:tc>
          <w:tcPr>
            <w:tcW w:w="1701" w:type="dxa"/>
            <w:vAlign w:val="center"/>
          </w:tcPr>
          <w:p>
            <w:pPr>
              <w:widowControl/>
              <w:adjustRightInd w:val="0"/>
              <w:snapToGrid w:val="0"/>
              <w:jc w:val="center"/>
              <w:rPr>
                <w:szCs w:val="21"/>
              </w:rPr>
            </w:pPr>
            <w:r>
              <w:rPr>
                <w:szCs w:val="21"/>
              </w:rPr>
              <w:t>100-42-5</w:t>
            </w:r>
          </w:p>
        </w:tc>
        <w:tc>
          <w:tcPr>
            <w:tcW w:w="1701" w:type="dxa"/>
            <w:gridSpan w:val="2"/>
            <w:vAlign w:val="center"/>
          </w:tcPr>
          <w:p>
            <w:pPr>
              <w:widowControl/>
              <w:adjustRightInd w:val="0"/>
              <w:snapToGrid w:val="0"/>
              <w:jc w:val="center"/>
              <w:rPr>
                <w:szCs w:val="21"/>
              </w:rPr>
            </w:pPr>
            <w:r>
              <w:rPr>
                <w:szCs w:val="21"/>
              </w:rPr>
              <w:t>1290</w:t>
            </w:r>
          </w:p>
        </w:tc>
        <w:tc>
          <w:tcPr>
            <w:tcW w:w="2091" w:type="dxa"/>
          </w:tcPr>
          <w:p>
            <w:pPr>
              <w:widowControl/>
              <w:adjustRightInd w:val="0"/>
              <w:snapToGrid w:val="0"/>
              <w:jc w:val="center"/>
              <w:rPr>
                <w:szCs w:val="21"/>
              </w:rPr>
            </w:pPr>
            <w:r>
              <w:rPr>
                <w:szCs w:val="21"/>
              </w:rPr>
              <w:t>1290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32</w:t>
            </w:r>
          </w:p>
        </w:tc>
        <w:tc>
          <w:tcPr>
            <w:tcW w:w="2586" w:type="dxa"/>
            <w:shd w:val="clear" w:color="auto" w:fill="auto"/>
            <w:vAlign w:val="center"/>
          </w:tcPr>
          <w:p>
            <w:pPr>
              <w:adjustRightInd w:val="0"/>
              <w:snapToGrid w:val="0"/>
              <w:jc w:val="center"/>
            </w:pPr>
            <w:r>
              <w:t>甲苯</w:t>
            </w:r>
          </w:p>
        </w:tc>
        <w:tc>
          <w:tcPr>
            <w:tcW w:w="1701" w:type="dxa"/>
            <w:vAlign w:val="center"/>
          </w:tcPr>
          <w:p>
            <w:pPr>
              <w:widowControl/>
              <w:adjustRightInd w:val="0"/>
              <w:snapToGrid w:val="0"/>
              <w:jc w:val="center"/>
              <w:rPr>
                <w:szCs w:val="21"/>
              </w:rPr>
            </w:pPr>
            <w:r>
              <w:rPr>
                <w:szCs w:val="21"/>
              </w:rPr>
              <w:t>108-88-3</w:t>
            </w:r>
          </w:p>
        </w:tc>
        <w:tc>
          <w:tcPr>
            <w:tcW w:w="1701" w:type="dxa"/>
            <w:gridSpan w:val="2"/>
            <w:vAlign w:val="bottom"/>
          </w:tcPr>
          <w:p>
            <w:pPr>
              <w:widowControl/>
              <w:adjustRightInd w:val="0"/>
              <w:snapToGrid w:val="0"/>
              <w:jc w:val="center"/>
              <w:rPr>
                <w:szCs w:val="21"/>
              </w:rPr>
            </w:pPr>
            <w:r>
              <w:rPr>
                <w:szCs w:val="21"/>
              </w:rPr>
              <w:t>1200</w:t>
            </w:r>
          </w:p>
        </w:tc>
        <w:tc>
          <w:tcPr>
            <w:tcW w:w="2091" w:type="dxa"/>
          </w:tcPr>
          <w:p>
            <w:pPr>
              <w:widowControl/>
              <w:adjustRightInd w:val="0"/>
              <w:snapToGrid w:val="0"/>
              <w:jc w:val="center"/>
              <w:rPr>
                <w:szCs w:val="21"/>
              </w:rPr>
            </w:pPr>
            <w:r>
              <w:rPr>
                <w:szCs w:val="21"/>
              </w:rPr>
              <w:t>1200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41" w:type="dxa"/>
            <w:vAlign w:val="center"/>
          </w:tcPr>
          <w:p>
            <w:pPr>
              <w:widowControl/>
              <w:adjustRightInd w:val="0"/>
              <w:snapToGrid w:val="0"/>
              <w:jc w:val="center"/>
              <w:rPr>
                <w:szCs w:val="21"/>
              </w:rPr>
            </w:pPr>
            <w:r>
              <w:rPr>
                <w:szCs w:val="21"/>
              </w:rPr>
              <w:t>33</w:t>
            </w:r>
          </w:p>
        </w:tc>
        <w:tc>
          <w:tcPr>
            <w:tcW w:w="2586" w:type="dxa"/>
            <w:shd w:val="clear" w:color="auto" w:fill="auto"/>
            <w:vAlign w:val="center"/>
          </w:tcPr>
          <w:p>
            <w:pPr>
              <w:adjustRightInd w:val="0"/>
              <w:snapToGrid w:val="0"/>
              <w:jc w:val="center"/>
            </w:pPr>
            <w:r>
              <w:t>间二甲苯+对二甲苯</w:t>
            </w:r>
          </w:p>
        </w:tc>
        <w:tc>
          <w:tcPr>
            <w:tcW w:w="1701" w:type="dxa"/>
            <w:vAlign w:val="center"/>
          </w:tcPr>
          <w:p>
            <w:pPr>
              <w:widowControl/>
              <w:adjustRightInd w:val="0"/>
              <w:snapToGrid w:val="0"/>
              <w:jc w:val="center"/>
              <w:rPr>
                <w:szCs w:val="21"/>
              </w:rPr>
            </w:pPr>
            <w:r>
              <w:rPr>
                <w:szCs w:val="21"/>
              </w:rPr>
              <w:t>108-38-3，106-42-3</w:t>
            </w:r>
          </w:p>
        </w:tc>
        <w:tc>
          <w:tcPr>
            <w:tcW w:w="1701" w:type="dxa"/>
            <w:gridSpan w:val="2"/>
            <w:vAlign w:val="center"/>
          </w:tcPr>
          <w:p>
            <w:pPr>
              <w:widowControl/>
              <w:adjustRightInd w:val="0"/>
              <w:snapToGrid w:val="0"/>
              <w:jc w:val="center"/>
              <w:rPr>
                <w:szCs w:val="21"/>
              </w:rPr>
            </w:pPr>
            <w:r>
              <w:rPr>
                <w:szCs w:val="21"/>
              </w:rPr>
              <w:t>570</w:t>
            </w:r>
          </w:p>
        </w:tc>
        <w:tc>
          <w:tcPr>
            <w:tcW w:w="2091" w:type="dxa"/>
          </w:tcPr>
          <w:p>
            <w:pPr>
              <w:widowControl/>
              <w:adjustRightInd w:val="0"/>
              <w:snapToGrid w:val="0"/>
              <w:jc w:val="center"/>
              <w:rPr>
                <w:szCs w:val="21"/>
              </w:rPr>
            </w:pPr>
            <w:r>
              <w:rPr>
                <w:szCs w:val="21"/>
              </w:rPr>
              <w:t>163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34</w:t>
            </w:r>
          </w:p>
        </w:tc>
        <w:tc>
          <w:tcPr>
            <w:tcW w:w="2586" w:type="dxa"/>
            <w:shd w:val="clear" w:color="auto" w:fill="auto"/>
            <w:vAlign w:val="center"/>
          </w:tcPr>
          <w:p>
            <w:pPr>
              <w:adjustRightInd w:val="0"/>
              <w:snapToGrid w:val="0"/>
              <w:jc w:val="center"/>
            </w:pPr>
            <w:r>
              <w:t>邻二甲苯</w:t>
            </w:r>
          </w:p>
        </w:tc>
        <w:tc>
          <w:tcPr>
            <w:tcW w:w="1701" w:type="dxa"/>
            <w:vAlign w:val="center"/>
          </w:tcPr>
          <w:p>
            <w:pPr>
              <w:widowControl/>
              <w:adjustRightInd w:val="0"/>
              <w:snapToGrid w:val="0"/>
              <w:jc w:val="center"/>
              <w:rPr>
                <w:szCs w:val="21"/>
              </w:rPr>
            </w:pPr>
            <w:r>
              <w:rPr>
                <w:szCs w:val="21"/>
              </w:rPr>
              <w:t>95-47-6</w:t>
            </w:r>
          </w:p>
        </w:tc>
        <w:tc>
          <w:tcPr>
            <w:tcW w:w="1701" w:type="dxa"/>
            <w:gridSpan w:val="2"/>
            <w:vAlign w:val="center"/>
          </w:tcPr>
          <w:p>
            <w:pPr>
              <w:widowControl/>
              <w:adjustRightInd w:val="0"/>
              <w:snapToGrid w:val="0"/>
              <w:jc w:val="center"/>
              <w:rPr>
                <w:szCs w:val="21"/>
              </w:rPr>
            </w:pPr>
            <w:r>
              <w:rPr>
                <w:szCs w:val="21"/>
              </w:rPr>
              <w:t>640</w:t>
            </w:r>
          </w:p>
        </w:tc>
        <w:tc>
          <w:tcPr>
            <w:tcW w:w="2091" w:type="dxa"/>
          </w:tcPr>
          <w:p>
            <w:pPr>
              <w:widowControl/>
              <w:adjustRightInd w:val="0"/>
              <w:snapToGrid w:val="0"/>
              <w:jc w:val="center"/>
              <w:rPr>
                <w:szCs w:val="21"/>
              </w:rPr>
            </w:pPr>
            <w:r>
              <w:rPr>
                <w:szCs w:val="21"/>
              </w:rPr>
              <w:t>222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35</w:t>
            </w:r>
          </w:p>
        </w:tc>
        <w:tc>
          <w:tcPr>
            <w:tcW w:w="2586" w:type="dxa"/>
            <w:shd w:val="clear" w:color="auto" w:fill="auto"/>
            <w:vAlign w:val="bottom"/>
          </w:tcPr>
          <w:p>
            <w:pPr>
              <w:adjustRightInd w:val="0"/>
              <w:snapToGrid w:val="0"/>
              <w:jc w:val="center"/>
            </w:pPr>
            <w:r>
              <w:t>硝基苯</w:t>
            </w:r>
          </w:p>
        </w:tc>
        <w:tc>
          <w:tcPr>
            <w:tcW w:w="1701" w:type="dxa"/>
            <w:vAlign w:val="bottom"/>
          </w:tcPr>
          <w:p>
            <w:pPr>
              <w:widowControl/>
              <w:adjustRightInd w:val="0"/>
              <w:snapToGrid w:val="0"/>
              <w:jc w:val="center"/>
              <w:rPr>
                <w:szCs w:val="21"/>
              </w:rPr>
            </w:pPr>
            <w:r>
              <w:rPr>
                <w:szCs w:val="21"/>
              </w:rPr>
              <w:t>98-95-3</w:t>
            </w:r>
          </w:p>
        </w:tc>
        <w:tc>
          <w:tcPr>
            <w:tcW w:w="1701" w:type="dxa"/>
            <w:gridSpan w:val="2"/>
            <w:vAlign w:val="bottom"/>
          </w:tcPr>
          <w:p>
            <w:pPr>
              <w:widowControl/>
              <w:adjustRightInd w:val="0"/>
              <w:snapToGrid w:val="0"/>
              <w:jc w:val="center"/>
              <w:rPr>
                <w:szCs w:val="21"/>
              </w:rPr>
            </w:pPr>
            <w:r>
              <w:rPr>
                <w:szCs w:val="21"/>
              </w:rPr>
              <w:t>76</w:t>
            </w:r>
          </w:p>
        </w:tc>
        <w:tc>
          <w:tcPr>
            <w:tcW w:w="2091" w:type="dxa"/>
          </w:tcPr>
          <w:p>
            <w:pPr>
              <w:widowControl/>
              <w:adjustRightInd w:val="0"/>
              <w:snapToGrid w:val="0"/>
              <w:jc w:val="center"/>
              <w:rPr>
                <w:szCs w:val="21"/>
              </w:rPr>
            </w:pPr>
            <w:r>
              <w:rPr>
                <w:szCs w:val="21"/>
              </w:rPr>
              <w:t>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36</w:t>
            </w:r>
          </w:p>
        </w:tc>
        <w:tc>
          <w:tcPr>
            <w:tcW w:w="2586" w:type="dxa"/>
            <w:shd w:val="clear" w:color="auto" w:fill="auto"/>
            <w:vAlign w:val="center"/>
          </w:tcPr>
          <w:p>
            <w:pPr>
              <w:adjustRightInd w:val="0"/>
              <w:snapToGrid w:val="0"/>
              <w:jc w:val="center"/>
            </w:pPr>
            <w:r>
              <w:t>苯胺</w:t>
            </w:r>
          </w:p>
        </w:tc>
        <w:tc>
          <w:tcPr>
            <w:tcW w:w="1701" w:type="dxa"/>
            <w:vAlign w:val="center"/>
          </w:tcPr>
          <w:p>
            <w:pPr>
              <w:widowControl/>
              <w:adjustRightInd w:val="0"/>
              <w:snapToGrid w:val="0"/>
              <w:jc w:val="center"/>
              <w:rPr>
                <w:szCs w:val="21"/>
              </w:rPr>
            </w:pPr>
            <w:r>
              <w:rPr>
                <w:szCs w:val="21"/>
              </w:rPr>
              <w:t>62-53-3</w:t>
            </w:r>
          </w:p>
        </w:tc>
        <w:tc>
          <w:tcPr>
            <w:tcW w:w="1701" w:type="dxa"/>
            <w:gridSpan w:val="2"/>
            <w:vAlign w:val="center"/>
          </w:tcPr>
          <w:p>
            <w:pPr>
              <w:widowControl/>
              <w:adjustRightInd w:val="0"/>
              <w:snapToGrid w:val="0"/>
              <w:jc w:val="center"/>
              <w:rPr>
                <w:szCs w:val="21"/>
              </w:rPr>
            </w:pPr>
            <w:r>
              <w:rPr>
                <w:szCs w:val="21"/>
              </w:rPr>
              <w:t>260</w:t>
            </w:r>
          </w:p>
        </w:tc>
        <w:tc>
          <w:tcPr>
            <w:tcW w:w="2091" w:type="dxa"/>
          </w:tcPr>
          <w:p>
            <w:pPr>
              <w:widowControl/>
              <w:adjustRightInd w:val="0"/>
              <w:snapToGrid w:val="0"/>
              <w:jc w:val="center"/>
              <w:rPr>
                <w:szCs w:val="21"/>
              </w:rPr>
            </w:pPr>
            <w:r>
              <w:rPr>
                <w:szCs w:val="21"/>
              </w:rPr>
              <w:t>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37</w:t>
            </w:r>
          </w:p>
        </w:tc>
        <w:tc>
          <w:tcPr>
            <w:tcW w:w="2586" w:type="dxa"/>
            <w:shd w:val="clear" w:color="auto" w:fill="auto"/>
            <w:vAlign w:val="center"/>
          </w:tcPr>
          <w:p>
            <w:pPr>
              <w:adjustRightInd w:val="0"/>
              <w:snapToGrid w:val="0"/>
              <w:jc w:val="center"/>
            </w:pPr>
            <w:r>
              <w:t>2-氯酚</w:t>
            </w:r>
          </w:p>
        </w:tc>
        <w:tc>
          <w:tcPr>
            <w:tcW w:w="1701" w:type="dxa"/>
            <w:vAlign w:val="center"/>
          </w:tcPr>
          <w:p>
            <w:pPr>
              <w:widowControl/>
              <w:adjustRightInd w:val="0"/>
              <w:snapToGrid w:val="0"/>
              <w:jc w:val="center"/>
              <w:rPr>
                <w:szCs w:val="21"/>
              </w:rPr>
            </w:pPr>
            <w:r>
              <w:rPr>
                <w:szCs w:val="21"/>
              </w:rPr>
              <w:t>95-57-8</w:t>
            </w:r>
          </w:p>
        </w:tc>
        <w:tc>
          <w:tcPr>
            <w:tcW w:w="1701" w:type="dxa"/>
            <w:gridSpan w:val="2"/>
            <w:vAlign w:val="center"/>
          </w:tcPr>
          <w:p>
            <w:pPr>
              <w:widowControl/>
              <w:adjustRightInd w:val="0"/>
              <w:snapToGrid w:val="0"/>
              <w:jc w:val="center"/>
              <w:rPr>
                <w:szCs w:val="21"/>
              </w:rPr>
            </w:pPr>
            <w:r>
              <w:rPr>
                <w:szCs w:val="21"/>
              </w:rPr>
              <w:t>2256</w:t>
            </w:r>
          </w:p>
        </w:tc>
        <w:tc>
          <w:tcPr>
            <w:tcW w:w="2091" w:type="dxa"/>
          </w:tcPr>
          <w:p>
            <w:pPr>
              <w:widowControl/>
              <w:adjustRightInd w:val="0"/>
              <w:snapToGrid w:val="0"/>
              <w:jc w:val="center"/>
              <w:rPr>
                <w:szCs w:val="21"/>
              </w:rPr>
            </w:pPr>
            <w:r>
              <w:rPr>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38</w:t>
            </w:r>
          </w:p>
        </w:tc>
        <w:tc>
          <w:tcPr>
            <w:tcW w:w="2586" w:type="dxa"/>
            <w:shd w:val="clear" w:color="auto" w:fill="auto"/>
            <w:vAlign w:val="center"/>
          </w:tcPr>
          <w:p>
            <w:pPr>
              <w:adjustRightInd w:val="0"/>
              <w:snapToGrid w:val="0"/>
              <w:jc w:val="center"/>
            </w:pPr>
            <w:r>
              <w:t>苯并[a]蒽</w:t>
            </w:r>
          </w:p>
        </w:tc>
        <w:tc>
          <w:tcPr>
            <w:tcW w:w="1701" w:type="dxa"/>
            <w:vAlign w:val="center"/>
          </w:tcPr>
          <w:p>
            <w:pPr>
              <w:widowControl/>
              <w:adjustRightInd w:val="0"/>
              <w:snapToGrid w:val="0"/>
              <w:jc w:val="center"/>
              <w:rPr>
                <w:szCs w:val="21"/>
              </w:rPr>
            </w:pPr>
            <w:r>
              <w:rPr>
                <w:szCs w:val="21"/>
              </w:rPr>
              <w:t>56-55-3</w:t>
            </w:r>
          </w:p>
        </w:tc>
        <w:tc>
          <w:tcPr>
            <w:tcW w:w="1701" w:type="dxa"/>
            <w:gridSpan w:val="2"/>
            <w:vAlign w:val="center"/>
          </w:tcPr>
          <w:p>
            <w:pPr>
              <w:widowControl/>
              <w:adjustRightInd w:val="0"/>
              <w:snapToGrid w:val="0"/>
              <w:jc w:val="center"/>
              <w:rPr>
                <w:szCs w:val="21"/>
              </w:rPr>
            </w:pPr>
            <w:r>
              <w:rPr>
                <w:szCs w:val="21"/>
              </w:rPr>
              <w:t>15</w:t>
            </w:r>
          </w:p>
        </w:tc>
        <w:tc>
          <w:tcPr>
            <w:tcW w:w="2091" w:type="dxa"/>
          </w:tcPr>
          <w:p>
            <w:pPr>
              <w:widowControl/>
              <w:adjustRightInd w:val="0"/>
              <w:snapToGrid w:val="0"/>
              <w:jc w:val="center"/>
              <w:rPr>
                <w:szCs w:val="21"/>
              </w:rPr>
            </w:pPr>
            <w:r>
              <w:rPr>
                <w:szCs w:val="21"/>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641" w:type="dxa"/>
            <w:vAlign w:val="center"/>
          </w:tcPr>
          <w:p>
            <w:pPr>
              <w:widowControl/>
              <w:adjustRightInd w:val="0"/>
              <w:snapToGrid w:val="0"/>
              <w:jc w:val="center"/>
              <w:rPr>
                <w:szCs w:val="21"/>
              </w:rPr>
            </w:pPr>
            <w:r>
              <w:rPr>
                <w:szCs w:val="21"/>
              </w:rPr>
              <w:t>39</w:t>
            </w:r>
          </w:p>
        </w:tc>
        <w:tc>
          <w:tcPr>
            <w:tcW w:w="2586" w:type="dxa"/>
            <w:shd w:val="clear" w:color="auto" w:fill="auto"/>
            <w:vAlign w:val="bottom"/>
          </w:tcPr>
          <w:p>
            <w:pPr>
              <w:adjustRightInd w:val="0"/>
              <w:snapToGrid w:val="0"/>
              <w:jc w:val="center"/>
            </w:pPr>
            <w:r>
              <w:t>苯并[a]芘</w:t>
            </w:r>
          </w:p>
        </w:tc>
        <w:tc>
          <w:tcPr>
            <w:tcW w:w="1701" w:type="dxa"/>
            <w:vAlign w:val="bottom"/>
          </w:tcPr>
          <w:p>
            <w:pPr>
              <w:widowControl/>
              <w:adjustRightInd w:val="0"/>
              <w:snapToGrid w:val="0"/>
              <w:jc w:val="center"/>
              <w:rPr>
                <w:szCs w:val="21"/>
              </w:rPr>
            </w:pPr>
            <w:r>
              <w:rPr>
                <w:szCs w:val="21"/>
              </w:rPr>
              <w:t>50-32-8</w:t>
            </w:r>
          </w:p>
        </w:tc>
        <w:tc>
          <w:tcPr>
            <w:tcW w:w="1701" w:type="dxa"/>
            <w:gridSpan w:val="2"/>
            <w:vAlign w:val="bottom"/>
          </w:tcPr>
          <w:p>
            <w:pPr>
              <w:widowControl/>
              <w:adjustRightInd w:val="0"/>
              <w:snapToGrid w:val="0"/>
              <w:jc w:val="center"/>
              <w:rPr>
                <w:szCs w:val="21"/>
              </w:rPr>
            </w:pPr>
            <w:r>
              <w:rPr>
                <w:szCs w:val="21"/>
              </w:rPr>
              <w:t>1.5</w:t>
            </w:r>
          </w:p>
        </w:tc>
        <w:tc>
          <w:tcPr>
            <w:tcW w:w="2091" w:type="dxa"/>
          </w:tcPr>
          <w:p>
            <w:pPr>
              <w:widowControl/>
              <w:adjustRightInd w:val="0"/>
              <w:snapToGrid w:val="0"/>
              <w:jc w:val="center"/>
              <w:rPr>
                <w:szCs w:val="21"/>
              </w:rPr>
            </w:pPr>
            <w:r>
              <w:rPr>
                <w:szCs w:val="21"/>
              </w:rPr>
              <w:t>0.55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40</w:t>
            </w:r>
          </w:p>
        </w:tc>
        <w:tc>
          <w:tcPr>
            <w:tcW w:w="2586" w:type="dxa"/>
            <w:shd w:val="clear" w:color="auto" w:fill="auto"/>
            <w:vAlign w:val="bottom"/>
          </w:tcPr>
          <w:p>
            <w:pPr>
              <w:adjustRightInd w:val="0"/>
              <w:snapToGrid w:val="0"/>
              <w:jc w:val="center"/>
            </w:pPr>
            <w:r>
              <w:t>苯并[b]荧蒽</w:t>
            </w:r>
          </w:p>
        </w:tc>
        <w:tc>
          <w:tcPr>
            <w:tcW w:w="1701" w:type="dxa"/>
            <w:vAlign w:val="bottom"/>
          </w:tcPr>
          <w:p>
            <w:pPr>
              <w:widowControl/>
              <w:adjustRightInd w:val="0"/>
              <w:snapToGrid w:val="0"/>
              <w:jc w:val="center"/>
              <w:rPr>
                <w:szCs w:val="21"/>
              </w:rPr>
            </w:pPr>
            <w:r>
              <w:rPr>
                <w:szCs w:val="21"/>
              </w:rPr>
              <w:t>205-99-2</w:t>
            </w:r>
          </w:p>
        </w:tc>
        <w:tc>
          <w:tcPr>
            <w:tcW w:w="1701" w:type="dxa"/>
            <w:gridSpan w:val="2"/>
            <w:vAlign w:val="bottom"/>
          </w:tcPr>
          <w:p>
            <w:pPr>
              <w:widowControl/>
              <w:adjustRightInd w:val="0"/>
              <w:snapToGrid w:val="0"/>
              <w:jc w:val="center"/>
              <w:rPr>
                <w:szCs w:val="21"/>
              </w:rPr>
            </w:pPr>
            <w:r>
              <w:rPr>
                <w:szCs w:val="21"/>
              </w:rPr>
              <w:t>15</w:t>
            </w:r>
          </w:p>
        </w:tc>
        <w:tc>
          <w:tcPr>
            <w:tcW w:w="2091" w:type="dxa"/>
          </w:tcPr>
          <w:p>
            <w:pPr>
              <w:widowControl/>
              <w:adjustRightInd w:val="0"/>
              <w:snapToGrid w:val="0"/>
              <w:jc w:val="center"/>
              <w:rPr>
                <w:szCs w:val="21"/>
              </w:rPr>
            </w:pPr>
            <w:r>
              <w:rPr>
                <w:szCs w:val="21"/>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41</w:t>
            </w:r>
          </w:p>
        </w:tc>
        <w:tc>
          <w:tcPr>
            <w:tcW w:w="2586" w:type="dxa"/>
            <w:shd w:val="clear" w:color="auto" w:fill="auto"/>
            <w:vAlign w:val="bottom"/>
          </w:tcPr>
          <w:p>
            <w:pPr>
              <w:adjustRightInd w:val="0"/>
              <w:snapToGrid w:val="0"/>
              <w:jc w:val="center"/>
            </w:pPr>
            <w:r>
              <w:t>苯并[k]荧蒽</w:t>
            </w:r>
          </w:p>
        </w:tc>
        <w:tc>
          <w:tcPr>
            <w:tcW w:w="1701" w:type="dxa"/>
            <w:vAlign w:val="bottom"/>
          </w:tcPr>
          <w:p>
            <w:pPr>
              <w:widowControl/>
              <w:adjustRightInd w:val="0"/>
              <w:snapToGrid w:val="0"/>
              <w:jc w:val="center"/>
              <w:rPr>
                <w:szCs w:val="21"/>
              </w:rPr>
            </w:pPr>
            <w:r>
              <w:rPr>
                <w:szCs w:val="21"/>
              </w:rPr>
              <w:t>207-08-9</w:t>
            </w:r>
          </w:p>
        </w:tc>
        <w:tc>
          <w:tcPr>
            <w:tcW w:w="1701" w:type="dxa"/>
            <w:gridSpan w:val="2"/>
            <w:vAlign w:val="bottom"/>
          </w:tcPr>
          <w:p>
            <w:pPr>
              <w:widowControl/>
              <w:adjustRightInd w:val="0"/>
              <w:snapToGrid w:val="0"/>
              <w:jc w:val="center"/>
              <w:rPr>
                <w:szCs w:val="21"/>
              </w:rPr>
            </w:pPr>
            <w:r>
              <w:rPr>
                <w:szCs w:val="21"/>
              </w:rPr>
              <w:t>151</w:t>
            </w:r>
          </w:p>
        </w:tc>
        <w:tc>
          <w:tcPr>
            <w:tcW w:w="2091" w:type="dxa"/>
          </w:tcPr>
          <w:p>
            <w:pPr>
              <w:widowControl/>
              <w:adjustRightInd w:val="0"/>
              <w:snapToGrid w:val="0"/>
              <w:jc w:val="center"/>
              <w:rPr>
                <w:szCs w:val="21"/>
              </w:rPr>
            </w:pPr>
            <w:r>
              <w:rPr>
                <w:szCs w:val="21"/>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42</w:t>
            </w:r>
          </w:p>
        </w:tc>
        <w:tc>
          <w:tcPr>
            <w:tcW w:w="2586" w:type="dxa"/>
            <w:shd w:val="clear" w:color="auto" w:fill="auto"/>
            <w:vAlign w:val="center"/>
          </w:tcPr>
          <w:p>
            <w:pPr>
              <w:adjustRightInd w:val="0"/>
              <w:snapToGrid w:val="0"/>
              <w:jc w:val="center"/>
            </w:pPr>
            <w:r>
              <w:t>䓛</w:t>
            </w:r>
          </w:p>
        </w:tc>
        <w:tc>
          <w:tcPr>
            <w:tcW w:w="1701" w:type="dxa"/>
            <w:vAlign w:val="center"/>
          </w:tcPr>
          <w:p>
            <w:pPr>
              <w:widowControl/>
              <w:adjustRightInd w:val="0"/>
              <w:snapToGrid w:val="0"/>
              <w:jc w:val="center"/>
              <w:rPr>
                <w:szCs w:val="21"/>
              </w:rPr>
            </w:pPr>
            <w:r>
              <w:rPr>
                <w:szCs w:val="21"/>
              </w:rPr>
              <w:t>218-01-9</w:t>
            </w:r>
          </w:p>
        </w:tc>
        <w:tc>
          <w:tcPr>
            <w:tcW w:w="1701" w:type="dxa"/>
            <w:gridSpan w:val="2"/>
            <w:vAlign w:val="center"/>
          </w:tcPr>
          <w:p>
            <w:pPr>
              <w:widowControl/>
              <w:adjustRightInd w:val="0"/>
              <w:snapToGrid w:val="0"/>
              <w:jc w:val="center"/>
              <w:rPr>
                <w:szCs w:val="21"/>
              </w:rPr>
            </w:pPr>
            <w:r>
              <w:rPr>
                <w:szCs w:val="21"/>
              </w:rPr>
              <w:t>1293</w:t>
            </w:r>
          </w:p>
        </w:tc>
        <w:tc>
          <w:tcPr>
            <w:tcW w:w="2091" w:type="dxa"/>
          </w:tcPr>
          <w:p>
            <w:pPr>
              <w:widowControl/>
              <w:adjustRightInd w:val="0"/>
              <w:snapToGrid w:val="0"/>
              <w:jc w:val="center"/>
              <w:rPr>
                <w:szCs w:val="21"/>
              </w:rPr>
            </w:pPr>
            <w:r>
              <w:rPr>
                <w:szCs w:val="21"/>
              </w:rPr>
              <w:t>490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43</w:t>
            </w:r>
          </w:p>
        </w:tc>
        <w:tc>
          <w:tcPr>
            <w:tcW w:w="2586" w:type="dxa"/>
            <w:shd w:val="clear" w:color="auto" w:fill="auto"/>
            <w:vAlign w:val="bottom"/>
          </w:tcPr>
          <w:p>
            <w:pPr>
              <w:adjustRightInd w:val="0"/>
              <w:snapToGrid w:val="0"/>
              <w:jc w:val="center"/>
            </w:pPr>
            <w:r>
              <w:t>二苯并[a,h]蒽</w:t>
            </w:r>
          </w:p>
        </w:tc>
        <w:tc>
          <w:tcPr>
            <w:tcW w:w="1701" w:type="dxa"/>
            <w:vAlign w:val="bottom"/>
          </w:tcPr>
          <w:p>
            <w:pPr>
              <w:widowControl/>
              <w:adjustRightInd w:val="0"/>
              <w:snapToGrid w:val="0"/>
              <w:jc w:val="center"/>
              <w:rPr>
                <w:szCs w:val="21"/>
              </w:rPr>
            </w:pPr>
            <w:r>
              <w:rPr>
                <w:szCs w:val="21"/>
              </w:rPr>
              <w:t>53-70-3</w:t>
            </w:r>
          </w:p>
        </w:tc>
        <w:tc>
          <w:tcPr>
            <w:tcW w:w="1701" w:type="dxa"/>
            <w:gridSpan w:val="2"/>
            <w:vAlign w:val="bottom"/>
          </w:tcPr>
          <w:p>
            <w:pPr>
              <w:widowControl/>
              <w:adjustRightInd w:val="0"/>
              <w:snapToGrid w:val="0"/>
              <w:jc w:val="center"/>
              <w:rPr>
                <w:szCs w:val="21"/>
              </w:rPr>
            </w:pPr>
            <w:r>
              <w:rPr>
                <w:szCs w:val="21"/>
              </w:rPr>
              <w:t>1.5</w:t>
            </w:r>
          </w:p>
        </w:tc>
        <w:tc>
          <w:tcPr>
            <w:tcW w:w="2091" w:type="dxa"/>
          </w:tcPr>
          <w:p>
            <w:pPr>
              <w:widowControl/>
              <w:adjustRightInd w:val="0"/>
              <w:snapToGrid w:val="0"/>
              <w:jc w:val="center"/>
              <w:rPr>
                <w:szCs w:val="21"/>
              </w:rPr>
            </w:pPr>
            <w:r>
              <w:rPr>
                <w:szCs w:val="21"/>
              </w:rPr>
              <w:t>0.55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44</w:t>
            </w:r>
          </w:p>
        </w:tc>
        <w:tc>
          <w:tcPr>
            <w:tcW w:w="2586" w:type="dxa"/>
            <w:shd w:val="clear" w:color="auto" w:fill="auto"/>
            <w:vAlign w:val="center"/>
          </w:tcPr>
          <w:p>
            <w:pPr>
              <w:adjustRightInd w:val="0"/>
              <w:snapToGrid w:val="0"/>
              <w:jc w:val="center"/>
            </w:pPr>
            <w:r>
              <w:t>茚并[l,2,3-cd]芘</w:t>
            </w:r>
          </w:p>
        </w:tc>
        <w:tc>
          <w:tcPr>
            <w:tcW w:w="1701" w:type="dxa"/>
            <w:vAlign w:val="center"/>
          </w:tcPr>
          <w:p>
            <w:pPr>
              <w:widowControl/>
              <w:adjustRightInd w:val="0"/>
              <w:snapToGrid w:val="0"/>
              <w:jc w:val="center"/>
              <w:rPr>
                <w:szCs w:val="21"/>
              </w:rPr>
            </w:pPr>
            <w:r>
              <w:rPr>
                <w:szCs w:val="21"/>
              </w:rPr>
              <w:t>193-39-5</w:t>
            </w:r>
          </w:p>
        </w:tc>
        <w:tc>
          <w:tcPr>
            <w:tcW w:w="1701" w:type="dxa"/>
            <w:gridSpan w:val="2"/>
            <w:vAlign w:val="center"/>
          </w:tcPr>
          <w:p>
            <w:pPr>
              <w:widowControl/>
              <w:adjustRightInd w:val="0"/>
              <w:snapToGrid w:val="0"/>
              <w:jc w:val="center"/>
              <w:rPr>
                <w:szCs w:val="21"/>
              </w:rPr>
            </w:pPr>
            <w:r>
              <w:rPr>
                <w:szCs w:val="21"/>
              </w:rPr>
              <w:t>15</w:t>
            </w:r>
          </w:p>
        </w:tc>
        <w:tc>
          <w:tcPr>
            <w:tcW w:w="2091" w:type="dxa"/>
          </w:tcPr>
          <w:p>
            <w:pPr>
              <w:widowControl/>
              <w:adjustRightInd w:val="0"/>
              <w:snapToGrid w:val="0"/>
              <w:jc w:val="center"/>
              <w:rPr>
                <w:szCs w:val="21"/>
              </w:rPr>
            </w:pPr>
            <w:r>
              <w:rPr>
                <w:szCs w:val="21"/>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45</w:t>
            </w:r>
          </w:p>
        </w:tc>
        <w:tc>
          <w:tcPr>
            <w:tcW w:w="2586" w:type="dxa"/>
            <w:shd w:val="clear" w:color="auto" w:fill="auto"/>
            <w:vAlign w:val="center"/>
          </w:tcPr>
          <w:p>
            <w:pPr>
              <w:adjustRightInd w:val="0"/>
              <w:snapToGrid w:val="0"/>
              <w:jc w:val="center"/>
            </w:pPr>
            <w:r>
              <w:t>萘</w:t>
            </w:r>
          </w:p>
        </w:tc>
        <w:tc>
          <w:tcPr>
            <w:tcW w:w="1701" w:type="dxa"/>
            <w:vAlign w:val="center"/>
          </w:tcPr>
          <w:p>
            <w:pPr>
              <w:widowControl/>
              <w:adjustRightInd w:val="0"/>
              <w:snapToGrid w:val="0"/>
              <w:jc w:val="center"/>
              <w:rPr>
                <w:szCs w:val="21"/>
              </w:rPr>
            </w:pPr>
            <w:r>
              <w:rPr>
                <w:szCs w:val="21"/>
              </w:rPr>
              <w:t>91-20-3</w:t>
            </w:r>
          </w:p>
        </w:tc>
        <w:tc>
          <w:tcPr>
            <w:tcW w:w="1701" w:type="dxa"/>
            <w:gridSpan w:val="2"/>
            <w:vAlign w:val="center"/>
          </w:tcPr>
          <w:p>
            <w:pPr>
              <w:widowControl/>
              <w:adjustRightInd w:val="0"/>
              <w:snapToGrid w:val="0"/>
              <w:jc w:val="center"/>
              <w:rPr>
                <w:szCs w:val="21"/>
              </w:rPr>
            </w:pPr>
            <w:r>
              <w:rPr>
                <w:szCs w:val="21"/>
              </w:rPr>
              <w:t>70</w:t>
            </w:r>
          </w:p>
        </w:tc>
        <w:tc>
          <w:tcPr>
            <w:tcW w:w="2091" w:type="dxa"/>
          </w:tcPr>
          <w:p>
            <w:pPr>
              <w:widowControl/>
              <w:adjustRightInd w:val="0"/>
              <w:snapToGrid w:val="0"/>
              <w:jc w:val="center"/>
              <w:rPr>
                <w:szCs w:val="21"/>
              </w:rPr>
            </w:pPr>
            <w:r>
              <w:rPr>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46</w:t>
            </w:r>
          </w:p>
        </w:tc>
        <w:tc>
          <w:tcPr>
            <w:tcW w:w="2586" w:type="dxa"/>
            <w:shd w:val="clear" w:color="auto" w:fill="auto"/>
            <w:vAlign w:val="center"/>
          </w:tcPr>
          <w:p>
            <w:pPr>
              <w:adjustRightInd w:val="0"/>
              <w:snapToGrid w:val="0"/>
              <w:jc w:val="center"/>
            </w:pPr>
            <w:r>
              <w:t>石油烃</w:t>
            </w:r>
          </w:p>
        </w:tc>
        <w:tc>
          <w:tcPr>
            <w:tcW w:w="1701" w:type="dxa"/>
            <w:vAlign w:val="center"/>
          </w:tcPr>
          <w:p>
            <w:pPr>
              <w:widowControl/>
              <w:adjustRightInd w:val="0"/>
              <w:snapToGrid w:val="0"/>
              <w:jc w:val="center"/>
              <w:rPr>
                <w:szCs w:val="21"/>
              </w:rPr>
            </w:pPr>
            <w:r>
              <w:rPr>
                <w:szCs w:val="21"/>
              </w:rPr>
              <w:t>——</w:t>
            </w:r>
          </w:p>
        </w:tc>
        <w:tc>
          <w:tcPr>
            <w:tcW w:w="1701" w:type="dxa"/>
            <w:gridSpan w:val="2"/>
            <w:vAlign w:val="center"/>
          </w:tcPr>
          <w:p>
            <w:pPr>
              <w:widowControl/>
              <w:adjustRightInd w:val="0"/>
              <w:snapToGrid w:val="0"/>
              <w:jc w:val="center"/>
              <w:rPr>
                <w:szCs w:val="21"/>
              </w:rPr>
            </w:pPr>
            <w:r>
              <w:rPr>
                <w:szCs w:val="21"/>
              </w:rPr>
              <w:t>4500</w:t>
            </w:r>
          </w:p>
        </w:tc>
        <w:tc>
          <w:tcPr>
            <w:tcW w:w="2091" w:type="dxa"/>
          </w:tcPr>
          <w:p>
            <w:pPr>
              <w:widowControl/>
              <w:adjustRightInd w:val="0"/>
              <w:snapToGrid w:val="0"/>
              <w:jc w:val="center"/>
              <w:rPr>
                <w:szCs w:val="21"/>
              </w:rPr>
            </w:pPr>
            <w:r>
              <w:rPr>
                <w:szCs w:val="21"/>
              </w:rPr>
              <w:t>826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47</w:t>
            </w:r>
          </w:p>
        </w:tc>
        <w:tc>
          <w:tcPr>
            <w:tcW w:w="2586" w:type="dxa"/>
            <w:shd w:val="clear" w:color="auto" w:fill="auto"/>
            <w:vAlign w:val="center"/>
          </w:tcPr>
          <w:p>
            <w:pPr>
              <w:adjustRightInd w:val="0"/>
              <w:snapToGrid w:val="0"/>
              <w:jc w:val="center"/>
            </w:pPr>
            <w:r>
              <w:t>二噁英类（总毒性当量）</w:t>
            </w:r>
          </w:p>
        </w:tc>
        <w:tc>
          <w:tcPr>
            <w:tcW w:w="1701" w:type="dxa"/>
            <w:vAlign w:val="center"/>
          </w:tcPr>
          <w:p>
            <w:pPr>
              <w:widowControl/>
              <w:adjustRightInd w:val="0"/>
              <w:snapToGrid w:val="0"/>
              <w:jc w:val="center"/>
              <w:rPr>
                <w:szCs w:val="21"/>
              </w:rPr>
            </w:pPr>
            <w:r>
              <w:rPr>
                <w:szCs w:val="21"/>
              </w:rPr>
              <w:t>——</w:t>
            </w:r>
          </w:p>
        </w:tc>
        <w:tc>
          <w:tcPr>
            <w:tcW w:w="1701" w:type="dxa"/>
            <w:gridSpan w:val="2"/>
            <w:vAlign w:val="center"/>
          </w:tcPr>
          <w:p>
            <w:pPr>
              <w:widowControl/>
              <w:adjustRightInd w:val="0"/>
              <w:snapToGrid w:val="0"/>
              <w:jc w:val="center"/>
              <w:rPr>
                <w:szCs w:val="21"/>
              </w:rPr>
            </w:pPr>
            <w:r>
              <w:rPr>
                <w:szCs w:val="21"/>
              </w:rPr>
              <w:t>4×10</w:t>
            </w:r>
            <w:r>
              <w:rPr>
                <w:szCs w:val="21"/>
                <w:vertAlign w:val="superscript"/>
              </w:rPr>
              <w:t>-5</w:t>
            </w:r>
          </w:p>
        </w:tc>
        <w:tc>
          <w:tcPr>
            <w:tcW w:w="2091" w:type="dxa"/>
          </w:tcPr>
          <w:p>
            <w:pPr>
              <w:widowControl/>
              <w:adjustRightInd w:val="0"/>
              <w:snapToGrid w:val="0"/>
              <w:jc w:val="center"/>
              <w:rPr>
                <w:szCs w:val="21"/>
              </w:rPr>
            </w:pPr>
            <w:r>
              <w:rPr>
                <w:szCs w:val="21"/>
              </w:rPr>
              <w:t>4×10</w:t>
            </w:r>
            <w:r>
              <w:rPr>
                <w:szCs w:val="21"/>
                <w:vertAlign w:val="superscript"/>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48</w:t>
            </w:r>
          </w:p>
        </w:tc>
        <w:tc>
          <w:tcPr>
            <w:tcW w:w="2586" w:type="dxa"/>
            <w:shd w:val="clear" w:color="auto" w:fill="auto"/>
            <w:vAlign w:val="center"/>
          </w:tcPr>
          <w:p>
            <w:pPr>
              <w:adjustRightInd w:val="0"/>
              <w:snapToGrid w:val="0"/>
              <w:jc w:val="center"/>
            </w:pPr>
            <w:r>
              <w:t>锑</w:t>
            </w:r>
          </w:p>
        </w:tc>
        <w:tc>
          <w:tcPr>
            <w:tcW w:w="1701" w:type="dxa"/>
            <w:vAlign w:val="center"/>
          </w:tcPr>
          <w:p>
            <w:pPr>
              <w:widowControl/>
              <w:adjustRightInd w:val="0"/>
              <w:snapToGrid w:val="0"/>
              <w:jc w:val="center"/>
              <w:rPr>
                <w:szCs w:val="21"/>
              </w:rPr>
            </w:pPr>
            <w:r>
              <w:rPr>
                <w:szCs w:val="21"/>
              </w:rPr>
              <w:t>7440-36-0</w:t>
            </w:r>
          </w:p>
        </w:tc>
        <w:tc>
          <w:tcPr>
            <w:tcW w:w="1701" w:type="dxa"/>
            <w:gridSpan w:val="2"/>
            <w:vAlign w:val="center"/>
          </w:tcPr>
          <w:p>
            <w:pPr>
              <w:widowControl/>
              <w:adjustRightInd w:val="0"/>
              <w:snapToGrid w:val="0"/>
              <w:jc w:val="center"/>
              <w:rPr>
                <w:szCs w:val="21"/>
              </w:rPr>
            </w:pPr>
            <w:r>
              <w:rPr>
                <w:szCs w:val="21"/>
              </w:rPr>
              <w:t>180</w:t>
            </w:r>
          </w:p>
        </w:tc>
        <w:tc>
          <w:tcPr>
            <w:tcW w:w="2091" w:type="dxa"/>
          </w:tcPr>
          <w:p>
            <w:pPr>
              <w:widowControl/>
              <w:adjustRightInd w:val="0"/>
              <w:snapToGrid w:val="0"/>
              <w:jc w:val="center"/>
              <w:rPr>
                <w:szCs w:val="21"/>
              </w:rPr>
            </w:pPr>
            <w:r>
              <w:rPr>
                <w:szCs w:val="21"/>
              </w:rPr>
              <w:t>360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1" w:type="dxa"/>
            <w:vAlign w:val="center"/>
          </w:tcPr>
          <w:p>
            <w:pPr>
              <w:widowControl/>
              <w:adjustRightInd w:val="0"/>
              <w:snapToGrid w:val="0"/>
              <w:jc w:val="center"/>
              <w:rPr>
                <w:szCs w:val="21"/>
              </w:rPr>
            </w:pPr>
            <w:r>
              <w:rPr>
                <w:szCs w:val="21"/>
              </w:rPr>
              <w:t>49</w:t>
            </w:r>
          </w:p>
        </w:tc>
        <w:tc>
          <w:tcPr>
            <w:tcW w:w="2586" w:type="dxa"/>
            <w:shd w:val="clear" w:color="auto" w:fill="auto"/>
            <w:vAlign w:val="center"/>
          </w:tcPr>
          <w:p>
            <w:pPr>
              <w:adjustRightInd w:val="0"/>
              <w:snapToGrid w:val="0"/>
              <w:jc w:val="center"/>
            </w:pPr>
            <w:r>
              <w:t>钴</w:t>
            </w:r>
          </w:p>
        </w:tc>
        <w:tc>
          <w:tcPr>
            <w:tcW w:w="1701" w:type="dxa"/>
            <w:vAlign w:val="center"/>
          </w:tcPr>
          <w:p>
            <w:pPr>
              <w:widowControl/>
              <w:adjustRightInd w:val="0"/>
              <w:snapToGrid w:val="0"/>
              <w:jc w:val="center"/>
              <w:rPr>
                <w:szCs w:val="21"/>
              </w:rPr>
            </w:pPr>
            <w:r>
              <w:rPr>
                <w:szCs w:val="21"/>
              </w:rPr>
              <w:t>7440-48-4</w:t>
            </w:r>
          </w:p>
        </w:tc>
        <w:tc>
          <w:tcPr>
            <w:tcW w:w="1701" w:type="dxa"/>
            <w:gridSpan w:val="2"/>
            <w:vAlign w:val="center"/>
          </w:tcPr>
          <w:p>
            <w:pPr>
              <w:widowControl/>
              <w:adjustRightInd w:val="0"/>
              <w:snapToGrid w:val="0"/>
              <w:jc w:val="center"/>
              <w:rPr>
                <w:szCs w:val="21"/>
              </w:rPr>
            </w:pPr>
            <w:r>
              <w:rPr>
                <w:szCs w:val="21"/>
              </w:rPr>
              <w:t>70</w:t>
            </w:r>
          </w:p>
        </w:tc>
        <w:tc>
          <w:tcPr>
            <w:tcW w:w="2091" w:type="dxa"/>
          </w:tcPr>
          <w:p>
            <w:pPr>
              <w:widowControl/>
              <w:adjustRightInd w:val="0"/>
              <w:snapToGrid w:val="0"/>
              <w:jc w:val="center"/>
              <w:rPr>
                <w:szCs w:val="21"/>
              </w:rPr>
            </w:pPr>
            <w:r>
              <w:rPr>
                <w:szCs w:val="21"/>
              </w:rPr>
              <w:t>350</w:t>
            </w:r>
          </w:p>
        </w:tc>
      </w:tr>
      <w:bookmarkEnd w:id="27"/>
    </w:tbl>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污染物排放标准</w:t>
      </w:r>
    </w:p>
    <w:p>
      <w:pPr>
        <w:tabs>
          <w:tab w:val="left" w:pos="417"/>
        </w:tabs>
        <w:adjustRightInd w:val="0"/>
        <w:snapToGrid w:val="0"/>
        <w:spacing w:line="360" w:lineRule="auto"/>
        <w:ind w:firstLine="482" w:firstLineChars="200"/>
        <w:rPr>
          <w:b/>
          <w:kern w:val="0"/>
          <w:sz w:val="24"/>
          <w:szCs w:val="24"/>
        </w:rPr>
      </w:pPr>
      <w:r>
        <w:rPr>
          <w:b/>
          <w:kern w:val="0"/>
          <w:sz w:val="24"/>
          <w:szCs w:val="24"/>
        </w:rPr>
        <w:t>（1）废气</w:t>
      </w:r>
    </w:p>
    <w:p>
      <w:pPr>
        <w:adjustRightInd w:val="0"/>
        <w:snapToGrid w:val="0"/>
        <w:spacing w:line="360" w:lineRule="auto"/>
        <w:ind w:firstLine="464" w:firstLineChars="200"/>
        <w:rPr>
          <w:spacing w:val="-4"/>
          <w:sz w:val="24"/>
          <w:szCs w:val="24"/>
        </w:rPr>
      </w:pPr>
      <w:bookmarkStart w:id="28" w:name="_Hlk93590580"/>
      <w:r>
        <w:rPr>
          <w:rFonts w:hint="eastAsia"/>
          <w:spacing w:val="-4"/>
          <w:sz w:val="24"/>
          <w:szCs w:val="24"/>
        </w:rPr>
        <w:t>填埋扬尘执行《大气污染物综合排放标准》</w:t>
      </w:r>
      <w:r>
        <w:rPr>
          <w:spacing w:val="-4"/>
          <w:sz w:val="24"/>
          <w:szCs w:val="24"/>
        </w:rPr>
        <w:t>(GB16297-1996)</w:t>
      </w:r>
      <w:r>
        <w:rPr>
          <w:rFonts w:hint="eastAsia"/>
          <w:spacing w:val="-4"/>
          <w:sz w:val="24"/>
          <w:szCs w:val="24"/>
        </w:rPr>
        <w:t>表</w:t>
      </w:r>
      <w:r>
        <w:rPr>
          <w:spacing w:val="-4"/>
          <w:sz w:val="24"/>
          <w:szCs w:val="24"/>
        </w:rPr>
        <w:t xml:space="preserve">2 </w:t>
      </w:r>
      <w:r>
        <w:rPr>
          <w:rFonts w:hint="eastAsia"/>
          <w:spacing w:val="-4"/>
          <w:sz w:val="24"/>
          <w:szCs w:val="24"/>
        </w:rPr>
        <w:t>中无组织排放监控浓度限值。</w:t>
      </w:r>
      <w:r>
        <w:rPr>
          <w:spacing w:val="-4"/>
          <w:sz w:val="24"/>
          <w:szCs w:val="24"/>
        </w:rPr>
        <w:t>恶臭气体排放执行《恶臭污染物排放标准》（GB14554－93）表1</w:t>
      </w:r>
      <w:r>
        <w:rPr>
          <w:rFonts w:hint="eastAsia"/>
          <w:spacing w:val="-4"/>
          <w:sz w:val="24"/>
          <w:szCs w:val="24"/>
        </w:rPr>
        <w:t>恶臭污染物厂界标准值</w:t>
      </w:r>
      <w:r>
        <w:rPr>
          <w:spacing w:val="-4"/>
          <w:sz w:val="24"/>
          <w:szCs w:val="24"/>
        </w:rPr>
        <w:t>二级标准中新扩改建项目标准值</w:t>
      </w:r>
      <w:r>
        <w:rPr>
          <w:rFonts w:hint="eastAsia"/>
          <w:spacing w:val="-4"/>
          <w:sz w:val="24"/>
          <w:szCs w:val="24"/>
        </w:rPr>
        <w:t>及表2中恶臭污染物排放标准值</w:t>
      </w:r>
      <w:r>
        <w:rPr>
          <w:spacing w:val="-4"/>
          <w:sz w:val="24"/>
          <w:szCs w:val="24"/>
        </w:rPr>
        <w:t>；施工期扬尘执行《施工场地扬尘排放标准》（DB13/2934-2019）表1</w:t>
      </w:r>
      <w:r>
        <w:rPr>
          <w:rFonts w:hint="eastAsia"/>
          <w:spacing w:val="-4"/>
          <w:sz w:val="24"/>
          <w:szCs w:val="24"/>
        </w:rPr>
        <w:t>、表3要求；</w:t>
      </w:r>
      <w:bookmarkEnd w:id="28"/>
      <w:r>
        <w:rPr>
          <w:spacing w:val="-4"/>
          <w:sz w:val="24"/>
          <w:szCs w:val="24"/>
        </w:rPr>
        <w:t>具体见表2.4-9～表2.4-10。</w:t>
      </w:r>
    </w:p>
    <w:p>
      <w:pPr>
        <w:adjustRightInd w:val="0"/>
        <w:snapToGrid w:val="0"/>
        <w:jc w:val="center"/>
        <w:rPr>
          <w:b/>
          <w:sz w:val="24"/>
        </w:rPr>
      </w:pPr>
      <w:r>
        <w:rPr>
          <w:b/>
          <w:sz w:val="24"/>
        </w:rPr>
        <w:t xml:space="preserve">表2.4-9  </w:t>
      </w:r>
      <w:r>
        <w:rPr>
          <w:rFonts w:hint="eastAsia"/>
          <w:b/>
          <w:sz w:val="24"/>
        </w:rPr>
        <w:t>厂界无组织颗粒物排放限值</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83"/>
        <w:gridCol w:w="1134"/>
        <w:gridCol w:w="1984"/>
        <w:gridCol w:w="46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350" w:type="pct"/>
            <w:vAlign w:val="center"/>
          </w:tcPr>
          <w:p>
            <w:pPr>
              <w:adjustRightInd w:val="0"/>
              <w:snapToGrid w:val="0"/>
              <w:spacing w:before="31" w:beforeLines="10"/>
              <w:jc w:val="center"/>
              <w:rPr>
                <w:bCs/>
              </w:rPr>
            </w:pPr>
            <w:r>
              <w:rPr>
                <w:rFonts w:hint="eastAsia"/>
                <w:bCs/>
              </w:rPr>
              <w:t>序号</w:t>
            </w:r>
          </w:p>
        </w:tc>
        <w:tc>
          <w:tcPr>
            <w:tcW w:w="680" w:type="pct"/>
            <w:vAlign w:val="center"/>
          </w:tcPr>
          <w:p>
            <w:pPr>
              <w:adjustRightInd w:val="0"/>
              <w:snapToGrid w:val="0"/>
              <w:spacing w:before="31" w:beforeLines="10"/>
              <w:jc w:val="center"/>
              <w:rPr>
                <w:bCs/>
              </w:rPr>
            </w:pPr>
            <w:r>
              <w:rPr>
                <w:rFonts w:hint="eastAsia"/>
                <w:bCs/>
              </w:rPr>
              <w:t>污染物项目</w:t>
            </w:r>
          </w:p>
        </w:tc>
        <w:tc>
          <w:tcPr>
            <w:tcW w:w="1190" w:type="pct"/>
            <w:vAlign w:val="center"/>
          </w:tcPr>
          <w:p>
            <w:pPr>
              <w:adjustRightInd w:val="0"/>
              <w:snapToGrid w:val="0"/>
              <w:spacing w:before="31" w:beforeLines="10"/>
              <w:jc w:val="center"/>
              <w:rPr>
                <w:bCs/>
              </w:rPr>
            </w:pPr>
            <w:r>
              <w:rPr>
                <w:rFonts w:hint="eastAsia"/>
                <w:bCs/>
              </w:rPr>
              <w:t>无组织排放限值mg/m</w:t>
            </w:r>
            <w:r>
              <w:rPr>
                <w:bCs/>
                <w:vertAlign w:val="superscript"/>
              </w:rPr>
              <w:t>3</w:t>
            </w:r>
          </w:p>
        </w:tc>
        <w:tc>
          <w:tcPr>
            <w:tcW w:w="2780" w:type="pct"/>
            <w:vAlign w:val="center"/>
          </w:tcPr>
          <w:p>
            <w:pPr>
              <w:adjustRightInd w:val="0"/>
              <w:snapToGrid w:val="0"/>
              <w:spacing w:before="31" w:beforeLines="10"/>
              <w:jc w:val="center"/>
              <w:rPr>
                <w:bCs/>
              </w:rPr>
            </w:pPr>
            <w:r>
              <w:rPr>
                <w:rFonts w:hint="eastAsia"/>
                <w:bCs/>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350" w:type="pct"/>
            <w:vAlign w:val="center"/>
          </w:tcPr>
          <w:p>
            <w:pPr>
              <w:adjustRightInd w:val="0"/>
              <w:snapToGrid w:val="0"/>
              <w:spacing w:before="31" w:beforeLines="10"/>
              <w:jc w:val="center"/>
              <w:rPr>
                <w:bCs/>
              </w:rPr>
            </w:pPr>
            <w:r>
              <w:rPr>
                <w:bCs/>
              </w:rPr>
              <w:t>1</w:t>
            </w:r>
          </w:p>
        </w:tc>
        <w:tc>
          <w:tcPr>
            <w:tcW w:w="680" w:type="pct"/>
            <w:vAlign w:val="center"/>
          </w:tcPr>
          <w:p>
            <w:pPr>
              <w:adjustRightInd w:val="0"/>
              <w:snapToGrid w:val="0"/>
              <w:spacing w:before="31" w:beforeLines="10"/>
              <w:jc w:val="center"/>
              <w:rPr>
                <w:bCs/>
              </w:rPr>
            </w:pPr>
            <w:r>
              <w:rPr>
                <w:rFonts w:hint="eastAsia"/>
                <w:bCs/>
              </w:rPr>
              <w:t>颗粒物</w:t>
            </w:r>
          </w:p>
        </w:tc>
        <w:tc>
          <w:tcPr>
            <w:tcW w:w="1190" w:type="pct"/>
            <w:vAlign w:val="center"/>
          </w:tcPr>
          <w:p>
            <w:pPr>
              <w:adjustRightInd w:val="0"/>
              <w:snapToGrid w:val="0"/>
              <w:spacing w:before="31" w:beforeLines="10"/>
              <w:jc w:val="center"/>
              <w:rPr>
                <w:bCs/>
              </w:rPr>
            </w:pPr>
            <w:r>
              <w:rPr>
                <w:bCs/>
              </w:rPr>
              <w:t>1.0</w:t>
            </w:r>
            <w:r>
              <w:rPr>
                <w:rFonts w:hint="eastAsia"/>
                <w:bCs/>
              </w:rPr>
              <w:t>mg/m</w:t>
            </w:r>
            <w:r>
              <w:rPr>
                <w:bCs/>
                <w:vertAlign w:val="superscript"/>
              </w:rPr>
              <w:t>3</w:t>
            </w:r>
          </w:p>
        </w:tc>
        <w:tc>
          <w:tcPr>
            <w:tcW w:w="2780" w:type="pct"/>
            <w:vAlign w:val="center"/>
          </w:tcPr>
          <w:p>
            <w:pPr>
              <w:adjustRightInd w:val="0"/>
              <w:snapToGrid w:val="0"/>
              <w:spacing w:before="31" w:beforeLines="10"/>
              <w:jc w:val="center"/>
              <w:rPr>
                <w:bCs/>
              </w:rPr>
            </w:pPr>
            <w:r>
              <w:rPr>
                <w:rFonts w:hint="eastAsia"/>
                <w:bCs/>
              </w:rPr>
              <w:t>《大气污染物综合排放标准》</w:t>
            </w:r>
            <w:r>
              <w:rPr>
                <w:bCs/>
              </w:rPr>
              <w:t>(GB16297-1996)</w:t>
            </w:r>
            <w:r>
              <w:rPr>
                <w:rFonts w:hint="eastAsia"/>
                <w:bCs/>
              </w:rPr>
              <w:t>表</w:t>
            </w:r>
            <w:r>
              <w:rPr>
                <w:bCs/>
              </w:rPr>
              <w:t xml:space="preserve">2 </w:t>
            </w:r>
            <w:r>
              <w:rPr>
                <w:rFonts w:hint="eastAsia"/>
                <w:bCs/>
              </w:rPr>
              <w:t>中无组织排放监控浓度限值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350" w:type="pct"/>
            <w:vAlign w:val="center"/>
          </w:tcPr>
          <w:p>
            <w:pPr>
              <w:adjustRightInd w:val="0"/>
              <w:snapToGrid w:val="0"/>
              <w:spacing w:before="31" w:beforeLines="10"/>
              <w:jc w:val="center"/>
              <w:rPr>
                <w:bCs/>
              </w:rPr>
            </w:pPr>
            <w:r>
              <w:rPr>
                <w:rFonts w:hint="eastAsia"/>
                <w:bCs/>
              </w:rPr>
              <w:t>2</w:t>
            </w:r>
          </w:p>
        </w:tc>
        <w:tc>
          <w:tcPr>
            <w:tcW w:w="680" w:type="pct"/>
            <w:vAlign w:val="center"/>
          </w:tcPr>
          <w:p>
            <w:pPr>
              <w:adjustRightInd w:val="0"/>
              <w:snapToGrid w:val="0"/>
              <w:spacing w:before="31" w:beforeLines="10"/>
              <w:jc w:val="center"/>
              <w:rPr>
                <w:bCs/>
              </w:rPr>
            </w:pPr>
            <w:r>
              <w:t>臭气浓度</w:t>
            </w:r>
          </w:p>
        </w:tc>
        <w:tc>
          <w:tcPr>
            <w:tcW w:w="1190" w:type="pct"/>
            <w:vAlign w:val="center"/>
          </w:tcPr>
          <w:p>
            <w:pPr>
              <w:adjustRightInd w:val="0"/>
              <w:snapToGrid w:val="0"/>
              <w:spacing w:before="31" w:beforeLines="10"/>
              <w:jc w:val="center"/>
              <w:rPr>
                <w:bCs/>
              </w:rPr>
            </w:pPr>
            <w:r>
              <w:t>20（无量纲）</w:t>
            </w:r>
          </w:p>
        </w:tc>
        <w:tc>
          <w:tcPr>
            <w:tcW w:w="2780" w:type="pct"/>
            <w:vAlign w:val="center"/>
          </w:tcPr>
          <w:p>
            <w:pPr>
              <w:adjustRightInd w:val="0"/>
              <w:snapToGrid w:val="0"/>
              <w:spacing w:before="31" w:beforeLines="10"/>
              <w:jc w:val="center"/>
              <w:rPr>
                <w:bCs/>
              </w:rPr>
            </w:pPr>
            <w:bookmarkStart w:id="29" w:name="_Hlk111455053"/>
            <w:r>
              <w:t>《恶臭污染物排放标准》（GB14554－93）</w:t>
            </w:r>
            <w:bookmarkEnd w:id="29"/>
          </w:p>
        </w:tc>
      </w:tr>
    </w:tbl>
    <w:p>
      <w:pPr>
        <w:adjustRightInd w:val="0"/>
        <w:snapToGrid w:val="0"/>
        <w:jc w:val="center"/>
        <w:rPr>
          <w:b/>
          <w:sz w:val="24"/>
        </w:rPr>
      </w:pPr>
      <w:r>
        <w:rPr>
          <w:b/>
          <w:sz w:val="24"/>
        </w:rPr>
        <w:t>表</w:t>
      </w:r>
      <w:r>
        <w:rPr>
          <w:rFonts w:hint="eastAsia"/>
          <w:b/>
          <w:sz w:val="24"/>
        </w:rPr>
        <w:t>2</w:t>
      </w:r>
      <w:r>
        <w:rPr>
          <w:b/>
          <w:sz w:val="24"/>
        </w:rPr>
        <w:t xml:space="preserve">.4-10  </w:t>
      </w:r>
      <w:r>
        <w:rPr>
          <w:rFonts w:hint="eastAsia"/>
          <w:b/>
          <w:sz w:val="24"/>
        </w:rPr>
        <w:t xml:space="preserve"> 施工扬尘排放标准</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77"/>
        <w:gridCol w:w="2517"/>
        <w:gridCol w:w="2315"/>
        <w:gridCol w:w="24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trPr>
        <w:tc>
          <w:tcPr>
            <w:tcW w:w="749" w:type="pct"/>
            <w:shd w:val="clear" w:color="auto" w:fill="auto"/>
            <w:vAlign w:val="center"/>
          </w:tcPr>
          <w:p>
            <w:pPr>
              <w:adjustRightInd w:val="0"/>
              <w:snapToGrid w:val="0"/>
              <w:jc w:val="center"/>
              <w:rPr>
                <w:b/>
                <w:sz w:val="24"/>
              </w:rPr>
            </w:pPr>
            <w:r>
              <w:rPr>
                <w:b/>
                <w:szCs w:val="21"/>
              </w:rPr>
              <w:t>污染物</w:t>
            </w:r>
          </w:p>
        </w:tc>
        <w:tc>
          <w:tcPr>
            <w:tcW w:w="1477" w:type="pct"/>
            <w:shd w:val="clear" w:color="auto" w:fill="auto"/>
            <w:vAlign w:val="center"/>
          </w:tcPr>
          <w:p>
            <w:pPr>
              <w:adjustRightInd w:val="0"/>
              <w:snapToGrid w:val="0"/>
              <w:jc w:val="center"/>
              <w:rPr>
                <w:b/>
                <w:szCs w:val="21"/>
              </w:rPr>
            </w:pPr>
            <w:r>
              <w:rPr>
                <w:rFonts w:hint="eastAsia"/>
                <w:b/>
                <w:szCs w:val="21"/>
              </w:rPr>
              <w:t>监测点浓度限值*</w:t>
            </w:r>
          </w:p>
          <w:p>
            <w:pPr>
              <w:adjustRightInd w:val="0"/>
              <w:snapToGrid w:val="0"/>
              <w:jc w:val="center"/>
              <w:rPr>
                <w:b/>
                <w:sz w:val="24"/>
              </w:rPr>
            </w:pPr>
            <w:r>
              <w:rPr>
                <w:b/>
                <w:szCs w:val="21"/>
              </w:rPr>
              <w:t>(μg/m</w:t>
            </w:r>
            <w:r>
              <w:rPr>
                <w:b/>
                <w:szCs w:val="21"/>
                <w:vertAlign w:val="superscript"/>
              </w:rPr>
              <w:t>3</w:t>
            </w:r>
            <w:r>
              <w:rPr>
                <w:b/>
                <w:szCs w:val="21"/>
              </w:rPr>
              <w:t>)</w:t>
            </w:r>
          </w:p>
        </w:tc>
        <w:tc>
          <w:tcPr>
            <w:tcW w:w="1358" w:type="pct"/>
          </w:tcPr>
          <w:p>
            <w:pPr>
              <w:adjustRightInd w:val="0"/>
              <w:snapToGrid w:val="0"/>
              <w:jc w:val="center"/>
              <w:rPr>
                <w:b/>
                <w:szCs w:val="21"/>
              </w:rPr>
            </w:pPr>
            <w:r>
              <w:rPr>
                <w:rFonts w:hint="eastAsia"/>
                <w:b/>
                <w:szCs w:val="21"/>
              </w:rPr>
              <w:t>达标判定依据</w:t>
            </w:r>
          </w:p>
          <w:p>
            <w:pPr>
              <w:adjustRightInd w:val="0"/>
              <w:snapToGrid w:val="0"/>
              <w:jc w:val="center"/>
              <w:rPr>
                <w:b/>
                <w:szCs w:val="21"/>
              </w:rPr>
            </w:pPr>
            <w:r>
              <w:rPr>
                <w:rFonts w:hint="eastAsia"/>
                <w:b/>
                <w:szCs w:val="21"/>
              </w:rPr>
              <w:t>（次/天）</w:t>
            </w:r>
          </w:p>
        </w:tc>
        <w:tc>
          <w:tcPr>
            <w:tcW w:w="1416" w:type="pct"/>
          </w:tcPr>
          <w:p>
            <w:pPr>
              <w:adjustRightInd w:val="0"/>
              <w:snapToGrid w:val="0"/>
              <w:jc w:val="center"/>
              <w:rPr>
                <w:b/>
                <w:szCs w:val="21"/>
              </w:rPr>
            </w:pPr>
            <w:r>
              <w:rPr>
                <w:rFonts w:hint="eastAsia"/>
                <w:b/>
                <w:szCs w:val="21"/>
              </w:rPr>
              <w:t>标注来源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2" w:hRule="atLeast"/>
        </w:trPr>
        <w:tc>
          <w:tcPr>
            <w:tcW w:w="749" w:type="pct"/>
            <w:shd w:val="clear" w:color="auto" w:fill="auto"/>
            <w:vAlign w:val="center"/>
          </w:tcPr>
          <w:p>
            <w:pPr>
              <w:adjustRightInd w:val="0"/>
              <w:snapToGrid w:val="0"/>
              <w:jc w:val="center"/>
              <w:rPr>
                <w:bCs/>
                <w:szCs w:val="21"/>
              </w:rPr>
            </w:pPr>
            <w:r>
              <w:rPr>
                <w:rFonts w:hint="eastAsia"/>
                <w:bCs/>
                <w:szCs w:val="21"/>
              </w:rPr>
              <w:t>P</w:t>
            </w:r>
            <w:r>
              <w:rPr>
                <w:bCs/>
                <w:szCs w:val="21"/>
              </w:rPr>
              <w:t>M</w:t>
            </w:r>
            <w:r>
              <w:rPr>
                <w:bCs/>
                <w:szCs w:val="21"/>
                <w:vertAlign w:val="subscript"/>
              </w:rPr>
              <w:t>10</w:t>
            </w:r>
          </w:p>
        </w:tc>
        <w:tc>
          <w:tcPr>
            <w:tcW w:w="1477" w:type="pct"/>
            <w:shd w:val="clear" w:color="auto" w:fill="auto"/>
            <w:vAlign w:val="center"/>
          </w:tcPr>
          <w:p>
            <w:pPr>
              <w:adjustRightInd w:val="0"/>
              <w:snapToGrid w:val="0"/>
              <w:jc w:val="center"/>
              <w:rPr>
                <w:bCs/>
                <w:szCs w:val="21"/>
              </w:rPr>
            </w:pPr>
            <w:r>
              <w:rPr>
                <w:bCs/>
                <w:szCs w:val="21"/>
              </w:rPr>
              <w:t>80</w:t>
            </w:r>
          </w:p>
        </w:tc>
        <w:tc>
          <w:tcPr>
            <w:tcW w:w="1358" w:type="pct"/>
          </w:tcPr>
          <w:p>
            <w:pPr>
              <w:adjustRightInd w:val="0"/>
              <w:snapToGrid w:val="0"/>
              <w:jc w:val="center"/>
              <w:rPr>
                <w:bCs/>
                <w:szCs w:val="21"/>
              </w:rPr>
            </w:pPr>
            <w:r>
              <w:rPr>
                <w:rFonts w:hint="eastAsia"/>
                <w:bCs/>
                <w:szCs w:val="21"/>
              </w:rPr>
              <w:t>≤</w:t>
            </w:r>
            <w:r>
              <w:rPr>
                <w:bCs/>
                <w:szCs w:val="21"/>
              </w:rPr>
              <w:t>2</w:t>
            </w:r>
          </w:p>
        </w:tc>
        <w:tc>
          <w:tcPr>
            <w:tcW w:w="1416" w:type="pct"/>
            <w:vMerge w:val="restart"/>
          </w:tcPr>
          <w:p>
            <w:pPr>
              <w:adjustRightInd w:val="0"/>
              <w:snapToGrid w:val="0"/>
              <w:jc w:val="center"/>
              <w:rPr>
                <w:bCs/>
                <w:szCs w:val="21"/>
              </w:rPr>
            </w:pPr>
            <w:r>
              <w:rPr>
                <w:rFonts w:hint="eastAsia"/>
                <w:bCs/>
                <w:szCs w:val="21"/>
              </w:rPr>
              <w:t>《施工场地扬尘排放标准》（DB13/2934-2019）表1、表3标准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64" w:hRule="atLeast"/>
        </w:trPr>
        <w:tc>
          <w:tcPr>
            <w:tcW w:w="3584" w:type="pct"/>
            <w:gridSpan w:val="3"/>
            <w:shd w:val="clear" w:color="auto" w:fill="auto"/>
            <w:vAlign w:val="center"/>
          </w:tcPr>
          <w:p>
            <w:pPr>
              <w:adjustRightInd w:val="0"/>
              <w:snapToGrid w:val="0"/>
              <w:jc w:val="center"/>
              <w:rPr>
                <w:bCs/>
                <w:szCs w:val="21"/>
              </w:rPr>
            </w:pPr>
            <w:r>
              <w:rPr>
                <w:rFonts w:hint="eastAsia"/>
                <w:bCs/>
                <w:szCs w:val="21"/>
              </w:rPr>
              <w:t>*指监测点P</w:t>
            </w:r>
            <w:r>
              <w:rPr>
                <w:bCs/>
                <w:szCs w:val="21"/>
              </w:rPr>
              <w:t>M</w:t>
            </w:r>
            <w:r>
              <w:rPr>
                <w:bCs/>
                <w:szCs w:val="21"/>
                <w:vertAlign w:val="subscript"/>
              </w:rPr>
              <w:t>10</w:t>
            </w:r>
            <w:r>
              <w:rPr>
                <w:rFonts w:hint="eastAsia"/>
                <w:bCs/>
                <w:szCs w:val="21"/>
              </w:rPr>
              <w:t>小时平均浓度实测值与同时段所属县（市、区）P</w:t>
            </w:r>
            <w:r>
              <w:rPr>
                <w:bCs/>
                <w:szCs w:val="21"/>
              </w:rPr>
              <w:t>M</w:t>
            </w:r>
            <w:r>
              <w:rPr>
                <w:bCs/>
                <w:szCs w:val="21"/>
                <w:vertAlign w:val="subscript"/>
              </w:rPr>
              <w:t>10</w:t>
            </w:r>
            <w:r>
              <w:rPr>
                <w:rFonts w:hint="eastAsia"/>
                <w:bCs/>
                <w:szCs w:val="21"/>
              </w:rPr>
              <w:t>小时平均浓度的差值，当县（市、区）P</w:t>
            </w:r>
            <w:r>
              <w:rPr>
                <w:bCs/>
                <w:szCs w:val="21"/>
              </w:rPr>
              <w:t>M</w:t>
            </w:r>
            <w:r>
              <w:rPr>
                <w:bCs/>
                <w:szCs w:val="21"/>
                <w:vertAlign w:val="subscript"/>
              </w:rPr>
              <w:t>10</w:t>
            </w:r>
            <w:r>
              <w:rPr>
                <w:rFonts w:hint="eastAsia"/>
                <w:bCs/>
                <w:szCs w:val="21"/>
              </w:rPr>
              <w:t>小时平均浓度值大于1</w:t>
            </w:r>
            <w:r>
              <w:rPr>
                <w:bCs/>
                <w:szCs w:val="21"/>
              </w:rPr>
              <w:t>50μg/m</w:t>
            </w:r>
            <w:r>
              <w:rPr>
                <w:bCs/>
                <w:szCs w:val="21"/>
                <w:vertAlign w:val="superscript"/>
              </w:rPr>
              <w:t>3</w:t>
            </w:r>
            <w:r>
              <w:rPr>
                <w:rFonts w:hint="eastAsia"/>
                <w:bCs/>
                <w:szCs w:val="21"/>
              </w:rPr>
              <w:t>时，以1</w:t>
            </w:r>
            <w:r>
              <w:rPr>
                <w:bCs/>
                <w:szCs w:val="21"/>
              </w:rPr>
              <w:t>50μg/m</w:t>
            </w:r>
            <w:r>
              <w:rPr>
                <w:bCs/>
                <w:szCs w:val="21"/>
                <w:vertAlign w:val="superscript"/>
              </w:rPr>
              <w:t>3</w:t>
            </w:r>
            <w:r>
              <w:rPr>
                <w:rFonts w:hint="eastAsia"/>
                <w:bCs/>
                <w:szCs w:val="21"/>
              </w:rPr>
              <w:t>计</w:t>
            </w:r>
          </w:p>
        </w:tc>
        <w:tc>
          <w:tcPr>
            <w:tcW w:w="1416" w:type="pct"/>
            <w:vMerge w:val="continue"/>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5" w:hRule="atLeast"/>
        </w:trPr>
        <w:tc>
          <w:tcPr>
            <w:tcW w:w="3584" w:type="pct"/>
            <w:gridSpan w:val="3"/>
            <w:shd w:val="clear" w:color="auto" w:fill="auto"/>
            <w:vAlign w:val="center"/>
          </w:tcPr>
          <w:p>
            <w:pPr>
              <w:adjustRightInd w:val="0"/>
              <w:snapToGrid w:val="0"/>
              <w:jc w:val="center"/>
              <w:rPr>
                <w:bCs/>
                <w:szCs w:val="21"/>
              </w:rPr>
            </w:pPr>
            <w:r>
              <w:rPr>
                <w:rFonts w:hint="eastAsia"/>
                <w:bCs/>
                <w:szCs w:val="21"/>
              </w:rPr>
              <w:t>10000＜占地面积S（m</w:t>
            </w:r>
            <w:r>
              <w:rPr>
                <w:rFonts w:hint="eastAsia"/>
                <w:bCs/>
                <w:szCs w:val="21"/>
                <w:vertAlign w:val="superscript"/>
              </w:rPr>
              <w:t>2</w:t>
            </w:r>
            <w:r>
              <w:rPr>
                <w:rFonts w:hint="eastAsia"/>
                <w:bCs/>
                <w:szCs w:val="21"/>
              </w:rPr>
              <w:t>）≤100000时，监测点位数≥4</w:t>
            </w:r>
          </w:p>
        </w:tc>
        <w:tc>
          <w:tcPr>
            <w:tcW w:w="1416" w:type="pct"/>
            <w:vMerge w:val="continue"/>
          </w:tcPr>
          <w:p>
            <w:pPr>
              <w:adjustRightInd w:val="0"/>
              <w:snapToGrid w:val="0"/>
              <w:jc w:val="center"/>
              <w:rPr>
                <w:bCs/>
                <w:szCs w:val="21"/>
              </w:rPr>
            </w:pPr>
          </w:p>
        </w:tc>
      </w:tr>
    </w:tbl>
    <w:p>
      <w:pPr>
        <w:tabs>
          <w:tab w:val="left" w:pos="417"/>
        </w:tabs>
        <w:snapToGrid w:val="0"/>
        <w:spacing w:line="360" w:lineRule="auto"/>
        <w:ind w:firstLine="482" w:firstLineChars="200"/>
        <w:rPr>
          <w:b/>
          <w:kern w:val="0"/>
          <w:sz w:val="24"/>
          <w:szCs w:val="24"/>
        </w:rPr>
      </w:pPr>
    </w:p>
    <w:p>
      <w:pPr>
        <w:tabs>
          <w:tab w:val="left" w:pos="417"/>
        </w:tabs>
        <w:snapToGrid w:val="0"/>
        <w:spacing w:line="360" w:lineRule="auto"/>
        <w:ind w:firstLine="482" w:firstLineChars="200"/>
        <w:rPr>
          <w:b/>
          <w:kern w:val="0"/>
          <w:sz w:val="24"/>
          <w:szCs w:val="24"/>
        </w:rPr>
      </w:pPr>
      <w:r>
        <w:rPr>
          <w:b/>
          <w:kern w:val="0"/>
          <w:sz w:val="24"/>
          <w:szCs w:val="24"/>
        </w:rPr>
        <w:t>（2）废水</w:t>
      </w:r>
    </w:p>
    <w:p>
      <w:pPr>
        <w:tabs>
          <w:tab w:val="left" w:pos="1440"/>
        </w:tabs>
        <w:adjustRightInd w:val="0"/>
        <w:snapToGrid w:val="0"/>
        <w:spacing w:line="360" w:lineRule="auto"/>
        <w:ind w:firstLine="480" w:firstLineChars="200"/>
        <w:rPr>
          <w:sz w:val="24"/>
          <w:szCs w:val="24"/>
        </w:rPr>
      </w:pPr>
      <w:bookmarkStart w:id="30" w:name="_Hlk93590659"/>
      <w:r>
        <w:rPr>
          <w:sz w:val="24"/>
          <w:szCs w:val="24"/>
        </w:rPr>
        <w:t>本项目</w:t>
      </w:r>
      <w:r>
        <w:rPr>
          <w:rFonts w:hint="eastAsia"/>
          <w:sz w:val="24"/>
          <w:szCs w:val="24"/>
        </w:rPr>
        <w:t>所有</w:t>
      </w:r>
      <w:r>
        <w:rPr>
          <w:sz w:val="24"/>
          <w:szCs w:val="24"/>
        </w:rPr>
        <w:t>废水经自建</w:t>
      </w:r>
      <w:r>
        <w:rPr>
          <w:rFonts w:hint="eastAsia"/>
          <w:sz w:val="24"/>
          <w:szCs w:val="24"/>
        </w:rPr>
        <w:t>一体化</w:t>
      </w:r>
      <w:r>
        <w:rPr>
          <w:sz w:val="24"/>
          <w:szCs w:val="24"/>
        </w:rPr>
        <w:t>污水处理站</w:t>
      </w:r>
      <w:r>
        <w:rPr>
          <w:rFonts w:hint="eastAsia"/>
          <w:sz w:val="24"/>
          <w:szCs w:val="24"/>
        </w:rPr>
        <w:t>处理后，泵入紧邻的围场县生活垃圾焚烧发电项目的渗滤液处理站继续进行深度处理，出水满足《城市污水再生利用 工业用水水质》（</w:t>
      </w:r>
      <w:r>
        <w:rPr>
          <w:sz w:val="24"/>
          <w:szCs w:val="24"/>
        </w:rPr>
        <w:t>GB/T19923-2005</w:t>
      </w:r>
      <w:r>
        <w:rPr>
          <w:rFonts w:hint="eastAsia"/>
          <w:sz w:val="24"/>
          <w:szCs w:val="24"/>
        </w:rPr>
        <w:t>）中表</w:t>
      </w:r>
      <w:r>
        <w:rPr>
          <w:sz w:val="24"/>
          <w:szCs w:val="24"/>
        </w:rPr>
        <w:t>1</w:t>
      </w:r>
      <w:r>
        <w:rPr>
          <w:rFonts w:hint="eastAsia"/>
          <w:sz w:val="24"/>
          <w:szCs w:val="24"/>
        </w:rPr>
        <w:t>中敞开式循环冷却水系统补充水水质要求后全部回用于生产用水。</w:t>
      </w:r>
    </w:p>
    <w:bookmarkEnd w:id="30"/>
    <w:p>
      <w:pPr>
        <w:tabs>
          <w:tab w:val="left" w:pos="1440"/>
        </w:tabs>
        <w:snapToGrid w:val="0"/>
        <w:spacing w:line="440" w:lineRule="exact"/>
        <w:jc w:val="center"/>
        <w:rPr>
          <w:b/>
          <w:kern w:val="0"/>
          <w:szCs w:val="21"/>
        </w:rPr>
      </w:pPr>
      <w:r>
        <w:rPr>
          <w:b/>
          <w:kern w:val="0"/>
          <w:sz w:val="24"/>
        </w:rPr>
        <w:t>表2.4-15    废水处理水质标准</w:t>
      </w:r>
      <w:r>
        <w:rPr>
          <w:b/>
          <w:kern w:val="0"/>
          <w:szCs w:val="21"/>
        </w:rPr>
        <w:t>(除pH外，单位：mg/L)</w:t>
      </w:r>
    </w:p>
    <w:tbl>
      <w:tblPr>
        <w:tblStyle w:val="39"/>
        <w:tblW w:w="518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2375"/>
        <w:gridCol w:w="3187"/>
        <w:gridCol w:w="31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rPr>
                <w:szCs w:val="21"/>
              </w:rPr>
              <w:t>污染物名称</w:t>
            </w:r>
          </w:p>
        </w:tc>
        <w:tc>
          <w:tcPr>
            <w:tcW w:w="1837" w:type="pct"/>
            <w:vAlign w:val="center"/>
          </w:tcPr>
          <w:p>
            <w:pPr>
              <w:adjustRightInd w:val="0"/>
              <w:snapToGrid w:val="0"/>
              <w:jc w:val="center"/>
              <w:rPr>
                <w:szCs w:val="21"/>
              </w:rPr>
            </w:pPr>
            <w:r>
              <w:rPr>
                <w:szCs w:val="21"/>
              </w:rPr>
              <w:t>排放标准</w:t>
            </w:r>
          </w:p>
        </w:tc>
        <w:tc>
          <w:tcPr>
            <w:tcW w:w="1794" w:type="pct"/>
            <w:vAlign w:val="center"/>
          </w:tcPr>
          <w:p>
            <w:pPr>
              <w:adjustRightInd w:val="0"/>
              <w:snapToGrid w:val="0"/>
              <w:jc w:val="center"/>
              <w:rPr>
                <w:szCs w:val="21"/>
              </w:rPr>
            </w:pPr>
            <w:r>
              <w:rPr>
                <w:szCs w:val="21"/>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spacing w:val="-2"/>
                <w:szCs w:val="21"/>
              </w:rPr>
              <w:t>COD</w:t>
            </w:r>
          </w:p>
        </w:tc>
        <w:tc>
          <w:tcPr>
            <w:tcW w:w="1837" w:type="pct"/>
          </w:tcPr>
          <w:p>
            <w:pPr>
              <w:adjustRightInd w:val="0"/>
              <w:snapToGrid w:val="0"/>
              <w:jc w:val="center"/>
              <w:rPr>
                <w:szCs w:val="21"/>
              </w:rPr>
            </w:pPr>
            <w:r>
              <w:t>≤</w:t>
            </w:r>
            <w:r>
              <w:rPr>
                <w:szCs w:val="21"/>
              </w:rPr>
              <w:t>100</w:t>
            </w:r>
            <w:r>
              <w:rPr>
                <w:spacing w:val="-2"/>
                <w:szCs w:val="21"/>
              </w:rPr>
              <w:t xml:space="preserve"> </w:t>
            </w:r>
            <w:r>
              <w:rPr>
                <w:szCs w:val="21"/>
              </w:rPr>
              <w:t>mg/L</w:t>
            </w:r>
          </w:p>
        </w:tc>
        <w:tc>
          <w:tcPr>
            <w:tcW w:w="1794" w:type="pct"/>
            <w:vMerge w:val="restart"/>
            <w:vAlign w:val="center"/>
          </w:tcPr>
          <w:p>
            <w:pPr>
              <w:kinsoku w:val="0"/>
              <w:overflowPunct w:val="0"/>
              <w:autoSpaceDE w:val="0"/>
              <w:autoSpaceDN w:val="0"/>
              <w:adjustRightInd w:val="0"/>
              <w:spacing w:line="211" w:lineRule="exact"/>
              <w:jc w:val="center"/>
              <w:rPr>
                <w:szCs w:val="21"/>
              </w:rPr>
            </w:pPr>
            <w:r>
              <w:rPr>
                <w:rFonts w:hint="eastAsia" w:ascii="宋体" w:cs="宋体"/>
                <w:spacing w:val="-2"/>
                <w:kern w:val="0"/>
                <w:szCs w:val="21"/>
              </w:rPr>
              <w:t>《生活垃圾填埋场污染物控制标准》</w:t>
            </w:r>
            <w:r>
              <w:rPr>
                <w:rFonts w:hint="eastAsia" w:ascii="宋体" w:cs="宋体"/>
                <w:spacing w:val="-1"/>
                <w:kern w:val="0"/>
                <w:szCs w:val="21"/>
              </w:rPr>
              <w:t>（</w:t>
            </w:r>
            <w:r>
              <w:rPr>
                <w:spacing w:val="-1"/>
                <w:kern w:val="0"/>
                <w:szCs w:val="21"/>
              </w:rPr>
              <w:t>GB16889-2008</w:t>
            </w:r>
            <w:r>
              <w:rPr>
                <w:rFonts w:hint="eastAsia" w:ascii="宋体" w:cs="宋体"/>
                <w:spacing w:val="-1"/>
                <w:kern w:val="0"/>
                <w:szCs w:val="21"/>
              </w:rPr>
              <w:t>）表</w:t>
            </w:r>
            <w:r>
              <w:rPr>
                <w:rFonts w:ascii="宋体" w:cs="宋体"/>
                <w:spacing w:val="-53"/>
                <w:kern w:val="0"/>
                <w:szCs w:val="21"/>
              </w:rPr>
              <w:t xml:space="preserve"> </w:t>
            </w:r>
            <w:r>
              <w:rPr>
                <w:kern w:val="0"/>
                <w:szCs w:val="21"/>
              </w:rPr>
              <w:t>2</w:t>
            </w:r>
            <w:r>
              <w:rPr>
                <w:spacing w:val="-3"/>
                <w:kern w:val="0"/>
                <w:szCs w:val="21"/>
              </w:rPr>
              <w:t xml:space="preserve"> </w:t>
            </w:r>
            <w:r>
              <w:rPr>
                <w:rFonts w:hint="eastAsia" w:ascii="宋体" w:cs="宋体"/>
                <w:spacing w:val="-3"/>
                <w:kern w:val="0"/>
                <w:szCs w:val="21"/>
              </w:rPr>
              <w:t>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pacing w:val="-2"/>
                <w:szCs w:val="21"/>
              </w:rPr>
            </w:pPr>
            <w:r>
              <w:rPr>
                <w:spacing w:val="-2"/>
                <w:szCs w:val="21"/>
              </w:rPr>
              <w:t>SS</w:t>
            </w:r>
          </w:p>
        </w:tc>
        <w:tc>
          <w:tcPr>
            <w:tcW w:w="1837" w:type="pct"/>
          </w:tcPr>
          <w:p>
            <w:pPr>
              <w:adjustRightInd w:val="0"/>
              <w:snapToGrid w:val="0"/>
              <w:jc w:val="center"/>
              <w:rPr>
                <w:szCs w:val="21"/>
              </w:rPr>
            </w:pPr>
            <w:r>
              <w:t>≤</w:t>
            </w:r>
            <w:r>
              <w:rPr>
                <w:szCs w:val="21"/>
              </w:rPr>
              <w:t>30</w:t>
            </w:r>
            <w:r>
              <w:rPr>
                <w:spacing w:val="-2"/>
                <w:szCs w:val="21"/>
              </w:rPr>
              <w:t xml:space="preserve"> </w:t>
            </w:r>
            <w:r>
              <w:rPr>
                <w:szCs w:val="21"/>
              </w:rPr>
              <w:t>mg/L</w:t>
            </w:r>
          </w:p>
        </w:tc>
        <w:tc>
          <w:tcPr>
            <w:tcW w:w="1794" w:type="pct"/>
            <w:vMerge w:val="continue"/>
            <w:vAlign w:val="center"/>
          </w:tcPr>
          <w:p>
            <w:pPr>
              <w:kinsoku w:val="0"/>
              <w:overflowPunct w:val="0"/>
              <w:autoSpaceDE w:val="0"/>
              <w:autoSpaceDN w:val="0"/>
              <w:adjustRightInd w:val="0"/>
              <w:spacing w:line="211" w:lineRule="exact"/>
              <w:jc w:val="center"/>
              <w:rPr>
                <w:rFonts w:ascii="宋体" w:cs="宋体"/>
                <w:spacing w:val="-2"/>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spacing w:val="-1"/>
                <w:szCs w:val="21"/>
              </w:rPr>
              <w:t>NH</w:t>
            </w:r>
            <w:r>
              <w:rPr>
                <w:spacing w:val="-1"/>
                <w:sz w:val="13"/>
                <w:szCs w:val="13"/>
              </w:rPr>
              <w:t>3</w:t>
            </w:r>
            <w:r>
              <w:rPr>
                <w:spacing w:val="-1"/>
                <w:szCs w:val="21"/>
              </w:rPr>
              <w:t>-N</w:t>
            </w:r>
          </w:p>
        </w:tc>
        <w:tc>
          <w:tcPr>
            <w:tcW w:w="1837" w:type="pct"/>
          </w:tcPr>
          <w:p>
            <w:pPr>
              <w:adjustRightInd w:val="0"/>
              <w:snapToGrid w:val="0"/>
              <w:jc w:val="center"/>
              <w:rPr>
                <w:szCs w:val="21"/>
              </w:rPr>
            </w:pPr>
            <w:r>
              <w:t>≤</w:t>
            </w:r>
            <w:r>
              <w:rPr>
                <w:szCs w:val="21"/>
              </w:rPr>
              <w:t>25</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rFonts w:hint="eastAsia" w:ascii="宋体" w:cs="宋体"/>
                <w:spacing w:val="-2"/>
                <w:szCs w:val="21"/>
              </w:rPr>
              <w:t>总汞</w:t>
            </w:r>
          </w:p>
        </w:tc>
        <w:tc>
          <w:tcPr>
            <w:tcW w:w="1837" w:type="pct"/>
          </w:tcPr>
          <w:p>
            <w:pPr>
              <w:adjustRightInd w:val="0"/>
              <w:snapToGrid w:val="0"/>
              <w:jc w:val="center"/>
              <w:rPr>
                <w:szCs w:val="21"/>
              </w:rPr>
            </w:pPr>
            <w:r>
              <w:t>≤</w:t>
            </w:r>
            <w:r>
              <w:rPr>
                <w:szCs w:val="21"/>
              </w:rPr>
              <w:t>0.001</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rFonts w:hint="eastAsia" w:ascii="宋体" w:cs="宋体"/>
                <w:spacing w:val="-2"/>
                <w:szCs w:val="21"/>
              </w:rPr>
              <w:t>总镉</w:t>
            </w:r>
          </w:p>
        </w:tc>
        <w:tc>
          <w:tcPr>
            <w:tcW w:w="1837" w:type="pct"/>
          </w:tcPr>
          <w:p>
            <w:pPr>
              <w:adjustRightInd w:val="0"/>
              <w:snapToGrid w:val="0"/>
              <w:jc w:val="center"/>
              <w:rPr>
                <w:szCs w:val="21"/>
              </w:rPr>
            </w:pPr>
            <w:r>
              <w:t>≤</w:t>
            </w:r>
            <w:r>
              <w:rPr>
                <w:szCs w:val="21"/>
              </w:rPr>
              <w:t>0.01</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rFonts w:hint="eastAsia" w:ascii="宋体" w:cs="宋体"/>
                <w:spacing w:val="-2"/>
                <w:szCs w:val="21"/>
              </w:rPr>
              <w:t>总铬</w:t>
            </w:r>
          </w:p>
        </w:tc>
        <w:tc>
          <w:tcPr>
            <w:tcW w:w="1837" w:type="pct"/>
          </w:tcPr>
          <w:p>
            <w:pPr>
              <w:adjustRightInd w:val="0"/>
              <w:snapToGrid w:val="0"/>
              <w:jc w:val="center"/>
              <w:rPr>
                <w:szCs w:val="21"/>
              </w:rPr>
            </w:pPr>
            <w:r>
              <w:t>≤</w:t>
            </w:r>
            <w:r>
              <w:rPr>
                <w:szCs w:val="21"/>
              </w:rPr>
              <w:t>0.1</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rFonts w:hint="eastAsia" w:ascii="宋体" w:cs="宋体"/>
                <w:spacing w:val="-2"/>
                <w:szCs w:val="21"/>
              </w:rPr>
              <w:t>六价铬</w:t>
            </w:r>
          </w:p>
        </w:tc>
        <w:tc>
          <w:tcPr>
            <w:tcW w:w="1837" w:type="pct"/>
          </w:tcPr>
          <w:p>
            <w:pPr>
              <w:adjustRightInd w:val="0"/>
              <w:snapToGrid w:val="0"/>
              <w:jc w:val="center"/>
              <w:rPr>
                <w:szCs w:val="21"/>
              </w:rPr>
            </w:pPr>
            <w:r>
              <w:t>≤</w:t>
            </w:r>
            <w:r>
              <w:rPr>
                <w:szCs w:val="21"/>
              </w:rPr>
              <w:t>0.05</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rFonts w:hint="eastAsia" w:ascii="宋体" w:cs="宋体"/>
                <w:spacing w:val="-2"/>
                <w:szCs w:val="21"/>
              </w:rPr>
              <w:t>总砷</w:t>
            </w:r>
          </w:p>
        </w:tc>
        <w:tc>
          <w:tcPr>
            <w:tcW w:w="1837" w:type="pct"/>
          </w:tcPr>
          <w:p>
            <w:pPr>
              <w:adjustRightInd w:val="0"/>
              <w:snapToGrid w:val="0"/>
              <w:jc w:val="center"/>
              <w:rPr>
                <w:szCs w:val="21"/>
              </w:rPr>
            </w:pPr>
            <w:r>
              <w:t>≤</w:t>
            </w:r>
            <w:r>
              <w:rPr>
                <w:szCs w:val="21"/>
              </w:rPr>
              <w:t>0.1</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tcPr>
          <w:p>
            <w:pPr>
              <w:adjustRightInd w:val="0"/>
              <w:snapToGrid w:val="0"/>
              <w:jc w:val="center"/>
              <w:rPr>
                <w:szCs w:val="21"/>
              </w:rPr>
            </w:pPr>
            <w:r>
              <w:rPr>
                <w:rFonts w:hint="eastAsia" w:ascii="宋体" w:cs="宋体"/>
                <w:spacing w:val="-2"/>
                <w:szCs w:val="21"/>
              </w:rPr>
              <w:t>总铅</w:t>
            </w:r>
          </w:p>
        </w:tc>
        <w:tc>
          <w:tcPr>
            <w:tcW w:w="1837" w:type="pct"/>
          </w:tcPr>
          <w:p>
            <w:pPr>
              <w:adjustRightInd w:val="0"/>
              <w:snapToGrid w:val="0"/>
              <w:jc w:val="center"/>
              <w:rPr>
                <w:szCs w:val="21"/>
              </w:rPr>
            </w:pPr>
            <w:r>
              <w:t>≤</w:t>
            </w:r>
            <w:r>
              <w:rPr>
                <w:szCs w:val="21"/>
              </w:rPr>
              <w:t>0.1</w:t>
            </w:r>
            <w:r>
              <w:rPr>
                <w:spacing w:val="-2"/>
                <w:szCs w:val="21"/>
              </w:rPr>
              <w:t xml:space="preserve"> </w:t>
            </w:r>
            <w:r>
              <w:rPr>
                <w:szCs w:val="21"/>
              </w:rPr>
              <w:t>mg/L</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369" w:type="pct"/>
            <w:vAlign w:val="center"/>
          </w:tcPr>
          <w:p>
            <w:pPr>
              <w:adjustRightInd w:val="0"/>
              <w:snapToGrid w:val="0"/>
              <w:jc w:val="center"/>
              <w:rPr>
                <w:szCs w:val="21"/>
              </w:rPr>
            </w:pPr>
            <w:r>
              <w:t>pH</w:t>
            </w:r>
          </w:p>
        </w:tc>
        <w:tc>
          <w:tcPr>
            <w:tcW w:w="1837" w:type="pct"/>
            <w:vAlign w:val="center"/>
          </w:tcPr>
          <w:p>
            <w:pPr>
              <w:adjustRightInd w:val="0"/>
              <w:snapToGrid w:val="0"/>
              <w:jc w:val="center"/>
              <w:rPr>
                <w:szCs w:val="21"/>
              </w:rPr>
            </w:pPr>
            <w:r>
              <w:t>6.5-8.5</w:t>
            </w:r>
          </w:p>
        </w:tc>
        <w:tc>
          <w:tcPr>
            <w:tcW w:w="1794" w:type="pct"/>
            <w:vMerge w:val="restart"/>
            <w:vAlign w:val="center"/>
          </w:tcPr>
          <w:p>
            <w:pPr>
              <w:adjustRightInd w:val="0"/>
              <w:snapToGrid w:val="0"/>
              <w:jc w:val="center"/>
              <w:rPr>
                <w:szCs w:val="21"/>
              </w:rPr>
            </w:pPr>
            <w:r>
              <w:rPr>
                <w:rFonts w:hint="eastAsia"/>
                <w:szCs w:val="21"/>
              </w:rPr>
              <w:t>《城市污水再生利用 工业用水水质》（GB/T19923-2005）中敞开式循环冷却水系统补充水标准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浊度</w:t>
            </w:r>
          </w:p>
        </w:tc>
        <w:tc>
          <w:tcPr>
            <w:tcW w:w="1837" w:type="pct"/>
            <w:vAlign w:val="center"/>
          </w:tcPr>
          <w:p>
            <w:pPr>
              <w:adjustRightInd w:val="0"/>
              <w:snapToGrid w:val="0"/>
              <w:jc w:val="center"/>
              <w:rPr>
                <w:szCs w:val="21"/>
              </w:rPr>
            </w:pPr>
            <w:r>
              <w:t>≤5NTU</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色度</w:t>
            </w:r>
          </w:p>
        </w:tc>
        <w:tc>
          <w:tcPr>
            <w:tcW w:w="1837" w:type="pct"/>
            <w:vAlign w:val="center"/>
          </w:tcPr>
          <w:p>
            <w:pPr>
              <w:adjustRightInd w:val="0"/>
              <w:snapToGrid w:val="0"/>
              <w:jc w:val="center"/>
              <w:rPr>
                <w:kern w:val="0"/>
                <w:szCs w:val="21"/>
              </w:rPr>
            </w:pPr>
            <w:r>
              <w:t>≤30度</w:t>
            </w:r>
          </w:p>
        </w:tc>
        <w:tc>
          <w:tcPr>
            <w:tcW w:w="17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生化需氧量（BOD</w:t>
            </w:r>
            <w:r>
              <w:rPr>
                <w:vertAlign w:val="subscript"/>
              </w:rPr>
              <w:t>5</w:t>
            </w:r>
            <w:r>
              <w:t>）</w:t>
            </w:r>
          </w:p>
        </w:tc>
        <w:tc>
          <w:tcPr>
            <w:tcW w:w="1837" w:type="pct"/>
            <w:vAlign w:val="center"/>
          </w:tcPr>
          <w:p>
            <w:pPr>
              <w:adjustRightInd w:val="0"/>
              <w:snapToGrid w:val="0"/>
              <w:jc w:val="center"/>
              <w:rPr>
                <w:szCs w:val="21"/>
              </w:rPr>
            </w:pPr>
            <w:r>
              <w:t>≤10mg/L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化学需氧量（COD）</w:t>
            </w:r>
          </w:p>
        </w:tc>
        <w:tc>
          <w:tcPr>
            <w:tcW w:w="1837" w:type="pct"/>
            <w:vAlign w:val="center"/>
          </w:tcPr>
          <w:p>
            <w:pPr>
              <w:adjustRightInd w:val="0"/>
              <w:snapToGrid w:val="0"/>
              <w:jc w:val="center"/>
              <w:rPr>
                <w:szCs w:val="21"/>
              </w:rPr>
            </w:pPr>
            <w:r>
              <w:t>≤60mg/L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铁</w:t>
            </w:r>
          </w:p>
        </w:tc>
        <w:tc>
          <w:tcPr>
            <w:tcW w:w="1837" w:type="pct"/>
            <w:vAlign w:val="center"/>
          </w:tcPr>
          <w:p>
            <w:pPr>
              <w:adjustRightInd w:val="0"/>
              <w:snapToGrid w:val="0"/>
              <w:jc w:val="center"/>
              <w:rPr>
                <w:szCs w:val="21"/>
              </w:rPr>
            </w:pPr>
            <w:r>
              <w:t>≤0.3mg/L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369" w:type="pct"/>
            <w:vAlign w:val="center"/>
          </w:tcPr>
          <w:p>
            <w:pPr>
              <w:adjustRightInd w:val="0"/>
              <w:snapToGrid w:val="0"/>
              <w:jc w:val="center"/>
              <w:rPr>
                <w:szCs w:val="21"/>
              </w:rPr>
            </w:pPr>
            <w:r>
              <w:t>锰</w:t>
            </w:r>
          </w:p>
        </w:tc>
        <w:tc>
          <w:tcPr>
            <w:tcW w:w="1837" w:type="pct"/>
            <w:vAlign w:val="center"/>
          </w:tcPr>
          <w:p>
            <w:pPr>
              <w:adjustRightInd w:val="0"/>
              <w:snapToGrid w:val="0"/>
              <w:jc w:val="center"/>
              <w:rPr>
                <w:szCs w:val="21"/>
              </w:rPr>
            </w:pPr>
            <w:r>
              <w:t>≤0.1mg/L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氯离子</w:t>
            </w:r>
          </w:p>
        </w:tc>
        <w:tc>
          <w:tcPr>
            <w:tcW w:w="1837" w:type="pct"/>
            <w:vAlign w:val="center"/>
          </w:tcPr>
          <w:p>
            <w:pPr>
              <w:adjustRightInd w:val="0"/>
              <w:snapToGrid w:val="0"/>
              <w:jc w:val="center"/>
              <w:rPr>
                <w:szCs w:val="21"/>
              </w:rPr>
            </w:pPr>
            <w:r>
              <w:t>≤250mg/L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369" w:type="pct"/>
            <w:vAlign w:val="center"/>
          </w:tcPr>
          <w:p>
            <w:pPr>
              <w:adjustRightInd w:val="0"/>
              <w:snapToGrid w:val="0"/>
              <w:jc w:val="center"/>
              <w:rPr>
                <w:szCs w:val="21"/>
              </w:rPr>
            </w:pPr>
            <w:r>
              <w:t>二氧化硅</w:t>
            </w:r>
          </w:p>
        </w:tc>
        <w:tc>
          <w:tcPr>
            <w:tcW w:w="1837" w:type="pct"/>
            <w:vAlign w:val="center"/>
          </w:tcPr>
          <w:p>
            <w:pPr>
              <w:adjustRightInd w:val="0"/>
              <w:snapToGrid w:val="0"/>
              <w:jc w:val="center"/>
              <w:rPr>
                <w:szCs w:val="21"/>
              </w:rPr>
            </w:pPr>
            <w:r>
              <w:t>≤30mg/L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djustRightInd w:val="0"/>
              <w:snapToGrid w:val="0"/>
              <w:jc w:val="center"/>
              <w:rPr>
                <w:szCs w:val="21"/>
              </w:rPr>
            </w:pPr>
            <w:r>
              <w:t>总硬度</w:t>
            </w:r>
          </w:p>
        </w:tc>
        <w:tc>
          <w:tcPr>
            <w:tcW w:w="1837" w:type="pct"/>
            <w:vAlign w:val="center"/>
          </w:tcPr>
          <w:p>
            <w:pPr>
              <w:adjustRightInd w:val="0"/>
              <w:snapToGrid w:val="0"/>
              <w:jc w:val="center"/>
              <w:rPr>
                <w:szCs w:val="21"/>
              </w:rPr>
            </w:pPr>
            <w:r>
              <w:t>≤450mg/L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369" w:type="pct"/>
            <w:vAlign w:val="center"/>
          </w:tcPr>
          <w:p>
            <w:pPr>
              <w:adjustRightInd w:val="0"/>
              <w:snapToGrid w:val="0"/>
              <w:jc w:val="center"/>
              <w:rPr>
                <w:szCs w:val="21"/>
              </w:rPr>
            </w:pPr>
            <w:r>
              <w:t>总碱度</w:t>
            </w:r>
          </w:p>
        </w:tc>
        <w:tc>
          <w:tcPr>
            <w:tcW w:w="1837" w:type="pct"/>
            <w:vAlign w:val="center"/>
          </w:tcPr>
          <w:p>
            <w:pPr>
              <w:adjustRightInd w:val="0"/>
              <w:snapToGrid w:val="0"/>
              <w:jc w:val="center"/>
              <w:rPr>
                <w:szCs w:val="21"/>
              </w:rPr>
            </w:pPr>
            <w:r>
              <w:t>≤350mg/L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hAnsiTheme="minorHAnsi"/>
                <w:kern w:val="0"/>
                <w:szCs w:val="21"/>
              </w:rPr>
            </w:pPr>
            <w:r>
              <w:t>硫酸盐</w:t>
            </w:r>
          </w:p>
        </w:tc>
        <w:tc>
          <w:tcPr>
            <w:tcW w:w="1837" w:type="pct"/>
            <w:vAlign w:val="center"/>
          </w:tcPr>
          <w:p>
            <w:pPr>
              <w:autoSpaceDE w:val="0"/>
              <w:autoSpaceDN w:val="0"/>
              <w:adjustRightInd w:val="0"/>
              <w:jc w:val="center"/>
              <w:rPr>
                <w:kern w:val="0"/>
                <w:szCs w:val="21"/>
              </w:rPr>
            </w:pPr>
            <w:r>
              <w:t>≤250mg/L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hAnsiTheme="minorHAnsi"/>
                <w:kern w:val="0"/>
                <w:szCs w:val="21"/>
              </w:rPr>
            </w:pPr>
            <w:r>
              <w:t>氨氮</w:t>
            </w:r>
          </w:p>
        </w:tc>
        <w:tc>
          <w:tcPr>
            <w:tcW w:w="1837" w:type="pct"/>
            <w:vAlign w:val="center"/>
          </w:tcPr>
          <w:p>
            <w:pPr>
              <w:autoSpaceDE w:val="0"/>
              <w:autoSpaceDN w:val="0"/>
              <w:adjustRightInd w:val="0"/>
              <w:jc w:val="center"/>
              <w:rPr>
                <w:kern w:val="0"/>
                <w:szCs w:val="21"/>
              </w:rPr>
            </w:pPr>
            <w:r>
              <w:t>≤10mg/L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kern w:val="0"/>
                <w:szCs w:val="21"/>
              </w:rPr>
            </w:pPr>
            <w:r>
              <w:t>总磷</w:t>
            </w:r>
          </w:p>
        </w:tc>
        <w:tc>
          <w:tcPr>
            <w:tcW w:w="1837" w:type="pct"/>
            <w:vAlign w:val="center"/>
          </w:tcPr>
          <w:p>
            <w:pPr>
              <w:autoSpaceDE w:val="0"/>
              <w:autoSpaceDN w:val="0"/>
              <w:adjustRightInd w:val="0"/>
              <w:jc w:val="center"/>
              <w:rPr>
                <w:kern w:val="0"/>
                <w:szCs w:val="21"/>
              </w:rPr>
            </w:pPr>
            <w:r>
              <w:t>≤1mg/L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kern w:val="0"/>
                <w:szCs w:val="21"/>
              </w:rPr>
            </w:pPr>
            <w:r>
              <w:t>溶解性总固体</w:t>
            </w:r>
          </w:p>
        </w:tc>
        <w:tc>
          <w:tcPr>
            <w:tcW w:w="1837" w:type="pct"/>
            <w:vAlign w:val="center"/>
          </w:tcPr>
          <w:p>
            <w:pPr>
              <w:autoSpaceDE w:val="0"/>
              <w:autoSpaceDN w:val="0"/>
              <w:adjustRightInd w:val="0"/>
              <w:jc w:val="center"/>
              <w:rPr>
                <w:kern w:val="0"/>
                <w:szCs w:val="21"/>
              </w:rPr>
            </w:pPr>
            <w:r>
              <w:t>≤1000mg/L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hAnsiTheme="minorHAnsi"/>
                <w:kern w:val="0"/>
                <w:szCs w:val="21"/>
              </w:rPr>
            </w:pPr>
            <w:r>
              <w:t>石油类</w:t>
            </w:r>
          </w:p>
        </w:tc>
        <w:tc>
          <w:tcPr>
            <w:tcW w:w="1837" w:type="pct"/>
            <w:vAlign w:val="center"/>
          </w:tcPr>
          <w:p>
            <w:pPr>
              <w:autoSpaceDE w:val="0"/>
              <w:autoSpaceDN w:val="0"/>
              <w:adjustRightInd w:val="0"/>
              <w:jc w:val="center"/>
              <w:rPr>
                <w:kern w:val="0"/>
                <w:szCs w:val="21"/>
              </w:rPr>
            </w:pPr>
            <w:r>
              <w:t>≤1mg/L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hAnsiTheme="minorHAnsi"/>
                <w:kern w:val="0"/>
                <w:szCs w:val="21"/>
              </w:rPr>
            </w:pPr>
            <w:r>
              <w:t>阴离子表面活性剂</w:t>
            </w:r>
          </w:p>
        </w:tc>
        <w:tc>
          <w:tcPr>
            <w:tcW w:w="1837" w:type="pct"/>
            <w:vAlign w:val="center"/>
          </w:tcPr>
          <w:p>
            <w:pPr>
              <w:autoSpaceDE w:val="0"/>
              <w:autoSpaceDN w:val="0"/>
              <w:adjustRightInd w:val="0"/>
              <w:jc w:val="center"/>
              <w:rPr>
                <w:kern w:val="0"/>
                <w:szCs w:val="21"/>
              </w:rPr>
            </w:pPr>
            <w:r>
              <w:t>≤0.5mg/L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kern w:val="0"/>
                <w:szCs w:val="21"/>
              </w:rPr>
            </w:pPr>
            <w:r>
              <w:t>余氯</w:t>
            </w:r>
          </w:p>
        </w:tc>
        <w:tc>
          <w:tcPr>
            <w:tcW w:w="1837" w:type="pct"/>
            <w:vAlign w:val="center"/>
          </w:tcPr>
          <w:p>
            <w:pPr>
              <w:autoSpaceDE w:val="0"/>
              <w:autoSpaceDN w:val="0"/>
              <w:adjustRightInd w:val="0"/>
              <w:jc w:val="center"/>
              <w:rPr>
                <w:rFonts w:ascii="宋体" w:cs="宋体"/>
                <w:kern w:val="0"/>
                <w:sz w:val="11"/>
                <w:szCs w:val="11"/>
              </w:rPr>
            </w:pPr>
            <w:r>
              <w:t>≥0.05mg/L</w:t>
            </w:r>
          </w:p>
        </w:tc>
        <w:tc>
          <w:tcPr>
            <w:tcW w:w="1794" w:type="pct"/>
            <w:vMerge w:val="continue"/>
            <w:vAlign w:val="center"/>
          </w:tcPr>
          <w:p>
            <w:pPr>
              <w:adjustRightInd w:val="0"/>
              <w:snapToGrid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369" w:type="pct"/>
            <w:vAlign w:val="center"/>
          </w:tcPr>
          <w:p>
            <w:pPr>
              <w:autoSpaceDE w:val="0"/>
              <w:autoSpaceDN w:val="0"/>
              <w:adjustRightInd w:val="0"/>
              <w:jc w:val="center"/>
              <w:rPr>
                <w:rFonts w:ascii="宋体" w:cs="宋体"/>
                <w:kern w:val="0"/>
                <w:szCs w:val="21"/>
              </w:rPr>
            </w:pPr>
            <w:r>
              <w:t>粪大肠菌群</w:t>
            </w:r>
          </w:p>
        </w:tc>
        <w:tc>
          <w:tcPr>
            <w:tcW w:w="1837" w:type="pct"/>
            <w:vAlign w:val="center"/>
          </w:tcPr>
          <w:p>
            <w:pPr>
              <w:autoSpaceDE w:val="0"/>
              <w:autoSpaceDN w:val="0"/>
              <w:adjustRightInd w:val="0"/>
              <w:jc w:val="center"/>
              <w:rPr>
                <w:kern w:val="0"/>
                <w:szCs w:val="21"/>
              </w:rPr>
            </w:pPr>
            <w:r>
              <w:t>≤2000个/L</w:t>
            </w:r>
          </w:p>
        </w:tc>
        <w:tc>
          <w:tcPr>
            <w:tcW w:w="1794" w:type="pct"/>
            <w:vMerge w:val="continue"/>
            <w:vAlign w:val="center"/>
          </w:tcPr>
          <w:p>
            <w:pPr>
              <w:adjustRightInd w:val="0"/>
              <w:snapToGrid w:val="0"/>
              <w:jc w:val="center"/>
            </w:pPr>
          </w:p>
        </w:tc>
      </w:tr>
    </w:tbl>
    <w:p>
      <w:pPr>
        <w:adjustRightInd w:val="0"/>
        <w:snapToGrid w:val="0"/>
        <w:spacing w:line="360" w:lineRule="auto"/>
        <w:ind w:firstLine="480" w:firstLineChars="200"/>
        <w:rPr>
          <w:kern w:val="0"/>
          <w:sz w:val="24"/>
          <w:szCs w:val="24"/>
        </w:rPr>
      </w:pPr>
      <w:r>
        <w:rPr>
          <w:kern w:val="0"/>
          <w:sz w:val="24"/>
          <w:szCs w:val="24"/>
        </w:rPr>
        <w:t>（3）噪声</w:t>
      </w:r>
    </w:p>
    <w:p>
      <w:pPr>
        <w:tabs>
          <w:tab w:val="left" w:pos="417"/>
        </w:tabs>
        <w:adjustRightInd w:val="0"/>
        <w:snapToGrid w:val="0"/>
        <w:spacing w:line="360" w:lineRule="auto"/>
        <w:ind w:firstLine="480" w:firstLineChars="200"/>
        <w:rPr>
          <w:kern w:val="0"/>
          <w:sz w:val="24"/>
          <w:szCs w:val="24"/>
        </w:rPr>
      </w:pPr>
      <w:r>
        <w:rPr>
          <w:kern w:val="0"/>
          <w:sz w:val="24"/>
          <w:szCs w:val="24"/>
        </w:rPr>
        <w:t>本项目施工期场界噪声执行《建筑施工场界环境噪声排放标准》（GB12523-2011）标准；运营期厂界噪声执行《工业企业厂界环境噪声排放标准》（GB12348-2008）中2类。具体标准值见表2.4-1</w:t>
      </w:r>
      <w:r>
        <w:rPr>
          <w:rFonts w:hint="eastAsia"/>
          <w:kern w:val="0"/>
          <w:sz w:val="24"/>
          <w:szCs w:val="24"/>
        </w:rPr>
        <w:t>7</w:t>
      </w:r>
      <w:r>
        <w:rPr>
          <w:kern w:val="0"/>
          <w:sz w:val="24"/>
          <w:szCs w:val="24"/>
        </w:rPr>
        <w:t>。</w:t>
      </w:r>
    </w:p>
    <w:p>
      <w:pPr>
        <w:tabs>
          <w:tab w:val="left" w:pos="3810"/>
        </w:tabs>
        <w:spacing w:line="360" w:lineRule="auto"/>
        <w:ind w:left="720"/>
        <w:jc w:val="center"/>
        <w:rPr>
          <w:b/>
          <w:sz w:val="24"/>
          <w:szCs w:val="24"/>
        </w:rPr>
      </w:pPr>
      <w:r>
        <w:rPr>
          <w:b/>
          <w:sz w:val="24"/>
          <w:szCs w:val="24"/>
        </w:rPr>
        <w:t>表2.4-1</w:t>
      </w:r>
      <w:r>
        <w:rPr>
          <w:rFonts w:hint="eastAsia"/>
          <w:b/>
          <w:sz w:val="24"/>
          <w:szCs w:val="24"/>
        </w:rPr>
        <w:t>7</w:t>
      </w:r>
      <w:r>
        <w:rPr>
          <w:b/>
          <w:sz w:val="24"/>
          <w:szCs w:val="24"/>
        </w:rPr>
        <w:t xml:space="preserve">     环境噪声排放标准单位：dB（A）</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04"/>
        <w:gridCol w:w="1715"/>
        <w:gridCol w:w="1227"/>
        <w:gridCol w:w="1338"/>
        <w:gridCol w:w="32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9" w:type="pct"/>
            <w:vAlign w:val="center"/>
          </w:tcPr>
          <w:p>
            <w:pPr>
              <w:adjustRightInd w:val="0"/>
              <w:snapToGrid w:val="0"/>
              <w:jc w:val="center"/>
              <w:rPr>
                <w:szCs w:val="21"/>
              </w:rPr>
            </w:pPr>
            <w:r>
              <w:rPr>
                <w:szCs w:val="21"/>
              </w:rPr>
              <w:t>时期</w:t>
            </w:r>
          </w:p>
        </w:tc>
        <w:tc>
          <w:tcPr>
            <w:tcW w:w="1006" w:type="pct"/>
            <w:vAlign w:val="center"/>
          </w:tcPr>
          <w:p>
            <w:pPr>
              <w:adjustRightInd w:val="0"/>
              <w:snapToGrid w:val="0"/>
              <w:jc w:val="center"/>
              <w:rPr>
                <w:szCs w:val="21"/>
              </w:rPr>
            </w:pPr>
            <w:r>
              <w:rPr>
                <w:szCs w:val="21"/>
              </w:rPr>
              <w:t>类别</w:t>
            </w:r>
          </w:p>
        </w:tc>
        <w:tc>
          <w:tcPr>
            <w:tcW w:w="720" w:type="pct"/>
            <w:vAlign w:val="center"/>
          </w:tcPr>
          <w:p>
            <w:pPr>
              <w:adjustRightInd w:val="0"/>
              <w:snapToGrid w:val="0"/>
              <w:jc w:val="center"/>
              <w:rPr>
                <w:szCs w:val="21"/>
              </w:rPr>
            </w:pPr>
            <w:r>
              <w:rPr>
                <w:szCs w:val="21"/>
              </w:rPr>
              <w:t>昼间</w:t>
            </w:r>
          </w:p>
        </w:tc>
        <w:tc>
          <w:tcPr>
            <w:tcW w:w="785" w:type="pct"/>
            <w:vAlign w:val="center"/>
          </w:tcPr>
          <w:p>
            <w:pPr>
              <w:adjustRightInd w:val="0"/>
              <w:snapToGrid w:val="0"/>
              <w:jc w:val="center"/>
              <w:rPr>
                <w:szCs w:val="21"/>
              </w:rPr>
            </w:pPr>
            <w:r>
              <w:rPr>
                <w:szCs w:val="21"/>
              </w:rPr>
              <w:t>夜间</w:t>
            </w:r>
          </w:p>
        </w:tc>
        <w:tc>
          <w:tcPr>
            <w:tcW w:w="1900" w:type="pct"/>
            <w:vAlign w:val="center"/>
          </w:tcPr>
          <w:p>
            <w:pPr>
              <w:adjustRightInd w:val="0"/>
              <w:snapToGrid w:val="0"/>
              <w:jc w:val="center"/>
              <w:rPr>
                <w:szCs w:val="21"/>
              </w:rPr>
            </w:pPr>
            <w:r>
              <w:rPr>
                <w:szCs w:val="21"/>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9" w:type="pct"/>
            <w:vAlign w:val="center"/>
          </w:tcPr>
          <w:p>
            <w:pPr>
              <w:adjustRightInd w:val="0"/>
              <w:snapToGrid w:val="0"/>
              <w:jc w:val="center"/>
              <w:rPr>
                <w:szCs w:val="21"/>
              </w:rPr>
            </w:pPr>
            <w:r>
              <w:rPr>
                <w:szCs w:val="21"/>
              </w:rPr>
              <w:t>施工期</w:t>
            </w:r>
          </w:p>
        </w:tc>
        <w:tc>
          <w:tcPr>
            <w:tcW w:w="1006" w:type="pct"/>
            <w:vAlign w:val="center"/>
          </w:tcPr>
          <w:p>
            <w:pPr>
              <w:adjustRightInd w:val="0"/>
              <w:snapToGrid w:val="0"/>
              <w:jc w:val="center"/>
              <w:rPr>
                <w:szCs w:val="21"/>
              </w:rPr>
            </w:pPr>
            <w:r>
              <w:rPr>
                <w:szCs w:val="21"/>
              </w:rPr>
              <w:t>建筑施工场界</w:t>
            </w:r>
          </w:p>
        </w:tc>
        <w:tc>
          <w:tcPr>
            <w:tcW w:w="720" w:type="pct"/>
            <w:vAlign w:val="center"/>
          </w:tcPr>
          <w:p>
            <w:pPr>
              <w:adjustRightInd w:val="0"/>
              <w:snapToGrid w:val="0"/>
              <w:jc w:val="center"/>
              <w:rPr>
                <w:szCs w:val="21"/>
              </w:rPr>
            </w:pPr>
            <w:r>
              <w:rPr>
                <w:szCs w:val="21"/>
              </w:rPr>
              <w:t>70</w:t>
            </w:r>
          </w:p>
        </w:tc>
        <w:tc>
          <w:tcPr>
            <w:tcW w:w="785" w:type="pct"/>
            <w:vAlign w:val="center"/>
          </w:tcPr>
          <w:p>
            <w:pPr>
              <w:adjustRightInd w:val="0"/>
              <w:snapToGrid w:val="0"/>
              <w:jc w:val="center"/>
              <w:rPr>
                <w:szCs w:val="21"/>
              </w:rPr>
            </w:pPr>
            <w:r>
              <w:rPr>
                <w:szCs w:val="21"/>
              </w:rPr>
              <w:t>55</w:t>
            </w:r>
          </w:p>
        </w:tc>
        <w:tc>
          <w:tcPr>
            <w:tcW w:w="1900" w:type="pct"/>
            <w:vAlign w:val="center"/>
          </w:tcPr>
          <w:p>
            <w:pPr>
              <w:adjustRightInd w:val="0"/>
              <w:snapToGrid w:val="0"/>
              <w:jc w:val="center"/>
              <w:rPr>
                <w:szCs w:val="21"/>
              </w:rPr>
            </w:pPr>
            <w:r>
              <w:rPr>
                <w:szCs w:val="21"/>
              </w:rPr>
              <w:t>《建筑施工场界环境噪声排放标准》（GB12523-2011）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9" w:type="pct"/>
            <w:vAlign w:val="center"/>
          </w:tcPr>
          <w:p>
            <w:pPr>
              <w:adjustRightInd w:val="0"/>
              <w:snapToGrid w:val="0"/>
              <w:jc w:val="center"/>
              <w:rPr>
                <w:szCs w:val="21"/>
              </w:rPr>
            </w:pPr>
            <w:r>
              <w:rPr>
                <w:szCs w:val="21"/>
              </w:rPr>
              <w:t>运营期</w:t>
            </w:r>
          </w:p>
        </w:tc>
        <w:tc>
          <w:tcPr>
            <w:tcW w:w="1006" w:type="pct"/>
            <w:vAlign w:val="center"/>
          </w:tcPr>
          <w:p>
            <w:pPr>
              <w:adjustRightInd w:val="0"/>
              <w:snapToGrid w:val="0"/>
              <w:jc w:val="center"/>
              <w:rPr>
                <w:szCs w:val="21"/>
              </w:rPr>
            </w:pPr>
            <w:r>
              <w:rPr>
                <w:szCs w:val="21"/>
              </w:rPr>
              <w:t>2类</w:t>
            </w:r>
          </w:p>
        </w:tc>
        <w:tc>
          <w:tcPr>
            <w:tcW w:w="720" w:type="pct"/>
            <w:vAlign w:val="center"/>
          </w:tcPr>
          <w:p>
            <w:pPr>
              <w:adjustRightInd w:val="0"/>
              <w:snapToGrid w:val="0"/>
              <w:jc w:val="center"/>
              <w:rPr>
                <w:szCs w:val="21"/>
              </w:rPr>
            </w:pPr>
            <w:r>
              <w:rPr>
                <w:szCs w:val="21"/>
              </w:rPr>
              <w:t>60</w:t>
            </w:r>
          </w:p>
        </w:tc>
        <w:tc>
          <w:tcPr>
            <w:tcW w:w="785" w:type="pct"/>
            <w:vAlign w:val="center"/>
          </w:tcPr>
          <w:p>
            <w:pPr>
              <w:adjustRightInd w:val="0"/>
              <w:snapToGrid w:val="0"/>
              <w:jc w:val="center"/>
              <w:rPr>
                <w:szCs w:val="21"/>
              </w:rPr>
            </w:pPr>
            <w:r>
              <w:rPr>
                <w:szCs w:val="21"/>
              </w:rPr>
              <w:t>50</w:t>
            </w:r>
          </w:p>
        </w:tc>
        <w:tc>
          <w:tcPr>
            <w:tcW w:w="1900" w:type="pct"/>
            <w:vAlign w:val="center"/>
          </w:tcPr>
          <w:p>
            <w:pPr>
              <w:adjustRightInd w:val="0"/>
              <w:snapToGrid w:val="0"/>
              <w:jc w:val="center"/>
              <w:rPr>
                <w:szCs w:val="21"/>
              </w:rPr>
            </w:pPr>
            <w:r>
              <w:rPr>
                <w:szCs w:val="21"/>
              </w:rPr>
              <w:t>《工业企业厂界环境噪声排放标准》（GB12348-2008）</w:t>
            </w:r>
          </w:p>
        </w:tc>
      </w:tr>
    </w:tbl>
    <w:p>
      <w:pPr>
        <w:tabs>
          <w:tab w:val="left" w:pos="417"/>
        </w:tabs>
        <w:adjustRightInd w:val="0"/>
        <w:snapToGrid w:val="0"/>
        <w:spacing w:line="360" w:lineRule="auto"/>
        <w:ind w:firstLine="480" w:firstLineChars="200"/>
        <w:rPr>
          <w:kern w:val="0"/>
          <w:sz w:val="24"/>
          <w:szCs w:val="24"/>
        </w:rPr>
      </w:pPr>
      <w:r>
        <w:rPr>
          <w:kern w:val="0"/>
          <w:sz w:val="24"/>
          <w:szCs w:val="24"/>
        </w:rPr>
        <w:t>（4）固体废物</w:t>
      </w:r>
    </w:p>
    <w:p>
      <w:pPr>
        <w:adjustRightInd w:val="0"/>
        <w:snapToGrid w:val="0"/>
        <w:spacing w:line="360" w:lineRule="auto"/>
        <w:ind w:firstLine="488" w:firstLineChars="200"/>
        <w:rPr>
          <w:spacing w:val="2"/>
          <w:sz w:val="24"/>
          <w:szCs w:val="24"/>
        </w:rPr>
      </w:pPr>
      <w:r>
        <w:rPr>
          <w:spacing w:val="2"/>
          <w:sz w:val="24"/>
          <w:szCs w:val="24"/>
        </w:rPr>
        <w:t>一般工业固体废物执行《一般工业固体废物贮存和填埋污染控制标准》（GB18599-2020）及其修改单中相关规定；危险固体废物执行《危险废物贮存污染控制标准》（GB18597-2001）及其修改单中相关规定；</w:t>
      </w:r>
    </w:p>
    <w:p>
      <w:pPr>
        <w:adjustRightInd w:val="0"/>
        <w:snapToGrid w:val="0"/>
        <w:spacing w:line="360" w:lineRule="auto"/>
        <w:ind w:firstLine="488" w:firstLineChars="200"/>
        <w:rPr>
          <w:spacing w:val="2"/>
          <w:sz w:val="24"/>
          <w:szCs w:val="24"/>
        </w:rPr>
      </w:pPr>
      <w:bookmarkStart w:id="31" w:name="_Hlk93590707"/>
      <w:r>
        <w:rPr>
          <w:rFonts w:hint="eastAsia"/>
          <w:spacing w:val="2"/>
          <w:sz w:val="24"/>
          <w:szCs w:val="24"/>
        </w:rPr>
        <w:t>入场填埋的</w:t>
      </w:r>
      <w:r>
        <w:rPr>
          <w:spacing w:val="2"/>
          <w:sz w:val="24"/>
          <w:szCs w:val="24"/>
        </w:rPr>
        <w:t>固化后的飞灰执行《生活垃圾填埋场污染控制标准》（GB16889-2008）及其修改单中</w:t>
      </w:r>
      <w:r>
        <w:rPr>
          <w:rFonts w:hint="eastAsia"/>
          <w:spacing w:val="2"/>
          <w:sz w:val="24"/>
          <w:szCs w:val="24"/>
        </w:rPr>
        <w:t>进行填埋</w:t>
      </w:r>
      <w:r>
        <w:rPr>
          <w:spacing w:val="2"/>
          <w:sz w:val="24"/>
          <w:szCs w:val="24"/>
        </w:rPr>
        <w:t>入场要求</w:t>
      </w:r>
      <w:r>
        <w:rPr>
          <w:rFonts w:hint="eastAsia"/>
          <w:spacing w:val="2"/>
          <w:sz w:val="24"/>
          <w:szCs w:val="24"/>
        </w:rPr>
        <w:t>：</w:t>
      </w:r>
    </w:p>
    <w:bookmarkEnd w:id="31"/>
    <w:p>
      <w:pPr>
        <w:adjustRightInd w:val="0"/>
        <w:snapToGrid w:val="0"/>
        <w:spacing w:line="360" w:lineRule="auto"/>
        <w:ind w:firstLine="488" w:firstLineChars="200"/>
        <w:rPr>
          <w:spacing w:val="2"/>
          <w:sz w:val="24"/>
          <w:szCs w:val="24"/>
        </w:rPr>
      </w:pPr>
      <w:r>
        <w:rPr>
          <w:rFonts w:hint="eastAsia"/>
          <w:spacing w:val="2"/>
          <w:sz w:val="24"/>
          <w:szCs w:val="24"/>
        </w:rPr>
        <w:t>（</w:t>
      </w:r>
      <w:r>
        <w:rPr>
          <w:spacing w:val="2"/>
          <w:sz w:val="24"/>
          <w:szCs w:val="24"/>
        </w:rPr>
        <w:t>1</w:t>
      </w:r>
      <w:r>
        <w:rPr>
          <w:rFonts w:hint="eastAsia"/>
          <w:spacing w:val="2"/>
          <w:sz w:val="24"/>
          <w:szCs w:val="24"/>
        </w:rPr>
        <w:t>）含水率小于</w:t>
      </w:r>
      <w:r>
        <w:rPr>
          <w:spacing w:val="2"/>
          <w:sz w:val="24"/>
          <w:szCs w:val="24"/>
        </w:rPr>
        <w:t>30%</w:t>
      </w:r>
      <w:r>
        <w:rPr>
          <w:rFonts w:hint="eastAsia"/>
          <w:spacing w:val="2"/>
          <w:sz w:val="24"/>
          <w:szCs w:val="24"/>
        </w:rPr>
        <w:t>；</w:t>
      </w:r>
    </w:p>
    <w:p>
      <w:pPr>
        <w:adjustRightInd w:val="0"/>
        <w:snapToGrid w:val="0"/>
        <w:spacing w:line="360" w:lineRule="auto"/>
        <w:ind w:firstLine="488" w:firstLineChars="200"/>
        <w:rPr>
          <w:spacing w:val="2"/>
          <w:sz w:val="24"/>
          <w:szCs w:val="24"/>
        </w:rPr>
      </w:pPr>
      <w:r>
        <w:rPr>
          <w:rFonts w:hint="eastAsia"/>
          <w:spacing w:val="2"/>
          <w:sz w:val="24"/>
          <w:szCs w:val="24"/>
        </w:rPr>
        <w:t>（</w:t>
      </w:r>
      <w:r>
        <w:rPr>
          <w:spacing w:val="2"/>
          <w:sz w:val="24"/>
          <w:szCs w:val="24"/>
        </w:rPr>
        <w:t>2</w:t>
      </w:r>
      <w:r>
        <w:rPr>
          <w:rFonts w:hint="eastAsia"/>
          <w:spacing w:val="2"/>
          <w:sz w:val="24"/>
          <w:szCs w:val="24"/>
        </w:rPr>
        <w:t>）二噁英含量低于</w:t>
      </w:r>
      <w:r>
        <w:rPr>
          <w:spacing w:val="2"/>
          <w:sz w:val="24"/>
          <w:szCs w:val="24"/>
        </w:rPr>
        <w:t>3</w:t>
      </w:r>
      <w:r>
        <w:rPr>
          <w:rFonts w:hint="eastAsia"/>
          <w:spacing w:val="2"/>
          <w:sz w:val="24"/>
          <w:szCs w:val="24"/>
        </w:rPr>
        <w:t>μ</w:t>
      </w:r>
      <w:r>
        <w:rPr>
          <w:spacing w:val="2"/>
          <w:sz w:val="24"/>
          <w:szCs w:val="24"/>
        </w:rPr>
        <w:t>gTEQ/Kg</w:t>
      </w:r>
      <w:r>
        <w:rPr>
          <w:rFonts w:hint="eastAsia"/>
          <w:spacing w:val="2"/>
          <w:sz w:val="24"/>
          <w:szCs w:val="24"/>
        </w:rPr>
        <w:t>；</w:t>
      </w:r>
    </w:p>
    <w:p>
      <w:pPr>
        <w:adjustRightInd w:val="0"/>
        <w:snapToGrid w:val="0"/>
        <w:spacing w:line="360" w:lineRule="auto"/>
        <w:ind w:firstLine="488" w:firstLineChars="200"/>
        <w:rPr>
          <w:spacing w:val="2"/>
          <w:sz w:val="24"/>
          <w:szCs w:val="24"/>
        </w:rPr>
      </w:pPr>
      <w:r>
        <w:rPr>
          <w:rFonts w:hint="eastAsia"/>
          <w:spacing w:val="2"/>
          <w:sz w:val="24"/>
          <w:szCs w:val="24"/>
        </w:rPr>
        <w:t>（</w:t>
      </w:r>
      <w:r>
        <w:rPr>
          <w:spacing w:val="2"/>
          <w:sz w:val="24"/>
          <w:szCs w:val="24"/>
        </w:rPr>
        <w:t>3</w:t>
      </w:r>
      <w:r>
        <w:rPr>
          <w:rFonts w:hint="eastAsia"/>
          <w:spacing w:val="2"/>
          <w:sz w:val="24"/>
          <w:szCs w:val="24"/>
        </w:rPr>
        <w:t>）按照《固体废物 浸出毒性浸出方法醋酸缓冲溶液法》</w:t>
      </w:r>
      <w:r>
        <w:rPr>
          <w:spacing w:val="2"/>
          <w:sz w:val="24"/>
          <w:szCs w:val="24"/>
        </w:rPr>
        <w:t xml:space="preserve">HJ/T 300-2016 </w:t>
      </w:r>
      <w:r>
        <w:rPr>
          <w:rFonts w:hint="eastAsia"/>
          <w:spacing w:val="2"/>
          <w:sz w:val="24"/>
          <w:szCs w:val="24"/>
        </w:rPr>
        <w:t>制备的浸出液中危害成分浓度低于表</w:t>
      </w:r>
      <w:r>
        <w:rPr>
          <w:spacing w:val="2"/>
          <w:sz w:val="24"/>
          <w:szCs w:val="24"/>
        </w:rPr>
        <w:t xml:space="preserve">1 </w:t>
      </w:r>
      <w:r>
        <w:rPr>
          <w:rFonts w:hint="eastAsia"/>
          <w:spacing w:val="2"/>
          <w:sz w:val="24"/>
          <w:szCs w:val="24"/>
        </w:rPr>
        <w:t>规定的限值。</w:t>
      </w:r>
    </w:p>
    <w:p>
      <w:pPr>
        <w:tabs>
          <w:tab w:val="left" w:pos="3810"/>
        </w:tabs>
        <w:spacing w:line="360" w:lineRule="auto"/>
        <w:ind w:left="720"/>
        <w:jc w:val="center"/>
        <w:rPr>
          <w:b/>
          <w:sz w:val="24"/>
          <w:szCs w:val="24"/>
        </w:rPr>
      </w:pPr>
      <w:r>
        <w:rPr>
          <w:rFonts w:hint="eastAsia"/>
          <w:b/>
          <w:sz w:val="24"/>
          <w:szCs w:val="24"/>
        </w:rPr>
        <w:t>表</w:t>
      </w:r>
      <w:r>
        <w:rPr>
          <w:b/>
          <w:sz w:val="24"/>
          <w:szCs w:val="24"/>
        </w:rPr>
        <w:t>2.4-18</w:t>
      </w:r>
      <w:r>
        <w:rPr>
          <w:rFonts w:hint="eastAsia"/>
          <w:b/>
          <w:sz w:val="24"/>
          <w:szCs w:val="24"/>
        </w:rPr>
        <w:t xml:space="preserve"> </w:t>
      </w:r>
      <w:r>
        <w:rPr>
          <w:b/>
          <w:sz w:val="24"/>
          <w:szCs w:val="24"/>
        </w:rPr>
        <w:t xml:space="preserve">  HJ/T 300-2016</w:t>
      </w:r>
      <w:r>
        <w:rPr>
          <w:rFonts w:hint="eastAsia"/>
          <w:b/>
          <w:sz w:val="24"/>
          <w:szCs w:val="24"/>
        </w:rPr>
        <w:t>浸出液污染物浓度限值</w:t>
      </w:r>
    </w:p>
    <w:tbl>
      <w:tblPr>
        <w:tblStyle w:val="39"/>
        <w:tblW w:w="5093"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158"/>
        <w:gridCol w:w="2785"/>
        <w:gridCol w:w="454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682" w:type="pct"/>
          </w:tcPr>
          <w:p>
            <w:pPr>
              <w:adjustRightInd w:val="0"/>
              <w:snapToGrid w:val="0"/>
              <w:jc w:val="center"/>
              <w:rPr>
                <w:szCs w:val="21"/>
              </w:rPr>
            </w:pPr>
            <w:r>
              <w:rPr>
                <w:rFonts w:hint="eastAsia"/>
                <w:szCs w:val="21"/>
              </w:rPr>
              <w:t>序号</w:t>
            </w:r>
          </w:p>
        </w:tc>
        <w:tc>
          <w:tcPr>
            <w:tcW w:w="1640" w:type="pct"/>
          </w:tcPr>
          <w:p>
            <w:pPr>
              <w:adjustRightInd w:val="0"/>
              <w:snapToGrid w:val="0"/>
              <w:jc w:val="center"/>
              <w:rPr>
                <w:szCs w:val="21"/>
              </w:rPr>
            </w:pPr>
            <w:r>
              <w:rPr>
                <w:rFonts w:hint="eastAsia"/>
                <w:szCs w:val="21"/>
              </w:rPr>
              <w:t>污染物项目</w:t>
            </w:r>
          </w:p>
        </w:tc>
        <w:tc>
          <w:tcPr>
            <w:tcW w:w="2678" w:type="pct"/>
          </w:tcPr>
          <w:p>
            <w:pPr>
              <w:adjustRightInd w:val="0"/>
              <w:snapToGrid w:val="0"/>
              <w:jc w:val="center"/>
              <w:rPr>
                <w:szCs w:val="21"/>
              </w:rPr>
            </w:pPr>
            <w:r>
              <w:rPr>
                <w:rFonts w:hint="eastAsia"/>
                <w:szCs w:val="21"/>
              </w:rPr>
              <w:t>浓度限值（</w:t>
            </w:r>
            <w:r>
              <w:rPr>
                <w:szCs w:val="21"/>
              </w:rPr>
              <w:t>mg/L</w:t>
            </w:r>
            <w:r>
              <w:rPr>
                <w:rFonts w:hint="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1</w:t>
            </w:r>
          </w:p>
        </w:tc>
        <w:tc>
          <w:tcPr>
            <w:tcW w:w="1640" w:type="pct"/>
          </w:tcPr>
          <w:p>
            <w:pPr>
              <w:adjustRightInd w:val="0"/>
              <w:snapToGrid w:val="0"/>
              <w:jc w:val="center"/>
              <w:rPr>
                <w:szCs w:val="21"/>
              </w:rPr>
            </w:pPr>
            <w:r>
              <w:rPr>
                <w:rFonts w:hint="eastAsia"/>
                <w:szCs w:val="21"/>
              </w:rPr>
              <w:t>汞</w:t>
            </w:r>
          </w:p>
        </w:tc>
        <w:tc>
          <w:tcPr>
            <w:tcW w:w="2678" w:type="pct"/>
          </w:tcPr>
          <w:p>
            <w:pPr>
              <w:adjustRightInd w:val="0"/>
              <w:snapToGrid w:val="0"/>
              <w:jc w:val="center"/>
              <w:rPr>
                <w:szCs w:val="21"/>
              </w:rPr>
            </w:pPr>
            <w:r>
              <w:rPr>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2</w:t>
            </w:r>
          </w:p>
        </w:tc>
        <w:tc>
          <w:tcPr>
            <w:tcW w:w="1640" w:type="pct"/>
          </w:tcPr>
          <w:p>
            <w:pPr>
              <w:adjustRightInd w:val="0"/>
              <w:snapToGrid w:val="0"/>
              <w:jc w:val="center"/>
              <w:rPr>
                <w:szCs w:val="21"/>
              </w:rPr>
            </w:pPr>
            <w:r>
              <w:rPr>
                <w:rFonts w:hint="eastAsia"/>
                <w:szCs w:val="21"/>
              </w:rPr>
              <w:t>铜</w:t>
            </w:r>
          </w:p>
        </w:tc>
        <w:tc>
          <w:tcPr>
            <w:tcW w:w="2678" w:type="pct"/>
          </w:tcPr>
          <w:p>
            <w:pPr>
              <w:adjustRightInd w:val="0"/>
              <w:snapToGrid w:val="0"/>
              <w:jc w:val="center"/>
              <w:rPr>
                <w:szCs w:val="21"/>
              </w:rPr>
            </w:pPr>
            <w:r>
              <w:rPr>
                <w:szCs w:val="21"/>
              </w:rPr>
              <w:t>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682" w:type="pct"/>
          </w:tcPr>
          <w:p>
            <w:pPr>
              <w:adjustRightInd w:val="0"/>
              <w:snapToGrid w:val="0"/>
              <w:jc w:val="center"/>
              <w:rPr>
                <w:szCs w:val="21"/>
              </w:rPr>
            </w:pPr>
            <w:r>
              <w:rPr>
                <w:szCs w:val="21"/>
              </w:rPr>
              <w:t>3</w:t>
            </w:r>
          </w:p>
        </w:tc>
        <w:tc>
          <w:tcPr>
            <w:tcW w:w="1640" w:type="pct"/>
          </w:tcPr>
          <w:p>
            <w:pPr>
              <w:adjustRightInd w:val="0"/>
              <w:snapToGrid w:val="0"/>
              <w:jc w:val="center"/>
              <w:rPr>
                <w:szCs w:val="21"/>
              </w:rPr>
            </w:pPr>
            <w:r>
              <w:rPr>
                <w:rFonts w:hint="eastAsia"/>
                <w:szCs w:val="21"/>
              </w:rPr>
              <w:t>锌</w:t>
            </w:r>
          </w:p>
        </w:tc>
        <w:tc>
          <w:tcPr>
            <w:tcW w:w="2678" w:type="pct"/>
          </w:tcPr>
          <w:p>
            <w:pPr>
              <w:adjustRightInd w:val="0"/>
              <w:snapToGrid w:val="0"/>
              <w:jc w:val="center"/>
              <w:rPr>
                <w:szCs w:val="21"/>
              </w:rPr>
            </w:pPr>
            <w:r>
              <w:rPr>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4</w:t>
            </w:r>
          </w:p>
        </w:tc>
        <w:tc>
          <w:tcPr>
            <w:tcW w:w="1640" w:type="pct"/>
          </w:tcPr>
          <w:p>
            <w:pPr>
              <w:adjustRightInd w:val="0"/>
              <w:snapToGrid w:val="0"/>
              <w:jc w:val="center"/>
              <w:rPr>
                <w:szCs w:val="21"/>
              </w:rPr>
            </w:pPr>
            <w:r>
              <w:rPr>
                <w:rFonts w:hint="eastAsia"/>
                <w:szCs w:val="21"/>
              </w:rPr>
              <w:t>铅</w:t>
            </w:r>
          </w:p>
        </w:tc>
        <w:tc>
          <w:tcPr>
            <w:tcW w:w="2678" w:type="pct"/>
          </w:tcPr>
          <w:p>
            <w:pPr>
              <w:adjustRightInd w:val="0"/>
              <w:snapToGrid w:val="0"/>
              <w:jc w:val="center"/>
              <w:rPr>
                <w:szCs w:val="21"/>
              </w:rPr>
            </w:pPr>
            <w:r>
              <w:rPr>
                <w:szCs w:val="21"/>
              </w:rPr>
              <w:t>0.25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5</w:t>
            </w:r>
          </w:p>
        </w:tc>
        <w:tc>
          <w:tcPr>
            <w:tcW w:w="1640" w:type="pct"/>
          </w:tcPr>
          <w:p>
            <w:pPr>
              <w:adjustRightInd w:val="0"/>
              <w:snapToGrid w:val="0"/>
              <w:jc w:val="center"/>
              <w:rPr>
                <w:szCs w:val="21"/>
              </w:rPr>
            </w:pPr>
            <w:r>
              <w:rPr>
                <w:rFonts w:hint="eastAsia"/>
                <w:szCs w:val="21"/>
              </w:rPr>
              <w:t>镉</w:t>
            </w:r>
          </w:p>
        </w:tc>
        <w:tc>
          <w:tcPr>
            <w:tcW w:w="2678" w:type="pct"/>
          </w:tcPr>
          <w:p>
            <w:pPr>
              <w:adjustRightInd w:val="0"/>
              <w:snapToGrid w:val="0"/>
              <w:jc w:val="center"/>
              <w:rPr>
                <w:szCs w:val="21"/>
              </w:rPr>
            </w:pPr>
            <w:r>
              <w:rPr>
                <w:szCs w:val="21"/>
              </w:rPr>
              <w:t>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6</w:t>
            </w:r>
          </w:p>
        </w:tc>
        <w:tc>
          <w:tcPr>
            <w:tcW w:w="1640" w:type="pct"/>
          </w:tcPr>
          <w:p>
            <w:pPr>
              <w:adjustRightInd w:val="0"/>
              <w:snapToGrid w:val="0"/>
              <w:jc w:val="center"/>
              <w:rPr>
                <w:szCs w:val="21"/>
              </w:rPr>
            </w:pPr>
            <w:r>
              <w:rPr>
                <w:rFonts w:hint="eastAsia"/>
                <w:szCs w:val="21"/>
              </w:rPr>
              <w:t>铍</w:t>
            </w:r>
          </w:p>
        </w:tc>
        <w:tc>
          <w:tcPr>
            <w:tcW w:w="2678" w:type="pct"/>
          </w:tcPr>
          <w:p>
            <w:pPr>
              <w:adjustRightInd w:val="0"/>
              <w:snapToGrid w:val="0"/>
              <w:jc w:val="center"/>
              <w:rPr>
                <w:szCs w:val="21"/>
              </w:rPr>
            </w:pPr>
            <w:r>
              <w:rPr>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682" w:type="pct"/>
          </w:tcPr>
          <w:p>
            <w:pPr>
              <w:adjustRightInd w:val="0"/>
              <w:snapToGrid w:val="0"/>
              <w:jc w:val="center"/>
              <w:rPr>
                <w:szCs w:val="21"/>
              </w:rPr>
            </w:pPr>
            <w:r>
              <w:rPr>
                <w:szCs w:val="21"/>
              </w:rPr>
              <w:t>7</w:t>
            </w:r>
          </w:p>
        </w:tc>
        <w:tc>
          <w:tcPr>
            <w:tcW w:w="1640" w:type="pct"/>
          </w:tcPr>
          <w:p>
            <w:pPr>
              <w:adjustRightInd w:val="0"/>
              <w:snapToGrid w:val="0"/>
              <w:jc w:val="center"/>
              <w:rPr>
                <w:szCs w:val="21"/>
              </w:rPr>
            </w:pPr>
            <w:r>
              <w:rPr>
                <w:rFonts w:hint="eastAsia"/>
                <w:szCs w:val="21"/>
              </w:rPr>
              <w:t>钡</w:t>
            </w:r>
          </w:p>
        </w:tc>
        <w:tc>
          <w:tcPr>
            <w:tcW w:w="2678" w:type="pct"/>
          </w:tcPr>
          <w:p>
            <w:pPr>
              <w:adjustRightInd w:val="0"/>
              <w:snapToGrid w:val="0"/>
              <w:jc w:val="center"/>
              <w:rPr>
                <w:szCs w:val="21"/>
              </w:rPr>
            </w:pPr>
            <w:r>
              <w:rPr>
                <w:szCs w:val="21"/>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8</w:t>
            </w:r>
          </w:p>
        </w:tc>
        <w:tc>
          <w:tcPr>
            <w:tcW w:w="1640" w:type="pct"/>
          </w:tcPr>
          <w:p>
            <w:pPr>
              <w:adjustRightInd w:val="0"/>
              <w:snapToGrid w:val="0"/>
              <w:jc w:val="center"/>
              <w:rPr>
                <w:szCs w:val="21"/>
              </w:rPr>
            </w:pPr>
            <w:r>
              <w:rPr>
                <w:rFonts w:hint="eastAsia"/>
                <w:szCs w:val="21"/>
              </w:rPr>
              <w:t>镍</w:t>
            </w:r>
          </w:p>
        </w:tc>
        <w:tc>
          <w:tcPr>
            <w:tcW w:w="2678" w:type="pct"/>
          </w:tcPr>
          <w:p>
            <w:pPr>
              <w:adjustRightInd w:val="0"/>
              <w:snapToGrid w:val="0"/>
              <w:jc w:val="center"/>
              <w:rPr>
                <w:szCs w:val="21"/>
              </w:rPr>
            </w:pPr>
            <w:r>
              <w:rPr>
                <w:szCs w:val="21"/>
              </w:rPr>
              <w:t>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9</w:t>
            </w:r>
          </w:p>
        </w:tc>
        <w:tc>
          <w:tcPr>
            <w:tcW w:w="1640" w:type="pct"/>
          </w:tcPr>
          <w:p>
            <w:pPr>
              <w:adjustRightInd w:val="0"/>
              <w:snapToGrid w:val="0"/>
              <w:jc w:val="center"/>
              <w:rPr>
                <w:szCs w:val="21"/>
              </w:rPr>
            </w:pPr>
            <w:r>
              <w:rPr>
                <w:rFonts w:hint="eastAsia"/>
                <w:szCs w:val="21"/>
              </w:rPr>
              <w:t>砷</w:t>
            </w:r>
          </w:p>
        </w:tc>
        <w:tc>
          <w:tcPr>
            <w:tcW w:w="2678" w:type="pct"/>
          </w:tcPr>
          <w:p>
            <w:pPr>
              <w:adjustRightInd w:val="0"/>
              <w:snapToGrid w:val="0"/>
              <w:jc w:val="center"/>
              <w:rPr>
                <w:szCs w:val="21"/>
              </w:rPr>
            </w:pPr>
            <w:r>
              <w:rPr>
                <w:szCs w:val="21"/>
              </w:rPr>
              <w:t>0.3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0" w:hRule="atLeast"/>
        </w:trPr>
        <w:tc>
          <w:tcPr>
            <w:tcW w:w="682" w:type="pct"/>
          </w:tcPr>
          <w:p>
            <w:pPr>
              <w:adjustRightInd w:val="0"/>
              <w:snapToGrid w:val="0"/>
              <w:jc w:val="center"/>
              <w:rPr>
                <w:szCs w:val="21"/>
              </w:rPr>
            </w:pPr>
            <w:r>
              <w:rPr>
                <w:szCs w:val="21"/>
              </w:rPr>
              <w:t>10</w:t>
            </w:r>
          </w:p>
        </w:tc>
        <w:tc>
          <w:tcPr>
            <w:tcW w:w="1640" w:type="pct"/>
          </w:tcPr>
          <w:p>
            <w:pPr>
              <w:adjustRightInd w:val="0"/>
              <w:snapToGrid w:val="0"/>
              <w:jc w:val="center"/>
              <w:rPr>
                <w:szCs w:val="21"/>
              </w:rPr>
            </w:pPr>
            <w:r>
              <w:rPr>
                <w:rFonts w:hint="eastAsia"/>
                <w:szCs w:val="21"/>
              </w:rPr>
              <w:t>总铬</w:t>
            </w:r>
          </w:p>
        </w:tc>
        <w:tc>
          <w:tcPr>
            <w:tcW w:w="2678" w:type="pct"/>
          </w:tcPr>
          <w:p>
            <w:pPr>
              <w:adjustRightInd w:val="0"/>
              <w:snapToGrid w:val="0"/>
              <w:jc w:val="center"/>
              <w:rPr>
                <w:szCs w:val="21"/>
              </w:rPr>
            </w:pPr>
            <w:r>
              <w:rPr>
                <w:szCs w:val="21"/>
              </w:rPr>
              <w:t>4.5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682" w:type="pct"/>
          </w:tcPr>
          <w:p>
            <w:pPr>
              <w:adjustRightInd w:val="0"/>
              <w:snapToGrid w:val="0"/>
              <w:jc w:val="center"/>
              <w:rPr>
                <w:szCs w:val="21"/>
              </w:rPr>
            </w:pPr>
            <w:r>
              <w:rPr>
                <w:szCs w:val="21"/>
              </w:rPr>
              <w:t>11</w:t>
            </w:r>
          </w:p>
        </w:tc>
        <w:tc>
          <w:tcPr>
            <w:tcW w:w="1640" w:type="pct"/>
          </w:tcPr>
          <w:p>
            <w:pPr>
              <w:adjustRightInd w:val="0"/>
              <w:snapToGrid w:val="0"/>
              <w:jc w:val="center"/>
              <w:rPr>
                <w:szCs w:val="21"/>
              </w:rPr>
            </w:pPr>
            <w:r>
              <w:rPr>
                <w:rFonts w:hint="eastAsia"/>
                <w:szCs w:val="21"/>
              </w:rPr>
              <w:t>六价铬</w:t>
            </w:r>
          </w:p>
        </w:tc>
        <w:tc>
          <w:tcPr>
            <w:tcW w:w="2678" w:type="pct"/>
          </w:tcPr>
          <w:p>
            <w:pPr>
              <w:adjustRightInd w:val="0"/>
              <w:snapToGrid w:val="0"/>
              <w:jc w:val="center"/>
              <w:rPr>
                <w:szCs w:val="21"/>
              </w:rPr>
            </w:pPr>
            <w:r>
              <w:rPr>
                <w:szCs w:val="21"/>
              </w:rPr>
              <w:t>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7" w:hRule="atLeast"/>
        </w:trPr>
        <w:tc>
          <w:tcPr>
            <w:tcW w:w="682" w:type="pct"/>
          </w:tcPr>
          <w:p>
            <w:pPr>
              <w:adjustRightInd w:val="0"/>
              <w:snapToGrid w:val="0"/>
              <w:jc w:val="center"/>
              <w:rPr>
                <w:szCs w:val="21"/>
              </w:rPr>
            </w:pPr>
            <w:r>
              <w:rPr>
                <w:szCs w:val="21"/>
              </w:rPr>
              <w:t>12</w:t>
            </w:r>
          </w:p>
        </w:tc>
        <w:tc>
          <w:tcPr>
            <w:tcW w:w="1640" w:type="pct"/>
          </w:tcPr>
          <w:p>
            <w:pPr>
              <w:adjustRightInd w:val="0"/>
              <w:snapToGrid w:val="0"/>
              <w:jc w:val="center"/>
              <w:rPr>
                <w:szCs w:val="21"/>
              </w:rPr>
            </w:pPr>
            <w:r>
              <w:rPr>
                <w:rFonts w:hint="eastAsia"/>
                <w:szCs w:val="21"/>
              </w:rPr>
              <w:t>硒</w:t>
            </w:r>
          </w:p>
        </w:tc>
        <w:tc>
          <w:tcPr>
            <w:tcW w:w="2678" w:type="pct"/>
          </w:tcPr>
          <w:p>
            <w:pPr>
              <w:adjustRightInd w:val="0"/>
              <w:snapToGrid w:val="0"/>
              <w:jc w:val="center"/>
              <w:rPr>
                <w:szCs w:val="21"/>
              </w:rPr>
            </w:pPr>
            <w:r>
              <w:rPr>
                <w:szCs w:val="21"/>
              </w:rPr>
              <w:t>0.1</w:t>
            </w:r>
          </w:p>
        </w:tc>
      </w:tr>
    </w:tbl>
    <w:p>
      <w:pPr>
        <w:pStyle w:val="61"/>
        <w:numPr>
          <w:ilvl w:val="1"/>
          <w:numId w:val="5"/>
        </w:numPr>
        <w:tabs>
          <w:tab w:val="left" w:pos="567"/>
          <w:tab w:val="clear" w:pos="432"/>
        </w:tabs>
        <w:spacing w:before="156" w:afterLines="0"/>
        <w:ind w:left="0" w:firstLine="0"/>
        <w:rPr>
          <w:rFonts w:ascii="Times New Roman" w:hAnsi="Times New Roman"/>
        </w:rPr>
      </w:pPr>
      <w:bookmarkStart w:id="32" w:name="_Toc94101199"/>
      <w:r>
        <w:rPr>
          <w:rFonts w:ascii="Times New Roman" w:hAnsi="Times New Roman"/>
        </w:rPr>
        <w:t>评价重点</w:t>
      </w:r>
      <w:bookmarkEnd w:id="32"/>
    </w:p>
    <w:p>
      <w:pPr>
        <w:adjustRightInd w:val="0"/>
        <w:snapToGrid w:val="0"/>
        <w:spacing w:line="360" w:lineRule="auto"/>
        <w:ind w:firstLine="488" w:firstLineChars="200"/>
        <w:rPr>
          <w:spacing w:val="2"/>
          <w:sz w:val="24"/>
          <w:szCs w:val="24"/>
        </w:rPr>
      </w:pPr>
      <w:r>
        <w:rPr>
          <w:rFonts w:hint="eastAsia"/>
          <w:spacing w:val="2"/>
          <w:sz w:val="24"/>
          <w:szCs w:val="24"/>
        </w:rPr>
        <w:t>根据工程情况、污染物排放特征和场址所处区域的特点，评价重点为建设项目工程分析、环境影响预测与评价、环保治理措施可行性论证、场址选择可行性分析和厂区平面布置合理性分析等。</w:t>
      </w:r>
    </w:p>
    <w:p>
      <w:pPr>
        <w:pStyle w:val="61"/>
        <w:numPr>
          <w:ilvl w:val="1"/>
          <w:numId w:val="5"/>
        </w:numPr>
        <w:tabs>
          <w:tab w:val="left" w:pos="567"/>
          <w:tab w:val="clear" w:pos="432"/>
        </w:tabs>
        <w:spacing w:before="156" w:afterLines="0"/>
        <w:ind w:left="0" w:firstLine="0"/>
        <w:rPr>
          <w:rFonts w:ascii="Times New Roman" w:hAnsi="Times New Roman"/>
        </w:rPr>
      </w:pPr>
      <w:bookmarkStart w:id="33" w:name="_Toc94101200"/>
      <w:r>
        <w:rPr>
          <w:rFonts w:ascii="Times New Roman" w:hAnsi="Times New Roman"/>
        </w:rPr>
        <w:t>评价工作等级与评价范围</w:t>
      </w:r>
      <w:bookmarkEnd w:id="33"/>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评价工作等级</w:t>
      </w:r>
    </w:p>
    <w:p>
      <w:pPr>
        <w:adjustRightInd w:val="0"/>
        <w:snapToGrid w:val="0"/>
        <w:spacing w:line="360" w:lineRule="auto"/>
        <w:ind w:firstLine="482" w:firstLineChars="200"/>
        <w:rPr>
          <w:b/>
          <w:sz w:val="24"/>
          <w:szCs w:val="24"/>
        </w:rPr>
      </w:pPr>
      <w:r>
        <w:rPr>
          <w:rFonts w:hint="eastAsia"/>
          <w:b/>
          <w:sz w:val="24"/>
          <w:szCs w:val="24"/>
        </w:rPr>
        <w:t>1、</w:t>
      </w:r>
      <w:r>
        <w:rPr>
          <w:b/>
          <w:sz w:val="24"/>
          <w:szCs w:val="24"/>
        </w:rPr>
        <w:t>大气环境影响评价等级</w:t>
      </w:r>
    </w:p>
    <w:p>
      <w:pPr>
        <w:adjustRightInd w:val="0"/>
        <w:snapToGrid w:val="0"/>
        <w:spacing w:line="360" w:lineRule="auto"/>
        <w:ind w:firstLine="480" w:firstLineChars="200"/>
        <w:rPr>
          <w:sz w:val="24"/>
          <w:szCs w:val="24"/>
        </w:rPr>
      </w:pPr>
      <w:r>
        <w:rPr>
          <w:sz w:val="24"/>
          <w:szCs w:val="24"/>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adjustRightInd w:val="0"/>
        <w:snapToGrid w:val="0"/>
        <w:spacing w:line="360" w:lineRule="auto"/>
        <w:ind w:firstLine="480" w:firstLineChars="200"/>
        <w:jc w:val="left"/>
        <w:rPr>
          <w:sz w:val="24"/>
          <w:szCs w:val="24"/>
        </w:rPr>
      </w:pPr>
      <w:r>
        <w:rPr>
          <w:sz w:val="24"/>
          <w:szCs w:val="24"/>
        </w:rPr>
        <w:t>依据《环境影响评价技术导则 大气环境》(HJ2.2-2018)中最大地面浓度占标率P</w:t>
      </w:r>
      <w:r>
        <w:rPr>
          <w:i/>
          <w:sz w:val="24"/>
          <w:szCs w:val="24"/>
        </w:rPr>
        <w:t>i</w:t>
      </w:r>
      <w:r>
        <w:rPr>
          <w:sz w:val="24"/>
          <w:szCs w:val="24"/>
        </w:rPr>
        <w:t>定义如下：</w:t>
      </w:r>
    </w:p>
    <w:p>
      <w:pPr>
        <w:spacing w:line="276" w:lineRule="auto"/>
        <w:ind w:firstLine="422" w:firstLineChars="176"/>
        <w:jc w:val="center"/>
        <w:rPr>
          <w:sz w:val="24"/>
          <w:szCs w:val="24"/>
        </w:rPr>
      </w:pPr>
      <m:oMathPara>
        <m:oMath>
          <m:sSub>
            <m:sSubPr>
              <m:ctrlPr>
                <w:rPr>
                  <w:rFonts w:ascii="Cambria Math" w:hAnsi="Cambria Math"/>
                  <w:sz w:val="24"/>
                  <w:szCs w:val="24"/>
                </w:rPr>
              </m:ctrlPr>
            </m:sSubPr>
            <m:e>
              <m:r>
                <m:rPr/>
                <w:rPr>
                  <w:rFonts w:ascii="Cambria Math" w:hAnsi="Cambria Math"/>
                  <w:sz w:val="24"/>
                  <w:szCs w:val="24"/>
                </w:rPr>
                <m:t>P</m:t>
              </m:r>
              <m:ctrlPr>
                <w:rPr>
                  <w:rFonts w:ascii="Cambria Math" w:hAnsi="Cambria Math"/>
                  <w:sz w:val="24"/>
                  <w:szCs w:val="24"/>
                </w:rPr>
              </m:ctrlPr>
            </m:e>
            <m:sub>
              <m:r>
                <m:rPr/>
                <w:rPr>
                  <w:rFonts w:ascii="Cambria Math" w:hAnsi="Cambria Math"/>
                  <w:sz w:val="24"/>
                  <w:szCs w:val="24"/>
                </w:rPr>
                <m:t>i</m:t>
              </m:r>
              <m:ctrlPr>
                <w:rPr>
                  <w:rFonts w:ascii="Cambria Math" w:hAnsi="Cambria Math"/>
                  <w:sz w:val="24"/>
                  <w:szCs w:val="24"/>
                </w:rPr>
              </m:ctrlP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sz w:val="24"/>
                      <w:szCs w:val="24"/>
                    </w:rPr>
                  </m:ctrlPr>
                </m:sSubPr>
                <m:e>
                  <m:r>
                    <m:rPr/>
                    <w:rPr>
                      <w:rFonts w:ascii="Cambria Math" w:hAnsi="Cambria Math"/>
                      <w:sz w:val="24"/>
                      <w:szCs w:val="24"/>
                    </w:rPr>
                    <m:t>C</m:t>
                  </m:r>
                  <m:ctrlPr>
                    <w:rPr>
                      <w:rFonts w:ascii="Cambria Math" w:hAnsi="Cambria Math"/>
                      <w:i/>
                      <w:sz w:val="24"/>
                      <w:szCs w:val="24"/>
                    </w:rPr>
                  </m:ctrlPr>
                </m:e>
                <m:sub>
                  <m:r>
                    <m:rPr/>
                    <w:rPr>
                      <w:rFonts w:ascii="Cambria Math" w:hAnsi="Cambria Math"/>
                      <w:sz w:val="24"/>
                      <w:szCs w:val="24"/>
                    </w:rPr>
                    <m:t>i</m:t>
                  </m:r>
                  <m:ctrlPr>
                    <w:rPr>
                      <w:rFonts w:ascii="Cambria Math" w:hAnsi="Cambria Math"/>
                      <w:i/>
                      <w:sz w:val="24"/>
                      <w:szCs w:val="24"/>
                    </w:rPr>
                  </m:ctrlPr>
                </m:sub>
              </m:sSub>
              <m:ctrlPr>
                <w:rPr>
                  <w:rFonts w:ascii="Cambria Math" w:hAnsi="Cambria Math"/>
                  <w:sz w:val="24"/>
                  <w:szCs w:val="24"/>
                </w:rPr>
              </m:ctrlPr>
            </m:num>
            <m:den>
              <m:sSub>
                <m:sSubPr>
                  <m:ctrlPr>
                    <w:rPr>
                      <w:rFonts w:ascii="Cambria Math" w:hAnsi="Cambria Math"/>
                      <w:i/>
                      <w:sz w:val="24"/>
                      <w:szCs w:val="24"/>
                    </w:rPr>
                  </m:ctrlPr>
                </m:sSubPr>
                <m:e>
                  <m:r>
                    <m:rPr/>
                    <w:rPr>
                      <w:rFonts w:ascii="Cambria Math" w:hAnsi="Cambria Math"/>
                      <w:sz w:val="24"/>
                      <w:szCs w:val="24"/>
                    </w:rPr>
                    <m:t>C</m:t>
                  </m:r>
                  <m:ctrlPr>
                    <w:rPr>
                      <w:rFonts w:ascii="Cambria Math" w:hAnsi="Cambria Math"/>
                      <w:i/>
                      <w:sz w:val="24"/>
                      <w:szCs w:val="24"/>
                    </w:rPr>
                  </m:ctrlPr>
                </m:e>
                <m:sub>
                  <m:r>
                    <m:rPr/>
                    <w:rPr>
                      <w:rFonts w:ascii="Cambria Math" w:hAnsi="Cambria Math"/>
                      <w:sz w:val="24"/>
                      <w:szCs w:val="24"/>
                    </w:rPr>
                    <m:t>0i</m:t>
                  </m:r>
                  <m:ctrlPr>
                    <w:rPr>
                      <w:rFonts w:ascii="Cambria Math" w:hAnsi="Cambria Math"/>
                      <w:i/>
                      <w:sz w:val="24"/>
                      <w:szCs w:val="24"/>
                    </w:rPr>
                  </m:ctrlPr>
                </m:sub>
              </m:sSub>
              <m:ctrlPr>
                <w:rPr>
                  <w:rFonts w:ascii="Cambria Math" w:hAnsi="Cambria Math"/>
                  <w:sz w:val="24"/>
                  <w:szCs w:val="24"/>
                </w:rPr>
              </m:ctrlPr>
            </m:den>
          </m:f>
          <m:r>
            <m:rPr/>
            <w:rPr>
              <w:rFonts w:ascii="Cambria Math" w:hAnsi="Cambria Math"/>
              <w:sz w:val="24"/>
              <w:szCs w:val="24"/>
            </w:rPr>
            <m:t>×100%</m:t>
          </m:r>
        </m:oMath>
      </m:oMathPara>
    </w:p>
    <w:p>
      <w:pPr>
        <w:spacing w:line="360" w:lineRule="auto"/>
        <w:rPr>
          <w:sz w:val="24"/>
          <w:szCs w:val="24"/>
        </w:rPr>
      </w:pPr>
      <w:r>
        <w:rPr>
          <w:sz w:val="24"/>
          <w:szCs w:val="24"/>
        </w:rPr>
        <w:t>式中：</w:t>
      </w:r>
    </w:p>
    <w:p>
      <w:pPr>
        <w:spacing w:line="360" w:lineRule="auto"/>
        <w:ind w:firstLine="422" w:firstLineChars="176"/>
        <w:jc w:val="left"/>
        <w:rPr>
          <w:sz w:val="24"/>
          <w:szCs w:val="24"/>
        </w:rPr>
      </w:pPr>
      <m:oMath>
        <m:sSub>
          <m:sSubPr>
            <m:ctrlPr>
              <w:rPr>
                <w:rFonts w:ascii="Cambria Math" w:hAnsi="Cambria Math"/>
                <w:sz w:val="24"/>
                <w:szCs w:val="24"/>
              </w:rPr>
            </m:ctrlPr>
          </m:sSubPr>
          <m:e>
            <m:r>
              <m:rPr/>
              <w:rPr>
                <w:rFonts w:ascii="Cambria Math" w:hAnsi="Cambria Math"/>
                <w:sz w:val="24"/>
                <w:szCs w:val="24"/>
              </w:rPr>
              <m:t>P</m:t>
            </m:r>
            <m:ctrlPr>
              <w:rPr>
                <w:rFonts w:ascii="Cambria Math" w:hAnsi="Cambria Math"/>
                <w:sz w:val="24"/>
                <w:szCs w:val="24"/>
              </w:rPr>
            </m:ctrlPr>
          </m:e>
          <m:sub>
            <m:r>
              <m:rPr/>
              <w:rPr>
                <w:rFonts w:ascii="Cambria Math" w:hAnsi="Cambria Math"/>
                <w:sz w:val="24"/>
                <w:szCs w:val="24"/>
              </w:rPr>
              <m:t>i</m:t>
            </m:r>
            <m:ctrlPr>
              <w:rPr>
                <w:rFonts w:ascii="Cambria Math" w:hAnsi="Cambria Math"/>
                <w:sz w:val="24"/>
                <w:szCs w:val="24"/>
              </w:rPr>
            </m:ctrlPr>
          </m:sub>
        </m:sSub>
      </m:oMath>
      <w:r>
        <w:rPr>
          <w:sz w:val="24"/>
          <w:szCs w:val="24"/>
        </w:rPr>
        <w:t xml:space="preserve"> ——第i个污染物的最大地面空气质量浓度 占标率，%；</w:t>
      </w:r>
    </w:p>
    <w:p>
      <w:pPr>
        <w:spacing w:line="360" w:lineRule="auto"/>
        <w:ind w:firstLine="422" w:firstLineChars="176"/>
        <w:jc w:val="left"/>
        <w:rPr>
          <w:sz w:val="24"/>
          <w:szCs w:val="24"/>
        </w:rPr>
      </w:pPr>
      <m:oMath>
        <m:sSub>
          <m:sSubPr>
            <m:ctrlPr>
              <w:rPr>
                <w:rFonts w:ascii="Cambria Math" w:hAnsi="Cambria Math"/>
                <w:i/>
                <w:sz w:val="24"/>
                <w:szCs w:val="24"/>
              </w:rPr>
            </m:ctrlPr>
          </m:sSubPr>
          <m:e>
            <m:r>
              <m:rPr/>
              <w:rPr>
                <w:rFonts w:ascii="Cambria Math" w:hAnsi="Cambria Math"/>
                <w:sz w:val="24"/>
                <w:szCs w:val="24"/>
              </w:rPr>
              <m:t>C</m:t>
            </m:r>
            <m:ctrlPr>
              <w:rPr>
                <w:rFonts w:ascii="Cambria Math" w:hAnsi="Cambria Math"/>
                <w:i/>
                <w:sz w:val="24"/>
                <w:szCs w:val="24"/>
              </w:rPr>
            </m:ctrlPr>
          </m:e>
          <m:sub>
            <m:r>
              <m:rPr/>
              <w:rPr>
                <w:rFonts w:ascii="Cambria Math" w:hAnsi="Cambria Math"/>
                <w:sz w:val="24"/>
                <w:szCs w:val="24"/>
              </w:rPr>
              <m:t>i</m:t>
            </m:r>
            <m:ctrlPr>
              <w:rPr>
                <w:rFonts w:ascii="Cambria Math" w:hAnsi="Cambria Math"/>
                <w:i/>
                <w:sz w:val="24"/>
                <w:szCs w:val="24"/>
              </w:rPr>
            </m:ctrlPr>
          </m:sub>
        </m:sSub>
      </m:oMath>
      <w:r>
        <w:rPr>
          <w:sz w:val="24"/>
          <w:szCs w:val="24"/>
        </w:rPr>
        <w:t>——采用估算模型计算出的第i个污染物的最大1h地面空气质量浓度，μg/m</w:t>
      </w:r>
      <w:r>
        <w:rPr>
          <w:sz w:val="24"/>
          <w:szCs w:val="24"/>
          <w:vertAlign w:val="superscript"/>
        </w:rPr>
        <w:t>3</w:t>
      </w:r>
      <w:r>
        <w:rPr>
          <w:sz w:val="24"/>
          <w:szCs w:val="24"/>
        </w:rPr>
        <w:t>；</w:t>
      </w:r>
    </w:p>
    <w:p>
      <w:pPr>
        <w:adjustRightInd w:val="0"/>
        <w:snapToGrid w:val="0"/>
        <w:spacing w:line="360" w:lineRule="auto"/>
        <w:ind w:firstLine="422" w:firstLineChars="176"/>
        <w:jc w:val="left"/>
        <w:rPr>
          <w:sz w:val="24"/>
          <w:szCs w:val="24"/>
        </w:rPr>
      </w:pPr>
      <m:oMath>
        <m:sSub>
          <m:sSubPr>
            <m:ctrlPr>
              <w:rPr>
                <w:rFonts w:ascii="Cambria Math" w:hAnsi="Cambria Math"/>
                <w:i/>
                <w:sz w:val="24"/>
                <w:szCs w:val="24"/>
              </w:rPr>
            </m:ctrlPr>
          </m:sSubPr>
          <m:e>
            <m:r>
              <m:rPr/>
              <w:rPr>
                <w:rFonts w:ascii="Cambria Math" w:hAnsi="Cambria Math"/>
                <w:sz w:val="24"/>
                <w:szCs w:val="24"/>
              </w:rPr>
              <m:t>C</m:t>
            </m:r>
            <m:ctrlPr>
              <w:rPr>
                <w:rFonts w:ascii="Cambria Math" w:hAnsi="Cambria Math"/>
                <w:i/>
                <w:sz w:val="24"/>
                <w:szCs w:val="24"/>
              </w:rPr>
            </m:ctrlPr>
          </m:e>
          <m:sub>
            <m:r>
              <m:rPr/>
              <w:rPr>
                <w:rFonts w:ascii="Cambria Math" w:hAnsi="Cambria Math"/>
                <w:sz w:val="24"/>
                <w:szCs w:val="24"/>
              </w:rPr>
              <m:t>0i</m:t>
            </m:r>
            <m:ctrlPr>
              <w:rPr>
                <w:rFonts w:ascii="Cambria Math" w:hAnsi="Cambria Math"/>
                <w:i/>
                <w:sz w:val="24"/>
                <w:szCs w:val="24"/>
              </w:rPr>
            </m:ctrlPr>
          </m:sub>
        </m:sSub>
      </m:oMath>
      <w:r>
        <w:rPr>
          <w:sz w:val="24"/>
          <w:szCs w:val="24"/>
        </w:rPr>
        <w:t>——第i个污染物的环境空气质量浓度标准，μg/m</w:t>
      </w:r>
      <w:r>
        <w:rPr>
          <w:sz w:val="24"/>
          <w:szCs w:val="24"/>
          <w:vertAlign w:val="superscript"/>
        </w:rPr>
        <w:t>3</w:t>
      </w:r>
      <w:r>
        <w:rPr>
          <w:sz w:val="24"/>
          <w:szCs w:val="24"/>
        </w:rPr>
        <w:t>。一般选用GB3095 中1 小时平均质量浓度的二级标准的浓度限值，如项目位于一类环境空气功能区，应选择相应的以及浓度限制；对该标准中为包含的污染物，使用5.2 确定的个评价因子1h 平均质量浓度限值。对仅有8h 平均质量浓度限值、日平均质量浓度限值或年平均质量浓度限值的，可分别按2倍、3倍、6倍折算为1h平均质量浓度限值。评价等级按表2.6-1的分级判据进行划分。</w:t>
      </w:r>
      <w:bookmarkStart w:id="34" w:name="_Ref493063268"/>
    </w:p>
    <w:p>
      <w:pPr>
        <w:adjustRightInd w:val="0"/>
        <w:snapToGrid w:val="0"/>
        <w:spacing w:line="360" w:lineRule="auto"/>
        <w:jc w:val="center"/>
        <w:rPr>
          <w:b/>
          <w:bCs/>
          <w:sz w:val="24"/>
          <w:szCs w:val="24"/>
        </w:rPr>
      </w:pPr>
      <w:r>
        <w:rPr>
          <w:b/>
          <w:bCs/>
          <w:sz w:val="24"/>
          <w:szCs w:val="24"/>
        </w:rPr>
        <w:t>表 2.6–</w:t>
      </w:r>
      <w:bookmarkEnd w:id="34"/>
      <w:r>
        <w:rPr>
          <w:b/>
          <w:bCs/>
          <w:sz w:val="24"/>
          <w:szCs w:val="24"/>
        </w:rPr>
        <w:t>1  评价工作等级分级判据</w:t>
      </w:r>
    </w:p>
    <w:tbl>
      <w:tblPr>
        <w:tblStyle w:val="39"/>
        <w:tblW w:w="48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654"/>
        <w:gridCol w:w="46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189" w:type="pct"/>
            <w:vAlign w:val="center"/>
          </w:tcPr>
          <w:p>
            <w:pPr>
              <w:jc w:val="center"/>
              <w:rPr>
                <w:szCs w:val="21"/>
              </w:rPr>
            </w:pPr>
            <w:r>
              <w:rPr>
                <w:szCs w:val="22"/>
              </w:rPr>
              <w:t>评价工作等级</w:t>
            </w:r>
          </w:p>
        </w:tc>
        <w:tc>
          <w:tcPr>
            <w:tcW w:w="2811" w:type="pct"/>
            <w:vAlign w:val="center"/>
          </w:tcPr>
          <w:p>
            <w:pPr>
              <w:jc w:val="center"/>
              <w:rPr>
                <w:szCs w:val="21"/>
              </w:rPr>
            </w:pPr>
            <w:r>
              <w:rPr>
                <w:szCs w:val="22"/>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89" w:type="pct"/>
            <w:vAlign w:val="center"/>
          </w:tcPr>
          <w:p>
            <w:pPr>
              <w:jc w:val="center"/>
              <w:rPr>
                <w:szCs w:val="21"/>
              </w:rPr>
            </w:pPr>
            <w:r>
              <w:rPr>
                <w:szCs w:val="22"/>
              </w:rPr>
              <w:t>一级</w:t>
            </w:r>
          </w:p>
        </w:tc>
        <w:tc>
          <w:tcPr>
            <w:tcW w:w="2811" w:type="pct"/>
            <w:vAlign w:val="center"/>
          </w:tcPr>
          <w:p>
            <w:pPr>
              <w:jc w:val="center"/>
              <w:rPr>
                <w:szCs w:val="21"/>
              </w:rPr>
            </w:pPr>
            <w:r>
              <w:rPr>
                <w:szCs w:val="22"/>
              </w:rPr>
              <w:t>P</w:t>
            </w:r>
            <w:r>
              <w:rPr>
                <w:szCs w:val="22"/>
                <w:vertAlign w:val="subscript"/>
              </w:rPr>
              <w:t>max</w:t>
            </w:r>
            <w:r>
              <w:rPr>
                <w:szCs w:val="22"/>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89" w:type="pct"/>
            <w:vAlign w:val="center"/>
          </w:tcPr>
          <w:p>
            <w:pPr>
              <w:jc w:val="center"/>
              <w:rPr>
                <w:szCs w:val="21"/>
              </w:rPr>
            </w:pPr>
            <w:r>
              <w:rPr>
                <w:szCs w:val="22"/>
              </w:rPr>
              <w:t>二级</w:t>
            </w:r>
          </w:p>
        </w:tc>
        <w:tc>
          <w:tcPr>
            <w:tcW w:w="2811" w:type="pct"/>
            <w:vAlign w:val="center"/>
          </w:tcPr>
          <w:p>
            <w:pPr>
              <w:jc w:val="center"/>
              <w:rPr>
                <w:szCs w:val="21"/>
              </w:rPr>
            </w:pPr>
            <w:r>
              <w:rPr>
                <w:szCs w:val="22"/>
              </w:rPr>
              <w:t>1%≤P</w:t>
            </w:r>
            <w:r>
              <w:rPr>
                <w:szCs w:val="22"/>
                <w:vertAlign w:val="subscript"/>
              </w:rPr>
              <w:t>max</w:t>
            </w:r>
            <w:r>
              <w:rPr>
                <w:szCs w:val="22"/>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89" w:type="pct"/>
            <w:vAlign w:val="center"/>
          </w:tcPr>
          <w:p>
            <w:pPr>
              <w:jc w:val="center"/>
              <w:rPr>
                <w:szCs w:val="21"/>
              </w:rPr>
            </w:pPr>
            <w:r>
              <w:rPr>
                <w:szCs w:val="22"/>
              </w:rPr>
              <w:t>三级</w:t>
            </w:r>
          </w:p>
        </w:tc>
        <w:tc>
          <w:tcPr>
            <w:tcW w:w="2811" w:type="pct"/>
            <w:vAlign w:val="center"/>
          </w:tcPr>
          <w:p>
            <w:pPr>
              <w:jc w:val="center"/>
              <w:rPr>
                <w:szCs w:val="21"/>
              </w:rPr>
            </w:pPr>
            <w:r>
              <w:rPr>
                <w:szCs w:val="22"/>
              </w:rPr>
              <w:t>P</w:t>
            </w:r>
            <w:r>
              <w:rPr>
                <w:szCs w:val="22"/>
                <w:vertAlign w:val="subscript"/>
              </w:rPr>
              <w:t>max</w:t>
            </w:r>
            <w:r>
              <w:rPr>
                <w:szCs w:val="22"/>
              </w:rPr>
              <w:t>＜1%</w:t>
            </w:r>
          </w:p>
        </w:tc>
      </w:tr>
    </w:tbl>
    <w:p>
      <w:pPr>
        <w:spacing w:before="156" w:beforeLines="50" w:line="360" w:lineRule="auto"/>
        <w:ind w:firstLine="480" w:firstLineChars="200"/>
        <w:rPr>
          <w:sz w:val="24"/>
        </w:rPr>
      </w:pPr>
      <w:r>
        <w:rPr>
          <w:sz w:val="24"/>
          <w:szCs w:val="24"/>
        </w:rPr>
        <w:t>本评价估算模式采用HJ2.2-2018附录A推荐模型中的AERSCREEN模式计算，估算模式所用参数见表。根据导则中模型计算设置说明，当项目周边3km半径范围内一半以上面积属于城市建成区或者规划区时，选择城市，否则选择农村。本项目周边3km半径范围卫星地图见图2.6-1，使用卫星地图测量工具测量，本项目周边3km半径范围内村庄及已建成企业占地面积约为3.61km</w:t>
      </w:r>
      <w:r>
        <w:rPr>
          <w:sz w:val="24"/>
          <w:szCs w:val="24"/>
          <w:vertAlign w:val="superscript"/>
        </w:rPr>
        <w:t>2</w:t>
      </w:r>
      <w:r>
        <w:rPr>
          <w:sz w:val="24"/>
          <w:szCs w:val="24"/>
        </w:rPr>
        <w:t>，占比为12.57%，小于50%，故本次环评选择农村地区。</w:t>
      </w:r>
      <w:r>
        <w:rPr>
          <w:sz w:val="24"/>
        </w:rPr>
        <w:t>本项目面源污染源调查清单详见表2.6-2，估算模式中参数选取见表2.6-3。</w:t>
      </w:r>
    </w:p>
    <w:p>
      <w:pPr>
        <w:jc w:val="center"/>
        <w:rPr>
          <w:b/>
          <w:sz w:val="24"/>
        </w:rPr>
      </w:pPr>
      <w:r>
        <w:rPr>
          <w:b/>
          <w:sz w:val="24"/>
        </w:rPr>
        <w:t>表2.6-2   面源连续排放调查清单</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969"/>
        <w:gridCol w:w="808"/>
        <w:gridCol w:w="808"/>
        <w:gridCol w:w="915"/>
        <w:gridCol w:w="1535"/>
        <w:gridCol w:w="1248"/>
        <w:gridCol w:w="597"/>
        <w:gridCol w:w="14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44" w:hRule="atLeast"/>
          <w:jc w:val="center"/>
        </w:trPr>
        <w:tc>
          <w:tcPr>
            <w:tcW w:w="580" w:type="pct"/>
            <w:vMerge w:val="restart"/>
            <w:shd w:val="clear" w:color="auto" w:fill="auto"/>
            <w:vAlign w:val="center"/>
          </w:tcPr>
          <w:p>
            <w:pPr>
              <w:jc w:val="center"/>
              <w:rPr>
                <w:b/>
                <w:bCs/>
                <w:sz w:val="18"/>
                <w:szCs w:val="18"/>
              </w:rPr>
            </w:pPr>
            <w:r>
              <w:rPr>
                <w:b/>
                <w:bCs/>
                <w:sz w:val="18"/>
                <w:szCs w:val="18"/>
              </w:rPr>
              <w:t>污染源名称</w:t>
            </w:r>
          </w:p>
        </w:tc>
        <w:tc>
          <w:tcPr>
            <w:tcW w:w="3177" w:type="pct"/>
            <w:gridSpan w:val="5"/>
            <w:shd w:val="clear" w:color="auto" w:fill="auto"/>
            <w:vAlign w:val="center"/>
          </w:tcPr>
          <w:p>
            <w:pPr>
              <w:snapToGrid w:val="0"/>
              <w:jc w:val="center"/>
              <w:rPr>
                <w:b/>
                <w:bCs/>
                <w:sz w:val="18"/>
                <w:szCs w:val="18"/>
              </w:rPr>
            </w:pPr>
            <w:r>
              <w:rPr>
                <w:b/>
                <w:bCs/>
                <w:sz w:val="18"/>
                <w:szCs w:val="18"/>
              </w:rPr>
              <w:t>面源参数</w:t>
            </w:r>
          </w:p>
        </w:tc>
        <w:tc>
          <w:tcPr>
            <w:tcW w:w="357" w:type="pct"/>
            <w:vMerge w:val="restart"/>
            <w:shd w:val="clear" w:color="auto" w:fill="auto"/>
            <w:vAlign w:val="center"/>
          </w:tcPr>
          <w:p>
            <w:pPr>
              <w:snapToGrid w:val="0"/>
              <w:jc w:val="center"/>
              <w:rPr>
                <w:sz w:val="18"/>
                <w:szCs w:val="18"/>
              </w:rPr>
            </w:pPr>
            <w:r>
              <w:rPr>
                <w:b/>
                <w:bCs/>
                <w:sz w:val="18"/>
                <w:szCs w:val="18"/>
              </w:rPr>
              <w:t>排放工况</w:t>
            </w:r>
          </w:p>
        </w:tc>
        <w:tc>
          <w:tcPr>
            <w:tcW w:w="886" w:type="pct"/>
            <w:vAlign w:val="center"/>
          </w:tcPr>
          <w:p>
            <w:pPr>
              <w:snapToGrid w:val="0"/>
              <w:jc w:val="center"/>
              <w:rPr>
                <w:sz w:val="18"/>
                <w:szCs w:val="18"/>
              </w:rPr>
            </w:pPr>
            <w:r>
              <w:rPr>
                <w:b/>
                <w:bCs/>
                <w:sz w:val="18"/>
                <w:szCs w:val="18"/>
              </w:rPr>
              <w:t>评价因子源强（kg/h）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2" w:hRule="atLeast"/>
          <w:jc w:val="center"/>
        </w:trPr>
        <w:tc>
          <w:tcPr>
            <w:tcW w:w="580" w:type="pct"/>
            <w:vMerge w:val="continue"/>
            <w:shd w:val="clear" w:color="auto" w:fill="auto"/>
            <w:vAlign w:val="center"/>
          </w:tcPr>
          <w:p>
            <w:pPr>
              <w:snapToGrid w:val="0"/>
              <w:jc w:val="center"/>
              <w:rPr>
                <w:b/>
                <w:bCs/>
                <w:sz w:val="18"/>
                <w:szCs w:val="18"/>
              </w:rPr>
            </w:pPr>
          </w:p>
        </w:tc>
        <w:tc>
          <w:tcPr>
            <w:tcW w:w="483" w:type="pct"/>
            <w:shd w:val="clear" w:color="auto" w:fill="auto"/>
            <w:vAlign w:val="center"/>
          </w:tcPr>
          <w:p>
            <w:pPr>
              <w:snapToGrid w:val="0"/>
              <w:jc w:val="center"/>
              <w:rPr>
                <w:b/>
                <w:bCs/>
                <w:sz w:val="18"/>
                <w:szCs w:val="18"/>
              </w:rPr>
            </w:pPr>
            <w:r>
              <w:rPr>
                <w:b/>
                <w:bCs/>
                <w:sz w:val="18"/>
                <w:szCs w:val="18"/>
              </w:rPr>
              <w:t>面源长度(m)</w:t>
            </w:r>
          </w:p>
        </w:tc>
        <w:tc>
          <w:tcPr>
            <w:tcW w:w="483" w:type="pct"/>
            <w:shd w:val="clear" w:color="auto" w:fill="auto"/>
            <w:vAlign w:val="center"/>
          </w:tcPr>
          <w:p>
            <w:pPr>
              <w:snapToGrid w:val="0"/>
              <w:jc w:val="center"/>
              <w:rPr>
                <w:b/>
                <w:bCs/>
                <w:sz w:val="18"/>
                <w:szCs w:val="18"/>
              </w:rPr>
            </w:pPr>
            <w:r>
              <w:rPr>
                <w:b/>
                <w:bCs/>
                <w:sz w:val="18"/>
                <w:szCs w:val="18"/>
              </w:rPr>
              <w:t>面源宽度(m)</w:t>
            </w:r>
          </w:p>
        </w:tc>
        <w:tc>
          <w:tcPr>
            <w:tcW w:w="547" w:type="pct"/>
            <w:shd w:val="clear" w:color="auto" w:fill="auto"/>
            <w:vAlign w:val="center"/>
          </w:tcPr>
          <w:p>
            <w:pPr>
              <w:snapToGrid w:val="0"/>
              <w:jc w:val="center"/>
              <w:rPr>
                <w:b/>
                <w:bCs/>
                <w:sz w:val="18"/>
                <w:szCs w:val="18"/>
              </w:rPr>
            </w:pPr>
            <w:r>
              <w:rPr>
                <w:b/>
                <w:bCs/>
                <w:sz w:val="18"/>
                <w:szCs w:val="18"/>
              </w:rPr>
              <w:t>面源与正北向°</w:t>
            </w:r>
          </w:p>
        </w:tc>
        <w:tc>
          <w:tcPr>
            <w:tcW w:w="918" w:type="pct"/>
            <w:shd w:val="clear" w:color="auto" w:fill="auto"/>
            <w:vAlign w:val="center"/>
          </w:tcPr>
          <w:p>
            <w:pPr>
              <w:snapToGrid w:val="0"/>
              <w:jc w:val="center"/>
              <w:rPr>
                <w:b/>
                <w:bCs/>
                <w:sz w:val="18"/>
                <w:szCs w:val="18"/>
              </w:rPr>
            </w:pPr>
            <w:r>
              <w:rPr>
                <w:b/>
                <w:bCs/>
                <w:sz w:val="18"/>
                <w:szCs w:val="18"/>
              </w:rPr>
              <w:t>面源有效排放高度（m）</w:t>
            </w:r>
          </w:p>
        </w:tc>
        <w:tc>
          <w:tcPr>
            <w:tcW w:w="746" w:type="pct"/>
            <w:shd w:val="clear" w:color="auto" w:fill="auto"/>
            <w:vAlign w:val="center"/>
          </w:tcPr>
          <w:p>
            <w:pPr>
              <w:snapToGrid w:val="0"/>
              <w:jc w:val="center"/>
              <w:rPr>
                <w:b/>
                <w:bCs/>
                <w:sz w:val="18"/>
                <w:szCs w:val="18"/>
              </w:rPr>
            </w:pPr>
            <w:r>
              <w:rPr>
                <w:b/>
                <w:bCs/>
                <w:sz w:val="18"/>
                <w:szCs w:val="18"/>
              </w:rPr>
              <w:t>年排放小时数（h）</w:t>
            </w:r>
          </w:p>
        </w:tc>
        <w:tc>
          <w:tcPr>
            <w:tcW w:w="357" w:type="pct"/>
            <w:vMerge w:val="continue"/>
            <w:shd w:val="clear" w:color="auto" w:fill="auto"/>
            <w:vAlign w:val="center"/>
          </w:tcPr>
          <w:p>
            <w:pPr>
              <w:snapToGrid w:val="0"/>
              <w:jc w:val="center"/>
              <w:rPr>
                <w:sz w:val="18"/>
                <w:szCs w:val="18"/>
              </w:rPr>
            </w:pPr>
          </w:p>
        </w:tc>
        <w:tc>
          <w:tcPr>
            <w:tcW w:w="886" w:type="pct"/>
            <w:shd w:val="clear" w:color="auto" w:fill="auto"/>
            <w:vAlign w:val="center"/>
          </w:tcPr>
          <w:p>
            <w:pPr>
              <w:adjustRightInd w:val="0"/>
              <w:snapToGrid w:val="0"/>
              <w:jc w:val="center"/>
              <w:rPr>
                <w:b/>
                <w:bCs/>
                <w:sz w:val="18"/>
                <w:szCs w:val="18"/>
              </w:rPr>
            </w:pPr>
            <w:r>
              <w:rPr>
                <w:bCs/>
                <w:sz w:val="18"/>
                <w:szCs w:val="18"/>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1" w:hRule="atLeast"/>
          <w:jc w:val="center"/>
        </w:trPr>
        <w:tc>
          <w:tcPr>
            <w:tcW w:w="580" w:type="pct"/>
            <w:vAlign w:val="center"/>
          </w:tcPr>
          <w:p>
            <w:pPr>
              <w:adjustRightInd w:val="0"/>
              <w:snapToGrid w:val="0"/>
              <w:jc w:val="center"/>
              <w:rPr>
                <w:sz w:val="18"/>
                <w:szCs w:val="18"/>
              </w:rPr>
            </w:pPr>
            <w:r>
              <w:rPr>
                <w:rFonts w:eastAsiaTheme="minorEastAsia"/>
              </w:rPr>
              <w:t>飞灰填埋作业</w:t>
            </w:r>
          </w:p>
        </w:tc>
        <w:tc>
          <w:tcPr>
            <w:tcW w:w="483" w:type="pct"/>
            <w:shd w:val="clear" w:color="auto" w:fill="auto"/>
            <w:vAlign w:val="center"/>
          </w:tcPr>
          <w:p>
            <w:pPr>
              <w:adjustRightInd w:val="0"/>
              <w:snapToGrid w:val="0"/>
              <w:jc w:val="center"/>
              <w:rPr>
                <w:sz w:val="18"/>
                <w:szCs w:val="18"/>
              </w:rPr>
            </w:pPr>
            <w:r>
              <w:rPr>
                <w:rFonts w:hint="eastAsia"/>
                <w:sz w:val="18"/>
                <w:szCs w:val="18"/>
              </w:rPr>
              <w:t>1</w:t>
            </w:r>
            <w:r>
              <w:rPr>
                <w:sz w:val="18"/>
                <w:szCs w:val="18"/>
              </w:rPr>
              <w:t>0</w:t>
            </w:r>
          </w:p>
        </w:tc>
        <w:tc>
          <w:tcPr>
            <w:tcW w:w="483" w:type="pct"/>
            <w:shd w:val="clear" w:color="auto" w:fill="auto"/>
            <w:vAlign w:val="center"/>
          </w:tcPr>
          <w:p>
            <w:pPr>
              <w:adjustRightInd w:val="0"/>
              <w:snapToGrid w:val="0"/>
              <w:jc w:val="center"/>
              <w:rPr>
                <w:sz w:val="18"/>
                <w:szCs w:val="18"/>
              </w:rPr>
            </w:pPr>
            <w:r>
              <w:rPr>
                <w:rFonts w:hint="eastAsia"/>
                <w:sz w:val="18"/>
                <w:szCs w:val="18"/>
              </w:rPr>
              <w:t>5</w:t>
            </w:r>
          </w:p>
        </w:tc>
        <w:tc>
          <w:tcPr>
            <w:tcW w:w="547" w:type="pct"/>
            <w:shd w:val="clear" w:color="auto" w:fill="auto"/>
            <w:vAlign w:val="center"/>
          </w:tcPr>
          <w:p>
            <w:pPr>
              <w:jc w:val="center"/>
              <w:rPr>
                <w:sz w:val="18"/>
                <w:szCs w:val="18"/>
              </w:rPr>
            </w:pPr>
            <w:r>
              <w:rPr>
                <w:rFonts w:hint="eastAsia"/>
                <w:sz w:val="18"/>
                <w:szCs w:val="18"/>
              </w:rPr>
              <w:t>0</w:t>
            </w:r>
          </w:p>
        </w:tc>
        <w:tc>
          <w:tcPr>
            <w:tcW w:w="918" w:type="pct"/>
            <w:shd w:val="clear" w:color="auto" w:fill="auto"/>
            <w:vAlign w:val="center"/>
          </w:tcPr>
          <w:p>
            <w:pPr>
              <w:adjustRightInd w:val="0"/>
              <w:snapToGrid w:val="0"/>
              <w:jc w:val="center"/>
              <w:rPr>
                <w:sz w:val="18"/>
                <w:szCs w:val="18"/>
              </w:rPr>
            </w:pPr>
            <w:r>
              <w:rPr>
                <w:rFonts w:hint="eastAsia"/>
                <w:sz w:val="18"/>
                <w:szCs w:val="18"/>
              </w:rPr>
              <w:t>1</w:t>
            </w:r>
            <w:r>
              <w:rPr>
                <w:sz w:val="18"/>
                <w:szCs w:val="18"/>
              </w:rPr>
              <w:t>.5</w:t>
            </w:r>
          </w:p>
        </w:tc>
        <w:tc>
          <w:tcPr>
            <w:tcW w:w="746" w:type="pct"/>
            <w:shd w:val="clear" w:color="auto" w:fill="auto"/>
            <w:vAlign w:val="center"/>
          </w:tcPr>
          <w:p>
            <w:pPr>
              <w:jc w:val="center"/>
              <w:rPr>
                <w:sz w:val="18"/>
                <w:szCs w:val="18"/>
              </w:rPr>
            </w:pPr>
            <w:r>
              <w:rPr>
                <w:rFonts w:hint="eastAsia"/>
                <w:sz w:val="18"/>
                <w:szCs w:val="18"/>
              </w:rPr>
              <w:t>3</w:t>
            </w:r>
            <w:r>
              <w:rPr>
                <w:sz w:val="18"/>
                <w:szCs w:val="18"/>
              </w:rPr>
              <w:t>65</w:t>
            </w:r>
          </w:p>
        </w:tc>
        <w:tc>
          <w:tcPr>
            <w:tcW w:w="357" w:type="pct"/>
            <w:shd w:val="clear" w:color="auto" w:fill="auto"/>
            <w:vAlign w:val="center"/>
          </w:tcPr>
          <w:p>
            <w:pPr>
              <w:jc w:val="center"/>
              <w:rPr>
                <w:sz w:val="18"/>
                <w:szCs w:val="18"/>
              </w:rPr>
            </w:pPr>
            <w:r>
              <w:rPr>
                <w:sz w:val="18"/>
                <w:szCs w:val="18"/>
              </w:rPr>
              <w:t>正常</w:t>
            </w:r>
          </w:p>
        </w:tc>
        <w:tc>
          <w:tcPr>
            <w:tcW w:w="886" w:type="pct"/>
            <w:shd w:val="clear" w:color="auto" w:fill="auto"/>
            <w:vAlign w:val="center"/>
          </w:tcPr>
          <w:p>
            <w:pPr>
              <w:adjustRightInd w:val="0"/>
              <w:snapToGrid w:val="0"/>
              <w:jc w:val="center"/>
              <w:rPr>
                <w:sz w:val="18"/>
                <w:szCs w:val="18"/>
              </w:rPr>
            </w:pPr>
            <w:r>
              <w:rPr>
                <w:rFonts w:eastAsia="等线"/>
                <w:szCs w:val="21"/>
              </w:rPr>
              <w:t>0.0006</w:t>
            </w:r>
          </w:p>
        </w:tc>
      </w:tr>
    </w:tbl>
    <w:p>
      <w:pPr>
        <w:topLinePunct/>
        <w:adjustRightInd w:val="0"/>
        <w:snapToGrid w:val="0"/>
        <w:jc w:val="center"/>
        <w:rPr>
          <w:b/>
          <w:sz w:val="24"/>
          <w:szCs w:val="24"/>
        </w:rPr>
      </w:pPr>
      <w:r>
        <w:rPr>
          <w:b/>
          <w:sz w:val="24"/>
          <w:szCs w:val="24"/>
        </w:rPr>
        <w:t xml:space="preserve">表2.6-3 </w:t>
      </w:r>
      <w:r>
        <w:rPr>
          <w:b/>
          <w:sz w:val="24"/>
          <w:szCs w:val="24"/>
        </w:rPr>
        <w:tab/>
      </w:r>
      <w:r>
        <w:rPr>
          <w:b/>
          <w:sz w:val="24"/>
          <w:szCs w:val="24"/>
        </w:rPr>
        <w:t>估算模型参数表</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882"/>
        <w:gridCol w:w="2953"/>
        <w:gridCol w:w="250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500" w:type="pct"/>
            <w:gridSpan w:val="2"/>
            <w:shd w:val="clear" w:color="auto" w:fill="auto"/>
            <w:vAlign w:val="center"/>
          </w:tcPr>
          <w:p>
            <w:pPr>
              <w:adjustRightInd w:val="0"/>
              <w:snapToGrid w:val="0"/>
              <w:jc w:val="center"/>
              <w:rPr>
                <w:kern w:val="0"/>
                <w:sz w:val="22"/>
                <w:szCs w:val="21"/>
                <w:lang w:eastAsia="en-US"/>
              </w:rPr>
            </w:pPr>
            <w:r>
              <w:rPr>
                <w:b/>
                <w:bCs/>
                <w:kern w:val="0"/>
                <w:sz w:val="22"/>
                <w:szCs w:val="21"/>
                <w:lang w:eastAsia="en-US"/>
              </w:rPr>
              <w:t>参数</w:t>
            </w:r>
          </w:p>
        </w:tc>
        <w:tc>
          <w:tcPr>
            <w:tcW w:w="1500" w:type="pct"/>
            <w:shd w:val="clear" w:color="auto" w:fill="auto"/>
            <w:vAlign w:val="center"/>
          </w:tcPr>
          <w:p>
            <w:pPr>
              <w:adjustRightInd w:val="0"/>
              <w:snapToGrid w:val="0"/>
              <w:jc w:val="center"/>
              <w:rPr>
                <w:kern w:val="0"/>
                <w:sz w:val="22"/>
                <w:szCs w:val="21"/>
                <w:lang w:eastAsia="en-US"/>
              </w:rPr>
            </w:pPr>
            <w:r>
              <w:rPr>
                <w:b/>
                <w:bCs/>
                <w:kern w:val="0"/>
                <w:sz w:val="22"/>
                <w:szCs w:val="21"/>
                <w:lang w:eastAsia="en-US"/>
              </w:rPr>
              <w:t>取值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restart"/>
            <w:shd w:val="clear" w:color="auto" w:fill="auto"/>
            <w:vAlign w:val="center"/>
          </w:tcPr>
          <w:p>
            <w:pPr>
              <w:adjustRightInd w:val="0"/>
              <w:snapToGrid w:val="0"/>
              <w:jc w:val="center"/>
              <w:rPr>
                <w:kern w:val="0"/>
                <w:sz w:val="22"/>
                <w:szCs w:val="21"/>
                <w:lang w:eastAsia="en-US"/>
              </w:rPr>
            </w:pPr>
            <w:r>
              <w:rPr>
                <w:kern w:val="0"/>
                <w:sz w:val="22"/>
                <w:szCs w:val="21"/>
                <w:lang w:eastAsia="en-US"/>
              </w:rPr>
              <w:t>城市农村/选项</w:t>
            </w: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城市/农村</w:t>
            </w:r>
          </w:p>
        </w:tc>
        <w:tc>
          <w:tcPr>
            <w:tcW w:w="1500" w:type="pct"/>
            <w:shd w:val="clear" w:color="auto" w:fill="auto"/>
            <w:vAlign w:val="center"/>
          </w:tcPr>
          <w:p>
            <w:pPr>
              <w:adjustRightInd w:val="0"/>
              <w:snapToGrid w:val="0"/>
              <w:jc w:val="center"/>
              <w:rPr>
                <w:kern w:val="0"/>
                <w:sz w:val="22"/>
                <w:szCs w:val="21"/>
                <w:lang w:eastAsia="en-US"/>
              </w:rPr>
            </w:pPr>
            <w:r>
              <w:rPr>
                <w:kern w:val="0"/>
                <w:sz w:val="22"/>
                <w:szCs w:val="21"/>
                <w:lang w:eastAsia="en-US"/>
              </w:rPr>
              <w:t>农村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continue"/>
            <w:shd w:val="clear" w:color="auto" w:fill="auto"/>
            <w:vAlign w:val="center"/>
          </w:tcPr>
          <w:p>
            <w:pPr>
              <w:adjustRightInd w:val="0"/>
              <w:snapToGrid w:val="0"/>
              <w:jc w:val="center"/>
              <w:rPr>
                <w:kern w:val="0"/>
                <w:sz w:val="22"/>
                <w:szCs w:val="22"/>
                <w:lang w:eastAsia="en-US"/>
              </w:rPr>
            </w:pP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人口数(城市人口数)</w:t>
            </w:r>
          </w:p>
        </w:tc>
        <w:tc>
          <w:tcPr>
            <w:tcW w:w="1500" w:type="pct"/>
            <w:shd w:val="clear" w:color="auto" w:fill="auto"/>
            <w:vAlign w:val="center"/>
          </w:tcPr>
          <w:p>
            <w:pPr>
              <w:adjustRightInd w:val="0"/>
              <w:snapToGrid w:val="0"/>
              <w:jc w:val="center"/>
              <w:rPr>
                <w:kern w:val="0"/>
                <w:sz w:val="22"/>
                <w:szCs w:val="21"/>
              </w:rPr>
            </w:pPr>
            <w:r>
              <w:rPr>
                <w:kern w:val="0"/>
                <w:sz w:val="22"/>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500" w:type="pct"/>
            <w:gridSpan w:val="2"/>
            <w:shd w:val="clear" w:color="auto" w:fill="auto"/>
            <w:vAlign w:val="center"/>
          </w:tcPr>
          <w:p>
            <w:pPr>
              <w:adjustRightInd w:val="0"/>
              <w:snapToGrid w:val="0"/>
              <w:jc w:val="center"/>
              <w:rPr>
                <w:kern w:val="0"/>
                <w:sz w:val="22"/>
                <w:szCs w:val="21"/>
                <w:lang w:eastAsia="en-US"/>
              </w:rPr>
            </w:pPr>
            <w:r>
              <w:rPr>
                <w:kern w:val="0"/>
                <w:sz w:val="22"/>
                <w:szCs w:val="21"/>
                <w:lang w:eastAsia="en-US"/>
              </w:rPr>
              <w:t>最高环境温度</w:t>
            </w:r>
          </w:p>
        </w:tc>
        <w:tc>
          <w:tcPr>
            <w:tcW w:w="1500" w:type="pct"/>
            <w:shd w:val="clear" w:color="auto" w:fill="auto"/>
            <w:vAlign w:val="center"/>
          </w:tcPr>
          <w:p>
            <w:pPr>
              <w:adjustRightInd w:val="0"/>
              <w:snapToGrid w:val="0"/>
              <w:jc w:val="center"/>
              <w:rPr>
                <w:kern w:val="0"/>
                <w:sz w:val="22"/>
                <w:szCs w:val="21"/>
                <w:lang w:eastAsia="en-US"/>
              </w:rPr>
            </w:pPr>
            <w:r>
              <w:rPr>
                <w:kern w:val="0"/>
                <w:sz w:val="22"/>
                <w:szCs w:val="21"/>
              </w:rPr>
              <w:t>39.4</w:t>
            </w:r>
            <w:r>
              <w:rPr>
                <w:kern w:val="0"/>
                <w:sz w:val="22"/>
                <w:szCs w:val="21"/>
                <w:lang w:eastAsia="en-US"/>
              </w:rPr>
              <w:t>°C</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500" w:type="pct"/>
            <w:gridSpan w:val="2"/>
            <w:shd w:val="clear" w:color="auto" w:fill="auto"/>
            <w:vAlign w:val="center"/>
          </w:tcPr>
          <w:p>
            <w:pPr>
              <w:adjustRightInd w:val="0"/>
              <w:snapToGrid w:val="0"/>
              <w:jc w:val="center"/>
              <w:rPr>
                <w:kern w:val="0"/>
                <w:sz w:val="22"/>
                <w:szCs w:val="21"/>
                <w:lang w:eastAsia="en-US"/>
              </w:rPr>
            </w:pPr>
            <w:r>
              <w:rPr>
                <w:kern w:val="0"/>
                <w:sz w:val="22"/>
                <w:szCs w:val="21"/>
                <w:lang w:eastAsia="en-US"/>
              </w:rPr>
              <w:t>最低环境温度</w:t>
            </w:r>
          </w:p>
        </w:tc>
        <w:tc>
          <w:tcPr>
            <w:tcW w:w="1500" w:type="pct"/>
            <w:shd w:val="clear" w:color="auto" w:fill="auto"/>
            <w:vAlign w:val="center"/>
          </w:tcPr>
          <w:p>
            <w:pPr>
              <w:adjustRightInd w:val="0"/>
              <w:snapToGrid w:val="0"/>
              <w:jc w:val="center"/>
              <w:rPr>
                <w:kern w:val="0"/>
                <w:sz w:val="22"/>
                <w:szCs w:val="21"/>
                <w:lang w:eastAsia="en-US"/>
              </w:rPr>
            </w:pPr>
            <w:r>
              <w:rPr>
                <w:kern w:val="0"/>
                <w:sz w:val="22"/>
                <w:szCs w:val="21"/>
                <w:lang w:eastAsia="en-US"/>
              </w:rPr>
              <w:t>-29.7°C</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500" w:type="pct"/>
            <w:gridSpan w:val="2"/>
            <w:shd w:val="clear" w:color="auto" w:fill="auto"/>
            <w:vAlign w:val="center"/>
          </w:tcPr>
          <w:p>
            <w:pPr>
              <w:adjustRightInd w:val="0"/>
              <w:snapToGrid w:val="0"/>
              <w:jc w:val="center"/>
              <w:rPr>
                <w:kern w:val="0"/>
                <w:sz w:val="22"/>
                <w:szCs w:val="21"/>
                <w:lang w:eastAsia="en-US"/>
              </w:rPr>
            </w:pPr>
            <w:r>
              <w:rPr>
                <w:kern w:val="0"/>
                <w:sz w:val="22"/>
                <w:szCs w:val="21"/>
                <w:lang w:eastAsia="en-US"/>
              </w:rPr>
              <w:t>土地利用类型</w:t>
            </w:r>
          </w:p>
        </w:tc>
        <w:tc>
          <w:tcPr>
            <w:tcW w:w="1500" w:type="pct"/>
            <w:shd w:val="clear" w:color="auto" w:fill="auto"/>
            <w:vAlign w:val="center"/>
          </w:tcPr>
          <w:p>
            <w:pPr>
              <w:adjustRightInd w:val="0"/>
              <w:snapToGrid w:val="0"/>
              <w:jc w:val="center"/>
              <w:rPr>
                <w:kern w:val="0"/>
                <w:sz w:val="22"/>
                <w:szCs w:val="21"/>
              </w:rPr>
            </w:pPr>
            <w:r>
              <w:rPr>
                <w:rFonts w:hint="eastAsia"/>
                <w:kern w:val="0"/>
                <w:sz w:val="22"/>
                <w:szCs w:val="21"/>
              </w:rPr>
              <w:t>林地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500" w:type="pct"/>
            <w:gridSpan w:val="2"/>
            <w:shd w:val="clear" w:color="auto" w:fill="auto"/>
            <w:vAlign w:val="center"/>
          </w:tcPr>
          <w:p>
            <w:pPr>
              <w:adjustRightInd w:val="0"/>
              <w:snapToGrid w:val="0"/>
              <w:jc w:val="center"/>
              <w:rPr>
                <w:kern w:val="0"/>
                <w:sz w:val="22"/>
                <w:szCs w:val="21"/>
                <w:lang w:eastAsia="en-US"/>
              </w:rPr>
            </w:pPr>
            <w:r>
              <w:rPr>
                <w:kern w:val="0"/>
                <w:sz w:val="22"/>
                <w:szCs w:val="21"/>
                <w:lang w:eastAsia="en-US"/>
              </w:rPr>
              <w:t>区域湿度条件</w:t>
            </w:r>
          </w:p>
        </w:tc>
        <w:tc>
          <w:tcPr>
            <w:tcW w:w="1500" w:type="pct"/>
            <w:shd w:val="clear" w:color="auto" w:fill="auto"/>
            <w:vAlign w:val="center"/>
          </w:tcPr>
          <w:p>
            <w:pPr>
              <w:adjustRightInd w:val="0"/>
              <w:snapToGrid w:val="0"/>
              <w:jc w:val="center"/>
              <w:rPr>
                <w:kern w:val="0"/>
                <w:sz w:val="22"/>
                <w:szCs w:val="21"/>
              </w:rPr>
            </w:pPr>
            <w:r>
              <w:rPr>
                <w:kern w:val="0"/>
                <w:sz w:val="22"/>
                <w:szCs w:val="21"/>
              </w:rPr>
              <w:t>中等湿度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restart"/>
            <w:shd w:val="clear" w:color="auto" w:fill="auto"/>
            <w:vAlign w:val="center"/>
          </w:tcPr>
          <w:p>
            <w:pPr>
              <w:adjustRightInd w:val="0"/>
              <w:snapToGrid w:val="0"/>
              <w:jc w:val="center"/>
              <w:rPr>
                <w:kern w:val="0"/>
                <w:sz w:val="22"/>
                <w:szCs w:val="21"/>
                <w:lang w:eastAsia="en-US"/>
              </w:rPr>
            </w:pPr>
            <w:r>
              <w:rPr>
                <w:kern w:val="0"/>
                <w:sz w:val="22"/>
                <w:szCs w:val="21"/>
                <w:lang w:eastAsia="en-US"/>
              </w:rPr>
              <w:t>是否考虑地形</w:t>
            </w: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考虑地形</w:t>
            </w:r>
          </w:p>
        </w:tc>
        <w:tc>
          <w:tcPr>
            <w:tcW w:w="1500" w:type="pct"/>
            <w:shd w:val="clear" w:color="auto" w:fill="auto"/>
            <w:vAlign w:val="center"/>
          </w:tcPr>
          <w:p>
            <w:pPr>
              <w:adjustRightInd w:val="0"/>
              <w:snapToGrid w:val="0"/>
              <w:jc w:val="center"/>
              <w:rPr>
                <w:kern w:val="0"/>
                <w:sz w:val="22"/>
                <w:szCs w:val="21"/>
              </w:rPr>
            </w:pPr>
            <w:r>
              <w:rPr>
                <w:kern w:val="0"/>
                <w:sz w:val="22"/>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continue"/>
            <w:shd w:val="clear" w:color="auto" w:fill="auto"/>
            <w:vAlign w:val="center"/>
          </w:tcPr>
          <w:p>
            <w:pPr>
              <w:adjustRightInd w:val="0"/>
              <w:snapToGrid w:val="0"/>
              <w:jc w:val="left"/>
              <w:rPr>
                <w:kern w:val="0"/>
                <w:sz w:val="22"/>
                <w:szCs w:val="22"/>
                <w:lang w:eastAsia="en-US"/>
              </w:rPr>
            </w:pP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地形数据分辨率(m)</w:t>
            </w:r>
          </w:p>
        </w:tc>
        <w:tc>
          <w:tcPr>
            <w:tcW w:w="1500" w:type="pct"/>
            <w:shd w:val="clear" w:color="auto" w:fill="auto"/>
            <w:vAlign w:val="center"/>
          </w:tcPr>
          <w:p>
            <w:pPr>
              <w:adjustRightInd w:val="0"/>
              <w:snapToGrid w:val="0"/>
              <w:jc w:val="center"/>
              <w:rPr>
                <w:kern w:val="0"/>
                <w:sz w:val="22"/>
                <w:szCs w:val="21"/>
              </w:rPr>
            </w:pPr>
            <w:r>
              <w:rPr>
                <w:kern w:val="0"/>
                <w:sz w:val="22"/>
                <w:szCs w:val="22"/>
              </w:rPr>
              <w:t>90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restart"/>
            <w:shd w:val="clear" w:color="auto" w:fill="auto"/>
            <w:vAlign w:val="center"/>
          </w:tcPr>
          <w:p>
            <w:pPr>
              <w:adjustRightInd w:val="0"/>
              <w:snapToGrid w:val="0"/>
              <w:jc w:val="center"/>
              <w:rPr>
                <w:kern w:val="0"/>
                <w:sz w:val="22"/>
                <w:szCs w:val="21"/>
                <w:lang w:eastAsia="en-US"/>
              </w:rPr>
            </w:pPr>
            <w:r>
              <w:rPr>
                <w:kern w:val="0"/>
                <w:sz w:val="22"/>
                <w:szCs w:val="21"/>
                <w:lang w:eastAsia="en-US"/>
              </w:rPr>
              <w:t>是否考虑岸线熏烟</w:t>
            </w: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考虑岸线熏烟</w:t>
            </w:r>
          </w:p>
        </w:tc>
        <w:tc>
          <w:tcPr>
            <w:tcW w:w="1500" w:type="pct"/>
            <w:shd w:val="clear" w:color="auto" w:fill="auto"/>
            <w:vAlign w:val="center"/>
          </w:tcPr>
          <w:p>
            <w:pPr>
              <w:adjustRightInd w:val="0"/>
              <w:snapToGrid w:val="0"/>
              <w:jc w:val="center"/>
              <w:rPr>
                <w:kern w:val="0"/>
                <w:sz w:val="22"/>
                <w:szCs w:val="21"/>
                <w:lang w:eastAsia="en-US"/>
              </w:rPr>
            </w:pPr>
            <w:r>
              <w:rPr>
                <w:kern w:val="0"/>
                <w:sz w:val="22"/>
                <w:szCs w:val="21"/>
                <w:lang w:eastAsia="en-US"/>
              </w:rPr>
              <w:t>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continue"/>
            <w:shd w:val="clear" w:color="auto" w:fill="auto"/>
            <w:vAlign w:val="center"/>
          </w:tcPr>
          <w:p>
            <w:pPr>
              <w:adjustRightInd w:val="0"/>
              <w:snapToGrid w:val="0"/>
              <w:jc w:val="center"/>
              <w:rPr>
                <w:kern w:val="0"/>
                <w:sz w:val="22"/>
                <w:szCs w:val="22"/>
                <w:lang w:eastAsia="en-US"/>
              </w:rPr>
            </w:pP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岸线距离/km</w:t>
            </w:r>
          </w:p>
        </w:tc>
        <w:tc>
          <w:tcPr>
            <w:tcW w:w="1500" w:type="pct"/>
            <w:shd w:val="clear" w:color="auto" w:fill="auto"/>
            <w:vAlign w:val="center"/>
          </w:tcPr>
          <w:p>
            <w:pPr>
              <w:adjustRightInd w:val="0"/>
              <w:snapToGrid w:val="0"/>
              <w:jc w:val="center"/>
              <w:rPr>
                <w:kern w:val="0"/>
                <w:sz w:val="22"/>
                <w:szCs w:val="21"/>
                <w:lang w:eastAsia="en-US"/>
              </w:rPr>
            </w:pPr>
            <w:r>
              <w:rPr>
                <w:kern w:val="0"/>
                <w:sz w:val="22"/>
                <w:szCs w:val="22"/>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729" w:type="pct"/>
            <w:vMerge w:val="continue"/>
            <w:shd w:val="clear" w:color="auto" w:fill="auto"/>
            <w:vAlign w:val="center"/>
          </w:tcPr>
          <w:p>
            <w:pPr>
              <w:adjustRightInd w:val="0"/>
              <w:snapToGrid w:val="0"/>
              <w:jc w:val="center"/>
              <w:rPr>
                <w:kern w:val="0"/>
                <w:sz w:val="22"/>
                <w:szCs w:val="22"/>
                <w:lang w:eastAsia="en-US"/>
              </w:rPr>
            </w:pPr>
          </w:p>
        </w:tc>
        <w:tc>
          <w:tcPr>
            <w:tcW w:w="1770" w:type="pct"/>
            <w:shd w:val="clear" w:color="auto" w:fill="auto"/>
            <w:vAlign w:val="center"/>
          </w:tcPr>
          <w:p>
            <w:pPr>
              <w:adjustRightInd w:val="0"/>
              <w:snapToGrid w:val="0"/>
              <w:jc w:val="center"/>
              <w:rPr>
                <w:kern w:val="0"/>
                <w:sz w:val="22"/>
                <w:szCs w:val="21"/>
                <w:lang w:eastAsia="en-US"/>
              </w:rPr>
            </w:pPr>
            <w:r>
              <w:rPr>
                <w:kern w:val="0"/>
                <w:sz w:val="22"/>
                <w:szCs w:val="21"/>
                <w:lang w:eastAsia="en-US"/>
              </w:rPr>
              <w:t>岸线方向/°</w:t>
            </w:r>
          </w:p>
        </w:tc>
        <w:tc>
          <w:tcPr>
            <w:tcW w:w="1500" w:type="pct"/>
            <w:shd w:val="clear" w:color="auto" w:fill="auto"/>
            <w:vAlign w:val="center"/>
          </w:tcPr>
          <w:p>
            <w:pPr>
              <w:adjustRightInd w:val="0"/>
              <w:snapToGrid w:val="0"/>
              <w:jc w:val="center"/>
              <w:rPr>
                <w:kern w:val="0"/>
                <w:sz w:val="22"/>
                <w:szCs w:val="21"/>
                <w:lang w:eastAsia="en-US"/>
              </w:rPr>
            </w:pPr>
            <w:r>
              <w:rPr>
                <w:kern w:val="0"/>
                <w:sz w:val="22"/>
                <w:szCs w:val="22"/>
                <w:lang w:eastAsia="en-US"/>
              </w:rPr>
              <w:t>/</w:t>
            </w:r>
          </w:p>
        </w:tc>
      </w:tr>
    </w:tbl>
    <w:p>
      <w:pPr>
        <w:topLinePunct/>
        <w:adjustRightInd w:val="0"/>
        <w:snapToGrid w:val="0"/>
        <w:jc w:val="center"/>
        <w:rPr>
          <w:b/>
          <w:bCs/>
          <w:sz w:val="5"/>
          <w:szCs w:val="5"/>
        </w:rPr>
      </w:pPr>
    </w:p>
    <w:p>
      <w:pPr>
        <w:adjustRightInd w:val="0"/>
        <w:snapToGrid w:val="0"/>
        <w:spacing w:line="360" w:lineRule="auto"/>
        <w:ind w:firstLine="480" w:firstLineChars="200"/>
        <w:rPr>
          <w:sz w:val="24"/>
          <w:szCs w:val="24"/>
        </w:rPr>
      </w:pPr>
      <w:r>
        <w:rPr>
          <w:sz w:val="24"/>
          <w:szCs w:val="24"/>
        </w:rPr>
        <w:t>本项目所有污染源的正常排放的污染物的Pmax和D</w:t>
      </w:r>
      <w:r>
        <w:rPr>
          <w:sz w:val="24"/>
          <w:szCs w:val="24"/>
          <w:vertAlign w:val="subscript"/>
        </w:rPr>
        <w:t>10%</w:t>
      </w:r>
      <w:r>
        <w:rPr>
          <w:sz w:val="24"/>
          <w:szCs w:val="24"/>
        </w:rPr>
        <w:t>预测结果详见表2.6-4</w:t>
      </w:r>
      <w:r>
        <w:rPr>
          <w:rFonts w:hint="eastAsia"/>
          <w:sz w:val="24"/>
          <w:szCs w:val="24"/>
        </w:rPr>
        <w:t>和图2</w:t>
      </w:r>
      <w:r>
        <w:rPr>
          <w:sz w:val="24"/>
          <w:szCs w:val="24"/>
        </w:rPr>
        <w:t>.6-2。由预测结果分析得出，本项目</w:t>
      </w:r>
      <w:r>
        <w:rPr>
          <w:rFonts w:hint="eastAsia"/>
          <w:sz w:val="24"/>
          <w:szCs w:val="24"/>
        </w:rPr>
        <w:t>TSP的最大占标率</w:t>
      </w:r>
      <w:r>
        <w:rPr>
          <w:sz w:val="24"/>
          <w:szCs w:val="24"/>
        </w:rPr>
        <w:t>Pmax值为2.05%</w:t>
      </w:r>
      <w:r>
        <w:rPr>
          <w:rFonts w:hint="eastAsia"/>
          <w:sz w:val="24"/>
          <w:szCs w:val="24"/>
        </w:rPr>
        <w:t>＜</w:t>
      </w:r>
      <w:r>
        <w:rPr>
          <w:sz w:val="24"/>
          <w:szCs w:val="24"/>
        </w:rPr>
        <w:t>10%</w:t>
      </w:r>
      <w:r>
        <w:rPr>
          <w:rFonts w:hint="eastAsia"/>
          <w:sz w:val="24"/>
          <w:szCs w:val="24"/>
        </w:rPr>
        <w:t>，</w:t>
      </w:r>
      <w:r>
        <w:rPr>
          <w:sz w:val="24"/>
          <w:szCs w:val="24"/>
        </w:rPr>
        <w:t>D</w:t>
      </w:r>
      <w:r>
        <w:rPr>
          <w:sz w:val="24"/>
          <w:szCs w:val="24"/>
          <w:vertAlign w:val="subscript"/>
        </w:rPr>
        <w:t>10%</w:t>
      </w:r>
      <w:r>
        <w:rPr>
          <w:sz w:val="24"/>
          <w:szCs w:val="24"/>
        </w:rPr>
        <w:t>距离最</w:t>
      </w:r>
      <w:r>
        <w:rPr>
          <w:rFonts w:hint="eastAsia"/>
          <w:sz w:val="24"/>
          <w:szCs w:val="24"/>
        </w:rPr>
        <w:t>远</w:t>
      </w:r>
      <w:r>
        <w:rPr>
          <w:sz w:val="24"/>
          <w:szCs w:val="24"/>
        </w:rPr>
        <w:t>为10。根据《环境评价技术导则大气环境》（HJ2.2-2018），本项目大气环境</w:t>
      </w:r>
      <w:r>
        <w:rPr>
          <w:rFonts w:asciiTheme="minorEastAsia" w:hAnsiTheme="minorEastAsia" w:eastAsiaTheme="minorEastAsia"/>
          <w:sz w:val="24"/>
          <w:szCs w:val="24"/>
        </w:rPr>
        <w:t>评价等</w:t>
      </w:r>
      <w:r>
        <w:rPr>
          <w:sz w:val="24"/>
          <w:szCs w:val="24"/>
        </w:rPr>
        <w:t>级应为</w:t>
      </w:r>
      <w:r>
        <w:rPr>
          <w:rFonts w:hint="eastAsia"/>
          <w:sz w:val="24"/>
          <w:szCs w:val="24"/>
        </w:rPr>
        <w:t>二</w:t>
      </w:r>
      <w:r>
        <w:rPr>
          <w:sz w:val="24"/>
          <w:szCs w:val="24"/>
        </w:rPr>
        <w:t>级，评价范围为项目厂界外延2.5km，边长5km的矩形区域。</w:t>
      </w:r>
    </w:p>
    <w:p>
      <w:pPr>
        <w:adjustRightInd w:val="0"/>
        <w:snapToGrid w:val="0"/>
        <w:jc w:val="center"/>
        <w:rPr>
          <w:b/>
          <w:sz w:val="24"/>
        </w:rPr>
      </w:pPr>
      <w:r>
        <w:rPr>
          <w:b/>
          <w:sz w:val="24"/>
        </w:rPr>
        <w:t>表2.6-4  本项目排放废气浓度占标率计算结果</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13"/>
        <w:gridCol w:w="2725"/>
        <w:gridCol w:w="22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vMerge w:val="restar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离源距离(m)</w:t>
            </w:r>
          </w:p>
        </w:tc>
        <w:tc>
          <w:tcPr>
            <w:tcW w:w="2939" w:type="pct"/>
            <w:gridSpan w:val="2"/>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飞灰填埋场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vMerge w:val="continue"/>
            <w:vAlign w:val="center"/>
          </w:tcPr>
          <w:p>
            <w:pPr>
              <w:widowControl/>
              <w:adjustRightInd w:val="0"/>
              <w:snapToGrid w:val="0"/>
              <w:jc w:val="left"/>
              <w:rPr>
                <w:rFonts w:ascii="宋体" w:hAnsi="宋体" w:cs="宋体"/>
                <w:kern w:val="0"/>
                <w:sz w:val="22"/>
                <w:szCs w:val="22"/>
              </w:rPr>
            </w:pP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浓度（ug/m</w:t>
            </w:r>
            <w:r>
              <w:rPr>
                <w:rFonts w:hint="eastAsia" w:ascii="宋体" w:hAnsi="宋体" w:cs="宋体"/>
                <w:kern w:val="0"/>
                <w:sz w:val="22"/>
                <w:szCs w:val="22"/>
                <w:vertAlign w:val="superscript"/>
              </w:rPr>
              <w:t>3</w:t>
            </w:r>
            <w:r>
              <w:rPr>
                <w:rFonts w:hint="eastAsia" w:ascii="宋体" w:hAnsi="宋体" w:cs="宋体"/>
                <w:kern w:val="0"/>
                <w:sz w:val="22"/>
                <w:szCs w:val="22"/>
              </w:rPr>
              <w:t>）</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25</w:t>
            </w:r>
          </w:p>
        </w:tc>
        <w:tc>
          <w:tcPr>
            <w:tcW w:w="159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11.73 </w:t>
            </w:r>
          </w:p>
        </w:tc>
        <w:tc>
          <w:tcPr>
            <w:tcW w:w="1340" w:type="pct"/>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1.31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50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6.61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0.73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75</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3.04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0.34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2.31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125</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1.84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150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1.51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1.09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250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0.83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300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0.67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350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0.55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400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0.47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500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0.35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600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0.28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700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0.23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800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0.19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0.14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1500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0.08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0.06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3000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0.03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4000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0.02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5000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0.02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10000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15000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20000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25000</w:t>
            </w:r>
          </w:p>
        </w:tc>
        <w:tc>
          <w:tcPr>
            <w:tcW w:w="1599" w:type="pct"/>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c>
          <w:tcPr>
            <w:tcW w:w="1340" w:type="pct"/>
            <w:tcBorders>
              <w:top w:val="nil"/>
              <w:left w:val="nil"/>
              <w:bottom w:val="single" w:color="auto" w:sz="4" w:space="0"/>
              <w:right w:val="single" w:color="auto" w:sz="4" w:space="0"/>
            </w:tcBorders>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下风向最大浓度占标率（%）</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 xml:space="preserve">18.40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 xml:space="preserve">2.05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下风向最大浓度出现距离（m）</w:t>
            </w:r>
          </w:p>
        </w:tc>
        <w:tc>
          <w:tcPr>
            <w:tcW w:w="2939" w:type="pct"/>
            <w:gridSpan w:val="2"/>
            <w:shd w:val="clear" w:color="auto" w:fill="auto"/>
            <w:noWrap/>
            <w:vAlign w:val="center"/>
          </w:tcPr>
          <w:p>
            <w:pPr>
              <w:widowControl/>
              <w:adjustRightInd w:val="0"/>
              <w:snapToGrid w:val="0"/>
              <w:jc w:val="center"/>
              <w:rPr>
                <w:rFonts w:ascii="宋体" w:hAnsi="宋体" w:cs="宋体"/>
                <w:kern w:val="0"/>
                <w:sz w:val="22"/>
                <w:szCs w:val="22"/>
              </w:rPr>
            </w:pPr>
            <w:r>
              <w:rPr>
                <w:rFonts w:ascii="宋体" w:hAnsi="宋体" w:cs="宋体"/>
                <w:kern w:val="0"/>
                <w:sz w:val="22"/>
                <w:szCs w:val="22"/>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D10%最远距离（m）</w:t>
            </w:r>
          </w:p>
        </w:tc>
        <w:tc>
          <w:tcPr>
            <w:tcW w:w="2939" w:type="pct"/>
            <w:gridSpan w:val="2"/>
            <w:shd w:val="clear" w:color="auto" w:fill="auto"/>
            <w:noWrap/>
            <w:vAlign w:val="center"/>
          </w:tcPr>
          <w:p>
            <w:pPr>
              <w:widowControl/>
              <w:adjustRightInd w:val="0"/>
              <w:snapToGrid w:val="0"/>
              <w:jc w:val="center"/>
              <w:rPr>
                <w:kern w:val="0"/>
                <w:szCs w:val="21"/>
              </w:rPr>
            </w:pPr>
            <w:r>
              <w:rPr>
                <w:kern w:val="0"/>
                <w:szCs w:val="21"/>
              </w:rPr>
              <w:t>/</w:t>
            </w:r>
          </w:p>
        </w:tc>
      </w:tr>
    </w:tbl>
    <w:p>
      <w:pPr>
        <w:adjustRightInd w:val="0"/>
        <w:snapToGrid w:val="0"/>
        <w:jc w:val="center"/>
        <w:rPr>
          <w:b/>
          <w:sz w:val="24"/>
        </w:rPr>
      </w:pPr>
    </w:p>
    <w:p>
      <w:pPr>
        <w:adjustRightInd w:val="0"/>
        <w:snapToGrid w:val="0"/>
        <w:jc w:val="center"/>
        <w:rPr>
          <w:b/>
          <w:sz w:val="24"/>
          <w:szCs w:val="24"/>
        </w:rPr>
      </w:pPr>
    </w:p>
    <w:p>
      <w:pPr>
        <w:adjustRightInd w:val="0"/>
        <w:snapToGrid w:val="0"/>
        <w:jc w:val="center"/>
        <w:rPr>
          <w:b/>
          <w:sz w:val="24"/>
          <w:szCs w:val="24"/>
        </w:rPr>
      </w:pPr>
    </w:p>
    <w:p>
      <w:pPr>
        <w:adjustRightInd w:val="0"/>
        <w:snapToGrid w:val="0"/>
        <w:jc w:val="center"/>
        <w:rPr>
          <w:b/>
          <w:sz w:val="24"/>
          <w:szCs w:val="24"/>
        </w:rPr>
      </w:pPr>
      <w:r>
        <w:drawing>
          <wp:inline distT="0" distB="0" distL="0" distR="0">
            <wp:extent cx="5274310" cy="2425700"/>
            <wp:effectExtent l="0" t="0" r="2540" b="1270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pPr>
        <w:adjustRightInd w:val="0"/>
        <w:snapToGrid w:val="0"/>
        <w:jc w:val="center"/>
        <w:rPr>
          <w:b/>
          <w:sz w:val="24"/>
          <w:szCs w:val="24"/>
        </w:rPr>
      </w:pPr>
      <w:r>
        <w:rPr>
          <w:rFonts w:hint="eastAsia"/>
          <w:b/>
          <w:sz w:val="24"/>
          <w:szCs w:val="24"/>
        </w:rPr>
        <w:t>图2</w:t>
      </w:r>
      <w:r>
        <w:rPr>
          <w:b/>
          <w:sz w:val="24"/>
          <w:szCs w:val="24"/>
        </w:rPr>
        <w:t>.6-2   占标率最大污染物</w:t>
      </w:r>
      <w:r>
        <w:rPr>
          <w:rFonts w:hint="eastAsia"/>
          <w:b/>
          <w:sz w:val="24"/>
          <w:szCs w:val="24"/>
        </w:rPr>
        <w:t>TSP</w:t>
      </w:r>
      <w:r>
        <w:rPr>
          <w:b/>
          <w:sz w:val="24"/>
          <w:szCs w:val="24"/>
        </w:rPr>
        <w:t>浓度变化曲线图</w:t>
      </w:r>
    </w:p>
    <w:p>
      <w:pPr>
        <w:pStyle w:val="5"/>
        <w:rPr>
          <w:color w:val="auto"/>
        </w:rPr>
      </w:pPr>
    </w:p>
    <w:p>
      <w:pPr>
        <w:adjustRightInd w:val="0"/>
        <w:snapToGrid w:val="0"/>
        <w:jc w:val="center"/>
        <w:rPr>
          <w:b/>
          <w:sz w:val="24"/>
        </w:rPr>
      </w:pPr>
      <w:r>
        <mc:AlternateContent>
          <mc:Choice Requires="wps">
            <w:drawing>
              <wp:anchor distT="0" distB="0" distL="114300" distR="114300" simplePos="0" relativeHeight="251772928" behindDoc="0" locked="0" layoutInCell="1" allowOverlap="1">
                <wp:simplePos x="0" y="0"/>
                <wp:positionH relativeFrom="column">
                  <wp:posOffset>2661285</wp:posOffset>
                </wp:positionH>
                <wp:positionV relativeFrom="paragraph">
                  <wp:posOffset>2356485</wp:posOffset>
                </wp:positionV>
                <wp:extent cx="260350" cy="219075"/>
                <wp:effectExtent l="0" t="0" r="25400" b="28575"/>
                <wp:wrapNone/>
                <wp:docPr id="131" name="任意多边形: 形状 131"/>
                <wp:cNvGraphicFramePr/>
                <a:graphic xmlns:a="http://schemas.openxmlformats.org/drawingml/2006/main">
                  <a:graphicData uri="http://schemas.microsoft.com/office/word/2010/wordprocessingShape">
                    <wps:wsp>
                      <wps:cNvSpPr/>
                      <wps:spPr>
                        <a:xfrm>
                          <a:off x="0" y="0"/>
                          <a:ext cx="260666" cy="219291"/>
                        </a:xfrm>
                        <a:custGeom>
                          <a:avLst/>
                          <a:gdLst>
                            <a:gd name="connsiteX0" fmla="*/ 0 w 260666"/>
                            <a:gd name="connsiteY0" fmla="*/ 53788 h 219291"/>
                            <a:gd name="connsiteX1" fmla="*/ 248254 w 260666"/>
                            <a:gd name="connsiteY1" fmla="*/ 219291 h 219291"/>
                            <a:gd name="connsiteX2" fmla="*/ 260666 w 260666"/>
                            <a:gd name="connsiteY2" fmla="*/ 134471 h 219291"/>
                            <a:gd name="connsiteX3" fmla="*/ 254460 w 260666"/>
                            <a:gd name="connsiteY3" fmla="*/ 66201 h 219291"/>
                            <a:gd name="connsiteX4" fmla="*/ 242047 w 260666"/>
                            <a:gd name="connsiteY4" fmla="*/ 20688 h 219291"/>
                            <a:gd name="connsiteX5" fmla="*/ 117921 w 260666"/>
                            <a:gd name="connsiteY5" fmla="*/ 0 h 219291"/>
                            <a:gd name="connsiteX6" fmla="*/ 130333 w 260666"/>
                            <a:gd name="connsiteY6" fmla="*/ 62063 h 219291"/>
                            <a:gd name="connsiteX7" fmla="*/ 136577 w 260666"/>
                            <a:gd name="connsiteY7" fmla="*/ 66698 h 219291"/>
                            <a:gd name="connsiteX8" fmla="*/ 86891 w 260666"/>
                            <a:gd name="connsiteY8" fmla="*/ 66698 h 219291"/>
                            <a:gd name="connsiteX9" fmla="*/ 0 w 260666"/>
                            <a:gd name="connsiteY9" fmla="*/ 53788 h 2192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0666" h="219291">
                              <a:moveTo>
                                <a:pt x="0" y="53788"/>
                              </a:moveTo>
                              <a:lnTo>
                                <a:pt x="248254" y="219291"/>
                              </a:lnTo>
                              <a:lnTo>
                                <a:pt x="260666" y="134471"/>
                              </a:lnTo>
                              <a:lnTo>
                                <a:pt x="254460" y="66201"/>
                              </a:lnTo>
                              <a:lnTo>
                                <a:pt x="242047" y="20688"/>
                              </a:lnTo>
                              <a:lnTo>
                                <a:pt x="117921" y="0"/>
                              </a:lnTo>
                              <a:lnTo>
                                <a:pt x="130333" y="62063"/>
                              </a:lnTo>
                              <a:lnTo>
                                <a:pt x="136577" y="66698"/>
                              </a:lnTo>
                              <a:lnTo>
                                <a:pt x="86891" y="66698"/>
                              </a:lnTo>
                              <a:lnTo>
                                <a:pt x="0" y="53788"/>
                              </a:lnTo>
                              <a:close/>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31" o:spid="_x0000_s1026" o:spt="100" style="position:absolute;left:0pt;margin-left:209.55pt;margin-top:185.55pt;height:17.25pt;width:20.5pt;z-index:251772928;v-text-anchor:middle;mso-width-relative:page;mso-height-relative:page;" fillcolor="#FF0000" filled="t" stroked="t" coordsize="260666,219291" o:gfxdata="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" path="m0,53788l248254,219291,260666,134471,254460,66201,242047,20688,117921,0,130333,62063,136577,66698,86891,66698,0,53788xe">
                <v:path o:connectlocs="0,53788;248254,219291;260666,134471;254460,66201;242047,20688;117921,0;130333,62063;136577,66698;86891,66698;0,53788" o:connectangles="0,0,0,0,0,0,0,0,0,0"/>
                <v:fill on="t"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51424" behindDoc="0" locked="0" layoutInCell="1" allowOverlap="1">
                <wp:simplePos x="0" y="0"/>
                <wp:positionH relativeFrom="column">
                  <wp:posOffset>2553335</wp:posOffset>
                </wp:positionH>
                <wp:positionV relativeFrom="paragraph">
                  <wp:posOffset>2422525</wp:posOffset>
                </wp:positionV>
                <wp:extent cx="335915" cy="214630"/>
                <wp:effectExtent l="19050" t="19050" r="26035" b="13970"/>
                <wp:wrapNone/>
                <wp:docPr id="1423" name="任意多边形: 形状 1423"/>
                <wp:cNvGraphicFramePr/>
                <a:graphic xmlns:a="http://schemas.openxmlformats.org/drawingml/2006/main">
                  <a:graphicData uri="http://schemas.microsoft.com/office/word/2010/wordprocessingShape">
                    <wps:wsp>
                      <wps:cNvSpPr/>
                      <wps:spPr>
                        <a:xfrm>
                          <a:off x="0" y="0"/>
                          <a:ext cx="336061" cy="214923"/>
                        </a:xfrm>
                        <a:custGeom>
                          <a:avLst/>
                          <a:gdLst>
                            <a:gd name="connsiteX0" fmla="*/ 97692 w 336061"/>
                            <a:gd name="connsiteY0" fmla="*/ 0 h 214923"/>
                            <a:gd name="connsiteX1" fmla="*/ 35169 w 336061"/>
                            <a:gd name="connsiteY1" fmla="*/ 19539 h 214923"/>
                            <a:gd name="connsiteX2" fmla="*/ 19538 w 336061"/>
                            <a:gd name="connsiteY2" fmla="*/ 19539 h 214923"/>
                            <a:gd name="connsiteX3" fmla="*/ 0 w 336061"/>
                            <a:gd name="connsiteY3" fmla="*/ 35169 h 214923"/>
                            <a:gd name="connsiteX4" fmla="*/ 0 w 336061"/>
                            <a:gd name="connsiteY4" fmla="*/ 109416 h 214923"/>
                            <a:gd name="connsiteX5" fmla="*/ 226646 w 336061"/>
                            <a:gd name="connsiteY5" fmla="*/ 214923 h 214923"/>
                            <a:gd name="connsiteX6" fmla="*/ 336061 w 336061"/>
                            <a:gd name="connsiteY6" fmla="*/ 164123 h 214923"/>
                            <a:gd name="connsiteX7" fmla="*/ 97692 w 336061"/>
                            <a:gd name="connsiteY7" fmla="*/ 0 h 214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36061" h="214923">
                              <a:moveTo>
                                <a:pt x="97692" y="0"/>
                              </a:moveTo>
                              <a:lnTo>
                                <a:pt x="35169" y="19539"/>
                              </a:lnTo>
                              <a:lnTo>
                                <a:pt x="19538" y="19539"/>
                              </a:lnTo>
                              <a:lnTo>
                                <a:pt x="0" y="35169"/>
                              </a:lnTo>
                              <a:lnTo>
                                <a:pt x="0" y="109416"/>
                              </a:lnTo>
                              <a:lnTo>
                                <a:pt x="226646" y="214923"/>
                              </a:lnTo>
                              <a:lnTo>
                                <a:pt x="336061" y="164123"/>
                              </a:lnTo>
                              <a:lnTo>
                                <a:pt x="97692" y="0"/>
                              </a:lnTo>
                              <a:close/>
                            </a:path>
                          </a:pathLst>
                        </a:custGeom>
                        <a:noFill/>
                        <a:ln w="38100">
                          <a:solidFill>
                            <a:srgbClr val="898F3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23" o:spid="_x0000_s1026" o:spt="100" style="position:absolute;left:0pt;margin-left:201.05pt;margin-top:190.75pt;height:16.9pt;width:26.45pt;z-index:251751424;v-text-anchor:middle;mso-width-relative:page;mso-height-relative:page;" filled="f" stroked="t" coordsize="336061,214923" o:gfxdata="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KTQp0DaAAAACwEAAA8AAAAAAAAAAQAgAAAAIgAAAGRycy9kb3ducmV2&#10;LnhtbFBLAQIUABQAAAAIAIdO4kDlSbmy+wMAAK8LAAAOAAAAAAAAAAEAIAAAACkBAABkcnMvZTJv&#10;RG9jLnhtbFBLBQYAAAAABgAGAFkBAACWBwAAAAA=&#10;" path="m97692,0l35169,19539,19538,19539,0,35169,0,109416,226646,214923,336061,164123,97692,0xe">
                <v:path o:connectlocs="97692,0;35169,19539;19538,19539;0,35169;0,109416;226646,214923;336061,164123;97692,0" o:connectangles="0,0,0,0,0,0,0,0"/>
                <v:fill on="f" focussize="0,0"/>
                <v:stroke weight="3pt" color="#898F37 [3204]" joinstyle="round"/>
                <v:imagedata o:title=""/>
                <o:lock v:ext="edit" aspectratio="f"/>
              </v:shape>
            </w:pict>
          </mc:Fallback>
        </mc:AlternateContent>
      </w:r>
      <w:r>
        <mc:AlternateContent>
          <mc:Choice Requires="wps">
            <w:drawing>
              <wp:anchor distT="0" distB="0" distL="114300" distR="114300" simplePos="0" relativeHeight="251754496" behindDoc="0" locked="0" layoutInCell="1" allowOverlap="1">
                <wp:simplePos x="0" y="0"/>
                <wp:positionH relativeFrom="column">
                  <wp:posOffset>572135</wp:posOffset>
                </wp:positionH>
                <wp:positionV relativeFrom="paragraph">
                  <wp:posOffset>4869180</wp:posOffset>
                </wp:positionV>
                <wp:extent cx="552450" cy="0"/>
                <wp:effectExtent l="0" t="19050" r="38100" b="38100"/>
                <wp:wrapNone/>
                <wp:docPr id="202" name="直接连接符 202"/>
                <wp:cNvGraphicFramePr/>
                <a:graphic xmlns:a="http://schemas.openxmlformats.org/drawingml/2006/main">
                  <a:graphicData uri="http://schemas.microsoft.com/office/word/2010/wordprocessingShape">
                    <wps:wsp>
                      <wps:cNvCnPr/>
                      <wps:spPr>
                        <a:xfrm>
                          <a:off x="0" y="0"/>
                          <a:ext cx="552450" cy="0"/>
                        </a:xfrm>
                        <a:prstGeom prst="line">
                          <a:avLst/>
                        </a:prstGeom>
                        <a:noFill/>
                        <a:ln w="63500" cap="flat" cmpd="sng" algn="ctr">
                          <a:solidFill>
                            <a:sysClr val="windowText" lastClr="000000"/>
                          </a:solidFill>
                          <a:prstDash val="solid"/>
                        </a:ln>
                        <a:effectLst/>
                      </wps:spPr>
                      <wps:bodyPr/>
                    </wps:wsp>
                  </a:graphicData>
                </a:graphic>
              </wp:anchor>
            </w:drawing>
          </mc:Choice>
          <mc:Fallback>
            <w:pict>
              <v:line id="_x0000_s1026" o:spid="_x0000_s1026" o:spt="20" style="position:absolute;left:0pt;margin-left:45.05pt;margin-top:383.4pt;height:0pt;width:43.5pt;z-index:251754496;mso-width-relative:page;mso-height-relative:page;" filled="f" stroked="t" coordsize="21600,21600" o:gfxdata="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kD7qbU&#10;AAAACgEAAA8AAAAAAAAAAQAgAAAAIgAAAGRycy9kb3ducmV2LnhtbFBLAQIUABQAAAAIAIdO4kDw&#10;iC6r6wEAAMADAAAOAAAAAAAAAAEAIAAAACMBAABkcnMvZTJvRG9jLnhtbFBLBQYAAAAABgAGAFkB&#10;AACABQAAAAA=&#10;">
                <v:fill on="f" focussize="0,0"/>
                <v:stroke weight="5pt" color="#000000" joinstyle="round"/>
                <v:imagedata o:title=""/>
                <o:lock v:ext="edit" aspectratio="f"/>
              </v:line>
            </w:pict>
          </mc:Fallback>
        </mc:AlternateContent>
      </w:r>
      <w:r>
        <mc:AlternateContent>
          <mc:Choice Requires="wps">
            <w:drawing>
              <wp:anchor distT="0" distB="0" distL="114300" distR="114300" simplePos="0" relativeHeight="251753472" behindDoc="0" locked="0" layoutInCell="1" allowOverlap="1">
                <wp:simplePos x="0" y="0"/>
                <wp:positionH relativeFrom="column">
                  <wp:posOffset>-5080</wp:posOffset>
                </wp:positionH>
                <wp:positionV relativeFrom="paragraph">
                  <wp:posOffset>4716145</wp:posOffset>
                </wp:positionV>
                <wp:extent cx="1695450" cy="323850"/>
                <wp:effectExtent l="0" t="0" r="19050" b="19050"/>
                <wp:wrapNone/>
                <wp:docPr id="201" name="文本框 201"/>
                <wp:cNvGraphicFramePr/>
                <a:graphic xmlns:a="http://schemas.openxmlformats.org/drawingml/2006/main">
                  <a:graphicData uri="http://schemas.microsoft.com/office/word/2010/wordprocessingShape">
                    <wps:wsp>
                      <wps:cNvSpPr txBox="1"/>
                      <wps:spPr>
                        <a:xfrm>
                          <a:off x="0" y="0"/>
                          <a:ext cx="1695450" cy="323850"/>
                        </a:xfrm>
                        <a:prstGeom prst="rect">
                          <a:avLst/>
                        </a:prstGeom>
                        <a:solidFill>
                          <a:srgbClr val="FFFFFF"/>
                        </a:solidFill>
                        <a:ln w="6350">
                          <a:solidFill>
                            <a:prstClr val="black"/>
                          </a:solidFill>
                        </a:ln>
                      </wps:spPr>
                      <wps:txbx>
                        <w:txbxContent>
                          <w:p>
                            <w:pPr>
                              <w:rPr>
                                <w:b/>
                                <w:bCs/>
                              </w:rPr>
                            </w:pPr>
                            <w:r>
                              <w:rPr>
                                <w:rFonts w:hint="eastAsia"/>
                                <w:b/>
                                <w:bCs/>
                              </w:rPr>
                              <w:t>比例尺           1km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371.35pt;height:25.5pt;width:133.5pt;z-index:251753472;mso-width-relative:page;mso-height-relative:page;" fillcolor="#FFFFFF" filled="t" stroked="t" coordsize="21600,21600" o:gfxdata="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0M8Ya1gAAAAkB&#10;AAAPAAAAAAAAAAEAIAAAACIAAABkcnMvZG93bnJldi54bWxQSwECFAAUAAAACACHTuJAlfQlGlYC&#10;AAC7BAAADgAAAAAAAAABACAAAAAlAQAAZHJzL2Uyb0RvYy54bWxQSwUGAAAAAAYABgBZAQAA7QUA&#10;AAAA&#10;">
                <v:fill on="t" focussize="0,0"/>
                <v:stroke weight="0.5pt" color="#000000" joinstyle="round"/>
                <v:imagedata o:title=""/>
                <o:lock v:ext="edit" aspectratio="f"/>
                <v:textbox>
                  <w:txbxContent>
                    <w:p>
                      <w:pPr>
                        <w:rPr>
                          <w:b/>
                          <w:bCs/>
                        </w:rPr>
                      </w:pPr>
                      <w:r>
                        <w:rPr>
                          <w:rFonts w:hint="eastAsia"/>
                          <w:b/>
                          <w:bCs/>
                        </w:rPr>
                        <w:t>比例尺           1km</w:t>
                      </w:r>
                    </w:p>
                  </w:txbxContent>
                </v:textbox>
              </v:shape>
            </w:pict>
          </mc:Fallback>
        </mc:AlternateContent>
      </w:r>
      <w:r>
        <w:drawing>
          <wp:inline distT="0" distB="0" distL="0" distR="0">
            <wp:extent cx="5274310" cy="5080635"/>
            <wp:effectExtent l="0" t="0" r="2540" b="5715"/>
            <wp:docPr id="285" name="图片 285" descr="D:\3工作项目\003河北项目\围场生活垃圾焚烧项目\3km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D:\3工作项目\003河北项目\围场生活垃圾焚烧项目\3km范围图.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74310" cy="5080635"/>
                    </a:xfrm>
                    <a:prstGeom prst="rect">
                      <a:avLst/>
                    </a:prstGeom>
                    <a:noFill/>
                    <a:ln>
                      <a:noFill/>
                    </a:ln>
                  </pic:spPr>
                </pic:pic>
              </a:graphicData>
            </a:graphic>
          </wp:inline>
        </w:drawing>
      </w:r>
    </w:p>
    <w:p>
      <w:pPr>
        <w:widowControl/>
        <w:jc w:val="center"/>
        <w:rPr>
          <w:b/>
          <w:sz w:val="24"/>
          <w:szCs w:val="24"/>
        </w:rPr>
      </w:pPr>
      <w:r>
        <w:rPr>
          <w:b/>
          <w:sz w:val="24"/>
          <w:szCs w:val="24"/>
        </w:rPr>
        <w:t>图2.6-1   本项目周边3km范围卫星地图</w:t>
      </w:r>
    </w:p>
    <w:p>
      <w:pPr>
        <w:adjustRightInd w:val="0"/>
        <w:snapToGrid w:val="0"/>
        <w:spacing w:line="360" w:lineRule="auto"/>
        <w:ind w:right="211" w:firstLine="354" w:firstLineChars="147"/>
        <w:rPr>
          <w:b/>
          <w:sz w:val="24"/>
        </w:rPr>
      </w:pPr>
    </w:p>
    <w:p>
      <w:pPr>
        <w:pStyle w:val="2"/>
      </w:pPr>
    </w:p>
    <w:p>
      <w:pPr>
        <w:pStyle w:val="5"/>
      </w:pPr>
    </w:p>
    <w:p>
      <w:pPr>
        <w:adjustRightInd w:val="0"/>
        <w:snapToGrid w:val="0"/>
        <w:spacing w:line="360" w:lineRule="auto"/>
        <w:ind w:right="211" w:firstLine="354" w:firstLineChars="147"/>
        <w:rPr>
          <w:b/>
          <w:sz w:val="24"/>
        </w:rPr>
      </w:pPr>
      <w:r>
        <w:rPr>
          <w:rFonts w:hint="eastAsia"/>
          <w:b/>
          <w:sz w:val="24"/>
        </w:rPr>
        <w:t>2、</w:t>
      </w:r>
      <w:r>
        <w:rPr>
          <w:b/>
          <w:sz w:val="24"/>
        </w:rPr>
        <w:t>地</w:t>
      </w:r>
      <w:r>
        <w:rPr>
          <w:rFonts w:hint="eastAsia"/>
          <w:b/>
          <w:sz w:val="24"/>
        </w:rPr>
        <w:t>表</w:t>
      </w:r>
      <w:r>
        <w:rPr>
          <w:b/>
          <w:sz w:val="24"/>
        </w:rPr>
        <w:t>水环境评价工作等级</w:t>
      </w:r>
    </w:p>
    <w:p>
      <w:pPr>
        <w:adjustRightInd w:val="0"/>
        <w:snapToGrid w:val="0"/>
        <w:spacing w:line="360" w:lineRule="auto"/>
        <w:ind w:firstLine="480" w:firstLineChars="200"/>
        <w:rPr>
          <w:sz w:val="24"/>
        </w:rPr>
      </w:pPr>
      <w:r>
        <w:rPr>
          <w:rFonts w:hint="eastAsia"/>
          <w:sz w:val="24"/>
        </w:rPr>
        <w:t>根据《环境影响评价技术导则地表水环境》（</w:t>
      </w:r>
      <w:r>
        <w:rPr>
          <w:sz w:val="24"/>
        </w:rPr>
        <w:t>HJ2.3-2018</w:t>
      </w:r>
      <w:r>
        <w:rPr>
          <w:rFonts w:hint="eastAsia"/>
          <w:sz w:val="24"/>
        </w:rPr>
        <w:t>）中的有关规定，水环境影响评价等级根据废水排放方式和排放量确定。本项目产生的废水主要有填埋库区渗滤液、冲洗废水、生活污水等，废水均经过处理达标后排入围场县生活垃圾焚烧发电项目进行处理回用，无废水外排。本项目为间接排放建设项目，评价等级为三级</w:t>
      </w:r>
      <w:r>
        <w:rPr>
          <w:sz w:val="24"/>
        </w:rPr>
        <w:t>B</w:t>
      </w:r>
      <w:r>
        <w:rPr>
          <w:rFonts w:hint="eastAsia"/>
          <w:sz w:val="24"/>
        </w:rPr>
        <w:t>，不进行水环境影响预测，仅评述项</w:t>
      </w:r>
      <w:r>
        <w:rPr>
          <w:sz w:val="24"/>
        </w:rPr>
        <w:t>目水依托</w:t>
      </w:r>
      <w:r>
        <w:rPr>
          <w:rFonts w:hint="eastAsia"/>
          <w:sz w:val="24"/>
        </w:rPr>
        <w:t>围场生活</w:t>
      </w:r>
      <w:r>
        <w:rPr>
          <w:sz w:val="24"/>
        </w:rPr>
        <w:t>垃圾</w:t>
      </w:r>
      <w:r>
        <w:rPr>
          <w:rFonts w:hint="eastAsia"/>
          <w:sz w:val="24"/>
        </w:rPr>
        <w:t>焚烧</w:t>
      </w:r>
      <w:r>
        <w:rPr>
          <w:sz w:val="24"/>
        </w:rPr>
        <w:t>发电</w:t>
      </w:r>
      <w:r>
        <w:rPr>
          <w:rFonts w:hint="eastAsia"/>
          <w:sz w:val="24"/>
        </w:rPr>
        <w:t>项目</w:t>
      </w:r>
      <w:r>
        <w:rPr>
          <w:sz w:val="24"/>
        </w:rPr>
        <w:t>渗滤液处理站的可行性。</w:t>
      </w:r>
    </w:p>
    <w:p>
      <w:pPr>
        <w:adjustRightInd w:val="0"/>
        <w:snapToGrid w:val="0"/>
        <w:spacing w:line="360" w:lineRule="auto"/>
        <w:ind w:firstLine="480" w:firstLineChars="200"/>
        <w:rPr>
          <w:sz w:val="24"/>
        </w:rPr>
      </w:pPr>
      <w:r>
        <w:rPr>
          <w:rFonts w:hint="eastAsia"/>
          <w:sz w:val="24"/>
        </w:rPr>
        <w:t>评价等级为三级</w:t>
      </w:r>
      <w:r>
        <w:rPr>
          <w:sz w:val="24"/>
        </w:rPr>
        <w:t>B</w:t>
      </w:r>
      <w:r>
        <w:rPr>
          <w:rFonts w:hint="eastAsia"/>
          <w:sz w:val="24"/>
        </w:rPr>
        <w:t>。评价范围为场址区域内。</w:t>
      </w:r>
    </w:p>
    <w:p>
      <w:pPr>
        <w:adjustRightInd w:val="0"/>
        <w:snapToGrid w:val="0"/>
        <w:spacing w:line="360" w:lineRule="auto"/>
        <w:ind w:firstLine="482" w:firstLineChars="200"/>
        <w:rPr>
          <w:b/>
          <w:sz w:val="24"/>
          <w:szCs w:val="24"/>
        </w:rPr>
      </w:pPr>
      <w:r>
        <w:rPr>
          <w:rFonts w:hint="eastAsia"/>
          <w:b/>
          <w:sz w:val="24"/>
          <w:szCs w:val="24"/>
        </w:rPr>
        <w:t>3、</w:t>
      </w:r>
      <w:r>
        <w:rPr>
          <w:b/>
          <w:sz w:val="24"/>
          <w:szCs w:val="24"/>
        </w:rPr>
        <w:t>地下水环境评价工作等级</w:t>
      </w:r>
    </w:p>
    <w:p>
      <w:pPr>
        <w:adjustRightInd w:val="0"/>
        <w:snapToGrid w:val="0"/>
        <w:spacing w:line="360" w:lineRule="auto"/>
        <w:ind w:firstLine="480" w:firstLineChars="200"/>
        <w:rPr>
          <w:b/>
          <w:sz w:val="24"/>
          <w:szCs w:val="24"/>
        </w:rPr>
      </w:pPr>
      <w:r>
        <w:rPr>
          <w:rFonts w:hint="eastAsia"/>
          <w:sz w:val="24"/>
          <w:szCs w:val="24"/>
        </w:rPr>
        <w:t>本项目为生活垃圾焚烧飞灰填埋场，</w:t>
      </w:r>
      <w:r>
        <w:rPr>
          <w:sz w:val="24"/>
          <w:szCs w:val="24"/>
        </w:rPr>
        <w:t>根据《环境影响评价技术导则地下水环境》(HJ610-2016)附录A，确定本项目为</w:t>
      </w:r>
      <w:r>
        <w:rPr>
          <w:rFonts w:hint="eastAsia"/>
          <w:sz w:val="24"/>
          <w:szCs w:val="24"/>
        </w:rPr>
        <w:t>“U城镇基础设施及房地产</w:t>
      </w:r>
      <w:r>
        <w:rPr>
          <w:sz w:val="24"/>
          <w:szCs w:val="24"/>
        </w:rPr>
        <w:t>149</w:t>
      </w:r>
      <w:r>
        <w:rPr>
          <w:rFonts w:hint="eastAsia"/>
          <w:sz w:val="24"/>
          <w:szCs w:val="24"/>
        </w:rPr>
        <w:t>、生活垃圾（含餐厨废弃物）集中处置”中的生活垃圾填埋处置类项目、“1</w:t>
      </w:r>
      <w:r>
        <w:rPr>
          <w:sz w:val="24"/>
          <w:szCs w:val="24"/>
        </w:rPr>
        <w:t>51</w:t>
      </w:r>
      <w:r>
        <w:rPr>
          <w:rFonts w:hint="eastAsia"/>
          <w:sz w:val="24"/>
          <w:szCs w:val="24"/>
        </w:rPr>
        <w:t>、危险废物（含医疗废物）集中处置及综合利用”类项目，</w:t>
      </w:r>
      <w:r>
        <w:rPr>
          <w:sz w:val="24"/>
          <w:szCs w:val="24"/>
        </w:rPr>
        <w:t>地下水环境影响评价项目类别</w:t>
      </w:r>
      <w:r>
        <w:rPr>
          <w:rFonts w:hint="eastAsia"/>
          <w:sz w:val="24"/>
          <w:szCs w:val="24"/>
        </w:rPr>
        <w:t>属于</w:t>
      </w:r>
      <w:r>
        <w:rPr>
          <w:sz w:val="24"/>
          <w:szCs w:val="24"/>
        </w:rPr>
        <w:t>I类。</w:t>
      </w:r>
    </w:p>
    <w:p>
      <w:pPr>
        <w:adjustRightInd w:val="0"/>
        <w:snapToGrid w:val="0"/>
        <w:spacing w:line="360" w:lineRule="auto"/>
        <w:ind w:firstLine="480" w:firstLineChars="200"/>
        <w:rPr>
          <w:sz w:val="24"/>
          <w:szCs w:val="24"/>
        </w:rPr>
      </w:pPr>
      <w:r>
        <w:rPr>
          <w:sz w:val="24"/>
          <w:szCs w:val="24"/>
        </w:rPr>
        <w:t>本项目所在区域不属于集中式饮用水水源地准保护区及其准保护区以外的补给径流区；不属于除</w:t>
      </w:r>
      <w:r>
        <w:rPr>
          <w:spacing w:val="-3"/>
          <w:sz w:val="24"/>
          <w:szCs w:val="24"/>
        </w:rPr>
        <w:t>集</w:t>
      </w:r>
      <w:r>
        <w:rPr>
          <w:sz w:val="24"/>
          <w:szCs w:val="24"/>
        </w:rPr>
        <w:t>中</w:t>
      </w:r>
      <w:r>
        <w:rPr>
          <w:spacing w:val="-3"/>
          <w:sz w:val="24"/>
          <w:szCs w:val="24"/>
        </w:rPr>
        <w:t>式饮</w:t>
      </w:r>
      <w:r>
        <w:rPr>
          <w:sz w:val="24"/>
          <w:szCs w:val="24"/>
        </w:rPr>
        <w:t>用水</w:t>
      </w:r>
      <w:r>
        <w:rPr>
          <w:spacing w:val="-3"/>
          <w:sz w:val="24"/>
          <w:szCs w:val="24"/>
        </w:rPr>
        <w:t>源</w:t>
      </w:r>
      <w:r>
        <w:rPr>
          <w:sz w:val="24"/>
          <w:szCs w:val="24"/>
        </w:rPr>
        <w:t>地</w:t>
      </w:r>
      <w:r>
        <w:rPr>
          <w:spacing w:val="-3"/>
          <w:sz w:val="24"/>
          <w:szCs w:val="24"/>
        </w:rPr>
        <w:t>以</w:t>
      </w:r>
      <w:r>
        <w:rPr>
          <w:sz w:val="24"/>
          <w:szCs w:val="24"/>
        </w:rPr>
        <w:t>外</w:t>
      </w:r>
      <w:r>
        <w:rPr>
          <w:spacing w:val="-3"/>
          <w:sz w:val="24"/>
          <w:szCs w:val="24"/>
        </w:rPr>
        <w:t>的</w:t>
      </w:r>
      <w:r>
        <w:rPr>
          <w:sz w:val="24"/>
          <w:szCs w:val="24"/>
        </w:rPr>
        <w:t>国</w:t>
      </w:r>
      <w:r>
        <w:rPr>
          <w:spacing w:val="-3"/>
          <w:sz w:val="24"/>
          <w:szCs w:val="24"/>
        </w:rPr>
        <w:t>家</w:t>
      </w:r>
      <w:r>
        <w:rPr>
          <w:sz w:val="24"/>
          <w:szCs w:val="24"/>
        </w:rPr>
        <w:t>或</w:t>
      </w:r>
      <w:r>
        <w:rPr>
          <w:spacing w:val="-3"/>
          <w:sz w:val="24"/>
          <w:szCs w:val="24"/>
        </w:rPr>
        <w:t>地</w:t>
      </w:r>
      <w:r>
        <w:rPr>
          <w:sz w:val="24"/>
          <w:szCs w:val="24"/>
        </w:rPr>
        <w:t>方政</w:t>
      </w:r>
      <w:r>
        <w:rPr>
          <w:spacing w:val="-3"/>
          <w:sz w:val="24"/>
          <w:szCs w:val="24"/>
        </w:rPr>
        <w:t>府</w:t>
      </w:r>
      <w:r>
        <w:rPr>
          <w:sz w:val="24"/>
          <w:szCs w:val="24"/>
        </w:rPr>
        <w:t>设</w:t>
      </w:r>
      <w:r>
        <w:rPr>
          <w:spacing w:val="-3"/>
          <w:sz w:val="24"/>
          <w:szCs w:val="24"/>
        </w:rPr>
        <w:t>定</w:t>
      </w:r>
      <w:r>
        <w:rPr>
          <w:sz w:val="24"/>
          <w:szCs w:val="24"/>
        </w:rPr>
        <w:t>的</w:t>
      </w:r>
      <w:r>
        <w:rPr>
          <w:spacing w:val="-3"/>
          <w:sz w:val="24"/>
          <w:szCs w:val="24"/>
        </w:rPr>
        <w:t>与</w:t>
      </w:r>
      <w:r>
        <w:rPr>
          <w:sz w:val="24"/>
          <w:szCs w:val="24"/>
        </w:rPr>
        <w:t>地</w:t>
      </w:r>
      <w:r>
        <w:rPr>
          <w:spacing w:val="-3"/>
          <w:sz w:val="24"/>
          <w:szCs w:val="24"/>
        </w:rPr>
        <w:t>下</w:t>
      </w:r>
      <w:r>
        <w:rPr>
          <w:sz w:val="24"/>
          <w:szCs w:val="24"/>
        </w:rPr>
        <w:t>水</w:t>
      </w:r>
      <w:r>
        <w:rPr>
          <w:spacing w:val="-3"/>
          <w:sz w:val="24"/>
          <w:szCs w:val="24"/>
        </w:rPr>
        <w:t>环</w:t>
      </w:r>
      <w:r>
        <w:rPr>
          <w:sz w:val="24"/>
          <w:szCs w:val="24"/>
        </w:rPr>
        <w:t>境相</w:t>
      </w:r>
      <w:r>
        <w:rPr>
          <w:spacing w:val="-2"/>
          <w:sz w:val="24"/>
          <w:szCs w:val="24"/>
        </w:rPr>
        <w:t>关的其它保护区。</w:t>
      </w:r>
      <w:r>
        <w:rPr>
          <w:sz w:val="24"/>
          <w:szCs w:val="24"/>
        </w:rPr>
        <w:t>项目所在区域分布有分散的居民饮用水源井，因此本项目地下水环境敏感程度分级为“较敏感”。</w:t>
      </w:r>
    </w:p>
    <w:p>
      <w:pPr>
        <w:adjustRightInd w:val="0"/>
        <w:snapToGrid w:val="0"/>
        <w:spacing w:line="360" w:lineRule="auto"/>
        <w:ind w:firstLine="480" w:firstLineChars="200"/>
        <w:rPr>
          <w:sz w:val="24"/>
          <w:szCs w:val="24"/>
        </w:rPr>
      </w:pPr>
      <w:r>
        <w:rPr>
          <w:sz w:val="24"/>
          <w:szCs w:val="24"/>
        </w:rPr>
        <w:t>建设项目场地的地下水敏感程度分级情况详见表2.6-7，故本次环评根据建设项目评价工作等级分级表（表2.6-8），确定本项目地下水评价等级为“</w:t>
      </w:r>
      <w:r>
        <w:rPr>
          <w:rFonts w:hint="eastAsia"/>
          <w:sz w:val="24"/>
          <w:szCs w:val="24"/>
        </w:rPr>
        <w:t>一</w:t>
      </w:r>
      <w:r>
        <w:rPr>
          <w:sz w:val="24"/>
          <w:szCs w:val="24"/>
        </w:rPr>
        <w:t>级”。</w:t>
      </w:r>
    </w:p>
    <w:p>
      <w:pPr>
        <w:adjustRightInd w:val="0"/>
        <w:snapToGrid w:val="0"/>
        <w:ind w:right="210"/>
        <w:jc w:val="center"/>
        <w:rPr>
          <w:b/>
          <w:sz w:val="24"/>
          <w:szCs w:val="24"/>
        </w:rPr>
      </w:pPr>
      <w:r>
        <w:rPr>
          <w:b/>
          <w:sz w:val="24"/>
          <w:szCs w:val="24"/>
        </w:rPr>
        <w:t>表2.</w:t>
      </w:r>
      <w:r>
        <w:rPr>
          <w:b/>
          <w:spacing w:val="-1"/>
          <w:sz w:val="24"/>
          <w:szCs w:val="24"/>
        </w:rPr>
        <w:t xml:space="preserve">6-7   </w:t>
      </w:r>
      <w:r>
        <w:rPr>
          <w:b/>
          <w:sz w:val="24"/>
          <w:szCs w:val="24"/>
        </w:rPr>
        <w:t>地下水环境敏感程度分级</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865"/>
        <w:gridCol w:w="74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519" w:type="pct"/>
            <w:shd w:val="clear" w:color="auto" w:fill="auto"/>
            <w:vAlign w:val="center"/>
          </w:tcPr>
          <w:p>
            <w:pPr>
              <w:adjustRightInd w:val="0"/>
              <w:snapToGrid w:val="0"/>
              <w:jc w:val="center"/>
              <w:rPr>
                <w:kern w:val="0"/>
                <w:sz w:val="18"/>
                <w:szCs w:val="18"/>
                <w:lang w:eastAsia="en-US"/>
              </w:rPr>
            </w:pPr>
            <w:r>
              <w:rPr>
                <w:kern w:val="0"/>
                <w:sz w:val="18"/>
                <w:szCs w:val="18"/>
                <w:lang w:eastAsia="en-US"/>
              </w:rPr>
              <w:t>分级</w:t>
            </w:r>
          </w:p>
        </w:tc>
        <w:tc>
          <w:tcPr>
            <w:tcW w:w="4481" w:type="pct"/>
            <w:shd w:val="clear" w:color="auto" w:fill="auto"/>
            <w:vAlign w:val="center"/>
          </w:tcPr>
          <w:p>
            <w:pPr>
              <w:adjustRightInd w:val="0"/>
              <w:snapToGrid w:val="0"/>
              <w:jc w:val="center"/>
              <w:rPr>
                <w:kern w:val="0"/>
                <w:sz w:val="18"/>
                <w:szCs w:val="18"/>
              </w:rPr>
            </w:pPr>
            <w:r>
              <w:rPr>
                <w:spacing w:val="-2"/>
                <w:kern w:val="0"/>
                <w:sz w:val="18"/>
                <w:szCs w:val="18"/>
              </w:rPr>
              <w:t>项目场地的地下水环境敏感特征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519" w:type="pct"/>
            <w:shd w:val="clear" w:color="auto" w:fill="auto"/>
            <w:vAlign w:val="center"/>
          </w:tcPr>
          <w:p>
            <w:pPr>
              <w:adjustRightInd w:val="0"/>
              <w:snapToGrid w:val="0"/>
              <w:jc w:val="center"/>
              <w:rPr>
                <w:kern w:val="0"/>
                <w:sz w:val="18"/>
                <w:szCs w:val="18"/>
                <w:lang w:eastAsia="en-US"/>
              </w:rPr>
            </w:pPr>
            <w:r>
              <w:rPr>
                <w:kern w:val="0"/>
                <w:sz w:val="18"/>
                <w:szCs w:val="18"/>
                <w:lang w:eastAsia="en-US"/>
              </w:rPr>
              <w:t>敏感</w:t>
            </w:r>
          </w:p>
        </w:tc>
        <w:tc>
          <w:tcPr>
            <w:tcW w:w="4481" w:type="pct"/>
            <w:shd w:val="clear" w:color="auto" w:fill="auto"/>
            <w:vAlign w:val="center"/>
          </w:tcPr>
          <w:p>
            <w:pPr>
              <w:adjustRightInd w:val="0"/>
              <w:snapToGrid w:val="0"/>
              <w:rPr>
                <w:kern w:val="0"/>
                <w:sz w:val="18"/>
                <w:szCs w:val="18"/>
              </w:rPr>
            </w:pPr>
            <w:r>
              <w:rPr>
                <w:spacing w:val="-4"/>
                <w:kern w:val="0"/>
                <w:sz w:val="18"/>
                <w:szCs w:val="18"/>
              </w:rPr>
              <w:t>集中式饮用水水源地（包括已建成的在用、备用、应急水源地，在建和规划的水源</w:t>
            </w:r>
            <w:r>
              <w:rPr>
                <w:kern w:val="0"/>
                <w:sz w:val="18"/>
                <w:szCs w:val="18"/>
              </w:rPr>
              <w:t>地</w:t>
            </w:r>
            <w:r>
              <w:rPr>
                <w:spacing w:val="-34"/>
                <w:kern w:val="0"/>
                <w:sz w:val="18"/>
                <w:szCs w:val="18"/>
              </w:rPr>
              <w:t>）</w:t>
            </w:r>
            <w:r>
              <w:rPr>
                <w:kern w:val="0"/>
                <w:sz w:val="18"/>
                <w:szCs w:val="18"/>
              </w:rPr>
              <w:t>准</w:t>
            </w:r>
            <w:r>
              <w:rPr>
                <w:spacing w:val="-3"/>
                <w:kern w:val="0"/>
                <w:sz w:val="18"/>
                <w:szCs w:val="18"/>
              </w:rPr>
              <w:t>保</w:t>
            </w:r>
            <w:r>
              <w:rPr>
                <w:kern w:val="0"/>
                <w:sz w:val="18"/>
                <w:szCs w:val="18"/>
              </w:rPr>
              <w:t>护</w:t>
            </w:r>
            <w:r>
              <w:rPr>
                <w:spacing w:val="-3"/>
                <w:kern w:val="0"/>
                <w:sz w:val="18"/>
                <w:szCs w:val="18"/>
              </w:rPr>
              <w:t>区</w:t>
            </w:r>
            <w:r>
              <w:rPr>
                <w:spacing w:val="-34"/>
                <w:kern w:val="0"/>
                <w:sz w:val="18"/>
                <w:szCs w:val="18"/>
              </w:rPr>
              <w:t>；</w:t>
            </w:r>
            <w:r>
              <w:rPr>
                <w:kern w:val="0"/>
                <w:sz w:val="18"/>
                <w:szCs w:val="18"/>
              </w:rPr>
              <w:t>除</w:t>
            </w:r>
            <w:r>
              <w:rPr>
                <w:spacing w:val="-3"/>
                <w:kern w:val="0"/>
                <w:sz w:val="18"/>
                <w:szCs w:val="18"/>
              </w:rPr>
              <w:t>集</w:t>
            </w:r>
            <w:r>
              <w:rPr>
                <w:kern w:val="0"/>
                <w:sz w:val="18"/>
                <w:szCs w:val="18"/>
              </w:rPr>
              <w:t>中</w:t>
            </w:r>
            <w:r>
              <w:rPr>
                <w:spacing w:val="-3"/>
                <w:kern w:val="0"/>
                <w:sz w:val="18"/>
                <w:szCs w:val="18"/>
              </w:rPr>
              <w:t>式饮</w:t>
            </w:r>
            <w:r>
              <w:rPr>
                <w:kern w:val="0"/>
                <w:sz w:val="18"/>
                <w:szCs w:val="18"/>
              </w:rPr>
              <w:t>用水</w:t>
            </w:r>
            <w:r>
              <w:rPr>
                <w:spacing w:val="-3"/>
                <w:kern w:val="0"/>
                <w:sz w:val="18"/>
                <w:szCs w:val="18"/>
              </w:rPr>
              <w:t>源</w:t>
            </w:r>
            <w:r>
              <w:rPr>
                <w:kern w:val="0"/>
                <w:sz w:val="18"/>
                <w:szCs w:val="18"/>
              </w:rPr>
              <w:t>地</w:t>
            </w:r>
            <w:r>
              <w:rPr>
                <w:spacing w:val="-3"/>
                <w:kern w:val="0"/>
                <w:sz w:val="18"/>
                <w:szCs w:val="18"/>
              </w:rPr>
              <w:t>以</w:t>
            </w:r>
            <w:r>
              <w:rPr>
                <w:kern w:val="0"/>
                <w:sz w:val="18"/>
                <w:szCs w:val="18"/>
              </w:rPr>
              <w:t>外</w:t>
            </w:r>
            <w:r>
              <w:rPr>
                <w:spacing w:val="-3"/>
                <w:kern w:val="0"/>
                <w:sz w:val="18"/>
                <w:szCs w:val="18"/>
              </w:rPr>
              <w:t>的</w:t>
            </w:r>
            <w:r>
              <w:rPr>
                <w:kern w:val="0"/>
                <w:sz w:val="18"/>
                <w:szCs w:val="18"/>
              </w:rPr>
              <w:t>国</w:t>
            </w:r>
            <w:r>
              <w:rPr>
                <w:spacing w:val="-3"/>
                <w:kern w:val="0"/>
                <w:sz w:val="18"/>
                <w:szCs w:val="18"/>
              </w:rPr>
              <w:t>家</w:t>
            </w:r>
            <w:r>
              <w:rPr>
                <w:kern w:val="0"/>
                <w:sz w:val="18"/>
                <w:szCs w:val="18"/>
              </w:rPr>
              <w:t>或</w:t>
            </w:r>
            <w:r>
              <w:rPr>
                <w:spacing w:val="-3"/>
                <w:kern w:val="0"/>
                <w:sz w:val="18"/>
                <w:szCs w:val="18"/>
              </w:rPr>
              <w:t>地</w:t>
            </w:r>
            <w:r>
              <w:rPr>
                <w:kern w:val="0"/>
                <w:sz w:val="18"/>
                <w:szCs w:val="18"/>
              </w:rPr>
              <w:t>方政</w:t>
            </w:r>
            <w:r>
              <w:rPr>
                <w:spacing w:val="-3"/>
                <w:kern w:val="0"/>
                <w:sz w:val="18"/>
                <w:szCs w:val="18"/>
              </w:rPr>
              <w:t>府</w:t>
            </w:r>
            <w:r>
              <w:rPr>
                <w:kern w:val="0"/>
                <w:sz w:val="18"/>
                <w:szCs w:val="18"/>
              </w:rPr>
              <w:t>设</w:t>
            </w:r>
            <w:r>
              <w:rPr>
                <w:spacing w:val="-3"/>
                <w:kern w:val="0"/>
                <w:sz w:val="18"/>
                <w:szCs w:val="18"/>
              </w:rPr>
              <w:t>定</w:t>
            </w:r>
            <w:r>
              <w:rPr>
                <w:kern w:val="0"/>
                <w:sz w:val="18"/>
                <w:szCs w:val="18"/>
              </w:rPr>
              <w:t>的</w:t>
            </w:r>
            <w:r>
              <w:rPr>
                <w:spacing w:val="-3"/>
                <w:kern w:val="0"/>
                <w:sz w:val="18"/>
                <w:szCs w:val="18"/>
              </w:rPr>
              <w:t>与</w:t>
            </w:r>
            <w:r>
              <w:rPr>
                <w:kern w:val="0"/>
                <w:sz w:val="18"/>
                <w:szCs w:val="18"/>
              </w:rPr>
              <w:t>地</w:t>
            </w:r>
            <w:r>
              <w:rPr>
                <w:spacing w:val="-3"/>
                <w:kern w:val="0"/>
                <w:sz w:val="18"/>
                <w:szCs w:val="18"/>
              </w:rPr>
              <w:t>下</w:t>
            </w:r>
            <w:r>
              <w:rPr>
                <w:kern w:val="0"/>
                <w:sz w:val="18"/>
                <w:szCs w:val="18"/>
              </w:rPr>
              <w:t>水</w:t>
            </w:r>
            <w:r>
              <w:rPr>
                <w:spacing w:val="-3"/>
                <w:kern w:val="0"/>
                <w:sz w:val="18"/>
                <w:szCs w:val="18"/>
              </w:rPr>
              <w:t>环</w:t>
            </w:r>
            <w:r>
              <w:rPr>
                <w:kern w:val="0"/>
                <w:sz w:val="18"/>
                <w:szCs w:val="18"/>
              </w:rPr>
              <w:t>境相</w:t>
            </w:r>
            <w:r>
              <w:rPr>
                <w:spacing w:val="-2"/>
                <w:kern w:val="0"/>
                <w:sz w:val="18"/>
                <w:szCs w:val="18"/>
              </w:rPr>
              <w:t>关的其它保护区，如热水、矿泉水、温泉等特殊地下水资源保护区。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519" w:type="pct"/>
            <w:shd w:val="clear" w:color="auto" w:fill="auto"/>
            <w:vAlign w:val="center"/>
          </w:tcPr>
          <w:p>
            <w:pPr>
              <w:adjustRightInd w:val="0"/>
              <w:snapToGrid w:val="0"/>
              <w:jc w:val="center"/>
              <w:rPr>
                <w:kern w:val="0"/>
                <w:sz w:val="18"/>
                <w:szCs w:val="18"/>
                <w:shd w:val="pct10" w:color="auto" w:fill="FFFFFF"/>
                <w:lang w:eastAsia="en-US"/>
              </w:rPr>
            </w:pPr>
            <w:r>
              <w:rPr>
                <w:kern w:val="0"/>
                <w:sz w:val="18"/>
                <w:szCs w:val="18"/>
                <w:shd w:val="pct10" w:color="auto" w:fill="FFFFFF"/>
                <w:lang w:eastAsia="en-US"/>
              </w:rPr>
              <w:t>较敏感</w:t>
            </w:r>
          </w:p>
        </w:tc>
        <w:tc>
          <w:tcPr>
            <w:tcW w:w="4481" w:type="pct"/>
            <w:shd w:val="clear" w:color="auto" w:fill="auto"/>
            <w:vAlign w:val="center"/>
          </w:tcPr>
          <w:p>
            <w:pPr>
              <w:adjustRightInd w:val="0"/>
              <w:snapToGrid w:val="0"/>
              <w:rPr>
                <w:kern w:val="0"/>
                <w:sz w:val="18"/>
                <w:szCs w:val="18"/>
                <w:shd w:val="pct10" w:color="auto" w:fill="FFFFFF"/>
              </w:rPr>
            </w:pPr>
            <w:r>
              <w:rPr>
                <w:spacing w:val="-4"/>
                <w:kern w:val="0"/>
                <w:sz w:val="18"/>
                <w:szCs w:val="18"/>
                <w:shd w:val="pct10" w:color="auto" w:fill="FFFFFF"/>
              </w:rPr>
              <w:t>集中式饮用水水源地（包括已建成的在用、备用、应急水源地，在建和规划的水源地）准保护区以外的补给径流区；特殊地下水资源（如矿泉水、温泉等）保护区以</w:t>
            </w:r>
            <w:r>
              <w:rPr>
                <w:spacing w:val="-2"/>
                <w:kern w:val="0"/>
                <w:sz w:val="18"/>
                <w:szCs w:val="18"/>
                <w:shd w:val="pct10" w:color="auto" w:fill="FFFFFF"/>
              </w:rPr>
              <w:t>外的分布区以及分散居民饮用水源等其它未列入上述敏感分级的环境敏感区。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519" w:type="pct"/>
            <w:shd w:val="clear" w:color="auto" w:fill="auto"/>
            <w:vAlign w:val="center"/>
          </w:tcPr>
          <w:p>
            <w:pPr>
              <w:adjustRightInd w:val="0"/>
              <w:snapToGrid w:val="0"/>
              <w:jc w:val="center"/>
              <w:rPr>
                <w:kern w:val="0"/>
                <w:sz w:val="18"/>
                <w:szCs w:val="18"/>
                <w:lang w:eastAsia="en-US"/>
              </w:rPr>
            </w:pPr>
            <w:r>
              <w:rPr>
                <w:kern w:val="0"/>
                <w:sz w:val="18"/>
                <w:szCs w:val="18"/>
                <w:lang w:eastAsia="en-US"/>
              </w:rPr>
              <w:t>不敏感</w:t>
            </w:r>
          </w:p>
        </w:tc>
        <w:tc>
          <w:tcPr>
            <w:tcW w:w="4481" w:type="pct"/>
            <w:shd w:val="clear" w:color="auto" w:fill="auto"/>
            <w:vAlign w:val="center"/>
          </w:tcPr>
          <w:p>
            <w:pPr>
              <w:adjustRightInd w:val="0"/>
              <w:snapToGrid w:val="0"/>
              <w:rPr>
                <w:kern w:val="0"/>
                <w:sz w:val="18"/>
                <w:szCs w:val="18"/>
              </w:rPr>
            </w:pPr>
            <w:r>
              <w:rPr>
                <w:spacing w:val="-2"/>
                <w:kern w:val="0"/>
                <w:sz w:val="18"/>
                <w:szCs w:val="18"/>
              </w:rPr>
              <w:t>上述地区之外的其它地区</w:t>
            </w:r>
          </w:p>
        </w:tc>
      </w:tr>
    </w:tbl>
    <w:p>
      <w:pPr>
        <w:spacing w:line="360" w:lineRule="auto"/>
        <w:jc w:val="center"/>
        <w:rPr>
          <w:b/>
          <w:sz w:val="24"/>
          <w:szCs w:val="22"/>
        </w:rPr>
      </w:pPr>
      <w:r>
        <w:rPr>
          <w:b/>
          <w:sz w:val="24"/>
          <w:szCs w:val="22"/>
        </w:rPr>
        <w:t>表2.6-8    地下水环境评价工作等级</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41"/>
        <w:gridCol w:w="1546"/>
        <w:gridCol w:w="1607"/>
        <w:gridCol w:w="1389"/>
        <w:gridCol w:w="9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784" w:type="pct"/>
            <w:vAlign w:val="center"/>
          </w:tcPr>
          <w:p>
            <w:pPr>
              <w:jc w:val="right"/>
              <w:rPr>
                <w:b/>
                <w:spacing w:val="-4"/>
                <w:szCs w:val="21"/>
              </w:rPr>
            </w:pPr>
            <w:r>
              <w:rPr>
                <w:b/>
                <w:spacing w:val="-4"/>
                <w:szCs w:val="21"/>
              </w:rPr>
              <w:t>项目类别</w:t>
            </w:r>
          </w:p>
          <w:p>
            <w:pPr>
              <w:rPr>
                <w:b/>
                <w:spacing w:val="-4"/>
                <w:szCs w:val="21"/>
              </w:rPr>
            </w:pPr>
            <w:r>
              <w:rPr>
                <w:b/>
                <w:spacing w:val="-4"/>
                <w:szCs w:val="21"/>
              </w:rPr>
              <w:t>环境敏感程度</w:t>
            </w:r>
          </w:p>
        </w:tc>
        <w:tc>
          <w:tcPr>
            <w:tcW w:w="907" w:type="pct"/>
            <w:vAlign w:val="center"/>
          </w:tcPr>
          <w:p>
            <w:pPr>
              <w:jc w:val="center"/>
              <w:rPr>
                <w:b/>
                <w:spacing w:val="-4"/>
                <w:szCs w:val="21"/>
              </w:rPr>
            </w:pPr>
            <w:r>
              <w:rPr>
                <w:rFonts w:hint="eastAsia" w:ascii="宋体" w:hAnsi="宋体" w:cs="宋体"/>
                <w:b/>
                <w:spacing w:val="-4"/>
                <w:szCs w:val="21"/>
              </w:rPr>
              <w:t>Ⅰ</w:t>
            </w:r>
            <w:r>
              <w:rPr>
                <w:b/>
                <w:spacing w:val="-4"/>
                <w:szCs w:val="21"/>
              </w:rPr>
              <w:t>类项目</w:t>
            </w:r>
          </w:p>
        </w:tc>
        <w:tc>
          <w:tcPr>
            <w:tcW w:w="943" w:type="pct"/>
            <w:vAlign w:val="center"/>
          </w:tcPr>
          <w:p>
            <w:pPr>
              <w:jc w:val="center"/>
              <w:rPr>
                <w:b/>
                <w:spacing w:val="-4"/>
                <w:szCs w:val="21"/>
              </w:rPr>
            </w:pPr>
            <w:r>
              <w:rPr>
                <w:rFonts w:hint="eastAsia" w:ascii="宋体" w:hAnsi="宋体" w:cs="宋体"/>
                <w:b/>
                <w:spacing w:val="-4"/>
                <w:szCs w:val="21"/>
              </w:rPr>
              <w:t>Ⅱ</w:t>
            </w:r>
            <w:r>
              <w:rPr>
                <w:b/>
                <w:spacing w:val="-4"/>
                <w:szCs w:val="21"/>
              </w:rPr>
              <w:t>类项目</w:t>
            </w:r>
          </w:p>
        </w:tc>
        <w:tc>
          <w:tcPr>
            <w:tcW w:w="815" w:type="pct"/>
            <w:vAlign w:val="center"/>
          </w:tcPr>
          <w:p>
            <w:pPr>
              <w:jc w:val="center"/>
              <w:rPr>
                <w:b/>
                <w:spacing w:val="-4"/>
                <w:szCs w:val="21"/>
              </w:rPr>
            </w:pPr>
            <w:r>
              <w:rPr>
                <w:rFonts w:hint="eastAsia" w:ascii="宋体" w:hAnsi="宋体" w:cs="宋体"/>
                <w:b/>
                <w:spacing w:val="-4"/>
                <w:szCs w:val="21"/>
              </w:rPr>
              <w:t>Ⅲ</w:t>
            </w:r>
            <w:r>
              <w:rPr>
                <w:b/>
                <w:spacing w:val="-4"/>
                <w:szCs w:val="21"/>
              </w:rPr>
              <w:t>类项目</w:t>
            </w:r>
          </w:p>
        </w:tc>
        <w:tc>
          <w:tcPr>
            <w:tcW w:w="551" w:type="pct"/>
            <w:vAlign w:val="center"/>
          </w:tcPr>
          <w:p>
            <w:pPr>
              <w:jc w:val="center"/>
              <w:rPr>
                <w:b/>
                <w:spacing w:val="-4"/>
                <w:szCs w:val="21"/>
              </w:rPr>
            </w:pPr>
            <w:r>
              <w:rPr>
                <w:b/>
                <w:spacing w:val="-4"/>
                <w:szCs w:val="21"/>
              </w:rPr>
              <w:t>评级等级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784" w:type="pct"/>
            <w:vAlign w:val="center"/>
          </w:tcPr>
          <w:p>
            <w:pPr>
              <w:jc w:val="center"/>
              <w:rPr>
                <w:spacing w:val="-4"/>
                <w:szCs w:val="21"/>
              </w:rPr>
            </w:pPr>
            <w:r>
              <w:rPr>
                <w:spacing w:val="-4"/>
                <w:szCs w:val="21"/>
              </w:rPr>
              <w:t>敏感</w:t>
            </w:r>
          </w:p>
        </w:tc>
        <w:tc>
          <w:tcPr>
            <w:tcW w:w="907" w:type="pct"/>
            <w:vAlign w:val="center"/>
          </w:tcPr>
          <w:p>
            <w:pPr>
              <w:jc w:val="center"/>
              <w:rPr>
                <w:spacing w:val="-4"/>
                <w:szCs w:val="21"/>
              </w:rPr>
            </w:pPr>
            <w:r>
              <w:rPr>
                <w:spacing w:val="-4"/>
                <w:szCs w:val="21"/>
              </w:rPr>
              <w:t>一</w:t>
            </w:r>
          </w:p>
        </w:tc>
        <w:tc>
          <w:tcPr>
            <w:tcW w:w="943" w:type="pct"/>
            <w:vAlign w:val="center"/>
          </w:tcPr>
          <w:p>
            <w:pPr>
              <w:jc w:val="center"/>
              <w:rPr>
                <w:spacing w:val="-4"/>
                <w:szCs w:val="21"/>
              </w:rPr>
            </w:pPr>
            <w:r>
              <w:rPr>
                <w:spacing w:val="-4"/>
                <w:szCs w:val="21"/>
              </w:rPr>
              <w:t>一</w:t>
            </w:r>
          </w:p>
        </w:tc>
        <w:tc>
          <w:tcPr>
            <w:tcW w:w="815" w:type="pct"/>
          </w:tcPr>
          <w:p>
            <w:pPr>
              <w:spacing w:before="41"/>
              <w:ind w:right="5"/>
              <w:jc w:val="center"/>
              <w:rPr>
                <w:kern w:val="0"/>
                <w:szCs w:val="21"/>
                <w:lang w:eastAsia="en-US"/>
              </w:rPr>
            </w:pPr>
            <w:r>
              <w:rPr>
                <w:kern w:val="0"/>
                <w:szCs w:val="21"/>
                <w:lang w:eastAsia="en-US"/>
              </w:rPr>
              <w:t>二</w:t>
            </w:r>
          </w:p>
        </w:tc>
        <w:tc>
          <w:tcPr>
            <w:tcW w:w="551" w:type="pct"/>
            <w:vMerge w:val="restart"/>
            <w:vAlign w:val="center"/>
          </w:tcPr>
          <w:p>
            <w:pPr>
              <w:jc w:val="center"/>
              <w:rPr>
                <w:spacing w:val="-4"/>
                <w:szCs w:val="21"/>
              </w:rPr>
            </w:pPr>
            <w:r>
              <w:rPr>
                <w:rFonts w:hint="eastAsia"/>
                <w:spacing w:val="-4"/>
                <w:szCs w:val="21"/>
              </w:rPr>
              <w:t>一</w:t>
            </w:r>
            <w:r>
              <w:rPr>
                <w:spacing w:val="-4"/>
                <w:szCs w:val="21"/>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784" w:type="pct"/>
            <w:vAlign w:val="center"/>
          </w:tcPr>
          <w:p>
            <w:pPr>
              <w:jc w:val="center"/>
              <w:rPr>
                <w:spacing w:val="-4"/>
                <w:szCs w:val="21"/>
              </w:rPr>
            </w:pPr>
            <w:r>
              <w:rPr>
                <w:spacing w:val="-4"/>
                <w:szCs w:val="21"/>
              </w:rPr>
              <w:t>较敏感</w:t>
            </w:r>
          </w:p>
        </w:tc>
        <w:tc>
          <w:tcPr>
            <w:tcW w:w="907" w:type="pct"/>
            <w:shd w:val="clear" w:color="auto" w:fill="D8D8D8" w:themeFill="background1" w:themeFillShade="D9"/>
            <w:vAlign w:val="center"/>
          </w:tcPr>
          <w:p>
            <w:pPr>
              <w:jc w:val="center"/>
              <w:rPr>
                <w:spacing w:val="-4"/>
                <w:szCs w:val="21"/>
              </w:rPr>
            </w:pPr>
            <w:r>
              <w:rPr>
                <w:spacing w:val="-4"/>
                <w:szCs w:val="21"/>
              </w:rPr>
              <w:t>一</w:t>
            </w:r>
          </w:p>
        </w:tc>
        <w:tc>
          <w:tcPr>
            <w:tcW w:w="943" w:type="pct"/>
            <w:shd w:val="clear" w:color="auto" w:fill="auto"/>
            <w:vAlign w:val="center"/>
          </w:tcPr>
          <w:p>
            <w:pPr>
              <w:jc w:val="center"/>
              <w:rPr>
                <w:b/>
                <w:bCs/>
                <w:spacing w:val="-4"/>
                <w:szCs w:val="21"/>
              </w:rPr>
            </w:pPr>
            <w:r>
              <w:rPr>
                <w:b/>
                <w:bCs/>
                <w:spacing w:val="-4"/>
                <w:szCs w:val="21"/>
              </w:rPr>
              <w:t>二</w:t>
            </w:r>
          </w:p>
        </w:tc>
        <w:tc>
          <w:tcPr>
            <w:tcW w:w="815" w:type="pct"/>
            <w:shd w:val="clear" w:color="auto" w:fill="auto"/>
          </w:tcPr>
          <w:p>
            <w:pPr>
              <w:spacing w:before="41"/>
              <w:ind w:right="5"/>
              <w:jc w:val="center"/>
              <w:rPr>
                <w:kern w:val="0"/>
                <w:szCs w:val="21"/>
                <w:lang w:eastAsia="en-US"/>
              </w:rPr>
            </w:pPr>
            <w:r>
              <w:rPr>
                <w:kern w:val="0"/>
                <w:szCs w:val="21"/>
                <w:lang w:eastAsia="en-US"/>
              </w:rPr>
              <w:t>三</w:t>
            </w:r>
          </w:p>
        </w:tc>
        <w:tc>
          <w:tcPr>
            <w:tcW w:w="551" w:type="pct"/>
            <w:vMerge w:val="continue"/>
            <w:vAlign w:val="center"/>
          </w:tcPr>
          <w:p>
            <w:pPr>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784" w:type="pct"/>
            <w:vAlign w:val="center"/>
          </w:tcPr>
          <w:p>
            <w:pPr>
              <w:jc w:val="center"/>
              <w:rPr>
                <w:spacing w:val="-4"/>
                <w:szCs w:val="21"/>
              </w:rPr>
            </w:pPr>
            <w:r>
              <w:rPr>
                <w:spacing w:val="-4"/>
                <w:szCs w:val="21"/>
              </w:rPr>
              <w:t>不敏感</w:t>
            </w:r>
          </w:p>
        </w:tc>
        <w:tc>
          <w:tcPr>
            <w:tcW w:w="907" w:type="pct"/>
            <w:vAlign w:val="center"/>
          </w:tcPr>
          <w:p>
            <w:pPr>
              <w:jc w:val="center"/>
              <w:rPr>
                <w:spacing w:val="-4"/>
                <w:szCs w:val="21"/>
              </w:rPr>
            </w:pPr>
            <w:r>
              <w:rPr>
                <w:spacing w:val="-4"/>
                <w:szCs w:val="21"/>
              </w:rPr>
              <w:t>二</w:t>
            </w:r>
          </w:p>
        </w:tc>
        <w:tc>
          <w:tcPr>
            <w:tcW w:w="943" w:type="pct"/>
            <w:vAlign w:val="center"/>
          </w:tcPr>
          <w:p>
            <w:pPr>
              <w:jc w:val="center"/>
            </w:pPr>
            <w:r>
              <w:rPr>
                <w:rFonts w:hint="eastAsia"/>
              </w:rPr>
              <w:t>三</w:t>
            </w:r>
          </w:p>
        </w:tc>
        <w:tc>
          <w:tcPr>
            <w:tcW w:w="815" w:type="pct"/>
            <w:shd w:val="clear" w:color="auto" w:fill="auto"/>
          </w:tcPr>
          <w:p>
            <w:pPr>
              <w:spacing w:before="42"/>
              <w:ind w:right="5"/>
              <w:jc w:val="center"/>
              <w:rPr>
                <w:kern w:val="0"/>
                <w:szCs w:val="21"/>
                <w:lang w:eastAsia="en-US"/>
              </w:rPr>
            </w:pPr>
            <w:r>
              <w:rPr>
                <w:b/>
                <w:bCs/>
                <w:kern w:val="0"/>
                <w:szCs w:val="21"/>
                <w:lang w:eastAsia="en-US"/>
              </w:rPr>
              <w:t>三</w:t>
            </w:r>
          </w:p>
        </w:tc>
        <w:tc>
          <w:tcPr>
            <w:tcW w:w="551" w:type="pct"/>
            <w:vMerge w:val="continue"/>
            <w:vAlign w:val="center"/>
          </w:tcPr>
          <w:p>
            <w:pPr>
              <w:jc w:val="center"/>
              <w:rPr>
                <w:spacing w:val="-4"/>
                <w:szCs w:val="21"/>
              </w:rPr>
            </w:pPr>
          </w:p>
        </w:tc>
      </w:tr>
    </w:tbl>
    <w:p>
      <w:pPr>
        <w:adjustRightInd w:val="0"/>
        <w:snapToGrid w:val="0"/>
        <w:spacing w:before="156" w:beforeLines="50" w:line="360" w:lineRule="auto"/>
        <w:ind w:firstLine="480" w:firstLineChars="200"/>
        <w:rPr>
          <w:sz w:val="24"/>
          <w:szCs w:val="24"/>
        </w:rPr>
      </w:pPr>
      <w:r>
        <w:rPr>
          <w:sz w:val="24"/>
          <w:szCs w:val="24"/>
        </w:rPr>
        <w:t>本项目所在地水文地质条件相对简单，且掌握的资料能够满足公式计算法要求，因此，根据《环境影响评价技术导则地下水环境》（HJ610-2016）中公式法计算确定调查评价范围。计算公式如下：</w:t>
      </w:r>
    </w:p>
    <w:p>
      <w:pPr>
        <w:adjustRightInd w:val="0"/>
        <w:snapToGrid w:val="0"/>
        <w:spacing w:line="360" w:lineRule="auto"/>
        <w:ind w:firstLine="1773" w:firstLineChars="739"/>
        <w:rPr>
          <w:sz w:val="24"/>
          <w:szCs w:val="24"/>
        </w:rPr>
      </w:pPr>
      <w:r>
        <w:rPr>
          <w:sz w:val="24"/>
          <w:szCs w:val="24"/>
        </w:rPr>
        <w:t>L=α×K×I×T/n</w:t>
      </w:r>
      <w:r>
        <w:rPr>
          <w:sz w:val="24"/>
          <w:szCs w:val="24"/>
          <w:vertAlign w:val="subscript"/>
        </w:rPr>
        <w:t>e</w:t>
      </w:r>
      <w:r>
        <w:rPr>
          <w:sz w:val="24"/>
          <w:szCs w:val="24"/>
        </w:rPr>
        <w:t>。</w:t>
      </w:r>
    </w:p>
    <w:p>
      <w:pPr>
        <w:adjustRightInd w:val="0"/>
        <w:snapToGrid w:val="0"/>
        <w:spacing w:line="360" w:lineRule="auto"/>
        <w:rPr>
          <w:sz w:val="24"/>
          <w:szCs w:val="24"/>
        </w:rPr>
      </w:pPr>
      <w:r>
        <w:rPr>
          <w:sz w:val="24"/>
          <w:szCs w:val="24"/>
        </w:rPr>
        <w:t>式中：L—下游迁移距离，m；</w:t>
      </w:r>
    </w:p>
    <w:p>
      <w:pPr>
        <w:adjustRightInd w:val="0"/>
        <w:snapToGrid w:val="0"/>
        <w:spacing w:line="360" w:lineRule="auto"/>
        <w:ind w:firstLine="708" w:firstLineChars="295"/>
        <w:rPr>
          <w:sz w:val="24"/>
          <w:szCs w:val="24"/>
        </w:rPr>
      </w:pPr>
      <w:r>
        <w:rPr>
          <w:sz w:val="24"/>
          <w:szCs w:val="24"/>
        </w:rPr>
        <w:t>α—变化系数，α≥1，一般取2；</w:t>
      </w:r>
    </w:p>
    <w:p>
      <w:pPr>
        <w:adjustRightInd w:val="0"/>
        <w:snapToGrid w:val="0"/>
        <w:spacing w:line="360" w:lineRule="auto"/>
        <w:ind w:firstLine="708" w:firstLineChars="295"/>
        <w:rPr>
          <w:sz w:val="24"/>
          <w:szCs w:val="24"/>
        </w:rPr>
      </w:pPr>
      <w:r>
        <w:rPr>
          <w:sz w:val="24"/>
          <w:szCs w:val="24"/>
        </w:rPr>
        <w:t>K—渗透系数，m/d。</w:t>
      </w:r>
      <w:r>
        <w:rPr>
          <w:rFonts w:hint="eastAsia"/>
          <w:sz w:val="24"/>
          <w:szCs w:val="24"/>
        </w:rPr>
        <w:t>项目所在区域潜水含水层岩性为细砂，渗透系数取经验值</w:t>
      </w:r>
      <w:r>
        <w:rPr>
          <w:sz w:val="24"/>
          <w:szCs w:val="24"/>
        </w:rPr>
        <w:t>7.5</w:t>
      </w:r>
      <w:r>
        <w:rPr>
          <w:rFonts w:hint="eastAsia"/>
          <w:sz w:val="24"/>
          <w:szCs w:val="24"/>
        </w:rPr>
        <w:t>m/d；</w:t>
      </w:r>
    </w:p>
    <w:p>
      <w:pPr>
        <w:adjustRightInd w:val="0"/>
        <w:snapToGrid w:val="0"/>
        <w:spacing w:line="360" w:lineRule="auto"/>
        <w:ind w:firstLine="708" w:firstLineChars="295"/>
        <w:rPr>
          <w:sz w:val="24"/>
          <w:szCs w:val="24"/>
        </w:rPr>
      </w:pPr>
      <w:r>
        <w:rPr>
          <w:sz w:val="24"/>
          <w:szCs w:val="24"/>
        </w:rPr>
        <w:t>I—水力坡度，无量纲，</w:t>
      </w:r>
      <w:r>
        <w:rPr>
          <w:rFonts w:hint="eastAsia"/>
          <w:sz w:val="24"/>
          <w:szCs w:val="24"/>
        </w:rPr>
        <w:t>根据场地下游</w:t>
      </w:r>
      <w:r>
        <w:rPr>
          <w:sz w:val="24"/>
          <w:szCs w:val="24"/>
        </w:rPr>
        <w:t>水位观测孔计算水力坡度</w:t>
      </w:r>
      <w:r>
        <w:rPr>
          <w:rFonts w:hint="eastAsia"/>
          <w:sz w:val="24"/>
          <w:szCs w:val="24"/>
        </w:rPr>
        <w:t>为0.00</w:t>
      </w:r>
      <w:r>
        <w:rPr>
          <w:sz w:val="24"/>
          <w:szCs w:val="24"/>
        </w:rPr>
        <w:t>5</w:t>
      </w:r>
      <w:r>
        <w:rPr>
          <w:rFonts w:hint="eastAsia"/>
          <w:sz w:val="24"/>
          <w:szCs w:val="24"/>
        </w:rPr>
        <w:t>；</w:t>
      </w:r>
    </w:p>
    <w:p>
      <w:pPr>
        <w:adjustRightInd w:val="0"/>
        <w:snapToGrid w:val="0"/>
        <w:spacing w:line="360" w:lineRule="auto"/>
        <w:ind w:firstLine="708" w:firstLineChars="295"/>
        <w:rPr>
          <w:sz w:val="24"/>
          <w:szCs w:val="24"/>
        </w:rPr>
      </w:pPr>
      <w:r>
        <w:rPr>
          <w:sz w:val="24"/>
          <w:szCs w:val="24"/>
        </w:rPr>
        <w:t>T—质点迁移天数，取值</w:t>
      </w:r>
      <w:r>
        <w:rPr>
          <w:rFonts w:hint="eastAsia"/>
          <w:sz w:val="24"/>
          <w:szCs w:val="24"/>
        </w:rPr>
        <w:t>不少于</w:t>
      </w:r>
      <w:r>
        <w:rPr>
          <w:sz w:val="24"/>
          <w:szCs w:val="24"/>
        </w:rPr>
        <w:t>5000d；</w:t>
      </w:r>
    </w:p>
    <w:p>
      <w:pPr>
        <w:adjustRightInd w:val="0"/>
        <w:snapToGrid w:val="0"/>
        <w:spacing w:line="360" w:lineRule="auto"/>
        <w:ind w:firstLine="708" w:firstLineChars="295"/>
        <w:rPr>
          <w:sz w:val="24"/>
          <w:szCs w:val="24"/>
        </w:rPr>
      </w:pPr>
      <w:r>
        <w:rPr>
          <w:sz w:val="24"/>
          <w:szCs w:val="24"/>
        </w:rPr>
        <w:t>n</w:t>
      </w:r>
      <w:r>
        <w:rPr>
          <w:sz w:val="24"/>
          <w:szCs w:val="24"/>
          <w:vertAlign w:val="subscript"/>
        </w:rPr>
        <w:t>e</w:t>
      </w:r>
      <w:r>
        <w:rPr>
          <w:sz w:val="24"/>
          <w:szCs w:val="24"/>
        </w:rPr>
        <w:t>—有效孔隙度，无量纲，取值0.15。</w:t>
      </w:r>
    </w:p>
    <w:p>
      <w:pPr>
        <w:adjustRightInd w:val="0"/>
        <w:snapToGrid w:val="0"/>
        <w:spacing w:line="360" w:lineRule="auto"/>
        <w:ind w:firstLine="480" w:firstLineChars="200"/>
        <w:rPr>
          <w:sz w:val="24"/>
          <w:szCs w:val="24"/>
        </w:rPr>
      </w:pPr>
      <w:r>
        <w:rPr>
          <w:sz w:val="24"/>
          <w:szCs w:val="24"/>
        </w:rPr>
        <w:t>经计算下游迁移距离L=2500m。</w:t>
      </w:r>
    </w:p>
    <w:p>
      <w:pPr>
        <w:adjustRightInd w:val="0"/>
        <w:snapToGrid w:val="0"/>
        <w:spacing w:line="360" w:lineRule="auto"/>
        <w:ind w:firstLine="480" w:firstLineChars="200"/>
        <w:rPr>
          <w:sz w:val="24"/>
          <w:szCs w:val="24"/>
        </w:rPr>
      </w:pPr>
      <w:r>
        <w:rPr>
          <w:rFonts w:hint="eastAsia"/>
          <w:sz w:val="24"/>
          <w:szCs w:val="24"/>
        </w:rPr>
        <w:t>结合</w:t>
      </w:r>
      <w:r>
        <w:rPr>
          <w:sz w:val="24"/>
          <w:szCs w:val="24"/>
        </w:rPr>
        <w:t>场地下游地质地貌特征</w:t>
      </w:r>
      <w:r>
        <w:rPr>
          <w:rFonts w:hint="eastAsia"/>
          <w:sz w:val="24"/>
          <w:szCs w:val="24"/>
        </w:rPr>
        <w:t>、</w:t>
      </w:r>
      <w:r>
        <w:rPr>
          <w:sz w:val="24"/>
          <w:szCs w:val="24"/>
        </w:rPr>
        <w:t>水文地质单元</w:t>
      </w:r>
      <w:r>
        <w:rPr>
          <w:rFonts w:hint="eastAsia"/>
          <w:sz w:val="24"/>
          <w:szCs w:val="24"/>
        </w:rPr>
        <w:t>确定</w:t>
      </w:r>
      <w:r>
        <w:rPr>
          <w:sz w:val="24"/>
          <w:szCs w:val="24"/>
        </w:rPr>
        <w:t>地下水环境影响评价</w:t>
      </w:r>
      <w:r>
        <w:rPr>
          <w:rFonts w:hint="eastAsia"/>
          <w:sz w:val="24"/>
          <w:szCs w:val="24"/>
        </w:rPr>
        <w:t>范围</w:t>
      </w:r>
      <w:r>
        <w:rPr>
          <w:sz w:val="24"/>
          <w:szCs w:val="24"/>
        </w:rPr>
        <w:t>：</w:t>
      </w:r>
      <w:r>
        <w:rPr>
          <w:rFonts w:hint="eastAsia"/>
          <w:sz w:val="24"/>
          <w:szCs w:val="24"/>
        </w:rPr>
        <w:t>北侧和东北侧以分水岭为边界，东侧以伊逊河支流为边界，西侧以多本沟为边界，南侧以伊逊河为边界。评价</w:t>
      </w:r>
      <w:r>
        <w:rPr>
          <w:sz w:val="24"/>
          <w:szCs w:val="24"/>
        </w:rPr>
        <w:t>区约</w:t>
      </w:r>
      <w:r>
        <w:rPr>
          <w:rFonts w:hint="eastAsia"/>
          <w:sz w:val="24"/>
          <w:szCs w:val="24"/>
        </w:rPr>
        <w:t>1</w:t>
      </w:r>
      <w:r>
        <w:rPr>
          <w:sz w:val="24"/>
          <w:szCs w:val="24"/>
        </w:rPr>
        <w:t>8</w:t>
      </w:r>
      <w:r>
        <w:rPr>
          <w:rFonts w:hint="eastAsia"/>
          <w:sz w:val="24"/>
          <w:szCs w:val="24"/>
        </w:rPr>
        <w:t>.</w:t>
      </w:r>
      <w:r>
        <w:rPr>
          <w:sz w:val="24"/>
          <w:szCs w:val="24"/>
        </w:rPr>
        <w:t>34km</w:t>
      </w:r>
      <w:r>
        <w:rPr>
          <w:sz w:val="24"/>
          <w:szCs w:val="24"/>
          <w:vertAlign w:val="superscript"/>
        </w:rPr>
        <w:t>2</w:t>
      </w:r>
      <w:r>
        <w:rPr>
          <w:sz w:val="24"/>
          <w:szCs w:val="24"/>
        </w:rPr>
        <w:t>范围。</w:t>
      </w:r>
    </w:p>
    <w:p>
      <w:pPr>
        <w:adjustRightInd w:val="0"/>
        <w:snapToGrid w:val="0"/>
        <w:spacing w:line="360" w:lineRule="auto"/>
        <w:jc w:val="center"/>
        <w:rPr>
          <w:sz w:val="24"/>
          <w:szCs w:val="24"/>
        </w:rPr>
      </w:pPr>
      <w:r>
        <mc:AlternateContent>
          <mc:Choice Requires="wps">
            <w:drawing>
              <wp:anchor distT="0" distB="0" distL="114300" distR="114300" simplePos="0" relativeHeight="251758592" behindDoc="0" locked="0" layoutInCell="1" allowOverlap="1">
                <wp:simplePos x="0" y="0"/>
                <wp:positionH relativeFrom="column">
                  <wp:posOffset>1533525</wp:posOffset>
                </wp:positionH>
                <wp:positionV relativeFrom="paragraph">
                  <wp:posOffset>1259205</wp:posOffset>
                </wp:positionV>
                <wp:extent cx="335280" cy="186055"/>
                <wp:effectExtent l="0" t="0" r="27305" b="23495"/>
                <wp:wrapNone/>
                <wp:docPr id="57" name="任意多边形: 形状 57"/>
                <wp:cNvGraphicFramePr/>
                <a:graphic xmlns:a="http://schemas.openxmlformats.org/drawingml/2006/main">
                  <a:graphicData uri="http://schemas.microsoft.com/office/word/2010/wordprocessingShape">
                    <wps:wsp>
                      <wps:cNvSpPr/>
                      <wps:spPr>
                        <a:xfrm>
                          <a:off x="0" y="0"/>
                          <a:ext cx="335142" cy="186190"/>
                        </a:xfrm>
                        <a:custGeom>
                          <a:avLst/>
                          <a:gdLst>
                            <a:gd name="connsiteX0" fmla="*/ 153090 w 335142"/>
                            <a:gd name="connsiteY0" fmla="*/ 8275 h 186190"/>
                            <a:gd name="connsiteX1" fmla="*/ 151021 w 335142"/>
                            <a:gd name="connsiteY1" fmla="*/ 53788 h 186190"/>
                            <a:gd name="connsiteX2" fmla="*/ 99301 w 335142"/>
                            <a:gd name="connsiteY2" fmla="*/ 39307 h 186190"/>
                            <a:gd name="connsiteX3" fmla="*/ 64132 w 335142"/>
                            <a:gd name="connsiteY3" fmla="*/ 18619 h 186190"/>
                            <a:gd name="connsiteX4" fmla="*/ 31032 w 335142"/>
                            <a:gd name="connsiteY4" fmla="*/ 0 h 186190"/>
                            <a:gd name="connsiteX5" fmla="*/ 0 w 335142"/>
                            <a:gd name="connsiteY5" fmla="*/ 6207 h 186190"/>
                            <a:gd name="connsiteX6" fmla="*/ 246185 w 335142"/>
                            <a:gd name="connsiteY6" fmla="*/ 186190 h 186190"/>
                            <a:gd name="connsiteX7" fmla="*/ 310317 w 335142"/>
                            <a:gd name="connsiteY7" fmla="*/ 140677 h 186190"/>
                            <a:gd name="connsiteX8" fmla="*/ 328936 w 335142"/>
                            <a:gd name="connsiteY8" fmla="*/ 101370 h 186190"/>
                            <a:gd name="connsiteX9" fmla="*/ 335142 w 335142"/>
                            <a:gd name="connsiteY9" fmla="*/ 53788 h 186190"/>
                            <a:gd name="connsiteX10" fmla="*/ 153090 w 335142"/>
                            <a:gd name="connsiteY10" fmla="*/ 8275 h 186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35142" h="186190">
                              <a:moveTo>
                                <a:pt x="153090" y="8275"/>
                              </a:moveTo>
                              <a:cubicBezTo>
                                <a:pt x="152400" y="23446"/>
                                <a:pt x="151711" y="38617"/>
                                <a:pt x="151021" y="53788"/>
                              </a:cubicBezTo>
                              <a:lnTo>
                                <a:pt x="99301" y="39307"/>
                              </a:lnTo>
                              <a:lnTo>
                                <a:pt x="64132" y="18619"/>
                              </a:lnTo>
                              <a:lnTo>
                                <a:pt x="31032" y="0"/>
                              </a:lnTo>
                              <a:lnTo>
                                <a:pt x="0" y="6207"/>
                              </a:lnTo>
                              <a:lnTo>
                                <a:pt x="246185" y="186190"/>
                              </a:lnTo>
                              <a:lnTo>
                                <a:pt x="310317" y="140677"/>
                              </a:lnTo>
                              <a:lnTo>
                                <a:pt x="328936" y="101370"/>
                              </a:lnTo>
                              <a:lnTo>
                                <a:pt x="335142" y="53788"/>
                              </a:lnTo>
                              <a:lnTo>
                                <a:pt x="153090" y="8275"/>
                              </a:lnTo>
                              <a:close/>
                            </a:path>
                          </a:pathLst>
                        </a:custGeom>
                        <a:solidFill>
                          <a:srgbClr val="FF00FF"/>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57" o:spid="_x0000_s1026" o:spt="100" style="position:absolute;left:0pt;margin-left:120.75pt;margin-top:99.15pt;height:14.65pt;width:26.4pt;z-index:251758592;v-text-anchor:middle;mso-width-relative:page;mso-height-relative:page;" fillcolor="#FF00FF" filled="t" stroked="t" coordsize="335142,186190" o:gfxdata="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" path="m153090,8275c152400,23446,151711,38617,151021,53788l99301,39307,64132,18619,31032,0,0,6207,246185,186190,310317,140677,328936,101370,335142,53788,153090,8275xe">
                <v:path o:connectlocs="153090,8275;151021,53788;99301,39307;64132,18619;31032,0;0,6207;246185,186190;310317,140677;328936,101370;335142,53788;153090,8275" o:connectangles="0,0,0,0,0,0,0,0,0,0,0"/>
                <v:fill on="t" focussize="0,0"/>
                <v:stroke weight="2pt" color="#FF00FF [3204]" joinstyle="round"/>
                <v:imagedata o:title=""/>
                <o:lock v:ext="edit" aspectratio="f"/>
              </v:shape>
            </w:pict>
          </mc:Fallback>
        </mc:AlternateContent>
      </w:r>
      <w:r>
        <w:drawing>
          <wp:inline distT="0" distB="0" distL="0" distR="0">
            <wp:extent cx="5274310" cy="3541395"/>
            <wp:effectExtent l="0" t="0" r="2540" b="190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4310" cy="3542011"/>
                    </a:xfrm>
                    <a:prstGeom prst="rect">
                      <a:avLst/>
                    </a:prstGeom>
                    <a:noFill/>
                    <a:ln>
                      <a:noFill/>
                    </a:ln>
                  </pic:spPr>
                </pic:pic>
              </a:graphicData>
            </a:graphic>
          </wp:inline>
        </w:drawing>
      </w:r>
    </w:p>
    <w:p>
      <w:pPr>
        <w:adjustRightInd w:val="0"/>
        <w:snapToGrid w:val="0"/>
        <w:spacing w:line="360" w:lineRule="auto"/>
        <w:jc w:val="center"/>
        <w:rPr>
          <w:b/>
          <w:bCs/>
          <w:sz w:val="24"/>
          <w:szCs w:val="24"/>
        </w:rPr>
      </w:pPr>
      <w:r>
        <w:rPr>
          <w:rFonts w:hint="eastAsia"/>
          <w:b/>
          <w:bCs/>
          <w:sz w:val="24"/>
          <w:szCs w:val="24"/>
        </w:rPr>
        <w:t>图2.6-2 地下水环境影响评价范围图</w:t>
      </w:r>
    </w:p>
    <w:p>
      <w:pPr>
        <w:adjustRightInd w:val="0"/>
        <w:snapToGrid w:val="0"/>
        <w:spacing w:line="360" w:lineRule="auto"/>
        <w:ind w:firstLine="482" w:firstLineChars="200"/>
        <w:rPr>
          <w:b/>
          <w:sz w:val="24"/>
          <w:szCs w:val="24"/>
        </w:rPr>
      </w:pPr>
      <w:r>
        <w:rPr>
          <w:rFonts w:hint="eastAsia"/>
          <w:b/>
          <w:sz w:val="24"/>
          <w:szCs w:val="24"/>
        </w:rPr>
        <w:t>4、</w:t>
      </w:r>
      <w:r>
        <w:rPr>
          <w:b/>
          <w:sz w:val="24"/>
          <w:szCs w:val="24"/>
        </w:rPr>
        <w:t>声环境评价等级</w:t>
      </w:r>
    </w:p>
    <w:p>
      <w:pPr>
        <w:pStyle w:val="194"/>
        <w:widowControl/>
        <w:ind w:firstLine="480"/>
        <w:jc w:val="left"/>
        <w:rPr>
          <w:rFonts w:ascii="Times New Roman" w:hAnsi="Times New Roman"/>
        </w:rPr>
      </w:pPr>
      <w:r>
        <w:rPr>
          <w:rFonts w:ascii="Times New Roman" w:hAnsi="Times New Roman"/>
        </w:rPr>
        <w:t>本项目选址</w:t>
      </w:r>
      <w:r>
        <w:rPr>
          <w:rFonts w:hint="eastAsia" w:ascii="Times New Roman" w:hAnsi="Times New Roman"/>
        </w:rPr>
        <w:t>区域属于声环境</w:t>
      </w:r>
      <w:r>
        <w:rPr>
          <w:rFonts w:ascii="Times New Roman" w:hAnsi="Times New Roman"/>
        </w:rPr>
        <w:t>2</w:t>
      </w:r>
      <w:r>
        <w:rPr>
          <w:rFonts w:hint="eastAsia" w:ascii="Times New Roman" w:hAnsi="Times New Roman"/>
        </w:rPr>
        <w:t>类功能区，声环境执行《声环境质量标准》（</w:t>
      </w:r>
      <w:r>
        <w:rPr>
          <w:rFonts w:ascii="Times New Roman" w:hAnsi="Times New Roman"/>
        </w:rPr>
        <w:t>GB3096-2008</w:t>
      </w:r>
      <w:r>
        <w:rPr>
          <w:rFonts w:hint="eastAsia" w:ascii="Times New Roman" w:hAnsi="Times New Roman"/>
        </w:rPr>
        <w:t>）中</w:t>
      </w:r>
      <w:r>
        <w:rPr>
          <w:rFonts w:ascii="Times New Roman" w:hAnsi="Times New Roman"/>
        </w:rPr>
        <w:t>2</w:t>
      </w:r>
      <w:r>
        <w:rPr>
          <w:rFonts w:hint="eastAsia" w:ascii="Times New Roman" w:hAnsi="Times New Roman"/>
        </w:rPr>
        <w:t>类标准，场址周围</w:t>
      </w:r>
      <w:r>
        <w:rPr>
          <w:rFonts w:ascii="Times New Roman" w:hAnsi="Times New Roman"/>
        </w:rPr>
        <w:t>200m</w:t>
      </w:r>
      <w:r>
        <w:rPr>
          <w:rFonts w:hint="eastAsia" w:ascii="Times New Roman" w:hAnsi="Times New Roman"/>
        </w:rPr>
        <w:t>范围内无居民区、医院、学校等敏感点，通过预测章节分析，项目厂界噪声变化大于</w:t>
      </w:r>
      <w:r>
        <w:rPr>
          <w:rFonts w:ascii="Times New Roman" w:hAnsi="Times New Roman"/>
        </w:rPr>
        <w:t>3dB(A)</w:t>
      </w:r>
      <w:r>
        <w:rPr>
          <w:rFonts w:hint="eastAsia" w:ascii="Times New Roman" w:hAnsi="Times New Roman"/>
        </w:rPr>
        <w:t>，依据《环境影响评价技术导则</w:t>
      </w:r>
      <w:r>
        <w:rPr>
          <w:rFonts w:ascii="Times New Roman" w:hAnsi="Times New Roman"/>
        </w:rPr>
        <w:t xml:space="preserve"> </w:t>
      </w:r>
      <w:r>
        <w:rPr>
          <w:rFonts w:hint="eastAsia" w:ascii="Times New Roman" w:hAnsi="Times New Roman"/>
        </w:rPr>
        <w:t>声环境》（</w:t>
      </w:r>
      <w:r>
        <w:rPr>
          <w:rFonts w:ascii="Times New Roman" w:hAnsi="Times New Roman"/>
        </w:rPr>
        <w:t>HJ2.4-2009</w:t>
      </w:r>
      <w:r>
        <w:rPr>
          <w:rFonts w:hint="eastAsia" w:ascii="Times New Roman" w:hAnsi="Times New Roman"/>
        </w:rPr>
        <w:t>），确定本次声环境影响评价等级为二级。评价范围为厂界向外200m。</w:t>
      </w:r>
    </w:p>
    <w:p>
      <w:pPr>
        <w:adjustRightInd w:val="0"/>
        <w:snapToGrid w:val="0"/>
        <w:spacing w:line="360" w:lineRule="auto"/>
        <w:ind w:firstLine="482" w:firstLineChars="200"/>
        <w:rPr>
          <w:b/>
          <w:sz w:val="24"/>
          <w:szCs w:val="24"/>
        </w:rPr>
      </w:pPr>
      <w:r>
        <w:rPr>
          <w:rFonts w:hint="eastAsia"/>
          <w:b/>
          <w:sz w:val="24"/>
          <w:szCs w:val="24"/>
        </w:rPr>
        <w:t>5、</w:t>
      </w:r>
      <w:r>
        <w:rPr>
          <w:b/>
          <w:sz w:val="24"/>
          <w:szCs w:val="24"/>
        </w:rPr>
        <w:t>环境风险评价工作等级</w:t>
      </w:r>
    </w:p>
    <w:p>
      <w:pPr>
        <w:adjustRightInd w:val="0"/>
        <w:snapToGrid w:val="0"/>
        <w:spacing w:line="360" w:lineRule="auto"/>
        <w:ind w:firstLine="480" w:firstLineChars="200"/>
        <w:rPr>
          <w:sz w:val="24"/>
        </w:rPr>
      </w:pPr>
      <w:r>
        <w:rPr>
          <w:sz w:val="24"/>
        </w:rPr>
        <w:t>（1）危险物质数量与临界量比值（Q）</w:t>
      </w:r>
    </w:p>
    <w:p>
      <w:pPr>
        <w:adjustRightInd w:val="0"/>
        <w:snapToGrid w:val="0"/>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Q</w:t>
      </w:r>
      <w:r>
        <w:rPr>
          <w:rFonts w:hint="eastAsia"/>
          <w:sz w:val="24"/>
        </w:rPr>
        <w:t>值计算</w:t>
      </w:r>
    </w:p>
    <w:p>
      <w:pPr>
        <w:adjustRightInd w:val="0"/>
        <w:snapToGrid w:val="0"/>
        <w:spacing w:line="360" w:lineRule="auto"/>
        <w:ind w:firstLine="480" w:firstLineChars="200"/>
        <w:rPr>
          <w:sz w:val="24"/>
        </w:rPr>
      </w:pPr>
      <w:r>
        <w:rPr>
          <w:sz w:val="24"/>
        </w:rPr>
        <w:t>计算所涉及的每种危险物质在厂界内的最大存在总量与其在《建设项目环境风险评价技术导则》（HJ169-2018）附录B中对应临界量的比值Q。在不同厂区的每一种物质，按其在厂界内的最大存在量计算。</w:t>
      </w:r>
    </w:p>
    <w:p>
      <w:pPr>
        <w:adjustRightInd w:val="0"/>
        <w:snapToGrid w:val="0"/>
        <w:spacing w:line="360" w:lineRule="auto"/>
        <w:ind w:firstLine="480" w:firstLineChars="200"/>
        <w:rPr>
          <w:sz w:val="24"/>
        </w:rPr>
      </w:pPr>
      <w:r>
        <w:rPr>
          <w:sz w:val="24"/>
        </w:rPr>
        <w:t>当只涉及一种危险物质时，计算该物质的总量与其临界量的比值，即为Q；</w:t>
      </w:r>
    </w:p>
    <w:p>
      <w:pPr>
        <w:adjustRightInd w:val="0"/>
        <w:snapToGrid w:val="0"/>
        <w:spacing w:line="360" w:lineRule="auto"/>
        <w:ind w:firstLine="480" w:firstLineChars="200"/>
        <w:rPr>
          <w:sz w:val="24"/>
        </w:rPr>
      </w:pPr>
      <w:r>
        <w:rPr>
          <w:sz w:val="24"/>
        </w:rPr>
        <w:t>当存在多种危险物质时，则按下面公式计算物质总量与其临界量的比值(Q)：</w:t>
      </w:r>
    </w:p>
    <w:p>
      <w:pPr>
        <w:jc w:val="center"/>
        <w:rPr>
          <w:sz w:val="24"/>
        </w:rPr>
      </w:pPr>
      <w:r>
        <w:drawing>
          <wp:inline distT="0" distB="0" distL="114300" distR="114300">
            <wp:extent cx="1787525" cy="426720"/>
            <wp:effectExtent l="0" t="0" r="10795" b="0"/>
            <wp:docPr id="14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图片 14"/>
                    <pic:cNvPicPr>
                      <a:picLocks noChangeAspect="1"/>
                    </pic:cNvPicPr>
                  </pic:nvPicPr>
                  <pic:blipFill>
                    <a:blip r:embed="rId39"/>
                    <a:stretch>
                      <a:fillRect/>
                    </a:stretch>
                  </pic:blipFill>
                  <pic:spPr>
                    <a:xfrm>
                      <a:off x="0" y="0"/>
                      <a:ext cx="1787525" cy="426720"/>
                    </a:xfrm>
                    <a:prstGeom prst="rect">
                      <a:avLst/>
                    </a:prstGeom>
                    <a:noFill/>
                    <a:ln>
                      <a:noFill/>
                    </a:ln>
                  </pic:spPr>
                </pic:pic>
              </a:graphicData>
            </a:graphic>
          </wp:inline>
        </w:drawing>
      </w:r>
    </w:p>
    <w:p>
      <w:pPr>
        <w:adjustRightInd w:val="0"/>
        <w:snapToGrid w:val="0"/>
        <w:spacing w:line="360" w:lineRule="auto"/>
        <w:ind w:firstLine="480" w:firstLineChars="200"/>
        <w:rPr>
          <w:sz w:val="24"/>
        </w:rPr>
      </w:pPr>
      <w:r>
        <w:rPr>
          <w:sz w:val="24"/>
        </w:rPr>
        <w:t>式中：q</w:t>
      </w:r>
      <w:r>
        <w:rPr>
          <w:sz w:val="24"/>
          <w:vertAlign w:val="subscript"/>
        </w:rPr>
        <w:t>1</w:t>
      </w:r>
      <w:r>
        <w:rPr>
          <w:sz w:val="24"/>
        </w:rPr>
        <w:t>，q</w:t>
      </w:r>
      <w:r>
        <w:rPr>
          <w:sz w:val="24"/>
          <w:vertAlign w:val="subscript"/>
        </w:rPr>
        <w:t>2</w:t>
      </w:r>
      <w:r>
        <w:rPr>
          <w:sz w:val="24"/>
        </w:rPr>
        <w:t>····q</w:t>
      </w:r>
      <w:r>
        <w:rPr>
          <w:sz w:val="24"/>
          <w:vertAlign w:val="subscript"/>
        </w:rPr>
        <w:t>n</w:t>
      </w:r>
      <w:r>
        <w:rPr>
          <w:sz w:val="24"/>
        </w:rPr>
        <w:t>—每种危险物质的最大存在总量，t。</w:t>
      </w:r>
    </w:p>
    <w:p>
      <w:pPr>
        <w:adjustRightInd w:val="0"/>
        <w:snapToGrid w:val="0"/>
        <w:spacing w:line="360" w:lineRule="auto"/>
        <w:ind w:firstLine="1132" w:firstLineChars="472"/>
        <w:rPr>
          <w:sz w:val="24"/>
        </w:rPr>
      </w:pPr>
      <w:r>
        <w:rPr>
          <w:sz w:val="24"/>
        </w:rPr>
        <w:t>Q</w:t>
      </w:r>
      <w:r>
        <w:rPr>
          <w:sz w:val="24"/>
          <w:vertAlign w:val="subscript"/>
        </w:rPr>
        <w:t>1</w:t>
      </w:r>
      <w:r>
        <w:rPr>
          <w:sz w:val="24"/>
        </w:rPr>
        <w:t>，Q</w:t>
      </w:r>
      <w:r>
        <w:rPr>
          <w:sz w:val="24"/>
          <w:vertAlign w:val="subscript"/>
        </w:rPr>
        <w:t>2</w:t>
      </w:r>
      <w:r>
        <w:rPr>
          <w:sz w:val="24"/>
        </w:rPr>
        <w:t>···Q</w:t>
      </w:r>
      <w:r>
        <w:rPr>
          <w:sz w:val="24"/>
          <w:vertAlign w:val="subscript"/>
        </w:rPr>
        <w:t>n</w:t>
      </w:r>
      <w:r>
        <w:rPr>
          <w:sz w:val="24"/>
        </w:rPr>
        <w:t>—每种危险物质的临界量，t。</w:t>
      </w:r>
    </w:p>
    <w:p>
      <w:pPr>
        <w:adjustRightInd w:val="0"/>
        <w:snapToGrid w:val="0"/>
        <w:spacing w:line="360" w:lineRule="auto"/>
        <w:ind w:firstLine="480" w:firstLineChars="200"/>
        <w:rPr>
          <w:sz w:val="24"/>
        </w:rPr>
      </w:pPr>
      <w:r>
        <w:rPr>
          <w:sz w:val="24"/>
        </w:rPr>
        <w:t>当Q&lt;1时，该项目环境风险潜势为Ⅰ。</w:t>
      </w:r>
    </w:p>
    <w:p>
      <w:pPr>
        <w:adjustRightInd w:val="0"/>
        <w:snapToGrid w:val="0"/>
        <w:spacing w:line="360" w:lineRule="auto"/>
        <w:ind w:firstLine="480" w:firstLineChars="200"/>
        <w:rPr>
          <w:sz w:val="24"/>
        </w:rPr>
      </w:pPr>
      <w:r>
        <w:rPr>
          <w:sz w:val="24"/>
        </w:rPr>
        <w:t>当Q≥1时候，将Q值划分为：(1)1≤Q&lt;10；(2)10≤Q&lt;100；(3)Q≥100。</w:t>
      </w:r>
    </w:p>
    <w:p>
      <w:pPr>
        <w:adjustRightInd w:val="0"/>
        <w:snapToGrid w:val="0"/>
        <w:spacing w:line="360" w:lineRule="auto"/>
        <w:ind w:firstLine="480" w:firstLineChars="200"/>
        <w:rPr>
          <w:kern w:val="0"/>
          <w:sz w:val="24"/>
        </w:rPr>
      </w:pPr>
      <w:r>
        <w:rPr>
          <w:rFonts w:hint="eastAsia"/>
          <w:kern w:val="0"/>
          <w:sz w:val="24"/>
        </w:rPr>
        <w:t>本项目为飞灰固化物填埋项目，在填埋过程中不产生甲烷等填埋气，在填埋过程中涉及到的危险物质主要为润滑油和渗滤液，渗滤液的成分主要是重金属，</w:t>
      </w:r>
      <w:r>
        <w:rPr>
          <w:kern w:val="0"/>
          <w:sz w:val="24"/>
        </w:rPr>
        <w:t>NH</w:t>
      </w:r>
      <w:r>
        <w:rPr>
          <w:kern w:val="0"/>
          <w:sz w:val="24"/>
          <w:vertAlign w:val="subscript"/>
        </w:rPr>
        <w:t>3</w:t>
      </w:r>
      <w:r>
        <w:rPr>
          <w:kern w:val="0"/>
          <w:sz w:val="24"/>
        </w:rPr>
        <w:t>-N</w:t>
      </w:r>
      <w:r>
        <w:rPr>
          <w:rFonts w:hint="eastAsia"/>
          <w:kern w:val="0"/>
          <w:sz w:val="24"/>
        </w:rPr>
        <w:t>、</w:t>
      </w:r>
      <w:r>
        <w:rPr>
          <w:kern w:val="0"/>
          <w:sz w:val="24"/>
        </w:rPr>
        <w:t>COD</w:t>
      </w:r>
      <w:r>
        <w:rPr>
          <w:kern w:val="0"/>
          <w:sz w:val="24"/>
          <w:vertAlign w:val="subscript"/>
        </w:rPr>
        <w:t>Cr</w:t>
      </w:r>
      <w:r>
        <w:rPr>
          <w:rFonts w:hint="eastAsia"/>
          <w:kern w:val="0"/>
          <w:sz w:val="24"/>
        </w:rPr>
        <w:t>浓度较低，未达到《建设项目环境风险评价技术导则》（</w:t>
      </w:r>
      <w:r>
        <w:rPr>
          <w:kern w:val="0"/>
          <w:sz w:val="24"/>
        </w:rPr>
        <w:t>HJ169-2018</w:t>
      </w:r>
      <w:r>
        <w:rPr>
          <w:rFonts w:hint="eastAsia"/>
          <w:kern w:val="0"/>
          <w:sz w:val="24"/>
        </w:rPr>
        <w:t>）附录</w:t>
      </w:r>
      <w:r>
        <w:rPr>
          <w:kern w:val="0"/>
          <w:sz w:val="24"/>
        </w:rPr>
        <w:t>B</w:t>
      </w:r>
      <w:r>
        <w:rPr>
          <w:rFonts w:hint="eastAsia"/>
          <w:kern w:val="0"/>
          <w:sz w:val="24"/>
        </w:rPr>
        <w:t>和《企业突发环境事件风险分级方法》（</w:t>
      </w:r>
      <w:r>
        <w:rPr>
          <w:kern w:val="0"/>
          <w:sz w:val="24"/>
        </w:rPr>
        <w:t>HJ941-2018</w:t>
      </w:r>
      <w:r>
        <w:rPr>
          <w:rFonts w:hint="eastAsia"/>
          <w:kern w:val="0"/>
          <w:sz w:val="24"/>
        </w:rPr>
        <w:t>）中附录</w:t>
      </w:r>
      <w:r>
        <w:rPr>
          <w:kern w:val="0"/>
          <w:sz w:val="24"/>
        </w:rPr>
        <w:t>A</w:t>
      </w:r>
      <w:r>
        <w:rPr>
          <w:rFonts w:hint="eastAsia"/>
          <w:kern w:val="0"/>
          <w:sz w:val="24"/>
        </w:rPr>
        <w:t>中危险物质</w:t>
      </w:r>
      <w:r>
        <w:rPr>
          <w:kern w:val="0"/>
          <w:sz w:val="24"/>
        </w:rPr>
        <w:t>“COD</w:t>
      </w:r>
      <w:r>
        <w:rPr>
          <w:kern w:val="0"/>
          <w:sz w:val="24"/>
          <w:vertAlign w:val="subscript"/>
        </w:rPr>
        <w:t>Cr</w:t>
      </w:r>
      <w:r>
        <w:rPr>
          <w:rFonts w:hint="eastAsia"/>
          <w:kern w:val="0"/>
          <w:sz w:val="24"/>
        </w:rPr>
        <w:t>浓度≥</w:t>
      </w:r>
      <w:r>
        <w:rPr>
          <w:kern w:val="0"/>
          <w:sz w:val="24"/>
        </w:rPr>
        <w:t>10000mg/L</w:t>
      </w:r>
      <w:r>
        <w:rPr>
          <w:rFonts w:hint="eastAsia"/>
          <w:kern w:val="0"/>
          <w:sz w:val="24"/>
        </w:rPr>
        <w:t>的有机废液、</w:t>
      </w:r>
      <w:r>
        <w:rPr>
          <w:kern w:val="0"/>
          <w:sz w:val="24"/>
        </w:rPr>
        <w:t>NH</w:t>
      </w:r>
      <w:r>
        <w:rPr>
          <w:kern w:val="0"/>
          <w:sz w:val="24"/>
          <w:vertAlign w:val="subscript"/>
        </w:rPr>
        <w:t>3</w:t>
      </w:r>
      <w:r>
        <w:rPr>
          <w:kern w:val="0"/>
          <w:sz w:val="24"/>
        </w:rPr>
        <w:t>-N</w:t>
      </w:r>
      <w:r>
        <w:rPr>
          <w:rFonts w:hint="eastAsia"/>
          <w:kern w:val="0"/>
          <w:sz w:val="24"/>
        </w:rPr>
        <w:t>浓度≥</w:t>
      </w:r>
      <w:r>
        <w:rPr>
          <w:kern w:val="0"/>
          <w:sz w:val="24"/>
        </w:rPr>
        <w:t>2000mg/L</w:t>
      </w:r>
      <w:r>
        <w:rPr>
          <w:rFonts w:hint="eastAsia"/>
          <w:kern w:val="0"/>
          <w:sz w:val="24"/>
        </w:rPr>
        <w:t>的废液</w:t>
      </w:r>
      <w:r>
        <w:rPr>
          <w:kern w:val="0"/>
          <w:sz w:val="24"/>
        </w:rPr>
        <w:t>”</w:t>
      </w:r>
      <w:r>
        <w:rPr>
          <w:rFonts w:hint="eastAsia"/>
          <w:kern w:val="0"/>
          <w:sz w:val="24"/>
        </w:rPr>
        <w:t>，故可认为本项目的渗滤液不属于环境风险中重点关注的危险物质。污水预处理使用的</w:t>
      </w:r>
      <w:r>
        <w:rPr>
          <w:kern w:val="0"/>
          <w:sz w:val="24"/>
        </w:rPr>
        <w:t>NaOH</w:t>
      </w:r>
      <w:r>
        <w:rPr>
          <w:rFonts w:hint="eastAsia"/>
          <w:kern w:val="0"/>
          <w:sz w:val="24"/>
        </w:rPr>
        <w:t>、</w:t>
      </w:r>
      <w:r>
        <w:rPr>
          <w:kern w:val="0"/>
          <w:sz w:val="24"/>
        </w:rPr>
        <w:t>PAC</w:t>
      </w:r>
      <w:r>
        <w:rPr>
          <w:rFonts w:hint="eastAsia"/>
          <w:kern w:val="0"/>
          <w:sz w:val="24"/>
        </w:rPr>
        <w:t>（混凝剂聚合氯化铝）、</w:t>
      </w:r>
      <w:r>
        <w:rPr>
          <w:kern w:val="0"/>
          <w:sz w:val="24"/>
        </w:rPr>
        <w:t>PAM</w:t>
      </w:r>
      <w:r>
        <w:rPr>
          <w:rFonts w:hint="eastAsia"/>
          <w:kern w:val="0"/>
          <w:sz w:val="24"/>
        </w:rPr>
        <w:t>（絮凝剂聚丙烯酰胺）不属于附录</w:t>
      </w:r>
      <w:r>
        <w:rPr>
          <w:kern w:val="0"/>
          <w:sz w:val="24"/>
        </w:rPr>
        <w:t xml:space="preserve">B </w:t>
      </w:r>
      <w:r>
        <w:rPr>
          <w:rFonts w:hint="eastAsia"/>
          <w:kern w:val="0"/>
          <w:sz w:val="24"/>
        </w:rPr>
        <w:t>重点关注的危险物质，未构成风险物质重大危险源。</w:t>
      </w:r>
    </w:p>
    <w:p>
      <w:pPr>
        <w:adjustRightInd w:val="0"/>
        <w:snapToGrid w:val="0"/>
        <w:spacing w:line="360" w:lineRule="auto"/>
        <w:ind w:firstLine="480" w:firstLineChars="200"/>
        <w:rPr>
          <w:kern w:val="0"/>
          <w:sz w:val="24"/>
        </w:rPr>
      </w:pPr>
      <w:r>
        <w:rPr>
          <w:rFonts w:hint="eastAsia"/>
          <w:kern w:val="0"/>
          <w:sz w:val="24"/>
        </w:rPr>
        <w:t>对照《建设项目环境风险评价技术导则》（</w:t>
      </w:r>
      <w:r>
        <w:rPr>
          <w:kern w:val="0"/>
          <w:sz w:val="24"/>
        </w:rPr>
        <w:t>HJ169-2018</w:t>
      </w:r>
      <w:r>
        <w:rPr>
          <w:rFonts w:hint="eastAsia"/>
          <w:kern w:val="0"/>
          <w:sz w:val="24"/>
        </w:rPr>
        <w:t>）中的相关规定判定见表2</w:t>
      </w:r>
      <w:r>
        <w:rPr>
          <w:kern w:val="0"/>
          <w:sz w:val="24"/>
        </w:rPr>
        <w:t>.6-8</w:t>
      </w:r>
      <w:r>
        <w:rPr>
          <w:rFonts w:hint="eastAsia"/>
          <w:kern w:val="0"/>
          <w:sz w:val="24"/>
        </w:rPr>
        <w:t>，本项目危险物质数量与临界量比值</w:t>
      </w:r>
      <w:r>
        <w:rPr>
          <w:kern w:val="0"/>
          <w:sz w:val="24"/>
        </w:rPr>
        <w:t>Q=0.00006</w:t>
      </w:r>
      <w:r>
        <w:rPr>
          <w:rFonts w:hint="eastAsia"/>
          <w:kern w:val="0"/>
          <w:sz w:val="24"/>
        </w:rPr>
        <w:t>＜</w:t>
      </w:r>
      <w:r>
        <w:rPr>
          <w:kern w:val="0"/>
          <w:sz w:val="24"/>
        </w:rPr>
        <w:t>1</w:t>
      </w:r>
      <w:r>
        <w:rPr>
          <w:rFonts w:hint="eastAsia"/>
          <w:kern w:val="0"/>
          <w:sz w:val="24"/>
        </w:rPr>
        <w:t>。</w:t>
      </w:r>
    </w:p>
    <w:p>
      <w:pPr>
        <w:spacing w:line="480" w:lineRule="exact"/>
        <w:jc w:val="center"/>
        <w:rPr>
          <w:rFonts w:eastAsia="黑体"/>
          <w:sz w:val="24"/>
          <w:szCs w:val="24"/>
        </w:rPr>
      </w:pPr>
      <w:r>
        <w:rPr>
          <w:rFonts w:eastAsia="黑体"/>
          <w:sz w:val="24"/>
          <w:szCs w:val="24"/>
        </w:rPr>
        <w:t>表2.6-8    危险物质与临界量对比计算结果一览表</w:t>
      </w:r>
    </w:p>
    <w:tbl>
      <w:tblPr>
        <w:tblStyle w:val="39"/>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581"/>
        <w:gridCol w:w="2504"/>
        <w:gridCol w:w="1295"/>
        <w:gridCol w:w="1844"/>
        <w:gridCol w:w="898"/>
        <w:gridCol w:w="140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0" w:type="auto"/>
            <w:shd w:val="clear" w:color="auto" w:fill="auto"/>
            <w:vAlign w:val="center"/>
          </w:tcPr>
          <w:p>
            <w:pPr>
              <w:widowControl/>
              <w:adjustRightInd w:val="0"/>
              <w:snapToGrid w:val="0"/>
              <w:jc w:val="center"/>
              <w:rPr>
                <w:kern w:val="0"/>
                <w:szCs w:val="21"/>
              </w:rPr>
            </w:pPr>
            <w:r>
              <w:rPr>
                <w:kern w:val="0"/>
                <w:szCs w:val="21"/>
              </w:rPr>
              <w:t>序号</w:t>
            </w:r>
          </w:p>
        </w:tc>
        <w:tc>
          <w:tcPr>
            <w:tcW w:w="2504" w:type="dxa"/>
            <w:shd w:val="clear" w:color="auto" w:fill="auto"/>
            <w:vAlign w:val="center"/>
          </w:tcPr>
          <w:p>
            <w:pPr>
              <w:widowControl/>
              <w:adjustRightInd w:val="0"/>
              <w:snapToGrid w:val="0"/>
              <w:jc w:val="center"/>
              <w:rPr>
                <w:kern w:val="0"/>
                <w:szCs w:val="21"/>
              </w:rPr>
            </w:pPr>
            <w:r>
              <w:rPr>
                <w:kern w:val="0"/>
                <w:szCs w:val="21"/>
              </w:rPr>
              <w:t>物质名称</w:t>
            </w:r>
          </w:p>
        </w:tc>
        <w:tc>
          <w:tcPr>
            <w:tcW w:w="1295" w:type="dxa"/>
            <w:shd w:val="clear" w:color="auto" w:fill="auto"/>
            <w:vAlign w:val="center"/>
          </w:tcPr>
          <w:p>
            <w:pPr>
              <w:widowControl/>
              <w:adjustRightInd w:val="0"/>
              <w:snapToGrid w:val="0"/>
              <w:jc w:val="center"/>
              <w:rPr>
                <w:kern w:val="0"/>
                <w:szCs w:val="21"/>
              </w:rPr>
            </w:pPr>
            <w:r>
              <w:rPr>
                <w:kern w:val="0"/>
                <w:szCs w:val="21"/>
              </w:rPr>
              <w:t>CAS 号</w:t>
            </w:r>
          </w:p>
        </w:tc>
        <w:tc>
          <w:tcPr>
            <w:tcW w:w="1844" w:type="dxa"/>
            <w:shd w:val="clear" w:color="auto" w:fill="auto"/>
            <w:vAlign w:val="center"/>
          </w:tcPr>
          <w:p>
            <w:pPr>
              <w:widowControl/>
              <w:adjustRightInd w:val="0"/>
              <w:snapToGrid w:val="0"/>
              <w:jc w:val="center"/>
              <w:rPr>
                <w:kern w:val="0"/>
                <w:szCs w:val="21"/>
              </w:rPr>
            </w:pPr>
            <w:r>
              <w:rPr>
                <w:rFonts w:hint="eastAsia"/>
                <w:kern w:val="0"/>
                <w:szCs w:val="21"/>
              </w:rPr>
              <w:t>本项目</w:t>
            </w:r>
            <w:r>
              <w:rPr>
                <w:kern w:val="0"/>
                <w:szCs w:val="21"/>
              </w:rPr>
              <w:t>最大存在总量 q</w:t>
            </w:r>
            <w:r>
              <w:rPr>
                <w:rFonts w:hint="eastAsia"/>
                <w:kern w:val="0"/>
                <w:szCs w:val="21"/>
                <w:vertAlign w:val="subscript"/>
              </w:rPr>
              <w:t>n</w:t>
            </w:r>
            <w:r>
              <w:rPr>
                <w:kern w:val="0"/>
                <w:szCs w:val="21"/>
              </w:rPr>
              <w:t>/t</w:t>
            </w:r>
          </w:p>
        </w:tc>
        <w:tc>
          <w:tcPr>
            <w:tcW w:w="898" w:type="dxa"/>
            <w:shd w:val="clear" w:color="auto" w:fill="auto"/>
            <w:vAlign w:val="center"/>
          </w:tcPr>
          <w:p>
            <w:pPr>
              <w:widowControl/>
              <w:adjustRightInd w:val="0"/>
              <w:snapToGrid w:val="0"/>
              <w:jc w:val="center"/>
              <w:rPr>
                <w:kern w:val="0"/>
                <w:szCs w:val="21"/>
              </w:rPr>
            </w:pPr>
            <w:r>
              <w:rPr>
                <w:kern w:val="0"/>
                <w:szCs w:val="21"/>
              </w:rPr>
              <w:t>临界量Q /t</w:t>
            </w:r>
          </w:p>
        </w:tc>
        <w:tc>
          <w:tcPr>
            <w:tcW w:w="0" w:type="auto"/>
            <w:shd w:val="clear" w:color="auto" w:fill="auto"/>
            <w:vAlign w:val="center"/>
          </w:tcPr>
          <w:p>
            <w:pPr>
              <w:widowControl/>
              <w:adjustRightInd w:val="0"/>
              <w:snapToGrid w:val="0"/>
              <w:jc w:val="center"/>
              <w:rPr>
                <w:kern w:val="0"/>
                <w:szCs w:val="21"/>
              </w:rPr>
            </w:pPr>
            <w:r>
              <w:rPr>
                <w:kern w:val="0"/>
                <w:szCs w:val="21"/>
              </w:rPr>
              <w:t>危险物质 Q值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0" w:type="auto"/>
            <w:shd w:val="clear" w:color="auto" w:fill="auto"/>
            <w:vAlign w:val="center"/>
          </w:tcPr>
          <w:p>
            <w:pPr>
              <w:widowControl/>
              <w:adjustRightInd w:val="0"/>
              <w:snapToGrid w:val="0"/>
              <w:jc w:val="center"/>
              <w:rPr>
                <w:kern w:val="0"/>
                <w:szCs w:val="21"/>
              </w:rPr>
            </w:pPr>
            <w:r>
              <w:rPr>
                <w:kern w:val="0"/>
                <w:szCs w:val="21"/>
              </w:rPr>
              <w:t>1</w:t>
            </w:r>
          </w:p>
        </w:tc>
        <w:tc>
          <w:tcPr>
            <w:tcW w:w="2504" w:type="dxa"/>
            <w:shd w:val="clear" w:color="auto" w:fill="auto"/>
            <w:vAlign w:val="center"/>
          </w:tcPr>
          <w:p>
            <w:pPr>
              <w:widowControl/>
              <w:adjustRightInd w:val="0"/>
              <w:snapToGrid w:val="0"/>
              <w:jc w:val="center"/>
              <w:rPr>
                <w:kern w:val="0"/>
                <w:szCs w:val="21"/>
              </w:rPr>
            </w:pPr>
            <w:r>
              <w:rPr>
                <w:rFonts w:hint="eastAsia"/>
                <w:kern w:val="0"/>
                <w:szCs w:val="21"/>
              </w:rPr>
              <w:t>润滑油</w:t>
            </w:r>
          </w:p>
        </w:tc>
        <w:tc>
          <w:tcPr>
            <w:tcW w:w="1295" w:type="dxa"/>
            <w:shd w:val="clear" w:color="auto" w:fill="auto"/>
            <w:vAlign w:val="center"/>
          </w:tcPr>
          <w:p>
            <w:pPr>
              <w:widowControl/>
              <w:adjustRightInd w:val="0"/>
              <w:snapToGrid w:val="0"/>
              <w:jc w:val="center"/>
              <w:rPr>
                <w:kern w:val="0"/>
                <w:szCs w:val="21"/>
              </w:rPr>
            </w:pPr>
            <w:r>
              <w:rPr>
                <w:rFonts w:hint="eastAsia"/>
                <w:kern w:val="0"/>
                <w:szCs w:val="21"/>
              </w:rPr>
              <w:t>/</w:t>
            </w:r>
          </w:p>
        </w:tc>
        <w:tc>
          <w:tcPr>
            <w:tcW w:w="1844" w:type="dxa"/>
            <w:shd w:val="clear" w:color="auto" w:fill="auto"/>
            <w:vAlign w:val="center"/>
          </w:tcPr>
          <w:p>
            <w:pPr>
              <w:widowControl/>
              <w:adjustRightInd w:val="0"/>
              <w:snapToGrid w:val="0"/>
              <w:jc w:val="center"/>
              <w:rPr>
                <w:kern w:val="0"/>
                <w:szCs w:val="21"/>
              </w:rPr>
            </w:pPr>
            <w:r>
              <w:rPr>
                <w:rFonts w:hint="eastAsia"/>
                <w:kern w:val="0"/>
                <w:szCs w:val="21"/>
              </w:rPr>
              <w:t>0</w:t>
            </w:r>
            <w:r>
              <w:rPr>
                <w:kern w:val="0"/>
                <w:szCs w:val="21"/>
              </w:rPr>
              <w:t>.15</w:t>
            </w:r>
          </w:p>
        </w:tc>
        <w:tc>
          <w:tcPr>
            <w:tcW w:w="898" w:type="dxa"/>
            <w:shd w:val="clear" w:color="auto" w:fill="auto"/>
            <w:vAlign w:val="center"/>
          </w:tcPr>
          <w:p>
            <w:pPr>
              <w:widowControl/>
              <w:adjustRightInd w:val="0"/>
              <w:snapToGrid w:val="0"/>
              <w:jc w:val="center"/>
              <w:rPr>
                <w:kern w:val="0"/>
                <w:szCs w:val="21"/>
              </w:rPr>
            </w:pPr>
            <w:r>
              <w:rPr>
                <w:rFonts w:hint="eastAsia"/>
                <w:kern w:val="0"/>
                <w:szCs w:val="21"/>
              </w:rPr>
              <w:t>2</w:t>
            </w:r>
            <w:r>
              <w:rPr>
                <w:kern w:val="0"/>
                <w:szCs w:val="21"/>
              </w:rPr>
              <w:t>500</w:t>
            </w:r>
          </w:p>
        </w:tc>
        <w:tc>
          <w:tcPr>
            <w:tcW w:w="0" w:type="auto"/>
            <w:shd w:val="clear" w:color="auto" w:fill="auto"/>
            <w:vAlign w:val="center"/>
          </w:tcPr>
          <w:p>
            <w:pPr>
              <w:widowControl/>
              <w:adjustRightInd w:val="0"/>
              <w:snapToGrid w:val="0"/>
              <w:jc w:val="center"/>
              <w:rPr>
                <w:kern w:val="0"/>
                <w:szCs w:val="21"/>
              </w:rPr>
            </w:pPr>
            <w:r>
              <w:rPr>
                <w:rFonts w:hint="eastAsia"/>
                <w:kern w:val="0"/>
                <w:szCs w:val="21"/>
              </w:rPr>
              <w:t>0</w:t>
            </w:r>
            <w:r>
              <w:rPr>
                <w:kern w:val="0"/>
                <w:szCs w:val="21"/>
              </w:rPr>
              <w:t>.00006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0" w:type="auto"/>
            <w:shd w:val="clear" w:color="auto" w:fill="auto"/>
            <w:vAlign w:val="center"/>
          </w:tcPr>
          <w:p>
            <w:pPr>
              <w:widowControl/>
              <w:adjustRightInd w:val="0"/>
              <w:snapToGrid w:val="0"/>
              <w:jc w:val="center"/>
              <w:rPr>
                <w:kern w:val="0"/>
                <w:szCs w:val="21"/>
              </w:rPr>
            </w:pPr>
            <w:r>
              <w:rPr>
                <w:kern w:val="0"/>
                <w:szCs w:val="21"/>
              </w:rPr>
              <w:t>2</w:t>
            </w:r>
          </w:p>
        </w:tc>
        <w:tc>
          <w:tcPr>
            <w:tcW w:w="2504" w:type="dxa"/>
          </w:tcPr>
          <w:p>
            <w:pPr>
              <w:widowControl/>
              <w:adjustRightInd w:val="0"/>
              <w:snapToGrid w:val="0"/>
              <w:jc w:val="center"/>
              <w:rPr>
                <w:kern w:val="0"/>
                <w:szCs w:val="21"/>
              </w:rPr>
            </w:pPr>
            <w:r>
              <w:rPr>
                <w:rFonts w:ascii="宋体" w:hAnsi="宋体" w:cs="宋体"/>
                <w:szCs w:val="21"/>
              </w:rPr>
              <w:t>PAC</w:t>
            </w:r>
            <w:r>
              <w:rPr>
                <w:rFonts w:hint="eastAsia" w:ascii="宋体" w:hAnsi="宋体" w:cs="宋体"/>
                <w:szCs w:val="21"/>
              </w:rPr>
              <w:t>（混凝剂聚合氯化铝）</w:t>
            </w:r>
          </w:p>
        </w:tc>
        <w:tc>
          <w:tcPr>
            <w:tcW w:w="1295" w:type="dxa"/>
          </w:tcPr>
          <w:p>
            <w:pPr>
              <w:widowControl/>
              <w:adjustRightInd w:val="0"/>
              <w:snapToGrid w:val="0"/>
              <w:jc w:val="center"/>
              <w:rPr>
                <w:kern w:val="0"/>
                <w:szCs w:val="21"/>
              </w:rPr>
            </w:pPr>
            <w:r>
              <w:rPr>
                <w:rFonts w:hint="eastAsia"/>
                <w:kern w:val="0"/>
                <w:szCs w:val="21"/>
              </w:rPr>
              <w:t>/</w:t>
            </w:r>
          </w:p>
        </w:tc>
        <w:tc>
          <w:tcPr>
            <w:tcW w:w="1844" w:type="dxa"/>
          </w:tcPr>
          <w:p>
            <w:pPr>
              <w:widowControl/>
              <w:adjustRightInd w:val="0"/>
              <w:snapToGrid w:val="0"/>
              <w:jc w:val="center"/>
              <w:rPr>
                <w:kern w:val="0"/>
                <w:szCs w:val="21"/>
              </w:rPr>
            </w:pPr>
            <w:r>
              <w:t>1</w:t>
            </w:r>
          </w:p>
        </w:tc>
        <w:tc>
          <w:tcPr>
            <w:tcW w:w="898" w:type="dxa"/>
            <w:shd w:val="clear" w:color="auto" w:fill="auto"/>
            <w:vAlign w:val="center"/>
          </w:tcPr>
          <w:p>
            <w:pPr>
              <w:widowControl/>
              <w:adjustRightInd w:val="0"/>
              <w:snapToGrid w:val="0"/>
              <w:jc w:val="center"/>
              <w:rPr>
                <w:kern w:val="0"/>
                <w:szCs w:val="21"/>
              </w:rPr>
            </w:pPr>
            <w:r>
              <w:rPr>
                <w:rFonts w:hint="eastAsia"/>
                <w:kern w:val="0"/>
                <w:szCs w:val="21"/>
              </w:rPr>
              <w:t>/</w:t>
            </w:r>
          </w:p>
        </w:tc>
        <w:tc>
          <w:tcPr>
            <w:tcW w:w="0" w:type="auto"/>
            <w:shd w:val="clear" w:color="auto" w:fill="auto"/>
            <w:vAlign w:val="center"/>
          </w:tcPr>
          <w:p>
            <w:pPr>
              <w:widowControl/>
              <w:adjustRightInd w:val="0"/>
              <w:snapToGrid w:val="0"/>
              <w:jc w:val="center"/>
              <w:rPr>
                <w:kern w:val="0"/>
                <w:szCs w:val="21"/>
              </w:rPr>
            </w:pPr>
            <w:r>
              <w:rPr>
                <w:rFonts w:hint="eastAsia"/>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0" w:type="auto"/>
            <w:shd w:val="clear" w:color="auto" w:fill="auto"/>
            <w:vAlign w:val="center"/>
          </w:tcPr>
          <w:p>
            <w:pPr>
              <w:widowControl/>
              <w:adjustRightInd w:val="0"/>
              <w:snapToGrid w:val="0"/>
              <w:jc w:val="center"/>
              <w:rPr>
                <w:kern w:val="0"/>
                <w:szCs w:val="21"/>
              </w:rPr>
            </w:pPr>
            <w:r>
              <w:rPr>
                <w:rFonts w:hint="eastAsia"/>
                <w:kern w:val="0"/>
                <w:szCs w:val="21"/>
              </w:rPr>
              <w:t>3</w:t>
            </w:r>
          </w:p>
        </w:tc>
        <w:tc>
          <w:tcPr>
            <w:tcW w:w="2504" w:type="dxa"/>
          </w:tcPr>
          <w:p>
            <w:pPr>
              <w:widowControl/>
              <w:adjustRightInd w:val="0"/>
              <w:snapToGrid w:val="0"/>
              <w:jc w:val="center"/>
              <w:rPr>
                <w:kern w:val="0"/>
                <w:szCs w:val="21"/>
              </w:rPr>
            </w:pPr>
            <w:r>
              <w:rPr>
                <w:rFonts w:ascii="宋体" w:hAnsi="宋体" w:cs="宋体"/>
                <w:szCs w:val="21"/>
              </w:rPr>
              <w:t>PAM</w:t>
            </w:r>
            <w:r>
              <w:rPr>
                <w:rFonts w:hint="eastAsia" w:ascii="宋体" w:hAnsi="宋体" w:cs="宋体"/>
                <w:szCs w:val="21"/>
              </w:rPr>
              <w:t>（絮凝剂聚丙烯酰胺）</w:t>
            </w:r>
          </w:p>
        </w:tc>
        <w:tc>
          <w:tcPr>
            <w:tcW w:w="1295" w:type="dxa"/>
          </w:tcPr>
          <w:p>
            <w:pPr>
              <w:widowControl/>
              <w:adjustRightInd w:val="0"/>
              <w:snapToGrid w:val="0"/>
              <w:jc w:val="center"/>
              <w:rPr>
                <w:kern w:val="0"/>
                <w:szCs w:val="21"/>
              </w:rPr>
            </w:pPr>
            <w:r>
              <w:rPr>
                <w:rFonts w:hint="eastAsia"/>
                <w:kern w:val="0"/>
                <w:szCs w:val="21"/>
              </w:rPr>
              <w:t>/</w:t>
            </w:r>
          </w:p>
        </w:tc>
        <w:tc>
          <w:tcPr>
            <w:tcW w:w="1844" w:type="dxa"/>
          </w:tcPr>
          <w:p>
            <w:pPr>
              <w:widowControl/>
              <w:adjustRightInd w:val="0"/>
              <w:snapToGrid w:val="0"/>
              <w:jc w:val="center"/>
              <w:rPr>
                <w:kern w:val="0"/>
                <w:szCs w:val="21"/>
              </w:rPr>
            </w:pPr>
            <w:r>
              <w:rPr>
                <w:rFonts w:hint="eastAsia"/>
              </w:rPr>
              <w:t>0</w:t>
            </w:r>
            <w:r>
              <w:t>.1</w:t>
            </w:r>
          </w:p>
        </w:tc>
        <w:tc>
          <w:tcPr>
            <w:tcW w:w="898" w:type="dxa"/>
            <w:shd w:val="clear" w:color="auto" w:fill="auto"/>
            <w:vAlign w:val="center"/>
          </w:tcPr>
          <w:p>
            <w:pPr>
              <w:widowControl/>
              <w:adjustRightInd w:val="0"/>
              <w:snapToGrid w:val="0"/>
              <w:jc w:val="center"/>
              <w:rPr>
                <w:kern w:val="0"/>
                <w:szCs w:val="21"/>
              </w:rPr>
            </w:pPr>
            <w:r>
              <w:rPr>
                <w:rFonts w:hint="eastAsia"/>
                <w:kern w:val="0"/>
                <w:szCs w:val="21"/>
              </w:rPr>
              <w:t>/</w:t>
            </w:r>
          </w:p>
        </w:tc>
        <w:tc>
          <w:tcPr>
            <w:tcW w:w="0" w:type="auto"/>
            <w:shd w:val="clear" w:color="auto" w:fill="auto"/>
            <w:vAlign w:val="center"/>
          </w:tcPr>
          <w:p>
            <w:pPr>
              <w:widowControl/>
              <w:adjustRightInd w:val="0"/>
              <w:snapToGrid w:val="0"/>
              <w:jc w:val="center"/>
              <w:rPr>
                <w:kern w:val="0"/>
                <w:szCs w:val="21"/>
              </w:rPr>
            </w:pPr>
            <w:r>
              <w:rPr>
                <w:rFonts w:hint="eastAsia"/>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0" w:type="auto"/>
            <w:shd w:val="clear" w:color="auto" w:fill="auto"/>
            <w:vAlign w:val="center"/>
          </w:tcPr>
          <w:p>
            <w:pPr>
              <w:widowControl/>
              <w:adjustRightInd w:val="0"/>
              <w:snapToGrid w:val="0"/>
              <w:jc w:val="center"/>
              <w:rPr>
                <w:kern w:val="0"/>
                <w:szCs w:val="21"/>
              </w:rPr>
            </w:pPr>
            <w:r>
              <w:rPr>
                <w:rFonts w:hint="eastAsia"/>
                <w:kern w:val="0"/>
                <w:szCs w:val="21"/>
              </w:rPr>
              <w:t>4</w:t>
            </w:r>
          </w:p>
        </w:tc>
        <w:tc>
          <w:tcPr>
            <w:tcW w:w="2504" w:type="dxa"/>
            <w:shd w:val="clear" w:color="auto" w:fill="auto"/>
            <w:vAlign w:val="center"/>
          </w:tcPr>
          <w:p>
            <w:pPr>
              <w:widowControl/>
              <w:adjustRightInd w:val="0"/>
              <w:snapToGrid w:val="0"/>
              <w:jc w:val="center"/>
              <w:rPr>
                <w:szCs w:val="21"/>
              </w:rPr>
            </w:pPr>
            <w:r>
              <w:rPr>
                <w:rFonts w:hint="eastAsia"/>
                <w:szCs w:val="21"/>
              </w:rPr>
              <w:t>渗滤液</w:t>
            </w:r>
          </w:p>
        </w:tc>
        <w:tc>
          <w:tcPr>
            <w:tcW w:w="1295" w:type="dxa"/>
            <w:shd w:val="clear" w:color="auto" w:fill="auto"/>
            <w:vAlign w:val="center"/>
          </w:tcPr>
          <w:p>
            <w:pPr>
              <w:widowControl/>
              <w:adjustRightInd w:val="0"/>
              <w:snapToGrid w:val="0"/>
              <w:jc w:val="center"/>
              <w:rPr>
                <w:kern w:val="0"/>
                <w:szCs w:val="21"/>
              </w:rPr>
            </w:pPr>
            <w:r>
              <w:rPr>
                <w:rFonts w:hint="eastAsia"/>
                <w:kern w:val="0"/>
                <w:szCs w:val="21"/>
              </w:rPr>
              <w:t>/</w:t>
            </w:r>
          </w:p>
        </w:tc>
        <w:tc>
          <w:tcPr>
            <w:tcW w:w="1844" w:type="dxa"/>
            <w:shd w:val="clear" w:color="auto" w:fill="auto"/>
            <w:vAlign w:val="center"/>
          </w:tcPr>
          <w:p>
            <w:pPr>
              <w:widowControl/>
              <w:adjustRightInd w:val="0"/>
              <w:snapToGrid w:val="0"/>
              <w:jc w:val="center"/>
              <w:rPr>
                <w:szCs w:val="21"/>
              </w:rPr>
            </w:pPr>
            <w:r>
              <w:rPr>
                <w:rFonts w:hint="eastAsia"/>
                <w:szCs w:val="21"/>
              </w:rPr>
              <w:t>/</w:t>
            </w:r>
          </w:p>
        </w:tc>
        <w:tc>
          <w:tcPr>
            <w:tcW w:w="898" w:type="dxa"/>
            <w:shd w:val="clear" w:color="auto" w:fill="auto"/>
            <w:vAlign w:val="center"/>
          </w:tcPr>
          <w:p>
            <w:pPr>
              <w:widowControl/>
              <w:adjustRightInd w:val="0"/>
              <w:snapToGrid w:val="0"/>
              <w:jc w:val="center"/>
              <w:rPr>
                <w:szCs w:val="21"/>
              </w:rPr>
            </w:pPr>
            <w:r>
              <w:rPr>
                <w:rFonts w:hint="eastAsia"/>
                <w:szCs w:val="21"/>
              </w:rPr>
              <w:t>/</w:t>
            </w:r>
          </w:p>
        </w:tc>
        <w:tc>
          <w:tcPr>
            <w:tcW w:w="0" w:type="auto"/>
            <w:shd w:val="clear" w:color="auto" w:fill="auto"/>
            <w:vAlign w:val="center"/>
          </w:tcPr>
          <w:p>
            <w:pPr>
              <w:widowControl/>
              <w:adjustRightInd w:val="0"/>
              <w:snapToGrid w:val="0"/>
              <w:jc w:val="center"/>
              <w:rPr>
                <w:szCs w:val="21"/>
              </w:rPr>
            </w:pPr>
            <w:r>
              <w:rPr>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0" w:type="auto"/>
            <w:gridSpan w:val="5"/>
            <w:shd w:val="clear" w:color="auto" w:fill="auto"/>
            <w:vAlign w:val="center"/>
          </w:tcPr>
          <w:p>
            <w:pPr>
              <w:widowControl/>
              <w:adjustRightInd w:val="0"/>
              <w:snapToGrid w:val="0"/>
              <w:jc w:val="center"/>
              <w:rPr>
                <w:kern w:val="0"/>
                <w:szCs w:val="21"/>
              </w:rPr>
            </w:pPr>
            <w:r>
              <w:rPr>
                <w:kern w:val="0"/>
                <w:szCs w:val="21"/>
              </w:rPr>
              <w:t>项目Q值</w:t>
            </w:r>
          </w:p>
        </w:tc>
        <w:tc>
          <w:tcPr>
            <w:tcW w:w="0" w:type="auto"/>
            <w:shd w:val="clear" w:color="auto" w:fill="auto"/>
            <w:vAlign w:val="center"/>
          </w:tcPr>
          <w:p>
            <w:pPr>
              <w:widowControl/>
              <w:adjustRightInd w:val="0"/>
              <w:snapToGrid w:val="0"/>
              <w:jc w:val="center"/>
              <w:rPr>
                <w:kern w:val="0"/>
                <w:szCs w:val="21"/>
              </w:rPr>
            </w:pPr>
            <w:r>
              <w:rPr>
                <w:rFonts w:hint="eastAsia"/>
                <w:kern w:val="0"/>
                <w:szCs w:val="21"/>
              </w:rPr>
              <w:t>0</w:t>
            </w:r>
            <w:r>
              <w:rPr>
                <w:kern w:val="0"/>
                <w:szCs w:val="21"/>
              </w:rPr>
              <w:t>.00006</w:t>
            </w:r>
          </w:p>
        </w:tc>
      </w:tr>
    </w:tbl>
    <w:p>
      <w:pPr>
        <w:spacing w:line="480" w:lineRule="exact"/>
        <w:ind w:firstLine="480" w:firstLineChars="200"/>
        <w:rPr>
          <w:sz w:val="24"/>
          <w:szCs w:val="24"/>
        </w:rPr>
      </w:pPr>
      <w:r>
        <w:rPr>
          <w:sz w:val="24"/>
          <w:szCs w:val="24"/>
        </w:rPr>
        <w:t>（2）评价工作等级及范围</w:t>
      </w:r>
    </w:p>
    <w:p>
      <w:pPr>
        <w:spacing w:line="480" w:lineRule="exact"/>
        <w:ind w:firstLine="480" w:firstLineChars="200"/>
        <w:rPr>
          <w:sz w:val="24"/>
          <w:szCs w:val="24"/>
        </w:rPr>
      </w:pPr>
      <w:r>
        <w:rPr>
          <w:sz w:val="24"/>
          <w:szCs w:val="24"/>
        </w:rPr>
        <w:fldChar w:fldCharType="begin"/>
      </w:r>
      <w:r>
        <w:rPr>
          <w:sz w:val="24"/>
          <w:szCs w:val="24"/>
        </w:rPr>
        <w:instrText xml:space="preserve"> = 1 \* GB3 </w:instrText>
      </w:r>
      <w:r>
        <w:rPr>
          <w:sz w:val="24"/>
          <w:szCs w:val="24"/>
        </w:rPr>
        <w:fldChar w:fldCharType="separate"/>
      </w:r>
      <w:r>
        <w:rPr>
          <w:rFonts w:hint="eastAsia" w:ascii="宋体" w:hAnsi="宋体" w:cs="宋体"/>
          <w:sz w:val="24"/>
          <w:szCs w:val="24"/>
        </w:rPr>
        <w:t>①</w:t>
      </w:r>
      <w:r>
        <w:rPr>
          <w:sz w:val="24"/>
          <w:szCs w:val="24"/>
        </w:rPr>
        <w:fldChar w:fldCharType="end"/>
      </w:r>
      <w:r>
        <w:rPr>
          <w:sz w:val="24"/>
          <w:szCs w:val="24"/>
        </w:rPr>
        <w:t>评价工作等级</w:t>
      </w:r>
    </w:p>
    <w:p>
      <w:pPr>
        <w:spacing w:line="480" w:lineRule="exact"/>
        <w:ind w:firstLine="480" w:firstLineChars="200"/>
        <w:rPr>
          <w:sz w:val="24"/>
          <w:szCs w:val="24"/>
        </w:rPr>
      </w:pPr>
      <w:r>
        <w:rPr>
          <w:sz w:val="24"/>
          <w:szCs w:val="24"/>
        </w:rPr>
        <w:t>《建设项目环境风险评价技术导则》（HJ169-2018）环境风险评价工作级别的划分判据见表</w:t>
      </w:r>
      <w:r>
        <w:rPr>
          <w:rFonts w:hint="eastAsia"/>
          <w:sz w:val="24"/>
          <w:szCs w:val="24"/>
        </w:rPr>
        <w:t>2</w:t>
      </w:r>
      <w:r>
        <w:rPr>
          <w:sz w:val="24"/>
          <w:szCs w:val="24"/>
        </w:rPr>
        <w:t>.6-9。</w:t>
      </w:r>
      <w:r>
        <w:rPr>
          <w:rFonts w:hint="eastAsia"/>
          <w:sz w:val="24"/>
          <w:szCs w:val="24"/>
        </w:rPr>
        <w:t>本项目Q=0.00006＜1，环境风险潜势为Ⅰ，环境风险评价工作等级为简单分析，评价范围为以厂址为中心半径3km 的圆形区域。</w:t>
      </w:r>
    </w:p>
    <w:p>
      <w:pPr>
        <w:spacing w:line="480" w:lineRule="exact"/>
        <w:jc w:val="center"/>
        <w:rPr>
          <w:rFonts w:eastAsia="黑体"/>
          <w:sz w:val="24"/>
          <w:szCs w:val="24"/>
        </w:rPr>
      </w:pPr>
      <w:r>
        <w:rPr>
          <w:rFonts w:eastAsia="黑体"/>
          <w:sz w:val="24"/>
          <w:szCs w:val="24"/>
        </w:rPr>
        <w:t>表2.6-9    评价工作等级划分</w:t>
      </w:r>
    </w:p>
    <w:tbl>
      <w:tblPr>
        <w:tblStyle w:val="39"/>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44"/>
        <w:gridCol w:w="1744"/>
        <w:gridCol w:w="1744"/>
        <w:gridCol w:w="1744"/>
        <w:gridCol w:w="17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44" w:type="dxa"/>
            <w:vAlign w:val="center"/>
          </w:tcPr>
          <w:p>
            <w:pPr>
              <w:snapToGrid w:val="0"/>
              <w:jc w:val="center"/>
              <w:rPr>
                <w:szCs w:val="24"/>
              </w:rPr>
            </w:pPr>
            <w:r>
              <w:rPr>
                <w:szCs w:val="24"/>
              </w:rPr>
              <w:t>环境风险潜势</w:t>
            </w:r>
          </w:p>
        </w:tc>
        <w:tc>
          <w:tcPr>
            <w:tcW w:w="1744" w:type="dxa"/>
            <w:vAlign w:val="center"/>
          </w:tcPr>
          <w:p>
            <w:pPr>
              <w:snapToGrid w:val="0"/>
              <w:jc w:val="center"/>
              <w:rPr>
                <w:szCs w:val="24"/>
              </w:rPr>
            </w:pPr>
            <w:r>
              <w:rPr>
                <w:szCs w:val="24"/>
              </w:rPr>
              <w:t>Ⅳ、</w:t>
            </w:r>
            <w:r>
              <w:rPr>
                <w:szCs w:val="24"/>
                <w:lang w:eastAsia="ja-JP"/>
              </w:rPr>
              <w:t>Ⅳ</w:t>
            </w:r>
            <w:r>
              <w:rPr>
                <w:szCs w:val="24"/>
                <w:vertAlign w:val="superscript"/>
              </w:rPr>
              <w:t>＋</w:t>
            </w:r>
          </w:p>
        </w:tc>
        <w:tc>
          <w:tcPr>
            <w:tcW w:w="1744" w:type="dxa"/>
            <w:vAlign w:val="center"/>
          </w:tcPr>
          <w:p>
            <w:pPr>
              <w:snapToGrid w:val="0"/>
              <w:jc w:val="center"/>
              <w:rPr>
                <w:szCs w:val="24"/>
              </w:rPr>
            </w:pPr>
            <w:r>
              <w:rPr>
                <w:szCs w:val="24"/>
              </w:rPr>
              <w:t>Ⅲ</w:t>
            </w:r>
          </w:p>
        </w:tc>
        <w:tc>
          <w:tcPr>
            <w:tcW w:w="1744" w:type="dxa"/>
            <w:vAlign w:val="center"/>
          </w:tcPr>
          <w:p>
            <w:pPr>
              <w:snapToGrid w:val="0"/>
              <w:jc w:val="center"/>
              <w:rPr>
                <w:szCs w:val="24"/>
              </w:rPr>
            </w:pPr>
            <w:r>
              <w:rPr>
                <w:szCs w:val="24"/>
              </w:rPr>
              <w:t>Ⅱ</w:t>
            </w:r>
          </w:p>
        </w:tc>
        <w:tc>
          <w:tcPr>
            <w:tcW w:w="1744" w:type="dxa"/>
            <w:vAlign w:val="center"/>
          </w:tcPr>
          <w:p>
            <w:pPr>
              <w:snapToGrid w:val="0"/>
              <w:jc w:val="center"/>
              <w:rPr>
                <w:szCs w:val="24"/>
              </w:rPr>
            </w:pPr>
            <w:r>
              <w:rPr>
                <w:szCs w:val="24"/>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44" w:type="dxa"/>
            <w:vAlign w:val="center"/>
          </w:tcPr>
          <w:p>
            <w:pPr>
              <w:snapToGrid w:val="0"/>
              <w:jc w:val="center"/>
              <w:rPr>
                <w:szCs w:val="24"/>
              </w:rPr>
            </w:pPr>
            <w:r>
              <w:rPr>
                <w:szCs w:val="24"/>
              </w:rPr>
              <w:t>评价工作等级</w:t>
            </w:r>
          </w:p>
        </w:tc>
        <w:tc>
          <w:tcPr>
            <w:tcW w:w="1744" w:type="dxa"/>
            <w:vAlign w:val="center"/>
          </w:tcPr>
          <w:p>
            <w:pPr>
              <w:snapToGrid w:val="0"/>
              <w:jc w:val="center"/>
              <w:rPr>
                <w:szCs w:val="24"/>
              </w:rPr>
            </w:pPr>
            <w:r>
              <w:rPr>
                <w:szCs w:val="24"/>
              </w:rPr>
              <w:t>一</w:t>
            </w:r>
          </w:p>
        </w:tc>
        <w:tc>
          <w:tcPr>
            <w:tcW w:w="1744" w:type="dxa"/>
            <w:vAlign w:val="center"/>
          </w:tcPr>
          <w:p>
            <w:pPr>
              <w:snapToGrid w:val="0"/>
              <w:jc w:val="center"/>
              <w:rPr>
                <w:szCs w:val="24"/>
              </w:rPr>
            </w:pPr>
            <w:r>
              <w:rPr>
                <w:szCs w:val="24"/>
              </w:rPr>
              <w:t>二</w:t>
            </w:r>
          </w:p>
        </w:tc>
        <w:tc>
          <w:tcPr>
            <w:tcW w:w="1744" w:type="dxa"/>
            <w:vAlign w:val="center"/>
          </w:tcPr>
          <w:p>
            <w:pPr>
              <w:snapToGrid w:val="0"/>
              <w:jc w:val="center"/>
              <w:rPr>
                <w:szCs w:val="24"/>
              </w:rPr>
            </w:pPr>
            <w:r>
              <w:rPr>
                <w:szCs w:val="24"/>
              </w:rPr>
              <w:t>三</w:t>
            </w:r>
          </w:p>
        </w:tc>
        <w:tc>
          <w:tcPr>
            <w:tcW w:w="1744" w:type="dxa"/>
            <w:shd w:val="clear" w:color="auto" w:fill="B8CCE4" w:themeFill="accent1" w:themeFillTint="66"/>
            <w:vAlign w:val="center"/>
          </w:tcPr>
          <w:p>
            <w:pPr>
              <w:snapToGrid w:val="0"/>
              <w:jc w:val="center"/>
              <w:rPr>
                <w:szCs w:val="24"/>
              </w:rPr>
            </w:pPr>
            <w:r>
              <w:rPr>
                <w:szCs w:val="24"/>
              </w:rPr>
              <w:t>简单分析</w:t>
            </w:r>
            <w:r>
              <w:rPr>
                <w:szCs w:val="24"/>
                <w:vertAlign w:val="superscript"/>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720" w:type="dxa"/>
            <w:gridSpan w:val="5"/>
            <w:vAlign w:val="center"/>
          </w:tcPr>
          <w:p>
            <w:pPr>
              <w:snapToGrid w:val="0"/>
              <w:rPr>
                <w:szCs w:val="24"/>
              </w:rPr>
            </w:pPr>
            <w:r>
              <w:rPr>
                <w:szCs w:val="24"/>
              </w:rPr>
              <w:t>a</w:t>
            </w:r>
            <w:r>
              <w:rPr>
                <w:szCs w:val="24"/>
                <w:lang w:val="zh-CN"/>
              </w:rPr>
              <w:t>是相对于详细评价工作内容而言，在描述危险物质、环境影响途径、环境危害后果、风险防范措施等方面给出定性的说明。见附录A。</w:t>
            </w:r>
          </w:p>
        </w:tc>
      </w:tr>
    </w:tbl>
    <w:p>
      <w:pPr>
        <w:adjustRightInd w:val="0"/>
        <w:snapToGrid w:val="0"/>
        <w:spacing w:line="360" w:lineRule="auto"/>
        <w:ind w:firstLine="482" w:firstLineChars="200"/>
        <w:rPr>
          <w:b/>
          <w:sz w:val="24"/>
          <w:szCs w:val="24"/>
        </w:rPr>
      </w:pPr>
      <w:r>
        <w:rPr>
          <w:b/>
          <w:sz w:val="24"/>
          <w:szCs w:val="24"/>
        </w:rPr>
        <w:t>6</w:t>
      </w:r>
      <w:r>
        <w:rPr>
          <w:rFonts w:hint="eastAsia"/>
          <w:b/>
          <w:sz w:val="24"/>
          <w:szCs w:val="24"/>
        </w:rPr>
        <w:t>、</w:t>
      </w:r>
      <w:r>
        <w:rPr>
          <w:b/>
          <w:sz w:val="24"/>
          <w:szCs w:val="24"/>
        </w:rPr>
        <w:t>土壤环境</w:t>
      </w:r>
    </w:p>
    <w:p>
      <w:pPr>
        <w:adjustRightInd w:val="0"/>
        <w:snapToGrid w:val="0"/>
        <w:spacing w:line="360" w:lineRule="auto"/>
        <w:ind w:firstLine="480" w:firstLineChars="200"/>
        <w:rPr>
          <w:sz w:val="24"/>
          <w:szCs w:val="24"/>
        </w:rPr>
      </w:pPr>
      <w:r>
        <w:rPr>
          <w:sz w:val="24"/>
          <w:szCs w:val="24"/>
        </w:rPr>
        <w:t>（1）根据《环境影响评价技术导则 土壤环境（试行）》HJ964-2018附录A，本项目</w:t>
      </w:r>
      <w:r>
        <w:rPr>
          <w:rFonts w:hint="eastAsia"/>
          <w:sz w:val="24"/>
          <w:szCs w:val="24"/>
        </w:rPr>
        <w:t>参照</w:t>
      </w:r>
      <w:r>
        <w:rPr>
          <w:sz w:val="24"/>
          <w:szCs w:val="24"/>
        </w:rPr>
        <w:t>属于环境和公共设施管理业</w:t>
      </w:r>
      <w:r>
        <w:rPr>
          <w:rFonts w:hint="eastAsia"/>
          <w:sz w:val="24"/>
          <w:szCs w:val="24"/>
        </w:rPr>
        <w:t>中“城镇生活垃圾（不含餐厨废弃物）集中处置”，为Ⅱ类项目。</w:t>
      </w:r>
    </w:p>
    <w:p>
      <w:pPr>
        <w:adjustRightInd w:val="0"/>
        <w:snapToGrid w:val="0"/>
        <w:spacing w:line="360" w:lineRule="auto"/>
        <w:ind w:firstLine="480" w:firstLineChars="200"/>
        <w:rPr>
          <w:b/>
          <w:sz w:val="24"/>
          <w:szCs w:val="28"/>
        </w:rPr>
      </w:pPr>
      <w:r>
        <w:rPr>
          <w:sz w:val="24"/>
          <w:szCs w:val="28"/>
        </w:rPr>
        <w:t>（2）项目的占地规模分为大型（≥50hm</w:t>
      </w:r>
      <w:r>
        <w:rPr>
          <w:sz w:val="24"/>
          <w:szCs w:val="28"/>
          <w:vertAlign w:val="superscript"/>
        </w:rPr>
        <w:t>2</w:t>
      </w:r>
      <w:r>
        <w:rPr>
          <w:sz w:val="24"/>
          <w:szCs w:val="28"/>
        </w:rPr>
        <w:t>）、中型（5～50hm</w:t>
      </w:r>
      <w:r>
        <w:rPr>
          <w:sz w:val="24"/>
          <w:szCs w:val="28"/>
          <w:vertAlign w:val="superscript"/>
        </w:rPr>
        <w:t>2</w:t>
      </w:r>
      <w:r>
        <w:rPr>
          <w:sz w:val="24"/>
          <w:szCs w:val="28"/>
        </w:rPr>
        <w:t>）、小型（≤5hm</w:t>
      </w:r>
      <w:r>
        <w:rPr>
          <w:sz w:val="24"/>
          <w:szCs w:val="28"/>
          <w:vertAlign w:val="superscript"/>
        </w:rPr>
        <w:t>2</w:t>
      </w:r>
      <w:r>
        <w:rPr>
          <w:sz w:val="24"/>
          <w:szCs w:val="28"/>
        </w:rPr>
        <w:t>）。本项目厂区占地3hm</w:t>
      </w:r>
      <w:r>
        <w:rPr>
          <w:sz w:val="24"/>
          <w:szCs w:val="28"/>
          <w:vertAlign w:val="superscript"/>
        </w:rPr>
        <w:t>2</w:t>
      </w:r>
      <w:r>
        <w:rPr>
          <w:sz w:val="24"/>
          <w:szCs w:val="28"/>
        </w:rPr>
        <w:t>，故占地规模为</w:t>
      </w:r>
      <w:r>
        <w:rPr>
          <w:rFonts w:hint="eastAsia"/>
          <w:sz w:val="24"/>
          <w:szCs w:val="28"/>
        </w:rPr>
        <w:t>小</w:t>
      </w:r>
      <w:r>
        <w:rPr>
          <w:sz w:val="24"/>
          <w:szCs w:val="28"/>
        </w:rPr>
        <w:t>型。</w:t>
      </w:r>
    </w:p>
    <w:p>
      <w:pPr>
        <w:adjustRightInd w:val="0"/>
        <w:snapToGrid w:val="0"/>
        <w:spacing w:line="360" w:lineRule="auto"/>
        <w:ind w:firstLine="480" w:firstLineChars="200"/>
        <w:rPr>
          <w:sz w:val="24"/>
          <w:szCs w:val="28"/>
        </w:rPr>
      </w:pPr>
      <w:r>
        <w:rPr>
          <w:sz w:val="24"/>
          <w:szCs w:val="28"/>
        </w:rPr>
        <w:t>（3）建设项目所在地周边的土壤环境敏感程度分为敏感、较敏感、不敏感，判别依据见表2.6-11。本项目周边的土地利用类型为</w:t>
      </w:r>
      <w:r>
        <w:rPr>
          <w:rFonts w:hint="eastAsia"/>
          <w:sz w:val="24"/>
          <w:szCs w:val="28"/>
        </w:rPr>
        <w:t>林地和荒地</w:t>
      </w:r>
      <w:r>
        <w:rPr>
          <w:sz w:val="24"/>
          <w:szCs w:val="28"/>
        </w:rPr>
        <w:t>，故土壤环境敏感程度判定为</w:t>
      </w:r>
      <w:r>
        <w:rPr>
          <w:rFonts w:hint="eastAsia"/>
          <w:sz w:val="24"/>
          <w:szCs w:val="28"/>
        </w:rPr>
        <w:t>不</w:t>
      </w:r>
      <w:r>
        <w:rPr>
          <w:sz w:val="24"/>
          <w:szCs w:val="28"/>
        </w:rPr>
        <w:t>敏感。</w:t>
      </w:r>
    </w:p>
    <w:p>
      <w:pPr>
        <w:spacing w:line="360" w:lineRule="auto"/>
        <w:jc w:val="center"/>
        <w:rPr>
          <w:b/>
          <w:sz w:val="24"/>
          <w:szCs w:val="24"/>
        </w:rPr>
      </w:pPr>
      <w:r>
        <w:rPr>
          <w:b/>
          <w:sz w:val="24"/>
          <w:szCs w:val="24"/>
        </w:rPr>
        <w:t>表2.6-11   土壤污染影响型敏感程度分级表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41"/>
        <w:gridCol w:w="72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28" w:type="pct"/>
            <w:vAlign w:val="center"/>
          </w:tcPr>
          <w:p>
            <w:pPr>
              <w:jc w:val="center"/>
              <w:rPr>
                <w:b/>
                <w:szCs w:val="21"/>
              </w:rPr>
            </w:pPr>
            <w:r>
              <w:rPr>
                <w:b/>
                <w:szCs w:val="21"/>
              </w:rPr>
              <w:t>敏感程度</w:t>
            </w:r>
          </w:p>
        </w:tc>
        <w:tc>
          <w:tcPr>
            <w:tcW w:w="4272" w:type="pct"/>
            <w:vAlign w:val="center"/>
          </w:tcPr>
          <w:p>
            <w:pPr>
              <w:jc w:val="center"/>
              <w:rPr>
                <w:b/>
                <w:szCs w:val="21"/>
              </w:rPr>
            </w:pPr>
            <w:r>
              <w:rPr>
                <w:b/>
                <w:szCs w:val="21"/>
              </w:rPr>
              <w:t>判别依据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8" w:type="pct"/>
            <w:shd w:val="clear" w:color="auto" w:fill="auto"/>
            <w:vAlign w:val="center"/>
          </w:tcPr>
          <w:p>
            <w:pPr>
              <w:jc w:val="center"/>
              <w:rPr>
                <w:szCs w:val="21"/>
              </w:rPr>
            </w:pPr>
            <w:r>
              <w:rPr>
                <w:szCs w:val="21"/>
              </w:rPr>
              <w:t>敏感</w:t>
            </w:r>
          </w:p>
        </w:tc>
        <w:tc>
          <w:tcPr>
            <w:tcW w:w="4272" w:type="pct"/>
            <w:shd w:val="clear" w:color="auto" w:fill="auto"/>
            <w:vAlign w:val="center"/>
          </w:tcPr>
          <w:p>
            <w:pPr>
              <w:jc w:val="left"/>
              <w:rPr>
                <w:szCs w:val="21"/>
              </w:rPr>
            </w:pPr>
            <w:r>
              <w:rPr>
                <w:szCs w:val="21"/>
              </w:rPr>
              <w:t>建设项目周边存在耕地、园地、牧草地、饮用水水源地或居民区、学校、医院、疗养院、养老院等土壤环境敏感目标的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8" w:type="pct"/>
            <w:vAlign w:val="center"/>
          </w:tcPr>
          <w:p>
            <w:pPr>
              <w:jc w:val="center"/>
              <w:rPr>
                <w:szCs w:val="21"/>
              </w:rPr>
            </w:pPr>
            <w:r>
              <w:rPr>
                <w:szCs w:val="21"/>
              </w:rPr>
              <w:t>较敏感</w:t>
            </w:r>
          </w:p>
        </w:tc>
        <w:tc>
          <w:tcPr>
            <w:tcW w:w="4272" w:type="pct"/>
            <w:vAlign w:val="center"/>
          </w:tcPr>
          <w:p>
            <w:pPr>
              <w:jc w:val="left"/>
              <w:rPr>
                <w:szCs w:val="21"/>
              </w:rPr>
            </w:pPr>
            <w:r>
              <w:rPr>
                <w:szCs w:val="21"/>
              </w:rPr>
              <w:t>建设项目周边存在其他土壤环境敏感目标的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8" w:type="pct"/>
            <w:shd w:val="clear" w:color="auto" w:fill="DBE5F1" w:themeFill="accent1" w:themeFillTint="33"/>
            <w:vAlign w:val="center"/>
          </w:tcPr>
          <w:p>
            <w:pPr>
              <w:jc w:val="center"/>
              <w:rPr>
                <w:b/>
                <w:szCs w:val="21"/>
              </w:rPr>
            </w:pPr>
            <w:r>
              <w:rPr>
                <w:b/>
                <w:szCs w:val="21"/>
              </w:rPr>
              <w:t>不敏感</w:t>
            </w:r>
          </w:p>
        </w:tc>
        <w:tc>
          <w:tcPr>
            <w:tcW w:w="4272" w:type="pct"/>
            <w:shd w:val="clear" w:color="auto" w:fill="DBE5F1" w:themeFill="accent1" w:themeFillTint="33"/>
            <w:vAlign w:val="center"/>
          </w:tcPr>
          <w:p>
            <w:pPr>
              <w:jc w:val="left"/>
              <w:rPr>
                <w:b/>
                <w:szCs w:val="21"/>
              </w:rPr>
            </w:pPr>
            <w:r>
              <w:rPr>
                <w:b/>
                <w:szCs w:val="21"/>
              </w:rPr>
              <w:t>其他情况</w:t>
            </w:r>
          </w:p>
        </w:tc>
      </w:tr>
    </w:tbl>
    <w:p>
      <w:pPr>
        <w:spacing w:line="480" w:lineRule="exact"/>
        <w:ind w:firstLine="480" w:firstLineChars="200"/>
        <w:rPr>
          <w:b/>
          <w:bCs/>
          <w:sz w:val="24"/>
          <w:szCs w:val="28"/>
        </w:rPr>
      </w:pPr>
      <w:r>
        <w:rPr>
          <w:sz w:val="24"/>
          <w:szCs w:val="28"/>
        </w:rPr>
        <w:t>根据土壤环境影响评价项目类别、占地规模与敏感程度划分评价工作等级，详见表2.6-12</w:t>
      </w:r>
      <w:bookmarkStart w:id="35" w:name="_Hlk80868006"/>
      <w:r>
        <w:rPr>
          <w:sz w:val="24"/>
          <w:szCs w:val="28"/>
        </w:rPr>
        <w:t>。本项目类别为</w:t>
      </w:r>
      <w:r>
        <w:rPr>
          <w:rFonts w:hint="eastAsia" w:ascii="宋体" w:hAnsi="宋体" w:cs="宋体"/>
          <w:b/>
          <w:szCs w:val="21"/>
        </w:rPr>
        <w:t>Ⅱ</w:t>
      </w:r>
      <w:r>
        <w:rPr>
          <w:sz w:val="24"/>
          <w:szCs w:val="28"/>
        </w:rPr>
        <w:t>类项目，占地规模为</w:t>
      </w:r>
      <w:r>
        <w:rPr>
          <w:rFonts w:hint="eastAsia"/>
          <w:sz w:val="24"/>
          <w:szCs w:val="28"/>
        </w:rPr>
        <w:t>中</w:t>
      </w:r>
      <w:r>
        <w:rPr>
          <w:sz w:val="24"/>
          <w:szCs w:val="28"/>
        </w:rPr>
        <w:t>型，环境敏感程度为</w:t>
      </w:r>
      <w:r>
        <w:rPr>
          <w:rFonts w:hint="eastAsia"/>
          <w:sz w:val="24"/>
          <w:szCs w:val="28"/>
        </w:rPr>
        <w:t>不</w:t>
      </w:r>
      <w:r>
        <w:rPr>
          <w:sz w:val="24"/>
          <w:szCs w:val="28"/>
        </w:rPr>
        <w:t>敏感，故综合判断</w:t>
      </w:r>
      <w:r>
        <w:rPr>
          <w:b/>
          <w:bCs/>
          <w:sz w:val="24"/>
          <w:szCs w:val="28"/>
        </w:rPr>
        <w:t>本项目土壤环境影响评价工作等级为</w:t>
      </w:r>
      <w:r>
        <w:rPr>
          <w:rFonts w:hint="eastAsia"/>
          <w:b/>
          <w:bCs/>
          <w:sz w:val="24"/>
          <w:szCs w:val="28"/>
        </w:rPr>
        <w:t>三</w:t>
      </w:r>
      <w:r>
        <w:rPr>
          <w:b/>
          <w:bCs/>
          <w:sz w:val="24"/>
          <w:szCs w:val="28"/>
        </w:rPr>
        <w:t>级。</w:t>
      </w:r>
      <w:bookmarkEnd w:id="35"/>
    </w:p>
    <w:p>
      <w:pPr>
        <w:spacing w:line="480" w:lineRule="exact"/>
        <w:ind w:firstLine="480" w:firstLineChars="200"/>
        <w:rPr>
          <w:b/>
          <w:bCs/>
          <w:sz w:val="24"/>
          <w:szCs w:val="28"/>
        </w:rPr>
      </w:pPr>
      <w:r>
        <w:rPr>
          <w:sz w:val="24"/>
          <w:szCs w:val="24"/>
        </w:rPr>
        <w:t>根据《环境影响评价技术导则 土壤环境》（试行）（HJ964-2018），现状调查及评价范围情况见表2.6-13。</w:t>
      </w:r>
      <w:r>
        <w:rPr>
          <w:rFonts w:hint="eastAsia"/>
          <w:sz w:val="24"/>
          <w:szCs w:val="24"/>
        </w:rPr>
        <w:t>由表可知</w:t>
      </w:r>
      <w:r>
        <w:rPr>
          <w:sz w:val="24"/>
          <w:szCs w:val="24"/>
        </w:rPr>
        <w:t>，本项目评价范围为厂区占地范围及厂界外0.05km范围。</w:t>
      </w:r>
    </w:p>
    <w:p>
      <w:pPr>
        <w:adjustRightInd w:val="0"/>
        <w:snapToGrid w:val="0"/>
        <w:ind w:firstLine="420"/>
        <w:jc w:val="center"/>
        <w:textAlignment w:val="baseline"/>
        <w:rPr>
          <w:b/>
          <w:bCs/>
          <w:kern w:val="0"/>
          <w:sz w:val="24"/>
          <w:szCs w:val="22"/>
        </w:rPr>
      </w:pPr>
      <w:r>
        <w:rPr>
          <w:b/>
          <w:bCs/>
          <w:kern w:val="0"/>
          <w:sz w:val="24"/>
          <w:szCs w:val="22"/>
        </w:rPr>
        <w:t>表2.6-12   污染影响型评价工作等级划分表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31"/>
        <w:gridCol w:w="1270"/>
        <w:gridCol w:w="680"/>
        <w:gridCol w:w="682"/>
        <w:gridCol w:w="680"/>
        <w:gridCol w:w="680"/>
        <w:gridCol w:w="680"/>
        <w:gridCol w:w="682"/>
        <w:gridCol w:w="680"/>
        <w:gridCol w:w="682"/>
        <w:gridCol w:w="6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4" w:type="pct"/>
            <w:vMerge w:val="restart"/>
            <w:vAlign w:val="center"/>
          </w:tcPr>
          <w:p>
            <w:pPr>
              <w:jc w:val="center"/>
              <w:rPr>
                <w:b/>
                <w:bCs/>
                <w:szCs w:val="21"/>
              </w:rPr>
            </w:pPr>
            <w:r>
              <w:rPr>
                <w:b/>
                <w:bCs/>
                <w:szCs w:val="21"/>
              </w:rPr>
              <w:t>敏感程度</w:t>
            </w:r>
          </w:p>
        </w:tc>
        <w:tc>
          <w:tcPr>
            <w:tcW w:w="745" w:type="pct"/>
            <w:vAlign w:val="center"/>
          </w:tcPr>
          <w:p>
            <w:pPr>
              <w:ind w:left="127"/>
              <w:jc w:val="center"/>
              <w:rPr>
                <w:b/>
                <w:bCs/>
                <w:szCs w:val="21"/>
              </w:rPr>
            </w:pPr>
            <w:r>
              <w:rPr>
                <w:b/>
                <w:bCs/>
                <w:szCs w:val="21"/>
              </w:rPr>
              <w:t>项目类别</w:t>
            </w:r>
          </w:p>
        </w:tc>
        <w:tc>
          <w:tcPr>
            <w:tcW w:w="1198" w:type="pct"/>
            <w:gridSpan w:val="3"/>
            <w:vAlign w:val="center"/>
          </w:tcPr>
          <w:p>
            <w:pPr>
              <w:jc w:val="center"/>
              <w:rPr>
                <w:b/>
                <w:bCs/>
                <w:szCs w:val="21"/>
              </w:rPr>
            </w:pPr>
            <w:r>
              <w:rPr>
                <w:rFonts w:hint="eastAsia" w:ascii="宋体" w:hAnsi="宋体" w:cs="宋体"/>
                <w:b/>
                <w:szCs w:val="21"/>
              </w:rPr>
              <w:t>Ⅰ</w:t>
            </w:r>
            <w:r>
              <w:rPr>
                <w:b/>
                <w:szCs w:val="21"/>
              </w:rPr>
              <w:t>类</w:t>
            </w:r>
          </w:p>
        </w:tc>
        <w:tc>
          <w:tcPr>
            <w:tcW w:w="1198" w:type="pct"/>
            <w:gridSpan w:val="3"/>
            <w:vAlign w:val="center"/>
          </w:tcPr>
          <w:p>
            <w:pPr>
              <w:jc w:val="center"/>
              <w:rPr>
                <w:b/>
                <w:bCs/>
                <w:szCs w:val="21"/>
              </w:rPr>
            </w:pPr>
            <w:r>
              <w:rPr>
                <w:rFonts w:hint="eastAsia" w:ascii="宋体" w:hAnsi="宋体" w:cs="宋体"/>
                <w:b/>
                <w:szCs w:val="21"/>
              </w:rPr>
              <w:t>Ⅱ</w:t>
            </w:r>
            <w:r>
              <w:rPr>
                <w:b/>
                <w:szCs w:val="21"/>
              </w:rPr>
              <w:t>类</w:t>
            </w:r>
          </w:p>
        </w:tc>
        <w:tc>
          <w:tcPr>
            <w:tcW w:w="1195" w:type="pct"/>
            <w:gridSpan w:val="3"/>
            <w:vAlign w:val="center"/>
          </w:tcPr>
          <w:p>
            <w:pPr>
              <w:jc w:val="center"/>
              <w:rPr>
                <w:b/>
                <w:bCs/>
                <w:szCs w:val="21"/>
              </w:rPr>
            </w:pPr>
            <w:r>
              <w:rPr>
                <w:rFonts w:hint="eastAsia" w:ascii="宋体" w:hAnsi="宋体" w:cs="宋体"/>
                <w:b/>
                <w:szCs w:val="21"/>
              </w:rPr>
              <w:t>Ⅲ</w:t>
            </w:r>
            <w:r>
              <w:rPr>
                <w:b/>
                <w:szCs w:val="21"/>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4" w:type="pct"/>
            <w:vMerge w:val="continue"/>
            <w:vAlign w:val="center"/>
          </w:tcPr>
          <w:p>
            <w:pPr>
              <w:ind w:firstLine="1897" w:firstLineChars="900"/>
              <w:jc w:val="center"/>
              <w:rPr>
                <w:b/>
                <w:bCs/>
                <w:szCs w:val="21"/>
              </w:rPr>
            </w:pPr>
          </w:p>
        </w:tc>
        <w:tc>
          <w:tcPr>
            <w:tcW w:w="745" w:type="pct"/>
            <w:vAlign w:val="center"/>
          </w:tcPr>
          <w:p>
            <w:pPr>
              <w:jc w:val="center"/>
              <w:rPr>
                <w:b/>
                <w:bCs/>
                <w:szCs w:val="21"/>
              </w:rPr>
            </w:pPr>
            <w:r>
              <w:rPr>
                <w:b/>
                <w:bCs/>
                <w:szCs w:val="21"/>
              </w:rPr>
              <w:t>占地规模</w:t>
            </w:r>
          </w:p>
        </w:tc>
        <w:tc>
          <w:tcPr>
            <w:tcW w:w="399" w:type="pct"/>
            <w:vAlign w:val="center"/>
          </w:tcPr>
          <w:p>
            <w:pPr>
              <w:jc w:val="center"/>
              <w:rPr>
                <w:b/>
                <w:szCs w:val="21"/>
              </w:rPr>
            </w:pPr>
            <w:r>
              <w:rPr>
                <w:b/>
                <w:szCs w:val="21"/>
              </w:rPr>
              <w:t>大</w:t>
            </w:r>
          </w:p>
        </w:tc>
        <w:tc>
          <w:tcPr>
            <w:tcW w:w="400" w:type="pct"/>
            <w:vAlign w:val="center"/>
          </w:tcPr>
          <w:p>
            <w:pPr>
              <w:jc w:val="center"/>
              <w:rPr>
                <w:b/>
                <w:szCs w:val="21"/>
              </w:rPr>
            </w:pPr>
            <w:r>
              <w:rPr>
                <w:b/>
                <w:szCs w:val="21"/>
              </w:rPr>
              <w:t>中</w:t>
            </w:r>
          </w:p>
        </w:tc>
        <w:tc>
          <w:tcPr>
            <w:tcW w:w="399" w:type="pct"/>
            <w:vAlign w:val="center"/>
          </w:tcPr>
          <w:p>
            <w:pPr>
              <w:jc w:val="center"/>
              <w:rPr>
                <w:b/>
                <w:szCs w:val="21"/>
              </w:rPr>
            </w:pPr>
            <w:r>
              <w:rPr>
                <w:b/>
                <w:szCs w:val="21"/>
              </w:rPr>
              <w:t>小</w:t>
            </w:r>
          </w:p>
        </w:tc>
        <w:tc>
          <w:tcPr>
            <w:tcW w:w="399" w:type="pct"/>
            <w:vAlign w:val="center"/>
          </w:tcPr>
          <w:p>
            <w:pPr>
              <w:jc w:val="center"/>
              <w:rPr>
                <w:b/>
                <w:szCs w:val="21"/>
              </w:rPr>
            </w:pPr>
            <w:r>
              <w:rPr>
                <w:b/>
                <w:szCs w:val="21"/>
              </w:rPr>
              <w:t>大</w:t>
            </w:r>
          </w:p>
        </w:tc>
        <w:tc>
          <w:tcPr>
            <w:tcW w:w="399" w:type="pct"/>
            <w:vAlign w:val="center"/>
          </w:tcPr>
          <w:p>
            <w:pPr>
              <w:jc w:val="center"/>
              <w:rPr>
                <w:b/>
                <w:szCs w:val="21"/>
              </w:rPr>
            </w:pPr>
            <w:r>
              <w:rPr>
                <w:b/>
                <w:szCs w:val="21"/>
              </w:rPr>
              <w:t>中</w:t>
            </w:r>
          </w:p>
        </w:tc>
        <w:tc>
          <w:tcPr>
            <w:tcW w:w="400" w:type="pct"/>
            <w:vAlign w:val="center"/>
          </w:tcPr>
          <w:p>
            <w:pPr>
              <w:jc w:val="center"/>
              <w:rPr>
                <w:b/>
                <w:szCs w:val="21"/>
              </w:rPr>
            </w:pPr>
            <w:r>
              <w:rPr>
                <w:b/>
                <w:szCs w:val="21"/>
              </w:rPr>
              <w:t>小</w:t>
            </w:r>
          </w:p>
        </w:tc>
        <w:tc>
          <w:tcPr>
            <w:tcW w:w="399" w:type="pct"/>
            <w:vAlign w:val="center"/>
          </w:tcPr>
          <w:p>
            <w:pPr>
              <w:jc w:val="center"/>
              <w:rPr>
                <w:b/>
                <w:szCs w:val="21"/>
              </w:rPr>
            </w:pPr>
            <w:r>
              <w:rPr>
                <w:b/>
                <w:szCs w:val="21"/>
              </w:rPr>
              <w:t>大</w:t>
            </w:r>
          </w:p>
        </w:tc>
        <w:tc>
          <w:tcPr>
            <w:tcW w:w="400" w:type="pct"/>
            <w:vAlign w:val="center"/>
          </w:tcPr>
          <w:p>
            <w:pPr>
              <w:jc w:val="center"/>
              <w:rPr>
                <w:b/>
                <w:szCs w:val="21"/>
              </w:rPr>
            </w:pPr>
            <w:r>
              <w:rPr>
                <w:b/>
                <w:szCs w:val="21"/>
              </w:rPr>
              <w:t>中</w:t>
            </w:r>
          </w:p>
        </w:tc>
        <w:tc>
          <w:tcPr>
            <w:tcW w:w="396" w:type="pct"/>
            <w:vAlign w:val="center"/>
          </w:tcPr>
          <w:p>
            <w:pPr>
              <w:jc w:val="center"/>
              <w:rPr>
                <w:b/>
                <w:szCs w:val="21"/>
              </w:rPr>
            </w:pPr>
            <w:r>
              <w:rPr>
                <w:b/>
                <w:szCs w:val="21"/>
              </w:rPr>
              <w:t>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1409" w:type="pct"/>
            <w:gridSpan w:val="2"/>
            <w:vAlign w:val="center"/>
          </w:tcPr>
          <w:p>
            <w:pPr>
              <w:jc w:val="center"/>
              <w:rPr>
                <w:bCs/>
                <w:szCs w:val="21"/>
              </w:rPr>
            </w:pPr>
            <w:r>
              <w:rPr>
                <w:szCs w:val="21"/>
              </w:rPr>
              <w:t>敏感</w:t>
            </w:r>
          </w:p>
        </w:tc>
        <w:tc>
          <w:tcPr>
            <w:tcW w:w="399" w:type="pct"/>
            <w:vAlign w:val="center"/>
          </w:tcPr>
          <w:p>
            <w:pPr>
              <w:jc w:val="center"/>
              <w:rPr>
                <w:bCs/>
                <w:szCs w:val="21"/>
              </w:rPr>
            </w:pPr>
            <w:r>
              <w:rPr>
                <w:bCs/>
                <w:szCs w:val="21"/>
              </w:rPr>
              <w:t>一级</w:t>
            </w:r>
          </w:p>
        </w:tc>
        <w:tc>
          <w:tcPr>
            <w:tcW w:w="400" w:type="pct"/>
            <w:shd w:val="clear" w:color="auto" w:fill="auto"/>
            <w:vAlign w:val="center"/>
          </w:tcPr>
          <w:p>
            <w:pPr>
              <w:jc w:val="center"/>
              <w:rPr>
                <w:b/>
                <w:szCs w:val="21"/>
              </w:rPr>
            </w:pPr>
            <w:r>
              <w:rPr>
                <w:b/>
                <w:szCs w:val="21"/>
              </w:rPr>
              <w:t>一级</w:t>
            </w:r>
          </w:p>
        </w:tc>
        <w:tc>
          <w:tcPr>
            <w:tcW w:w="399" w:type="pct"/>
            <w:shd w:val="clear" w:color="auto" w:fill="auto"/>
            <w:vAlign w:val="center"/>
          </w:tcPr>
          <w:p>
            <w:pPr>
              <w:jc w:val="center"/>
              <w:rPr>
                <w:bCs/>
                <w:szCs w:val="21"/>
              </w:rPr>
            </w:pPr>
            <w:r>
              <w:rPr>
                <w:bCs/>
                <w:szCs w:val="21"/>
              </w:rPr>
              <w:t>一级</w:t>
            </w:r>
          </w:p>
        </w:tc>
        <w:tc>
          <w:tcPr>
            <w:tcW w:w="399" w:type="pct"/>
            <w:vAlign w:val="center"/>
          </w:tcPr>
          <w:p>
            <w:pPr>
              <w:jc w:val="center"/>
              <w:rPr>
                <w:bCs/>
                <w:szCs w:val="21"/>
              </w:rPr>
            </w:pPr>
            <w:r>
              <w:rPr>
                <w:bCs/>
                <w:szCs w:val="21"/>
              </w:rPr>
              <w:t>二级</w:t>
            </w:r>
          </w:p>
        </w:tc>
        <w:tc>
          <w:tcPr>
            <w:tcW w:w="399" w:type="pct"/>
            <w:vAlign w:val="center"/>
          </w:tcPr>
          <w:p>
            <w:pPr>
              <w:jc w:val="center"/>
              <w:rPr>
                <w:bCs/>
                <w:szCs w:val="21"/>
              </w:rPr>
            </w:pPr>
            <w:r>
              <w:rPr>
                <w:bCs/>
                <w:szCs w:val="21"/>
              </w:rPr>
              <w:t>二级</w:t>
            </w:r>
          </w:p>
        </w:tc>
        <w:tc>
          <w:tcPr>
            <w:tcW w:w="400" w:type="pct"/>
            <w:vAlign w:val="center"/>
          </w:tcPr>
          <w:p>
            <w:pPr>
              <w:jc w:val="center"/>
              <w:rPr>
                <w:bCs/>
                <w:szCs w:val="21"/>
              </w:rPr>
            </w:pPr>
            <w:r>
              <w:rPr>
                <w:bCs/>
                <w:szCs w:val="21"/>
              </w:rPr>
              <w:t>二级</w:t>
            </w:r>
          </w:p>
        </w:tc>
        <w:tc>
          <w:tcPr>
            <w:tcW w:w="399" w:type="pct"/>
            <w:vAlign w:val="center"/>
          </w:tcPr>
          <w:p>
            <w:pPr>
              <w:jc w:val="center"/>
              <w:rPr>
                <w:bCs/>
                <w:szCs w:val="21"/>
              </w:rPr>
            </w:pPr>
            <w:r>
              <w:rPr>
                <w:bCs/>
                <w:szCs w:val="21"/>
              </w:rPr>
              <w:t>三级</w:t>
            </w:r>
          </w:p>
        </w:tc>
        <w:tc>
          <w:tcPr>
            <w:tcW w:w="400" w:type="pct"/>
            <w:vAlign w:val="center"/>
          </w:tcPr>
          <w:p>
            <w:pPr>
              <w:jc w:val="center"/>
              <w:rPr>
                <w:bCs/>
                <w:szCs w:val="21"/>
              </w:rPr>
            </w:pPr>
            <w:r>
              <w:rPr>
                <w:bCs/>
                <w:szCs w:val="21"/>
              </w:rPr>
              <w:t>三级</w:t>
            </w:r>
          </w:p>
        </w:tc>
        <w:tc>
          <w:tcPr>
            <w:tcW w:w="396" w:type="pct"/>
            <w:vAlign w:val="center"/>
          </w:tcPr>
          <w:p>
            <w:pPr>
              <w:jc w:val="center"/>
              <w:rPr>
                <w:bCs/>
                <w:szCs w:val="21"/>
              </w:rPr>
            </w:pPr>
            <w:r>
              <w:rPr>
                <w:bCs/>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9" w:type="pct"/>
            <w:gridSpan w:val="2"/>
            <w:vAlign w:val="center"/>
          </w:tcPr>
          <w:p>
            <w:pPr>
              <w:jc w:val="center"/>
              <w:rPr>
                <w:szCs w:val="21"/>
              </w:rPr>
            </w:pPr>
            <w:r>
              <w:rPr>
                <w:szCs w:val="21"/>
              </w:rPr>
              <w:t>较敏感</w:t>
            </w:r>
          </w:p>
        </w:tc>
        <w:tc>
          <w:tcPr>
            <w:tcW w:w="399" w:type="pct"/>
            <w:vAlign w:val="center"/>
          </w:tcPr>
          <w:p>
            <w:pPr>
              <w:jc w:val="center"/>
              <w:rPr>
                <w:bCs/>
                <w:szCs w:val="21"/>
              </w:rPr>
            </w:pPr>
            <w:r>
              <w:rPr>
                <w:bCs/>
                <w:szCs w:val="21"/>
              </w:rPr>
              <w:t>一级</w:t>
            </w:r>
          </w:p>
        </w:tc>
        <w:tc>
          <w:tcPr>
            <w:tcW w:w="400" w:type="pct"/>
            <w:vAlign w:val="center"/>
          </w:tcPr>
          <w:p>
            <w:pPr>
              <w:jc w:val="center"/>
              <w:rPr>
                <w:bCs/>
                <w:szCs w:val="21"/>
              </w:rPr>
            </w:pPr>
            <w:r>
              <w:rPr>
                <w:bCs/>
                <w:szCs w:val="21"/>
              </w:rPr>
              <w:t>一级</w:t>
            </w:r>
          </w:p>
        </w:tc>
        <w:tc>
          <w:tcPr>
            <w:tcW w:w="399" w:type="pct"/>
            <w:vAlign w:val="center"/>
          </w:tcPr>
          <w:p>
            <w:pPr>
              <w:jc w:val="center"/>
              <w:rPr>
                <w:bCs/>
                <w:szCs w:val="21"/>
              </w:rPr>
            </w:pPr>
            <w:r>
              <w:rPr>
                <w:bCs/>
                <w:szCs w:val="21"/>
              </w:rPr>
              <w:t>二级</w:t>
            </w:r>
          </w:p>
        </w:tc>
        <w:tc>
          <w:tcPr>
            <w:tcW w:w="399" w:type="pct"/>
            <w:vAlign w:val="center"/>
          </w:tcPr>
          <w:p>
            <w:pPr>
              <w:jc w:val="center"/>
              <w:rPr>
                <w:bCs/>
                <w:szCs w:val="21"/>
              </w:rPr>
            </w:pPr>
            <w:r>
              <w:rPr>
                <w:bCs/>
                <w:szCs w:val="21"/>
              </w:rPr>
              <w:t>二级</w:t>
            </w:r>
          </w:p>
        </w:tc>
        <w:tc>
          <w:tcPr>
            <w:tcW w:w="399" w:type="pct"/>
            <w:vAlign w:val="center"/>
          </w:tcPr>
          <w:p>
            <w:pPr>
              <w:jc w:val="center"/>
              <w:rPr>
                <w:bCs/>
                <w:szCs w:val="21"/>
              </w:rPr>
            </w:pPr>
            <w:r>
              <w:rPr>
                <w:bCs/>
                <w:szCs w:val="21"/>
              </w:rPr>
              <w:t>二级</w:t>
            </w:r>
          </w:p>
        </w:tc>
        <w:tc>
          <w:tcPr>
            <w:tcW w:w="400" w:type="pct"/>
            <w:vAlign w:val="center"/>
          </w:tcPr>
          <w:p>
            <w:pPr>
              <w:jc w:val="center"/>
              <w:rPr>
                <w:bCs/>
                <w:szCs w:val="21"/>
              </w:rPr>
            </w:pPr>
            <w:r>
              <w:rPr>
                <w:bCs/>
                <w:szCs w:val="21"/>
              </w:rPr>
              <w:t>三级</w:t>
            </w:r>
          </w:p>
        </w:tc>
        <w:tc>
          <w:tcPr>
            <w:tcW w:w="399" w:type="pct"/>
            <w:vAlign w:val="center"/>
          </w:tcPr>
          <w:p>
            <w:pPr>
              <w:jc w:val="center"/>
              <w:rPr>
                <w:bCs/>
                <w:szCs w:val="21"/>
              </w:rPr>
            </w:pPr>
            <w:r>
              <w:rPr>
                <w:bCs/>
                <w:szCs w:val="21"/>
              </w:rPr>
              <w:t>三级</w:t>
            </w:r>
          </w:p>
        </w:tc>
        <w:tc>
          <w:tcPr>
            <w:tcW w:w="400" w:type="pct"/>
            <w:vAlign w:val="center"/>
          </w:tcPr>
          <w:p>
            <w:pPr>
              <w:jc w:val="center"/>
              <w:rPr>
                <w:bCs/>
                <w:szCs w:val="21"/>
              </w:rPr>
            </w:pPr>
            <w:r>
              <w:rPr>
                <w:bCs/>
                <w:szCs w:val="21"/>
              </w:rPr>
              <w:t>三级</w:t>
            </w:r>
          </w:p>
        </w:tc>
        <w:tc>
          <w:tcPr>
            <w:tcW w:w="396" w:type="pct"/>
            <w:vAlign w:val="center"/>
          </w:tcPr>
          <w:p>
            <w:pPr>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9" w:type="pct"/>
            <w:gridSpan w:val="2"/>
            <w:vAlign w:val="center"/>
          </w:tcPr>
          <w:p>
            <w:pPr>
              <w:jc w:val="center"/>
              <w:rPr>
                <w:szCs w:val="21"/>
              </w:rPr>
            </w:pPr>
            <w:r>
              <w:rPr>
                <w:szCs w:val="21"/>
              </w:rPr>
              <w:t>不敏感</w:t>
            </w:r>
          </w:p>
        </w:tc>
        <w:tc>
          <w:tcPr>
            <w:tcW w:w="399" w:type="pct"/>
            <w:shd w:val="clear" w:color="auto" w:fill="auto"/>
            <w:vAlign w:val="center"/>
          </w:tcPr>
          <w:p>
            <w:pPr>
              <w:jc w:val="center"/>
              <w:rPr>
                <w:bCs/>
                <w:szCs w:val="21"/>
              </w:rPr>
            </w:pPr>
            <w:r>
              <w:rPr>
                <w:bCs/>
                <w:szCs w:val="21"/>
              </w:rPr>
              <w:t>一级</w:t>
            </w:r>
          </w:p>
        </w:tc>
        <w:tc>
          <w:tcPr>
            <w:tcW w:w="400" w:type="pct"/>
            <w:shd w:val="clear" w:color="auto" w:fill="auto"/>
            <w:vAlign w:val="center"/>
          </w:tcPr>
          <w:p>
            <w:pPr>
              <w:jc w:val="center"/>
              <w:rPr>
                <w:bCs/>
                <w:szCs w:val="21"/>
              </w:rPr>
            </w:pPr>
            <w:r>
              <w:rPr>
                <w:b/>
                <w:szCs w:val="21"/>
              </w:rPr>
              <w:t>二级</w:t>
            </w:r>
          </w:p>
        </w:tc>
        <w:tc>
          <w:tcPr>
            <w:tcW w:w="399" w:type="pct"/>
            <w:shd w:val="clear" w:color="auto" w:fill="auto"/>
            <w:vAlign w:val="center"/>
          </w:tcPr>
          <w:p>
            <w:pPr>
              <w:jc w:val="center"/>
              <w:rPr>
                <w:bCs/>
                <w:szCs w:val="21"/>
              </w:rPr>
            </w:pPr>
            <w:r>
              <w:rPr>
                <w:b/>
                <w:szCs w:val="21"/>
              </w:rPr>
              <w:t>二级</w:t>
            </w:r>
          </w:p>
        </w:tc>
        <w:tc>
          <w:tcPr>
            <w:tcW w:w="399" w:type="pct"/>
            <w:shd w:val="clear" w:color="auto" w:fill="auto"/>
            <w:vAlign w:val="center"/>
          </w:tcPr>
          <w:p>
            <w:pPr>
              <w:jc w:val="center"/>
              <w:rPr>
                <w:bCs/>
                <w:szCs w:val="21"/>
              </w:rPr>
            </w:pPr>
            <w:r>
              <w:rPr>
                <w:bCs/>
                <w:szCs w:val="21"/>
              </w:rPr>
              <w:t>二级</w:t>
            </w:r>
          </w:p>
        </w:tc>
        <w:tc>
          <w:tcPr>
            <w:tcW w:w="399" w:type="pct"/>
            <w:shd w:val="clear" w:color="auto" w:fill="auto"/>
            <w:vAlign w:val="center"/>
          </w:tcPr>
          <w:p>
            <w:pPr>
              <w:jc w:val="center"/>
              <w:rPr>
                <w:bCs/>
                <w:szCs w:val="21"/>
              </w:rPr>
            </w:pPr>
            <w:r>
              <w:rPr>
                <w:bCs/>
                <w:szCs w:val="21"/>
              </w:rPr>
              <w:t>三级</w:t>
            </w:r>
          </w:p>
        </w:tc>
        <w:tc>
          <w:tcPr>
            <w:tcW w:w="400" w:type="pct"/>
            <w:shd w:val="clear" w:color="auto" w:fill="8DB3E2" w:themeFill="text2" w:themeFillTint="66"/>
            <w:vAlign w:val="center"/>
          </w:tcPr>
          <w:p>
            <w:pPr>
              <w:jc w:val="center"/>
              <w:rPr>
                <w:bCs/>
                <w:szCs w:val="21"/>
              </w:rPr>
            </w:pPr>
            <w:r>
              <w:rPr>
                <w:b/>
                <w:szCs w:val="21"/>
              </w:rPr>
              <w:t>三级</w:t>
            </w:r>
          </w:p>
        </w:tc>
        <w:tc>
          <w:tcPr>
            <w:tcW w:w="399" w:type="pct"/>
            <w:shd w:val="clear" w:color="auto" w:fill="auto"/>
            <w:vAlign w:val="center"/>
          </w:tcPr>
          <w:p>
            <w:pPr>
              <w:jc w:val="center"/>
              <w:rPr>
                <w:bCs/>
                <w:szCs w:val="21"/>
              </w:rPr>
            </w:pPr>
            <w:r>
              <w:rPr>
                <w:bCs/>
                <w:szCs w:val="21"/>
              </w:rPr>
              <w:t>三级</w:t>
            </w:r>
          </w:p>
        </w:tc>
        <w:tc>
          <w:tcPr>
            <w:tcW w:w="400" w:type="pct"/>
            <w:shd w:val="clear" w:color="auto" w:fill="auto"/>
            <w:vAlign w:val="center"/>
          </w:tcPr>
          <w:p>
            <w:pPr>
              <w:jc w:val="center"/>
              <w:rPr>
                <w:bCs/>
                <w:szCs w:val="21"/>
              </w:rPr>
            </w:pPr>
            <w:r>
              <w:rPr>
                <w:bCs/>
                <w:szCs w:val="21"/>
              </w:rPr>
              <w:t>-</w:t>
            </w:r>
          </w:p>
        </w:tc>
        <w:tc>
          <w:tcPr>
            <w:tcW w:w="396" w:type="pct"/>
            <w:shd w:val="clear" w:color="auto" w:fill="auto"/>
            <w:vAlign w:val="center"/>
          </w:tcPr>
          <w:p>
            <w:pPr>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1"/>
            <w:vAlign w:val="center"/>
          </w:tcPr>
          <w:p>
            <w:pPr>
              <w:jc w:val="left"/>
              <w:rPr>
                <w:bCs/>
                <w:szCs w:val="21"/>
              </w:rPr>
            </w:pPr>
            <w:r>
              <w:rPr>
                <w:bCs/>
                <w:szCs w:val="21"/>
              </w:rPr>
              <w:t>注：“-”表示可不开展土壤环境影响评价工作。</w:t>
            </w:r>
          </w:p>
        </w:tc>
      </w:tr>
    </w:tbl>
    <w:p>
      <w:pPr>
        <w:spacing w:line="480" w:lineRule="exact"/>
        <w:jc w:val="center"/>
        <w:rPr>
          <w:rFonts w:eastAsia="黑体"/>
          <w:sz w:val="24"/>
          <w:szCs w:val="24"/>
        </w:rPr>
      </w:pPr>
      <w:r>
        <w:rPr>
          <w:rFonts w:eastAsia="黑体"/>
          <w:sz w:val="24"/>
          <w:szCs w:val="24"/>
        </w:rPr>
        <w:t>表2.6-13    现状调查及评价范围一览表</w:t>
      </w:r>
    </w:p>
    <w:tbl>
      <w:tblPr>
        <w:tblStyle w:val="39"/>
        <w:tblW w:w="8555"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38"/>
        <w:gridCol w:w="2138"/>
        <w:gridCol w:w="2139"/>
        <w:gridCol w:w="21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trPr>
        <w:tc>
          <w:tcPr>
            <w:tcW w:w="2138" w:type="dxa"/>
            <w:vMerge w:val="restart"/>
            <w:vAlign w:val="center"/>
          </w:tcPr>
          <w:p>
            <w:pPr>
              <w:jc w:val="center"/>
              <w:rPr>
                <w:szCs w:val="21"/>
              </w:rPr>
            </w:pPr>
            <w:r>
              <w:rPr>
                <w:szCs w:val="21"/>
              </w:rPr>
              <w:t>评价工作等级</w:t>
            </w:r>
          </w:p>
        </w:tc>
        <w:tc>
          <w:tcPr>
            <w:tcW w:w="2138" w:type="dxa"/>
            <w:vMerge w:val="restart"/>
            <w:vAlign w:val="center"/>
          </w:tcPr>
          <w:p>
            <w:pPr>
              <w:jc w:val="center"/>
              <w:rPr>
                <w:szCs w:val="21"/>
              </w:rPr>
            </w:pPr>
            <w:r>
              <w:rPr>
                <w:szCs w:val="21"/>
              </w:rPr>
              <w:t>影响类型</w:t>
            </w:r>
          </w:p>
        </w:tc>
        <w:tc>
          <w:tcPr>
            <w:tcW w:w="4279" w:type="dxa"/>
            <w:gridSpan w:val="2"/>
            <w:vAlign w:val="center"/>
          </w:tcPr>
          <w:p>
            <w:pPr>
              <w:jc w:val="center"/>
              <w:rPr>
                <w:szCs w:val="21"/>
              </w:rPr>
            </w:pPr>
            <w:r>
              <w:rPr>
                <w:szCs w:val="21"/>
              </w:rPr>
              <w:t>调查及评价范围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138" w:type="dxa"/>
            <w:vMerge w:val="continue"/>
            <w:vAlign w:val="center"/>
          </w:tcPr>
          <w:p>
            <w:pPr>
              <w:widowControl/>
              <w:jc w:val="left"/>
              <w:rPr>
                <w:szCs w:val="21"/>
              </w:rPr>
            </w:pPr>
          </w:p>
        </w:tc>
        <w:tc>
          <w:tcPr>
            <w:tcW w:w="2138" w:type="dxa"/>
            <w:vMerge w:val="continue"/>
            <w:vAlign w:val="center"/>
          </w:tcPr>
          <w:p>
            <w:pPr>
              <w:widowControl/>
              <w:jc w:val="left"/>
              <w:rPr>
                <w:szCs w:val="21"/>
              </w:rPr>
            </w:pPr>
          </w:p>
        </w:tc>
        <w:tc>
          <w:tcPr>
            <w:tcW w:w="2139" w:type="dxa"/>
            <w:vAlign w:val="center"/>
          </w:tcPr>
          <w:p>
            <w:pPr>
              <w:jc w:val="center"/>
              <w:rPr>
                <w:szCs w:val="21"/>
              </w:rPr>
            </w:pPr>
            <w:r>
              <w:rPr>
                <w:szCs w:val="21"/>
              </w:rPr>
              <w:t>占地范围内</w:t>
            </w:r>
          </w:p>
        </w:tc>
        <w:tc>
          <w:tcPr>
            <w:tcW w:w="2139" w:type="dxa"/>
            <w:vAlign w:val="center"/>
          </w:tcPr>
          <w:p>
            <w:pPr>
              <w:jc w:val="center"/>
              <w:rPr>
                <w:szCs w:val="21"/>
              </w:rPr>
            </w:pPr>
            <w:r>
              <w:rPr>
                <w:szCs w:val="21"/>
              </w:rPr>
              <w:t>占地范围外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138" w:type="dxa"/>
            <w:vMerge w:val="restart"/>
            <w:vAlign w:val="center"/>
          </w:tcPr>
          <w:p>
            <w:pPr>
              <w:jc w:val="center"/>
              <w:rPr>
                <w:szCs w:val="21"/>
              </w:rPr>
            </w:pPr>
            <w:r>
              <w:rPr>
                <w:szCs w:val="21"/>
              </w:rPr>
              <w:t>一级</w:t>
            </w:r>
          </w:p>
        </w:tc>
        <w:tc>
          <w:tcPr>
            <w:tcW w:w="2138" w:type="dxa"/>
            <w:vAlign w:val="center"/>
          </w:tcPr>
          <w:p>
            <w:pPr>
              <w:jc w:val="center"/>
              <w:rPr>
                <w:szCs w:val="21"/>
              </w:rPr>
            </w:pPr>
            <w:r>
              <w:rPr>
                <w:szCs w:val="21"/>
              </w:rPr>
              <w:t>生态影响型</w:t>
            </w:r>
          </w:p>
        </w:tc>
        <w:tc>
          <w:tcPr>
            <w:tcW w:w="2139" w:type="dxa"/>
            <w:vMerge w:val="restart"/>
            <w:vAlign w:val="center"/>
          </w:tcPr>
          <w:p>
            <w:pPr>
              <w:jc w:val="center"/>
              <w:rPr>
                <w:szCs w:val="21"/>
              </w:rPr>
            </w:pPr>
            <w:r>
              <w:rPr>
                <w:szCs w:val="21"/>
              </w:rPr>
              <w:t>全部</w:t>
            </w:r>
          </w:p>
        </w:tc>
        <w:tc>
          <w:tcPr>
            <w:tcW w:w="2139" w:type="dxa"/>
            <w:vAlign w:val="center"/>
          </w:tcPr>
          <w:p>
            <w:pPr>
              <w:jc w:val="center"/>
              <w:rPr>
                <w:szCs w:val="21"/>
              </w:rPr>
            </w:pPr>
            <w:r>
              <w:rPr>
                <w:szCs w:val="21"/>
              </w:rPr>
              <w:t>5km范围内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138" w:type="dxa"/>
            <w:vMerge w:val="continue"/>
            <w:vAlign w:val="center"/>
          </w:tcPr>
          <w:p>
            <w:pPr>
              <w:widowControl/>
              <w:jc w:val="left"/>
              <w:rPr>
                <w:szCs w:val="21"/>
              </w:rPr>
            </w:pPr>
          </w:p>
        </w:tc>
        <w:tc>
          <w:tcPr>
            <w:tcW w:w="2138" w:type="dxa"/>
            <w:vAlign w:val="center"/>
          </w:tcPr>
          <w:p>
            <w:pPr>
              <w:jc w:val="center"/>
              <w:rPr>
                <w:szCs w:val="21"/>
              </w:rPr>
            </w:pPr>
            <w:r>
              <w:rPr>
                <w:szCs w:val="21"/>
              </w:rPr>
              <w:t>污染影响型</w:t>
            </w:r>
          </w:p>
        </w:tc>
        <w:tc>
          <w:tcPr>
            <w:tcW w:w="2139" w:type="dxa"/>
            <w:vMerge w:val="continue"/>
            <w:vAlign w:val="center"/>
          </w:tcPr>
          <w:p>
            <w:pPr>
              <w:widowControl/>
              <w:jc w:val="left"/>
              <w:rPr>
                <w:szCs w:val="21"/>
              </w:rPr>
            </w:pPr>
          </w:p>
        </w:tc>
        <w:tc>
          <w:tcPr>
            <w:tcW w:w="2139" w:type="dxa"/>
            <w:vAlign w:val="center"/>
          </w:tcPr>
          <w:p>
            <w:pPr>
              <w:jc w:val="center"/>
              <w:rPr>
                <w:szCs w:val="21"/>
              </w:rPr>
            </w:pPr>
            <w:r>
              <w:rPr>
                <w:szCs w:val="21"/>
              </w:rPr>
              <w:t>1km范围内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trPr>
        <w:tc>
          <w:tcPr>
            <w:tcW w:w="2138" w:type="dxa"/>
            <w:vMerge w:val="restart"/>
            <w:vAlign w:val="center"/>
          </w:tcPr>
          <w:p>
            <w:pPr>
              <w:jc w:val="center"/>
              <w:rPr>
                <w:szCs w:val="21"/>
              </w:rPr>
            </w:pPr>
            <w:r>
              <w:rPr>
                <w:szCs w:val="21"/>
              </w:rPr>
              <w:t>二级</w:t>
            </w:r>
          </w:p>
        </w:tc>
        <w:tc>
          <w:tcPr>
            <w:tcW w:w="2138" w:type="dxa"/>
            <w:vAlign w:val="center"/>
          </w:tcPr>
          <w:p>
            <w:pPr>
              <w:jc w:val="center"/>
              <w:rPr>
                <w:szCs w:val="21"/>
              </w:rPr>
            </w:pPr>
            <w:r>
              <w:rPr>
                <w:szCs w:val="21"/>
              </w:rPr>
              <w:t>生态影响型</w:t>
            </w:r>
          </w:p>
        </w:tc>
        <w:tc>
          <w:tcPr>
            <w:tcW w:w="2139" w:type="dxa"/>
            <w:vMerge w:val="continue"/>
            <w:vAlign w:val="center"/>
          </w:tcPr>
          <w:p>
            <w:pPr>
              <w:widowControl/>
              <w:jc w:val="left"/>
              <w:rPr>
                <w:szCs w:val="21"/>
              </w:rPr>
            </w:pPr>
          </w:p>
        </w:tc>
        <w:tc>
          <w:tcPr>
            <w:tcW w:w="2139" w:type="dxa"/>
            <w:vAlign w:val="center"/>
          </w:tcPr>
          <w:p>
            <w:pPr>
              <w:jc w:val="center"/>
              <w:rPr>
                <w:szCs w:val="21"/>
              </w:rPr>
            </w:pPr>
            <w:r>
              <w:rPr>
                <w:szCs w:val="21"/>
              </w:rPr>
              <w:t>2km范围内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138" w:type="dxa"/>
            <w:vMerge w:val="continue"/>
            <w:vAlign w:val="center"/>
          </w:tcPr>
          <w:p>
            <w:pPr>
              <w:widowControl/>
              <w:jc w:val="left"/>
              <w:rPr>
                <w:szCs w:val="21"/>
              </w:rPr>
            </w:pPr>
          </w:p>
        </w:tc>
        <w:tc>
          <w:tcPr>
            <w:tcW w:w="2138" w:type="dxa"/>
            <w:vAlign w:val="center"/>
          </w:tcPr>
          <w:p>
            <w:pPr>
              <w:jc w:val="center"/>
              <w:rPr>
                <w:szCs w:val="21"/>
              </w:rPr>
            </w:pPr>
            <w:r>
              <w:rPr>
                <w:szCs w:val="21"/>
              </w:rPr>
              <w:t>污染影响型</w:t>
            </w:r>
          </w:p>
        </w:tc>
        <w:tc>
          <w:tcPr>
            <w:tcW w:w="2139" w:type="dxa"/>
            <w:vMerge w:val="continue"/>
            <w:vAlign w:val="center"/>
          </w:tcPr>
          <w:p>
            <w:pPr>
              <w:widowControl/>
              <w:jc w:val="left"/>
              <w:rPr>
                <w:szCs w:val="21"/>
              </w:rPr>
            </w:pPr>
          </w:p>
        </w:tc>
        <w:tc>
          <w:tcPr>
            <w:tcW w:w="2139" w:type="dxa"/>
            <w:vAlign w:val="center"/>
          </w:tcPr>
          <w:p>
            <w:pPr>
              <w:jc w:val="center"/>
              <w:rPr>
                <w:szCs w:val="21"/>
              </w:rPr>
            </w:pPr>
            <w:r>
              <w:rPr>
                <w:szCs w:val="21"/>
              </w:rPr>
              <w:t>0.2km范围内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5" w:hRule="atLeast"/>
        </w:trPr>
        <w:tc>
          <w:tcPr>
            <w:tcW w:w="2138" w:type="dxa"/>
            <w:vMerge w:val="restart"/>
            <w:vAlign w:val="center"/>
          </w:tcPr>
          <w:p>
            <w:pPr>
              <w:jc w:val="center"/>
              <w:rPr>
                <w:szCs w:val="21"/>
              </w:rPr>
            </w:pPr>
            <w:r>
              <w:rPr>
                <w:szCs w:val="21"/>
              </w:rPr>
              <w:t>三级</w:t>
            </w:r>
          </w:p>
        </w:tc>
        <w:tc>
          <w:tcPr>
            <w:tcW w:w="2138" w:type="dxa"/>
            <w:shd w:val="clear" w:color="auto" w:fill="auto"/>
            <w:vAlign w:val="center"/>
          </w:tcPr>
          <w:p>
            <w:pPr>
              <w:jc w:val="center"/>
              <w:rPr>
                <w:szCs w:val="21"/>
              </w:rPr>
            </w:pPr>
            <w:r>
              <w:rPr>
                <w:szCs w:val="21"/>
              </w:rPr>
              <w:t>生态影响型</w:t>
            </w:r>
          </w:p>
        </w:tc>
        <w:tc>
          <w:tcPr>
            <w:tcW w:w="2139" w:type="dxa"/>
            <w:vMerge w:val="continue"/>
            <w:shd w:val="clear" w:color="auto" w:fill="auto"/>
            <w:vAlign w:val="center"/>
          </w:tcPr>
          <w:p>
            <w:pPr>
              <w:widowControl/>
              <w:jc w:val="left"/>
              <w:rPr>
                <w:szCs w:val="21"/>
              </w:rPr>
            </w:pPr>
          </w:p>
        </w:tc>
        <w:tc>
          <w:tcPr>
            <w:tcW w:w="2139" w:type="dxa"/>
            <w:shd w:val="clear" w:color="auto" w:fill="auto"/>
            <w:vAlign w:val="center"/>
          </w:tcPr>
          <w:p>
            <w:pPr>
              <w:jc w:val="center"/>
              <w:rPr>
                <w:szCs w:val="21"/>
              </w:rPr>
            </w:pPr>
            <w:r>
              <w:rPr>
                <w:szCs w:val="21"/>
              </w:rPr>
              <w:t>1km范围内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138" w:type="dxa"/>
            <w:vMerge w:val="continue"/>
            <w:vAlign w:val="center"/>
          </w:tcPr>
          <w:p>
            <w:pPr>
              <w:widowControl/>
              <w:jc w:val="left"/>
              <w:rPr>
                <w:szCs w:val="21"/>
              </w:rPr>
            </w:pPr>
          </w:p>
        </w:tc>
        <w:tc>
          <w:tcPr>
            <w:tcW w:w="2138" w:type="dxa"/>
            <w:shd w:val="clear" w:color="auto" w:fill="C6D9F0" w:themeFill="text2" w:themeFillTint="33"/>
            <w:vAlign w:val="center"/>
          </w:tcPr>
          <w:p>
            <w:pPr>
              <w:jc w:val="center"/>
              <w:rPr>
                <w:szCs w:val="21"/>
              </w:rPr>
            </w:pPr>
            <w:r>
              <w:rPr>
                <w:szCs w:val="21"/>
              </w:rPr>
              <w:t>污染影响型</w:t>
            </w:r>
          </w:p>
        </w:tc>
        <w:tc>
          <w:tcPr>
            <w:tcW w:w="2139" w:type="dxa"/>
            <w:vMerge w:val="continue"/>
            <w:shd w:val="clear" w:color="auto" w:fill="C6D9F0" w:themeFill="text2" w:themeFillTint="33"/>
            <w:vAlign w:val="center"/>
          </w:tcPr>
          <w:p>
            <w:pPr>
              <w:widowControl/>
              <w:jc w:val="left"/>
              <w:rPr>
                <w:szCs w:val="21"/>
              </w:rPr>
            </w:pPr>
          </w:p>
        </w:tc>
        <w:tc>
          <w:tcPr>
            <w:tcW w:w="2139" w:type="dxa"/>
            <w:shd w:val="clear" w:color="auto" w:fill="C6D9F0" w:themeFill="text2" w:themeFillTint="33"/>
            <w:vAlign w:val="center"/>
          </w:tcPr>
          <w:p>
            <w:pPr>
              <w:jc w:val="center"/>
              <w:rPr>
                <w:szCs w:val="21"/>
              </w:rPr>
            </w:pPr>
            <w:r>
              <w:rPr>
                <w:szCs w:val="21"/>
              </w:rPr>
              <w:t>0.05km范围内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2138" w:type="dxa"/>
            <w:vAlign w:val="center"/>
          </w:tcPr>
          <w:p>
            <w:pPr>
              <w:jc w:val="center"/>
              <w:rPr>
                <w:b/>
                <w:szCs w:val="21"/>
              </w:rPr>
            </w:pPr>
            <w:r>
              <w:rPr>
                <w:b/>
                <w:bCs/>
                <w:szCs w:val="21"/>
              </w:rPr>
              <w:t>本项目情况：</w:t>
            </w:r>
            <w:r>
              <w:rPr>
                <w:rFonts w:hint="eastAsia"/>
                <w:b/>
                <w:bCs/>
                <w:szCs w:val="21"/>
              </w:rPr>
              <w:t>三</w:t>
            </w:r>
            <w:r>
              <w:rPr>
                <w:b/>
                <w:bCs/>
                <w:szCs w:val="21"/>
              </w:rPr>
              <w:t>级</w:t>
            </w:r>
          </w:p>
        </w:tc>
        <w:tc>
          <w:tcPr>
            <w:tcW w:w="2138" w:type="dxa"/>
            <w:vAlign w:val="center"/>
          </w:tcPr>
          <w:p>
            <w:pPr>
              <w:jc w:val="center"/>
              <w:rPr>
                <w:b/>
                <w:szCs w:val="21"/>
              </w:rPr>
            </w:pPr>
            <w:r>
              <w:rPr>
                <w:b/>
                <w:szCs w:val="21"/>
              </w:rPr>
              <w:t>污染影响型</w:t>
            </w:r>
          </w:p>
        </w:tc>
        <w:tc>
          <w:tcPr>
            <w:tcW w:w="2139" w:type="dxa"/>
            <w:vAlign w:val="center"/>
          </w:tcPr>
          <w:p>
            <w:pPr>
              <w:jc w:val="center"/>
              <w:rPr>
                <w:b/>
                <w:szCs w:val="21"/>
              </w:rPr>
            </w:pPr>
            <w:r>
              <w:rPr>
                <w:b/>
                <w:szCs w:val="21"/>
              </w:rPr>
              <w:t>全部</w:t>
            </w:r>
          </w:p>
        </w:tc>
        <w:tc>
          <w:tcPr>
            <w:tcW w:w="2139" w:type="dxa"/>
            <w:vAlign w:val="center"/>
          </w:tcPr>
          <w:p>
            <w:pPr>
              <w:jc w:val="center"/>
              <w:rPr>
                <w:b/>
                <w:szCs w:val="21"/>
              </w:rPr>
            </w:pPr>
            <w:r>
              <w:rPr>
                <w:b/>
                <w:szCs w:val="21"/>
              </w:rPr>
              <w:t>0.05km范围内</w:t>
            </w:r>
          </w:p>
        </w:tc>
      </w:tr>
    </w:tbl>
    <w:p>
      <w:pPr>
        <w:adjustRightInd w:val="0"/>
        <w:snapToGrid w:val="0"/>
        <w:spacing w:line="360" w:lineRule="auto"/>
        <w:ind w:firstLine="482" w:firstLineChars="200"/>
        <w:rPr>
          <w:b/>
          <w:sz w:val="24"/>
          <w:szCs w:val="24"/>
        </w:rPr>
      </w:pPr>
    </w:p>
    <w:p>
      <w:pPr>
        <w:adjustRightInd w:val="0"/>
        <w:snapToGrid w:val="0"/>
        <w:spacing w:line="360" w:lineRule="auto"/>
        <w:ind w:firstLine="482" w:firstLineChars="200"/>
        <w:rPr>
          <w:b/>
          <w:sz w:val="24"/>
          <w:szCs w:val="24"/>
        </w:rPr>
      </w:pPr>
      <w:r>
        <w:rPr>
          <w:rFonts w:hint="eastAsia"/>
          <w:b/>
          <w:sz w:val="24"/>
          <w:szCs w:val="24"/>
        </w:rPr>
        <w:t>7、</w:t>
      </w:r>
      <w:r>
        <w:rPr>
          <w:b/>
          <w:sz w:val="24"/>
          <w:szCs w:val="24"/>
        </w:rPr>
        <w:t>生态环境评价工作等级</w:t>
      </w:r>
    </w:p>
    <w:p>
      <w:pPr>
        <w:spacing w:line="480" w:lineRule="exact"/>
        <w:ind w:left="210" w:right="210" w:firstLine="480" w:firstLineChars="200"/>
        <w:rPr>
          <w:sz w:val="24"/>
          <w:szCs w:val="24"/>
        </w:rPr>
      </w:pPr>
      <w:r>
        <w:rPr>
          <w:sz w:val="24"/>
          <w:szCs w:val="24"/>
        </w:rPr>
        <w:t>（1）评价等级</w:t>
      </w:r>
    </w:p>
    <w:p>
      <w:pPr>
        <w:spacing w:line="480" w:lineRule="exact"/>
        <w:ind w:firstLine="480" w:firstLineChars="200"/>
        <w:rPr>
          <w:sz w:val="24"/>
          <w:szCs w:val="24"/>
        </w:rPr>
      </w:pPr>
      <w:r>
        <w:rPr>
          <w:sz w:val="24"/>
          <w:szCs w:val="24"/>
        </w:rPr>
        <w:t>本项目占地面积3hm</w:t>
      </w:r>
      <w:r>
        <w:rPr>
          <w:sz w:val="24"/>
          <w:szCs w:val="24"/>
          <w:vertAlign w:val="superscript"/>
        </w:rPr>
        <w:t>2</w:t>
      </w:r>
      <w:r>
        <w:rPr>
          <w:sz w:val="24"/>
          <w:szCs w:val="24"/>
        </w:rPr>
        <w:t>，占地范围小于2km</w:t>
      </w:r>
      <w:r>
        <w:rPr>
          <w:sz w:val="24"/>
          <w:szCs w:val="24"/>
          <w:vertAlign w:val="superscript"/>
        </w:rPr>
        <w:t>2</w:t>
      </w:r>
      <w:r>
        <w:rPr>
          <w:sz w:val="24"/>
          <w:szCs w:val="24"/>
        </w:rPr>
        <w:t>，且项目评价区域内无自然保护区、风景名胜区等特殊和重要生态敏感区</w:t>
      </w:r>
      <w:r>
        <w:rPr>
          <w:rFonts w:hint="eastAsia"/>
          <w:sz w:val="24"/>
          <w:szCs w:val="24"/>
        </w:rPr>
        <w:t>（详见图1</w:t>
      </w:r>
      <w:r>
        <w:rPr>
          <w:sz w:val="24"/>
          <w:szCs w:val="24"/>
        </w:rPr>
        <w:t>-1</w:t>
      </w:r>
      <w:r>
        <w:rPr>
          <w:rFonts w:hint="eastAsia"/>
          <w:sz w:val="24"/>
          <w:szCs w:val="24"/>
        </w:rPr>
        <w:t>和图1</w:t>
      </w:r>
      <w:r>
        <w:rPr>
          <w:sz w:val="24"/>
          <w:szCs w:val="24"/>
        </w:rPr>
        <w:t>-2</w:t>
      </w:r>
      <w:r>
        <w:rPr>
          <w:rFonts w:hint="eastAsia"/>
          <w:sz w:val="24"/>
          <w:szCs w:val="24"/>
        </w:rPr>
        <w:t>）</w:t>
      </w:r>
      <w:r>
        <w:rPr>
          <w:sz w:val="24"/>
          <w:szCs w:val="24"/>
        </w:rPr>
        <w:t>，根据《环境影响评价技术导则 生态影响》（HJ/T19-2011）中评价等级的划分依据，确定本项目生态环境影响评价等级为三级。生态环境评价工作级别见表</w:t>
      </w:r>
      <w:r>
        <w:rPr>
          <w:rFonts w:hint="eastAsia"/>
          <w:sz w:val="24"/>
          <w:szCs w:val="24"/>
        </w:rPr>
        <w:t>2</w:t>
      </w:r>
      <w:r>
        <w:rPr>
          <w:sz w:val="24"/>
          <w:szCs w:val="24"/>
        </w:rPr>
        <w:t>.6-10。价范围为厂区占地范围及厂界外200m范围。</w:t>
      </w:r>
    </w:p>
    <w:p>
      <w:pPr>
        <w:spacing w:line="480" w:lineRule="exact"/>
        <w:ind w:firstLine="480" w:firstLineChars="200"/>
        <w:rPr>
          <w:sz w:val="24"/>
          <w:szCs w:val="24"/>
        </w:rPr>
      </w:pPr>
    </w:p>
    <w:p>
      <w:pPr>
        <w:spacing w:line="480" w:lineRule="exact"/>
        <w:ind w:firstLine="480" w:firstLineChars="200"/>
        <w:rPr>
          <w:sz w:val="24"/>
          <w:szCs w:val="24"/>
        </w:rPr>
      </w:pPr>
    </w:p>
    <w:p>
      <w:pPr>
        <w:spacing w:line="480" w:lineRule="exact"/>
        <w:ind w:firstLine="480" w:firstLineChars="200"/>
        <w:rPr>
          <w:sz w:val="24"/>
          <w:szCs w:val="24"/>
        </w:rPr>
      </w:pPr>
    </w:p>
    <w:p>
      <w:pPr>
        <w:spacing w:line="480" w:lineRule="exact"/>
        <w:jc w:val="center"/>
        <w:rPr>
          <w:rFonts w:eastAsia="黑体"/>
          <w:sz w:val="24"/>
          <w:szCs w:val="24"/>
        </w:rPr>
      </w:pPr>
      <w:r>
        <w:rPr>
          <w:rFonts w:eastAsia="黑体"/>
          <w:sz w:val="24"/>
          <w:szCs w:val="24"/>
        </w:rPr>
        <w:t>表2.6-10    评价工作等级分级表</w:t>
      </w:r>
    </w:p>
    <w:tbl>
      <w:tblPr>
        <w:tblStyle w:val="39"/>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851"/>
        <w:gridCol w:w="1870"/>
        <w:gridCol w:w="1706"/>
        <w:gridCol w:w="1842"/>
        <w:gridCol w:w="17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675" w:type="dxa"/>
            <w:vMerge w:val="restart"/>
            <w:vAlign w:val="center"/>
          </w:tcPr>
          <w:p>
            <w:pPr>
              <w:jc w:val="center"/>
              <w:rPr>
                <w:szCs w:val="21"/>
              </w:rPr>
            </w:pPr>
            <w:r>
              <w:rPr>
                <w:szCs w:val="21"/>
              </w:rPr>
              <w:t>导则判据</w:t>
            </w:r>
          </w:p>
        </w:tc>
        <w:tc>
          <w:tcPr>
            <w:tcW w:w="851" w:type="dxa"/>
            <w:vMerge w:val="restart"/>
            <w:vAlign w:val="center"/>
          </w:tcPr>
          <w:p>
            <w:pPr>
              <w:jc w:val="center"/>
              <w:rPr>
                <w:szCs w:val="21"/>
              </w:rPr>
            </w:pPr>
            <w:r>
              <w:rPr>
                <w:szCs w:val="21"/>
              </w:rPr>
              <w:t>基本原则</w:t>
            </w:r>
          </w:p>
        </w:tc>
        <w:tc>
          <w:tcPr>
            <w:tcW w:w="1870" w:type="dxa"/>
            <w:vMerge w:val="restart"/>
            <w:vAlign w:val="center"/>
          </w:tcPr>
          <w:p>
            <w:pPr>
              <w:jc w:val="center"/>
              <w:rPr>
                <w:szCs w:val="21"/>
              </w:rPr>
            </w:pPr>
            <w:r>
              <w:rPr>
                <w:szCs w:val="21"/>
              </w:rPr>
              <w:t>影响区域的生态敏感性</w:t>
            </w:r>
          </w:p>
        </w:tc>
        <w:tc>
          <w:tcPr>
            <w:tcW w:w="5324" w:type="dxa"/>
            <w:gridSpan w:val="3"/>
            <w:vAlign w:val="center"/>
          </w:tcPr>
          <w:p>
            <w:pPr>
              <w:ind w:firstLine="420" w:firstLineChars="200"/>
              <w:jc w:val="center"/>
              <w:rPr>
                <w:szCs w:val="21"/>
              </w:rPr>
            </w:pPr>
            <w:r>
              <w:rPr>
                <w:szCs w:val="21"/>
              </w:rPr>
              <w:t>工程占地（水域）范围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pPr>
              <w:widowControl/>
              <w:jc w:val="left"/>
              <w:rPr>
                <w:szCs w:val="21"/>
              </w:rPr>
            </w:pPr>
          </w:p>
        </w:tc>
        <w:tc>
          <w:tcPr>
            <w:tcW w:w="851" w:type="dxa"/>
            <w:vMerge w:val="continue"/>
            <w:vAlign w:val="center"/>
          </w:tcPr>
          <w:p>
            <w:pPr>
              <w:widowControl/>
              <w:jc w:val="left"/>
              <w:rPr>
                <w:szCs w:val="21"/>
              </w:rPr>
            </w:pPr>
          </w:p>
        </w:tc>
        <w:tc>
          <w:tcPr>
            <w:tcW w:w="1870" w:type="dxa"/>
            <w:vMerge w:val="continue"/>
            <w:vAlign w:val="center"/>
          </w:tcPr>
          <w:p>
            <w:pPr>
              <w:widowControl/>
              <w:jc w:val="left"/>
              <w:rPr>
                <w:szCs w:val="21"/>
              </w:rPr>
            </w:pPr>
          </w:p>
        </w:tc>
        <w:tc>
          <w:tcPr>
            <w:tcW w:w="1706" w:type="dxa"/>
            <w:vAlign w:val="center"/>
          </w:tcPr>
          <w:p>
            <w:pPr>
              <w:jc w:val="center"/>
              <w:rPr>
                <w:szCs w:val="21"/>
              </w:rPr>
            </w:pPr>
            <w:r>
              <w:rPr>
                <w:szCs w:val="21"/>
              </w:rPr>
              <w:t>面积≥20km</w:t>
            </w:r>
            <w:r>
              <w:rPr>
                <w:szCs w:val="21"/>
                <w:vertAlign w:val="superscript"/>
              </w:rPr>
              <w:t>2</w:t>
            </w:r>
            <w:r>
              <w:rPr>
                <w:szCs w:val="21"/>
              </w:rPr>
              <w:t>或长度≥100km</w:t>
            </w:r>
          </w:p>
        </w:tc>
        <w:tc>
          <w:tcPr>
            <w:tcW w:w="1842" w:type="dxa"/>
            <w:vAlign w:val="center"/>
          </w:tcPr>
          <w:p>
            <w:pPr>
              <w:jc w:val="center"/>
              <w:rPr>
                <w:szCs w:val="21"/>
              </w:rPr>
            </w:pPr>
            <w:r>
              <w:rPr>
                <w:szCs w:val="21"/>
              </w:rPr>
              <w:t>面积2~20km</w:t>
            </w:r>
            <w:r>
              <w:rPr>
                <w:szCs w:val="21"/>
                <w:vertAlign w:val="superscript"/>
              </w:rPr>
              <w:t>2</w:t>
            </w:r>
            <w:r>
              <w:rPr>
                <w:szCs w:val="21"/>
              </w:rPr>
              <w:t>或长度50~100km</w:t>
            </w:r>
          </w:p>
        </w:tc>
        <w:tc>
          <w:tcPr>
            <w:tcW w:w="1776" w:type="dxa"/>
            <w:vAlign w:val="center"/>
          </w:tcPr>
          <w:p>
            <w:pPr>
              <w:jc w:val="center"/>
              <w:rPr>
                <w:szCs w:val="21"/>
              </w:rPr>
            </w:pPr>
            <w:r>
              <w:rPr>
                <w:szCs w:val="21"/>
              </w:rPr>
              <w:t>面积≤2km</w:t>
            </w:r>
            <w:r>
              <w:rPr>
                <w:szCs w:val="21"/>
                <w:vertAlign w:val="superscript"/>
              </w:rPr>
              <w:t>2</w:t>
            </w:r>
            <w:r>
              <w:rPr>
                <w:szCs w:val="21"/>
              </w:rPr>
              <w:t>或长度≤50km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pPr>
              <w:widowControl/>
              <w:jc w:val="left"/>
              <w:rPr>
                <w:szCs w:val="21"/>
              </w:rPr>
            </w:pPr>
          </w:p>
        </w:tc>
        <w:tc>
          <w:tcPr>
            <w:tcW w:w="851" w:type="dxa"/>
            <w:vMerge w:val="continue"/>
            <w:vAlign w:val="center"/>
          </w:tcPr>
          <w:p>
            <w:pPr>
              <w:widowControl/>
              <w:jc w:val="left"/>
              <w:rPr>
                <w:szCs w:val="21"/>
              </w:rPr>
            </w:pPr>
          </w:p>
        </w:tc>
        <w:tc>
          <w:tcPr>
            <w:tcW w:w="1870" w:type="dxa"/>
            <w:vAlign w:val="center"/>
          </w:tcPr>
          <w:p>
            <w:pPr>
              <w:jc w:val="center"/>
              <w:rPr>
                <w:szCs w:val="21"/>
              </w:rPr>
            </w:pPr>
            <w:r>
              <w:rPr>
                <w:szCs w:val="21"/>
              </w:rPr>
              <w:t>特殊生态敏感区</w:t>
            </w:r>
          </w:p>
        </w:tc>
        <w:tc>
          <w:tcPr>
            <w:tcW w:w="1706" w:type="dxa"/>
            <w:vAlign w:val="center"/>
          </w:tcPr>
          <w:p>
            <w:pPr>
              <w:ind w:firstLine="420" w:firstLineChars="200"/>
              <w:rPr>
                <w:szCs w:val="21"/>
              </w:rPr>
            </w:pPr>
            <w:r>
              <w:rPr>
                <w:szCs w:val="21"/>
              </w:rPr>
              <w:t>一级</w:t>
            </w:r>
          </w:p>
        </w:tc>
        <w:tc>
          <w:tcPr>
            <w:tcW w:w="1842" w:type="dxa"/>
            <w:vAlign w:val="center"/>
          </w:tcPr>
          <w:p>
            <w:pPr>
              <w:ind w:firstLine="420" w:firstLineChars="200"/>
              <w:rPr>
                <w:szCs w:val="21"/>
              </w:rPr>
            </w:pPr>
            <w:r>
              <w:rPr>
                <w:szCs w:val="21"/>
              </w:rPr>
              <w:t>一级</w:t>
            </w:r>
          </w:p>
        </w:tc>
        <w:tc>
          <w:tcPr>
            <w:tcW w:w="1776" w:type="dxa"/>
            <w:vAlign w:val="center"/>
          </w:tcPr>
          <w:p>
            <w:pPr>
              <w:ind w:firstLine="420" w:firstLineChars="200"/>
              <w:rPr>
                <w:szCs w:val="21"/>
              </w:rPr>
            </w:pPr>
            <w:r>
              <w:rPr>
                <w:szCs w:val="21"/>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pPr>
              <w:widowControl/>
              <w:jc w:val="left"/>
              <w:rPr>
                <w:szCs w:val="21"/>
              </w:rPr>
            </w:pPr>
          </w:p>
        </w:tc>
        <w:tc>
          <w:tcPr>
            <w:tcW w:w="851" w:type="dxa"/>
            <w:vMerge w:val="continue"/>
            <w:vAlign w:val="center"/>
          </w:tcPr>
          <w:p>
            <w:pPr>
              <w:widowControl/>
              <w:jc w:val="left"/>
              <w:rPr>
                <w:szCs w:val="21"/>
              </w:rPr>
            </w:pPr>
          </w:p>
        </w:tc>
        <w:tc>
          <w:tcPr>
            <w:tcW w:w="1870" w:type="dxa"/>
            <w:vAlign w:val="center"/>
          </w:tcPr>
          <w:p>
            <w:pPr>
              <w:jc w:val="center"/>
              <w:rPr>
                <w:szCs w:val="21"/>
              </w:rPr>
            </w:pPr>
            <w:r>
              <w:rPr>
                <w:szCs w:val="21"/>
              </w:rPr>
              <w:t>重要生态敏感区</w:t>
            </w:r>
          </w:p>
        </w:tc>
        <w:tc>
          <w:tcPr>
            <w:tcW w:w="1706" w:type="dxa"/>
            <w:vAlign w:val="center"/>
          </w:tcPr>
          <w:p>
            <w:pPr>
              <w:ind w:firstLine="420" w:firstLineChars="200"/>
              <w:rPr>
                <w:szCs w:val="21"/>
              </w:rPr>
            </w:pPr>
            <w:r>
              <w:rPr>
                <w:szCs w:val="21"/>
              </w:rPr>
              <w:t>一级</w:t>
            </w:r>
          </w:p>
        </w:tc>
        <w:tc>
          <w:tcPr>
            <w:tcW w:w="1842" w:type="dxa"/>
            <w:vAlign w:val="center"/>
          </w:tcPr>
          <w:p>
            <w:pPr>
              <w:ind w:firstLine="420" w:firstLineChars="200"/>
              <w:rPr>
                <w:szCs w:val="21"/>
              </w:rPr>
            </w:pPr>
            <w:r>
              <w:rPr>
                <w:szCs w:val="21"/>
              </w:rPr>
              <w:t>二级</w:t>
            </w:r>
          </w:p>
        </w:tc>
        <w:tc>
          <w:tcPr>
            <w:tcW w:w="1776" w:type="dxa"/>
            <w:vAlign w:val="center"/>
          </w:tcPr>
          <w:p>
            <w:pPr>
              <w:ind w:firstLine="420" w:firstLineChars="200"/>
              <w:rPr>
                <w:szCs w:val="21"/>
              </w:rPr>
            </w:pPr>
            <w:r>
              <w:rPr>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shd w:val="clear" w:color="auto" w:fill="auto"/>
            <w:vAlign w:val="center"/>
          </w:tcPr>
          <w:p>
            <w:pPr>
              <w:widowControl/>
              <w:jc w:val="left"/>
              <w:rPr>
                <w:szCs w:val="21"/>
              </w:rPr>
            </w:pPr>
          </w:p>
        </w:tc>
        <w:tc>
          <w:tcPr>
            <w:tcW w:w="851" w:type="dxa"/>
            <w:vMerge w:val="continue"/>
            <w:shd w:val="clear" w:color="auto" w:fill="auto"/>
            <w:vAlign w:val="center"/>
          </w:tcPr>
          <w:p>
            <w:pPr>
              <w:widowControl/>
              <w:jc w:val="left"/>
              <w:rPr>
                <w:szCs w:val="21"/>
              </w:rPr>
            </w:pPr>
          </w:p>
        </w:tc>
        <w:tc>
          <w:tcPr>
            <w:tcW w:w="1870" w:type="dxa"/>
            <w:shd w:val="clear" w:color="auto" w:fill="auto"/>
            <w:vAlign w:val="center"/>
          </w:tcPr>
          <w:p>
            <w:pPr>
              <w:jc w:val="center"/>
              <w:rPr>
                <w:szCs w:val="21"/>
              </w:rPr>
            </w:pPr>
            <w:r>
              <w:rPr>
                <w:szCs w:val="21"/>
              </w:rPr>
              <w:t>一般区域</w:t>
            </w:r>
          </w:p>
        </w:tc>
        <w:tc>
          <w:tcPr>
            <w:tcW w:w="1706" w:type="dxa"/>
            <w:shd w:val="clear" w:color="auto" w:fill="auto"/>
            <w:vAlign w:val="center"/>
          </w:tcPr>
          <w:p>
            <w:pPr>
              <w:ind w:firstLine="420" w:firstLineChars="200"/>
              <w:rPr>
                <w:szCs w:val="21"/>
              </w:rPr>
            </w:pPr>
            <w:r>
              <w:rPr>
                <w:szCs w:val="21"/>
              </w:rPr>
              <w:t>二级</w:t>
            </w:r>
          </w:p>
        </w:tc>
        <w:tc>
          <w:tcPr>
            <w:tcW w:w="1842" w:type="dxa"/>
            <w:shd w:val="clear" w:color="auto" w:fill="auto"/>
            <w:vAlign w:val="center"/>
          </w:tcPr>
          <w:p>
            <w:pPr>
              <w:ind w:firstLine="420" w:firstLineChars="200"/>
              <w:rPr>
                <w:szCs w:val="21"/>
              </w:rPr>
            </w:pPr>
            <w:r>
              <w:rPr>
                <w:szCs w:val="21"/>
              </w:rPr>
              <w:t>三级</w:t>
            </w:r>
          </w:p>
        </w:tc>
        <w:tc>
          <w:tcPr>
            <w:tcW w:w="1776" w:type="dxa"/>
            <w:shd w:val="clear" w:color="auto" w:fill="8DB3E2" w:themeFill="text2" w:themeFillTint="66"/>
            <w:vAlign w:val="center"/>
          </w:tcPr>
          <w:p>
            <w:pPr>
              <w:ind w:firstLine="422" w:firstLineChars="200"/>
              <w:rPr>
                <w:szCs w:val="21"/>
              </w:rPr>
            </w:pPr>
            <w:r>
              <w:rPr>
                <w:b/>
                <w:bCs/>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526" w:type="dxa"/>
            <w:gridSpan w:val="2"/>
            <w:vAlign w:val="center"/>
          </w:tcPr>
          <w:p>
            <w:pPr>
              <w:jc w:val="center"/>
              <w:rPr>
                <w:szCs w:val="21"/>
              </w:rPr>
            </w:pPr>
            <w:r>
              <w:rPr>
                <w:szCs w:val="21"/>
              </w:rPr>
              <w:t>本项目</w:t>
            </w:r>
          </w:p>
        </w:tc>
        <w:tc>
          <w:tcPr>
            <w:tcW w:w="5418" w:type="dxa"/>
            <w:gridSpan w:val="3"/>
            <w:vAlign w:val="center"/>
          </w:tcPr>
          <w:p>
            <w:pPr>
              <w:ind w:firstLine="422" w:firstLineChars="200"/>
              <w:rPr>
                <w:b/>
                <w:szCs w:val="21"/>
              </w:rPr>
            </w:pPr>
            <w:r>
              <w:rPr>
                <w:b/>
                <w:szCs w:val="21"/>
              </w:rPr>
              <w:t>占地面积：0.04995km</w:t>
            </w:r>
            <w:r>
              <w:rPr>
                <w:b/>
                <w:szCs w:val="21"/>
                <w:vertAlign w:val="superscript"/>
              </w:rPr>
              <w:t>2</w:t>
            </w:r>
            <w:r>
              <w:rPr>
                <w:b/>
                <w:szCs w:val="21"/>
              </w:rPr>
              <w:t> </w:t>
            </w:r>
          </w:p>
        </w:tc>
        <w:tc>
          <w:tcPr>
            <w:tcW w:w="1776" w:type="dxa"/>
            <w:vAlign w:val="center"/>
          </w:tcPr>
          <w:p>
            <w:pPr>
              <w:rPr>
                <w:szCs w:val="21"/>
              </w:rPr>
            </w:pPr>
            <w:r>
              <w:rPr>
                <w:szCs w:val="21"/>
              </w:rPr>
              <w:t>处于一般区域</w:t>
            </w:r>
          </w:p>
        </w:tc>
      </w:tr>
    </w:tbl>
    <w:p>
      <w:pPr>
        <w:adjustRightInd w:val="0"/>
        <w:snapToGrid w:val="0"/>
        <w:spacing w:line="343" w:lineRule="auto"/>
        <w:ind w:firstLine="480" w:firstLineChars="200"/>
        <w:rPr>
          <w:sz w:val="24"/>
        </w:rPr>
      </w:pPr>
      <w:r>
        <w:rPr>
          <w:sz w:val="24"/>
          <w:szCs w:val="24"/>
        </w:rPr>
        <w:t>根据建设项目污染物排放特点及当地气象条件、自然环境状况，考虑到项目周边敏感点分布情况，本项目评价范围</w:t>
      </w:r>
      <w:r>
        <w:rPr>
          <w:sz w:val="24"/>
        </w:rPr>
        <w:t>详见附图2。</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评价时段</w:t>
      </w:r>
    </w:p>
    <w:p>
      <w:pPr>
        <w:spacing w:after="240" w:line="360" w:lineRule="auto"/>
        <w:ind w:firstLine="480" w:firstLineChars="200"/>
        <w:rPr>
          <w:sz w:val="24"/>
        </w:rPr>
      </w:pPr>
      <w:r>
        <w:rPr>
          <w:sz w:val="24"/>
        </w:rPr>
        <w:t>本次环境影响评价时段分为建设期（施工期）</w:t>
      </w:r>
      <w:r>
        <w:rPr>
          <w:rFonts w:hint="eastAsia"/>
          <w:sz w:val="24"/>
        </w:rPr>
        <w:t>、</w:t>
      </w:r>
      <w:r>
        <w:rPr>
          <w:sz w:val="24"/>
        </w:rPr>
        <w:t>运营期</w:t>
      </w:r>
      <w:r>
        <w:rPr>
          <w:rFonts w:hint="eastAsia"/>
          <w:sz w:val="24"/>
        </w:rPr>
        <w:t>和封场期</w:t>
      </w:r>
      <w:r>
        <w:rPr>
          <w:sz w:val="24"/>
        </w:rPr>
        <w:t>环境影响评价。</w:t>
      </w:r>
    </w:p>
    <w:p>
      <w:pPr>
        <w:pStyle w:val="61"/>
        <w:numPr>
          <w:ilvl w:val="1"/>
          <w:numId w:val="5"/>
        </w:numPr>
        <w:tabs>
          <w:tab w:val="left" w:pos="567"/>
          <w:tab w:val="clear" w:pos="432"/>
        </w:tabs>
        <w:spacing w:before="156" w:after="156"/>
        <w:ind w:left="0" w:firstLine="0"/>
        <w:rPr>
          <w:rFonts w:ascii="Times New Roman" w:hAnsi="Times New Roman"/>
        </w:rPr>
      </w:pPr>
      <w:bookmarkStart w:id="36" w:name="_Toc31745"/>
      <w:bookmarkStart w:id="37" w:name="_Toc94101201"/>
      <w:r>
        <w:rPr>
          <w:rFonts w:ascii="Times New Roman" w:hAnsi="Times New Roman"/>
        </w:rPr>
        <w:t>规划</w:t>
      </w:r>
      <w:bookmarkEnd w:id="36"/>
      <w:r>
        <w:rPr>
          <w:rFonts w:ascii="Times New Roman" w:hAnsi="Times New Roman"/>
        </w:rPr>
        <w:t>符合性分析</w:t>
      </w:r>
      <w:bookmarkEnd w:id="37"/>
    </w:p>
    <w:p>
      <w:pPr>
        <w:pStyle w:val="62"/>
        <w:numPr>
          <w:ilvl w:val="2"/>
          <w:numId w:val="5"/>
        </w:numPr>
        <w:tabs>
          <w:tab w:val="left" w:pos="567"/>
        </w:tabs>
        <w:spacing w:before="156" w:after="156"/>
        <w:ind w:left="1366" w:hanging="1366" w:hangingChars="486"/>
        <w:rPr>
          <w:rFonts w:ascii="Times New Roman" w:hAnsi="Times New Roman"/>
        </w:rPr>
      </w:pPr>
      <w:r>
        <w:rPr>
          <w:rFonts w:ascii="Times New Roman" w:hAnsi="Times New Roman"/>
        </w:rPr>
        <w:t>全国主体功能区划</w:t>
      </w:r>
    </w:p>
    <w:p>
      <w:pPr>
        <w:pStyle w:val="20"/>
        <w:adjustRightInd w:val="0"/>
        <w:snapToGrid w:val="0"/>
        <w:spacing w:after="0" w:line="360" w:lineRule="auto"/>
        <w:ind w:firstLine="480" w:firstLineChars="200"/>
        <w:rPr>
          <w:sz w:val="24"/>
          <w:szCs w:val="24"/>
        </w:rPr>
      </w:pPr>
      <w:r>
        <w:rPr>
          <w:sz w:val="24"/>
          <w:szCs w:val="24"/>
        </w:rPr>
        <w:t>根据《全国主体功能区划》，本项目河北省承德市</w:t>
      </w:r>
      <w:r>
        <w:rPr>
          <w:rFonts w:hint="eastAsia"/>
          <w:sz w:val="24"/>
          <w:szCs w:val="24"/>
        </w:rPr>
        <w:t>围场县</w:t>
      </w:r>
      <w:r>
        <w:rPr>
          <w:sz w:val="24"/>
          <w:szCs w:val="24"/>
        </w:rPr>
        <w:t>，属于国家重点生态功能区，浑善达克沙漠化防治生态功能区。项目为环境保护与</w:t>
      </w:r>
      <w:r>
        <w:rPr>
          <w:rFonts w:hint="eastAsia"/>
          <w:sz w:val="24"/>
          <w:szCs w:val="24"/>
        </w:rPr>
        <w:t>固废无害化处置</w:t>
      </w:r>
      <w:r>
        <w:rPr>
          <w:sz w:val="24"/>
          <w:szCs w:val="24"/>
        </w:rPr>
        <w:t>项目，有利于生态环境保护，故符合全国主体功能区划分的定位。</w:t>
      </w:r>
    </w:p>
    <w:p>
      <w:pPr>
        <w:jc w:val="center"/>
        <w:rPr>
          <w:rFonts w:eastAsia="黑体"/>
          <w:sz w:val="24"/>
          <w:szCs w:val="24"/>
        </w:rPr>
      </w:pPr>
      <w:r>
        <w:rPr>
          <w:rFonts w:eastAsia="黑体"/>
          <w:sz w:val="24"/>
          <w:szCs w:val="24"/>
        </w:rPr>
        <w:t>表2.7-1    国家重点生态功能区类型和发展方向</w:t>
      </w:r>
    </w:p>
    <w:tbl>
      <w:tblPr>
        <w:tblStyle w:val="39"/>
        <w:tblW w:w="900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3"/>
        <w:gridCol w:w="3071"/>
        <w:gridCol w:w="730"/>
        <w:gridCol w:w="2339"/>
        <w:gridCol w:w="20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803" w:type="dxa"/>
            <w:vAlign w:val="center"/>
          </w:tcPr>
          <w:p>
            <w:pPr>
              <w:widowControl/>
              <w:adjustRightInd w:val="0"/>
              <w:snapToGrid w:val="0"/>
              <w:jc w:val="center"/>
              <w:rPr>
                <w:bCs/>
                <w:kern w:val="0"/>
                <w:szCs w:val="21"/>
              </w:rPr>
            </w:pPr>
            <w:r>
              <w:rPr>
                <w:bCs/>
                <w:kern w:val="0"/>
                <w:szCs w:val="21"/>
              </w:rPr>
              <w:t>区域</w:t>
            </w:r>
          </w:p>
        </w:tc>
        <w:tc>
          <w:tcPr>
            <w:tcW w:w="3071" w:type="dxa"/>
            <w:vAlign w:val="center"/>
          </w:tcPr>
          <w:p>
            <w:pPr>
              <w:widowControl/>
              <w:adjustRightInd w:val="0"/>
              <w:snapToGrid w:val="0"/>
              <w:jc w:val="center"/>
              <w:rPr>
                <w:bCs/>
                <w:kern w:val="0"/>
                <w:szCs w:val="21"/>
              </w:rPr>
            </w:pPr>
            <w:r>
              <w:rPr>
                <w:bCs/>
                <w:kern w:val="0"/>
                <w:szCs w:val="21"/>
              </w:rPr>
              <w:t>范围</w:t>
            </w:r>
          </w:p>
        </w:tc>
        <w:tc>
          <w:tcPr>
            <w:tcW w:w="730" w:type="dxa"/>
            <w:vAlign w:val="center"/>
          </w:tcPr>
          <w:p>
            <w:pPr>
              <w:widowControl/>
              <w:adjustRightInd w:val="0"/>
              <w:snapToGrid w:val="0"/>
              <w:jc w:val="center"/>
              <w:rPr>
                <w:bCs/>
                <w:kern w:val="0"/>
                <w:szCs w:val="21"/>
              </w:rPr>
            </w:pPr>
            <w:r>
              <w:rPr>
                <w:bCs/>
                <w:kern w:val="0"/>
                <w:szCs w:val="21"/>
              </w:rPr>
              <w:t>类型</w:t>
            </w:r>
          </w:p>
        </w:tc>
        <w:tc>
          <w:tcPr>
            <w:tcW w:w="2339" w:type="dxa"/>
            <w:vAlign w:val="center"/>
          </w:tcPr>
          <w:p>
            <w:pPr>
              <w:widowControl/>
              <w:adjustRightInd w:val="0"/>
              <w:snapToGrid w:val="0"/>
              <w:jc w:val="center"/>
              <w:rPr>
                <w:bCs/>
                <w:kern w:val="0"/>
                <w:szCs w:val="21"/>
              </w:rPr>
            </w:pPr>
            <w:r>
              <w:rPr>
                <w:bCs/>
                <w:kern w:val="0"/>
                <w:szCs w:val="21"/>
              </w:rPr>
              <w:t>综合评价</w:t>
            </w:r>
          </w:p>
        </w:tc>
        <w:tc>
          <w:tcPr>
            <w:tcW w:w="2060" w:type="dxa"/>
            <w:vAlign w:val="center"/>
          </w:tcPr>
          <w:p>
            <w:pPr>
              <w:widowControl/>
              <w:adjustRightInd w:val="0"/>
              <w:snapToGrid w:val="0"/>
              <w:jc w:val="center"/>
              <w:rPr>
                <w:bCs/>
                <w:kern w:val="0"/>
                <w:szCs w:val="21"/>
              </w:rPr>
            </w:pPr>
            <w:r>
              <w:rPr>
                <w:bCs/>
                <w:kern w:val="0"/>
                <w:szCs w:val="21"/>
              </w:rPr>
              <w:t>发展方向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86" w:hRule="atLeast"/>
          <w:jc w:val="center"/>
        </w:trPr>
        <w:tc>
          <w:tcPr>
            <w:tcW w:w="803" w:type="dxa"/>
            <w:vAlign w:val="center"/>
          </w:tcPr>
          <w:p>
            <w:pPr>
              <w:widowControl/>
              <w:adjustRightInd w:val="0"/>
              <w:snapToGrid w:val="0"/>
              <w:jc w:val="center"/>
              <w:rPr>
                <w:kern w:val="0"/>
                <w:szCs w:val="21"/>
              </w:rPr>
            </w:pPr>
            <w:r>
              <w:rPr>
                <w:kern w:val="0"/>
                <w:szCs w:val="21"/>
              </w:rPr>
              <w:t>浑善达克沙漠化防治生态功能区</w:t>
            </w:r>
          </w:p>
        </w:tc>
        <w:tc>
          <w:tcPr>
            <w:tcW w:w="3071" w:type="dxa"/>
            <w:vAlign w:val="center"/>
          </w:tcPr>
          <w:p>
            <w:pPr>
              <w:widowControl/>
              <w:adjustRightInd w:val="0"/>
              <w:snapToGrid w:val="0"/>
              <w:jc w:val="left"/>
              <w:rPr>
                <w:kern w:val="0"/>
                <w:szCs w:val="21"/>
              </w:rPr>
            </w:pPr>
            <w:r>
              <w:rPr>
                <w:kern w:val="0"/>
                <w:szCs w:val="21"/>
              </w:rPr>
              <w:t>河北省：</w:t>
            </w:r>
            <w:r>
              <w:rPr>
                <w:b/>
                <w:bCs/>
                <w:kern w:val="0"/>
                <w:szCs w:val="21"/>
              </w:rPr>
              <w:t>围场满族蒙古族自治县</w:t>
            </w:r>
            <w:r>
              <w:rPr>
                <w:kern w:val="0"/>
                <w:szCs w:val="21"/>
              </w:rPr>
              <w:t>、丰宁满族自治县、沽源县、张北县、尚义县、康保县</w:t>
            </w:r>
          </w:p>
          <w:p>
            <w:pPr>
              <w:widowControl/>
              <w:adjustRightInd w:val="0"/>
              <w:snapToGrid w:val="0"/>
              <w:jc w:val="left"/>
              <w:rPr>
                <w:kern w:val="0"/>
                <w:szCs w:val="21"/>
              </w:rPr>
            </w:pPr>
            <w:r>
              <w:rPr>
                <w:kern w:val="0"/>
                <w:szCs w:val="21"/>
              </w:rPr>
              <w:t>内蒙古自治区：克什克腾旗、多伦县、正镶白旗、正蓝旗、太仆寺旗、镶黄旗、阿巴嘎旗、苏尼特左旗、苏尼特右旗</w:t>
            </w:r>
          </w:p>
        </w:tc>
        <w:tc>
          <w:tcPr>
            <w:tcW w:w="730" w:type="dxa"/>
            <w:vAlign w:val="center"/>
          </w:tcPr>
          <w:p>
            <w:pPr>
              <w:widowControl/>
              <w:adjustRightInd w:val="0"/>
              <w:snapToGrid w:val="0"/>
              <w:jc w:val="center"/>
              <w:rPr>
                <w:kern w:val="0"/>
                <w:szCs w:val="21"/>
              </w:rPr>
            </w:pPr>
            <w:r>
              <w:rPr>
                <w:kern w:val="0"/>
                <w:szCs w:val="21"/>
              </w:rPr>
              <w:t>防风固沙</w:t>
            </w:r>
          </w:p>
        </w:tc>
        <w:tc>
          <w:tcPr>
            <w:tcW w:w="2339" w:type="dxa"/>
            <w:vAlign w:val="center"/>
          </w:tcPr>
          <w:p>
            <w:pPr>
              <w:widowControl/>
              <w:adjustRightInd w:val="0"/>
              <w:snapToGrid w:val="0"/>
              <w:jc w:val="center"/>
              <w:rPr>
                <w:kern w:val="0"/>
                <w:szCs w:val="21"/>
              </w:rPr>
            </w:pPr>
            <w:r>
              <w:rPr>
                <w:kern w:val="0"/>
                <w:szCs w:val="21"/>
              </w:rPr>
              <w:t>以固定、半固定沙丘为主，干旱频发，多大风天气，是北京乃至华北地区沙尘的主要来源地。目前土地沙化严重，干旱缺水，对华北地区生态安全构成威胁。</w:t>
            </w:r>
          </w:p>
        </w:tc>
        <w:tc>
          <w:tcPr>
            <w:tcW w:w="2060" w:type="dxa"/>
            <w:vAlign w:val="center"/>
          </w:tcPr>
          <w:p>
            <w:pPr>
              <w:widowControl/>
              <w:adjustRightInd w:val="0"/>
              <w:snapToGrid w:val="0"/>
              <w:jc w:val="center"/>
              <w:rPr>
                <w:kern w:val="0"/>
                <w:szCs w:val="21"/>
              </w:rPr>
            </w:pPr>
            <w:r>
              <w:rPr>
                <w:kern w:val="0"/>
                <w:szCs w:val="21"/>
              </w:rPr>
              <w:t>采取植物和工程措施，加强综合治理。</w:t>
            </w:r>
          </w:p>
        </w:tc>
      </w:tr>
    </w:tbl>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河北省主体功能区划</w:t>
      </w:r>
    </w:p>
    <w:p>
      <w:pPr>
        <w:autoSpaceDE w:val="0"/>
        <w:autoSpaceDN w:val="0"/>
        <w:adjustRightInd w:val="0"/>
        <w:snapToGrid w:val="0"/>
        <w:spacing w:line="360" w:lineRule="auto"/>
        <w:ind w:firstLine="480" w:firstLineChars="200"/>
        <w:rPr>
          <w:kern w:val="0"/>
          <w:sz w:val="24"/>
          <w:szCs w:val="24"/>
        </w:rPr>
      </w:pPr>
      <w:r>
        <w:rPr>
          <w:rFonts w:hint="eastAsia"/>
          <w:kern w:val="0"/>
          <w:sz w:val="24"/>
          <w:szCs w:val="24"/>
        </w:rPr>
        <w:t>根据《河北省主体功能区规划》，主体功能区分为优化开发区域、重点开发区域、限制开发区域、禁止开发区域四类。本项目位于国家重点生态功能区，属于京津冀北部水源涵养重要区，见图2.7</w:t>
      </w:r>
      <w:r>
        <w:rPr>
          <w:kern w:val="0"/>
          <w:sz w:val="24"/>
          <w:szCs w:val="24"/>
        </w:rPr>
        <w:t>-1。</w:t>
      </w:r>
      <w:r>
        <w:rPr>
          <w:rFonts w:hint="eastAsia"/>
          <w:sz w:val="24"/>
          <w:szCs w:val="24"/>
        </w:rPr>
        <w:t>项目实施有助于固体废物无害化处置，有利于当地生态环境保护，</w:t>
      </w:r>
      <w:r>
        <w:rPr>
          <w:rFonts w:hint="eastAsia"/>
          <w:kern w:val="0"/>
          <w:sz w:val="24"/>
          <w:szCs w:val="24"/>
        </w:rPr>
        <w:t>因此项目建设符合《河北省主体功能区规划》</w:t>
      </w:r>
      <w:r>
        <w:rPr>
          <w:kern w:val="0"/>
          <w:sz w:val="24"/>
          <w:szCs w:val="24"/>
        </w:rPr>
        <w:t>。</w:t>
      </w:r>
    </w:p>
    <w:p>
      <w:pPr>
        <w:adjustRightInd w:val="0"/>
        <w:snapToGrid w:val="0"/>
        <w:spacing w:line="360" w:lineRule="auto"/>
        <w:ind w:firstLine="480" w:firstLineChars="200"/>
        <w:rPr>
          <w:sz w:val="24"/>
          <w:szCs w:val="24"/>
        </w:rPr>
      </w:pPr>
      <w:r>
        <w:rPr>
          <w:sz w:val="24"/>
          <w:szCs w:val="24"/>
        </w:rPr>
        <w:t>根据《河北省主体功能区规划》，张家口市张北、沽源、康保、尚义；承德市丰宁满族自治县、</w:t>
      </w:r>
      <w:r>
        <w:rPr>
          <w:b/>
          <w:bCs/>
          <w:sz w:val="24"/>
          <w:szCs w:val="24"/>
        </w:rPr>
        <w:t>围场满族蒙古族自治县</w:t>
      </w:r>
      <w:r>
        <w:rPr>
          <w:sz w:val="24"/>
          <w:szCs w:val="24"/>
        </w:rPr>
        <w:t>属于坝上高原山地区，是国家浑善达克沙漠化防治生态功能区的一部分，被划为国家重点生态功能区。</w:t>
      </w:r>
    </w:p>
    <w:p>
      <w:pPr>
        <w:adjustRightInd w:val="0"/>
        <w:snapToGrid w:val="0"/>
        <w:spacing w:line="360" w:lineRule="auto"/>
        <w:ind w:firstLine="482" w:firstLineChars="200"/>
        <w:rPr>
          <w:sz w:val="24"/>
          <w:szCs w:val="24"/>
        </w:rPr>
      </w:pPr>
      <w:r>
        <w:rPr>
          <w:b/>
          <w:sz w:val="24"/>
          <w:szCs w:val="24"/>
        </w:rPr>
        <w:t>国家重点生态功能区功能定位为：</w:t>
      </w:r>
      <w:r>
        <w:rPr>
          <w:bCs/>
          <w:sz w:val="24"/>
          <w:szCs w:val="24"/>
        </w:rPr>
        <w:t>保障国家生态安全的重要区域，人与自然和谐相处的示范区。京津冀重点风沙源治理和生态恢复保护区，重点生物多样性保护区和风景旅游区。</w:t>
      </w:r>
    </w:p>
    <w:p>
      <w:pPr>
        <w:adjustRightInd w:val="0"/>
        <w:snapToGrid w:val="0"/>
        <w:spacing w:line="360" w:lineRule="auto"/>
        <w:ind w:firstLine="482" w:firstLineChars="200"/>
        <w:rPr>
          <w:bCs/>
          <w:sz w:val="24"/>
          <w:szCs w:val="24"/>
        </w:rPr>
      </w:pPr>
      <w:r>
        <w:rPr>
          <w:b/>
          <w:sz w:val="24"/>
          <w:szCs w:val="24"/>
        </w:rPr>
        <w:t>国家重点生态功能区发展方向：</w:t>
      </w:r>
      <w:r>
        <w:rPr>
          <w:bCs/>
          <w:sz w:val="24"/>
          <w:szCs w:val="24"/>
        </w:rPr>
        <w:t>（1）发展方向：生态建设。加强天然草场保护和人工草场建设，加大沿边沿坝防护林带、退耕还林、京津风沙源治理、巩固退耕还林成果规划项目等国家和省重点生态工程建设力度。转变畜牧业生产方式，实行禁牧休牧和划区轮牧，推行舍饲圈养，以草定畜，严格控制载畜量。加强对内陆河流的规划和管理，保护内流湖淖和河流湿地，改善风口地区和沙化土地集中地区生态环境。控制高耗水农业面积和用水总量，保持水资源的供求平衡。（2）产业发展：大力发展节水种植业、舍饲畜牧业和生态林业，建设特色有机农产品生产基地；培育壮大生态旅游和休闲度假服务业，建设具有高原特色的旅游度假区；加快推进农业产业化进程，重点发展绿色食品加工业；建设国家级风电基地，适度发展矿产采选业；积极培育能源和农畜产品物流业，建设京冀晋蒙交界物流区；禁止发展高消耗、高排放、高污染产业，禁止有损自然生态系统的侵占水面、湿地、林地、草地的农业开发活动。</w:t>
      </w:r>
    </w:p>
    <w:p>
      <w:pPr>
        <w:adjustRightInd w:val="0"/>
        <w:snapToGrid w:val="0"/>
        <w:spacing w:line="360" w:lineRule="auto"/>
        <w:ind w:firstLine="480" w:firstLineChars="200"/>
        <w:rPr>
          <w:sz w:val="24"/>
          <w:szCs w:val="24"/>
        </w:rPr>
      </w:pPr>
      <w:r>
        <w:rPr>
          <w:sz w:val="24"/>
          <w:szCs w:val="24"/>
        </w:rPr>
        <w:t>本项目位于承德市</w:t>
      </w:r>
      <w:r>
        <w:rPr>
          <w:rFonts w:hint="eastAsia"/>
          <w:sz w:val="24"/>
          <w:szCs w:val="24"/>
        </w:rPr>
        <w:t>围场县</w:t>
      </w:r>
      <w:r>
        <w:rPr>
          <w:sz w:val="24"/>
          <w:szCs w:val="24"/>
        </w:rPr>
        <w:t>，属于河北省主体功能区规划中的国家重点生态功能区。项目性质属于环境保护</w:t>
      </w:r>
      <w:r>
        <w:rPr>
          <w:rFonts w:hint="eastAsia"/>
          <w:sz w:val="24"/>
          <w:szCs w:val="24"/>
        </w:rPr>
        <w:t>固体废物无害化处置</w:t>
      </w:r>
      <w:r>
        <w:rPr>
          <w:sz w:val="24"/>
          <w:szCs w:val="24"/>
        </w:rPr>
        <w:t>项目，不属于其中禁止发展的高消耗、高排放、高污染产业。河北省主体功能区划见图2.7-1。</w:t>
      </w:r>
    </w:p>
    <w:p>
      <w:pPr>
        <w:pStyle w:val="81"/>
        <w:ind w:firstLine="0" w:firstLineChars="0"/>
        <w:jc w:val="center"/>
      </w:pPr>
      <w:r>
        <w:rPr>
          <w:rFonts w:hint="eastAsia"/>
        </w:rPr>
        <mc:AlternateContent>
          <mc:Choice Requires="wps">
            <w:drawing>
              <wp:anchor distT="0" distB="0" distL="114300" distR="114300" simplePos="0" relativeHeight="251722752" behindDoc="0" locked="0" layoutInCell="1" allowOverlap="1">
                <wp:simplePos x="0" y="0"/>
                <wp:positionH relativeFrom="column">
                  <wp:posOffset>3477895</wp:posOffset>
                </wp:positionH>
                <wp:positionV relativeFrom="paragraph">
                  <wp:posOffset>1008380</wp:posOffset>
                </wp:positionV>
                <wp:extent cx="639445" cy="319405"/>
                <wp:effectExtent l="0" t="0" r="27305" b="309245"/>
                <wp:wrapNone/>
                <wp:docPr id="2" name="对话气泡: 矩形 28"/>
                <wp:cNvGraphicFramePr/>
                <a:graphic xmlns:a="http://schemas.openxmlformats.org/drawingml/2006/main">
                  <a:graphicData uri="http://schemas.microsoft.com/office/word/2010/wordprocessingShape">
                    <wps:wsp>
                      <wps:cNvSpPr/>
                      <wps:spPr>
                        <a:xfrm>
                          <a:off x="0" y="0"/>
                          <a:ext cx="639445" cy="319405"/>
                        </a:xfrm>
                        <a:prstGeom prst="wedgeRectCallout">
                          <a:avLst>
                            <a:gd name="adj1" fmla="val -48906"/>
                            <a:gd name="adj2" fmla="val 138022"/>
                          </a:avLst>
                        </a:prstGeom>
                        <a:noFill/>
                        <a:ln w="9525" cap="flat" cmpd="sng" algn="ctr">
                          <a:solidFill>
                            <a:sysClr val="windowText" lastClr="000000"/>
                          </a:solidFill>
                          <a:prstDash val="solid"/>
                        </a:ln>
                        <a:effectLst/>
                      </wps:spPr>
                      <wps:txbx>
                        <w:txbxContent>
                          <w:p>
                            <w:pPr>
                              <w:jc w:val="center"/>
                              <w:rPr>
                                <w:rFonts w:eastAsia="黑体"/>
                                <w:b/>
                                <w:color w:val="000000" w:themeColor="text1"/>
                                <w14:textFill>
                                  <w14:solidFill>
                                    <w14:schemeClr w14:val="tx1"/>
                                  </w14:solidFill>
                                </w14:textFill>
                              </w:rPr>
                            </w:pPr>
                            <w:r>
                              <w:rPr>
                                <w:rFonts w:hint="eastAsia" w:eastAsia="黑体"/>
                                <w:b/>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8" o:spid="_x0000_s1026" o:spt="61" type="#_x0000_t61" style="position:absolute;left:0pt;margin-left:273.85pt;margin-top:79.4pt;height:25.15pt;width:50.35pt;z-index:251722752;v-text-anchor:middle;mso-width-relative:page;mso-height-relative:page;" filled="f" stroked="t" coordsize="21600,21600" o:gfxdata="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BnudpDaAAAACwEAAA8AAAAAAAAA&#10;AQAgAAAAIgAAAGRycy9kb3ducmV2LnhtbFBLAQIUABQAAAAIAIdO4kBSczCXugIAAE0FAAAOAAAA&#10;AAAAAAEAIAAAACkBAABkcnMvZTJvRG9jLnhtbFBLBQYAAAAABgAGAFkBAABVBgAAAAA=&#10;" adj="236,40613">
                <v:fill on="f" focussize="0,0"/>
                <v:stroke color="#000000" joinstyle="round"/>
                <v:imagedata o:title=""/>
                <o:lock v:ext="edit" aspectratio="f"/>
                <v:textbox>
                  <w:txbxContent>
                    <w:p>
                      <w:pPr>
                        <w:jc w:val="center"/>
                        <w:rPr>
                          <w:rFonts w:eastAsia="黑体"/>
                          <w:b/>
                          <w:color w:val="000000" w:themeColor="text1"/>
                          <w14:textFill>
                            <w14:solidFill>
                              <w14:schemeClr w14:val="tx1"/>
                            </w14:solidFill>
                          </w14:textFill>
                        </w:rPr>
                      </w:pPr>
                      <w:r>
                        <w:rPr>
                          <w:rFonts w:hint="eastAsia" w:eastAsia="黑体"/>
                          <w:b/>
                          <w:color w:val="000000" w:themeColor="text1"/>
                          <w14:textFill>
                            <w14:solidFill>
                              <w14:schemeClr w14:val="tx1"/>
                            </w14:solidFill>
                          </w14:textFill>
                        </w:rPr>
                        <w:t>本项目</w:t>
                      </w:r>
                    </w:p>
                  </w:txbxContent>
                </v:textbox>
              </v:shape>
            </w:pict>
          </mc:Fallback>
        </mc:AlternateContent>
      </w:r>
      <w:r>
        <w:rPr>
          <w:rFonts w:hint="eastAsia"/>
        </w:rPr>
        <w:drawing>
          <wp:inline distT="0" distB="0" distL="0" distR="0">
            <wp:extent cx="4297045" cy="5951855"/>
            <wp:effectExtent l="0" t="0" r="825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311177" cy="5971169"/>
                    </a:xfrm>
                    <a:prstGeom prst="rect">
                      <a:avLst/>
                    </a:prstGeom>
                    <a:noFill/>
                    <a:ln>
                      <a:noFill/>
                    </a:ln>
                  </pic:spPr>
                </pic:pic>
              </a:graphicData>
            </a:graphic>
          </wp:inline>
        </w:drawing>
      </w:r>
    </w:p>
    <w:p>
      <w:pPr>
        <w:autoSpaceDE w:val="0"/>
        <w:autoSpaceDN w:val="0"/>
        <w:jc w:val="center"/>
        <w:rPr>
          <w:b/>
          <w:kern w:val="0"/>
          <w:sz w:val="24"/>
          <w:szCs w:val="24"/>
        </w:rPr>
      </w:pPr>
      <w:bookmarkStart w:id="38" w:name="_Hlk78359298"/>
      <w:r>
        <w:rPr>
          <w:b/>
          <w:kern w:val="0"/>
          <w:sz w:val="24"/>
          <w:szCs w:val="24"/>
        </w:rPr>
        <w:t>图</w:t>
      </w:r>
      <w:r>
        <w:rPr>
          <w:rFonts w:hint="eastAsia"/>
          <w:b/>
          <w:kern w:val="0"/>
          <w:sz w:val="24"/>
          <w:szCs w:val="24"/>
        </w:rPr>
        <w:t>2.7</w:t>
      </w:r>
      <w:r>
        <w:rPr>
          <w:b/>
          <w:kern w:val="0"/>
          <w:sz w:val="24"/>
          <w:szCs w:val="24"/>
        </w:rPr>
        <w:t>-1  河北省主体功能区划图</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《河北省生态保护红线》</w:t>
      </w:r>
    </w:p>
    <w:p>
      <w:pPr>
        <w:adjustRightInd w:val="0"/>
        <w:snapToGrid w:val="0"/>
        <w:spacing w:line="360" w:lineRule="auto"/>
        <w:ind w:firstLine="480" w:firstLineChars="200"/>
        <w:rPr>
          <w:bCs/>
          <w:sz w:val="24"/>
          <w:szCs w:val="24"/>
        </w:rPr>
      </w:pPr>
      <w:r>
        <w:rPr>
          <w:bCs/>
          <w:sz w:val="24"/>
          <w:szCs w:val="24"/>
        </w:rPr>
        <w:t>根据《河北省人民政府关于发布&lt;河北省生态保护红线&gt;的通知》（冀政字【2018】23号）</w:t>
      </w:r>
      <w:r>
        <w:rPr>
          <w:rFonts w:hint="eastAsia"/>
          <w:bCs/>
          <w:sz w:val="24"/>
          <w:szCs w:val="24"/>
        </w:rPr>
        <w:t>，</w:t>
      </w:r>
      <w:r>
        <w:rPr>
          <w:bCs/>
          <w:sz w:val="24"/>
          <w:szCs w:val="24"/>
        </w:rPr>
        <w:t>河北省生态保护红线图</w:t>
      </w:r>
      <w:r>
        <w:rPr>
          <w:rFonts w:hint="eastAsia"/>
          <w:bCs/>
          <w:sz w:val="24"/>
          <w:szCs w:val="24"/>
        </w:rPr>
        <w:t>与本项目相对位置见</w:t>
      </w:r>
      <w:r>
        <w:rPr>
          <w:bCs/>
          <w:sz w:val="24"/>
          <w:szCs w:val="24"/>
        </w:rPr>
        <w:t>图</w:t>
      </w:r>
      <w:r>
        <w:rPr>
          <w:rFonts w:hint="eastAsia"/>
          <w:bCs/>
          <w:sz w:val="24"/>
          <w:szCs w:val="24"/>
        </w:rPr>
        <w:t>2</w:t>
      </w:r>
      <w:r>
        <w:rPr>
          <w:bCs/>
          <w:sz w:val="24"/>
          <w:szCs w:val="24"/>
        </w:rPr>
        <w:t>.7-2所示：</w:t>
      </w:r>
    </w:p>
    <w:p>
      <w:pPr>
        <w:adjustRightInd w:val="0"/>
        <w:snapToGrid w:val="0"/>
        <w:spacing w:line="360" w:lineRule="auto"/>
        <w:ind w:firstLine="482" w:firstLineChars="200"/>
        <w:jc w:val="left"/>
        <w:rPr>
          <w:b/>
          <w:bCs/>
          <w:sz w:val="24"/>
        </w:rPr>
      </w:pPr>
      <w:r>
        <w:rPr>
          <w:b/>
          <w:bCs/>
          <w:sz w:val="24"/>
        </w:rPr>
        <w:t>（1）河北省生态保护红线总面积</w:t>
      </w:r>
    </w:p>
    <w:p>
      <w:pPr>
        <w:adjustRightInd w:val="0"/>
        <w:snapToGrid w:val="0"/>
        <w:spacing w:line="360" w:lineRule="auto"/>
        <w:ind w:firstLine="480" w:firstLineChars="200"/>
        <w:jc w:val="left"/>
        <w:rPr>
          <w:sz w:val="24"/>
        </w:rPr>
      </w:pPr>
      <w:r>
        <w:rPr>
          <w:sz w:val="24"/>
        </w:rPr>
        <w:t>全省生态保护红线总面积4.05万平方公里，占全省国土面积的20.70%。其中，陆域生态保护红线面积3.86万平方公里，占全省陆域国土面积的20.49%，海洋生态保护红线面积1880平方公里，占全省管辖海域面积的26.02%。</w:t>
      </w:r>
    </w:p>
    <w:p>
      <w:pPr>
        <w:adjustRightInd w:val="0"/>
        <w:snapToGrid w:val="0"/>
        <w:spacing w:line="360" w:lineRule="auto"/>
        <w:rPr>
          <w:sz w:val="24"/>
          <w:szCs w:val="28"/>
        </w:rPr>
      </w:pPr>
      <w:r>
        <w:rPr>
          <w:sz w:val="24"/>
          <w:szCs w:val="28"/>
        </w:rPr>
        <mc:AlternateContent>
          <mc:Choice Requires="wps">
            <w:drawing>
              <wp:anchor distT="0" distB="0" distL="114300" distR="114300" simplePos="0" relativeHeight="251756544" behindDoc="0" locked="0" layoutInCell="1" allowOverlap="1">
                <wp:simplePos x="0" y="0"/>
                <wp:positionH relativeFrom="column">
                  <wp:posOffset>1140460</wp:posOffset>
                </wp:positionH>
                <wp:positionV relativeFrom="paragraph">
                  <wp:posOffset>1362710</wp:posOffset>
                </wp:positionV>
                <wp:extent cx="717550" cy="393700"/>
                <wp:effectExtent l="0" t="0" r="0" b="0"/>
                <wp:wrapNone/>
                <wp:docPr id="1450" name="对话气泡: 圆角矩形 1450"/>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34896"/>
                            <a:gd name="adj2" fmla="val -16741"/>
                            <a:gd name="adj3" fmla="val 16667"/>
                          </a:avLst>
                        </a:prstGeom>
                        <a:noFill/>
                        <a:ln w="25400" cap="flat" cmpd="sng" algn="ctr">
                          <a:noFill/>
                          <a:prstDash val="solid"/>
                        </a:ln>
                        <a:effectLst/>
                      </wps:spPr>
                      <wps:txbx>
                        <w:txbxContent>
                          <w:p>
                            <w:pPr>
                              <w:jc w:val="cente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4.5km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50" o:spid="_x0000_s1026" o:spt="62" type="#_x0000_t62" style="position:absolute;left:0pt;margin-left:89.8pt;margin-top:107.3pt;height:31pt;width:56.5pt;z-index:251756544;v-text-anchor:middle;mso-width-relative:page;mso-height-relative:page;" filled="f" stroked="f" coordsize="21600,21600" o:gfxdata="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WfNPY2QAAAAsBAAAPAAAAAAAAAAEAIAAA&#10;ACIAAABkcnMvZG93bnJldi54bWxQSwECFAAUAAAACACHTuJAdVSPRbYCAABFBQAADgAAAAAAAAAB&#10;ACAAAAAoAQAAZHJzL2Uyb0RvYy54bWxQSwUGAAAAAAYABgBZAQAAUAYAAAAA&#10;" adj="3262,7184,14400">
                <v:fill on="f" focussize="0,0"/>
                <v:stroke on="f" weight="2pt"/>
                <v:imagedata o:title=""/>
                <o:lock v:ext="edit" aspectratio="f"/>
                <v:textbox>
                  <w:txbxContent>
                    <w:p>
                      <w:pPr>
                        <w:jc w:val="cente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4.5km</w:t>
                      </w:r>
                    </w:p>
                  </w:txbxContent>
                </v:textbox>
              </v:shape>
            </w:pict>
          </mc:Fallback>
        </mc:AlternateContent>
      </w:r>
      <w:r>
        <w:rPr>
          <w:sz w:val="24"/>
          <w:szCs w:val="28"/>
        </w:rPr>
        <mc:AlternateContent>
          <mc:Choice Requires="wps">
            <w:drawing>
              <wp:anchor distT="0" distB="0" distL="114300" distR="114300" simplePos="0" relativeHeight="251752448" behindDoc="0" locked="0" layoutInCell="1" allowOverlap="1">
                <wp:simplePos x="0" y="0"/>
                <wp:positionH relativeFrom="column">
                  <wp:posOffset>950595</wp:posOffset>
                </wp:positionH>
                <wp:positionV relativeFrom="paragraph">
                  <wp:posOffset>1332865</wp:posOffset>
                </wp:positionV>
                <wp:extent cx="1871345" cy="516255"/>
                <wp:effectExtent l="38100" t="57150" r="15240" b="74930"/>
                <wp:wrapNone/>
                <wp:docPr id="1449" name="直接箭头连接符 1449"/>
                <wp:cNvGraphicFramePr/>
                <a:graphic xmlns:a="http://schemas.openxmlformats.org/drawingml/2006/main">
                  <a:graphicData uri="http://schemas.microsoft.com/office/word/2010/wordprocessingShape">
                    <wps:wsp>
                      <wps:cNvCnPr/>
                      <wps:spPr>
                        <a:xfrm flipH="1">
                          <a:off x="0" y="0"/>
                          <a:ext cx="1871167" cy="516027"/>
                        </a:xfrm>
                        <a:prstGeom prst="straightConnector1">
                          <a:avLst/>
                        </a:prstGeom>
                        <a:noFill/>
                        <a:ln w="38100" cap="flat" cmpd="sng" algn="ctr">
                          <a:solidFill>
                            <a:srgbClr val="FFFF00"/>
                          </a:solidFill>
                          <a:prstDash val="solid"/>
                          <a:headEnd type="triangle"/>
                          <a:tailEnd type="triangle"/>
                        </a:ln>
                        <a:effectLst/>
                      </wps:spPr>
                      <wps:bodyPr/>
                    </wps:wsp>
                  </a:graphicData>
                </a:graphic>
              </wp:anchor>
            </w:drawing>
          </mc:Choice>
          <mc:Fallback>
            <w:pict>
              <v:shape id="_x0000_s1026" o:spid="_x0000_s1026" o:spt="32" type="#_x0000_t32" style="position:absolute;left:0pt;flip:x;margin-left:74.85pt;margin-top:104.95pt;height:40.65pt;width:147.35pt;z-index:251752448;mso-width-relative:page;mso-height-relative:page;" filled="f" stroked="t" coordsize="21600,21600" o:gfxdata="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HzA29kAAAALAQAA&#10;DwAAAAAAAAABACAAAAAiAAAAZHJzL2Rvd25yZXYueG1sUEsBAhQAFAAAAAgAh07iQA/0Ts8YAgAA&#10;CgQAAA4AAAAAAAAAAQAgAAAAKAEAAGRycy9lMm9Eb2MueG1sUEsFBgAAAAAGAAYAWQEAALIFAAAA&#10;AA==&#10;">
                <v:fill on="f" focussize="0,0"/>
                <v:stroke weight="3pt" color="#FFFF00" joinstyle="round" startarrow="block" endarrow="block"/>
                <v:imagedata o:title=""/>
                <o:lock v:ext="edit" aspectratio="f"/>
              </v:shape>
            </w:pict>
          </mc:Fallback>
        </mc:AlternateContent>
      </w:r>
      <w:r>
        <w:rPr>
          <w:sz w:val="24"/>
          <w:szCs w:val="28"/>
        </w:rPr>
        <mc:AlternateContent>
          <mc:Choice Requires="wps">
            <w:drawing>
              <wp:anchor distT="0" distB="0" distL="114300" distR="114300" simplePos="0" relativeHeight="251740160" behindDoc="0" locked="0" layoutInCell="1" allowOverlap="1">
                <wp:simplePos x="0" y="0"/>
                <wp:positionH relativeFrom="column">
                  <wp:posOffset>3248025</wp:posOffset>
                </wp:positionH>
                <wp:positionV relativeFrom="paragraph">
                  <wp:posOffset>948055</wp:posOffset>
                </wp:positionV>
                <wp:extent cx="717550" cy="393700"/>
                <wp:effectExtent l="0" t="0" r="0" b="0"/>
                <wp:wrapNone/>
                <wp:docPr id="1439" name="对话气泡: 圆角矩形 1439"/>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34896"/>
                            <a:gd name="adj2" fmla="val -16741"/>
                            <a:gd name="adj3" fmla="val 16667"/>
                          </a:avLst>
                        </a:prstGeom>
                        <a:noFill/>
                        <a:ln w="25400" cap="flat" cmpd="sng" algn="ctr">
                          <a:noFill/>
                          <a:prstDash val="solid"/>
                        </a:ln>
                        <a:effectLst/>
                      </wps:spPr>
                      <wps:txbx>
                        <w:txbxContent>
                          <w:p>
                            <w:pPr>
                              <w:jc w:val="cente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1.9km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39" o:spid="_x0000_s1026" o:spt="62" type="#_x0000_t62" style="position:absolute;left:0pt;margin-left:255.75pt;margin-top:74.65pt;height:31pt;width:56.5pt;z-index:251740160;v-text-anchor:middle;mso-width-relative:page;mso-height-relative:page;" filled="f" stroked="f" coordsize="21600,21600" o:gfxdata="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ZEmqP2wAAAAsBAAAPAAAAAAAAAAEA&#10;IAAAACIAAABkcnMvZG93bnJldi54bWxQSwECFAAUAAAACACHTuJA3FHBGLcCAABFBQAADgAAAAAA&#10;AAABACAAAAAqAQAAZHJzL2Uyb0RvYy54bWxQSwUGAAAAAAYABgBZAQAAUwYAAAAA&#10;" adj="3262,7184,14400">
                <v:fill on="f" focussize="0,0"/>
                <v:stroke on="f" weight="2pt"/>
                <v:imagedata o:title=""/>
                <o:lock v:ext="edit" aspectratio="f"/>
                <v:textbox>
                  <w:txbxContent>
                    <w:p>
                      <w:pPr>
                        <w:jc w:val="cente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1.9km</w:t>
                      </w:r>
                    </w:p>
                  </w:txbxContent>
                </v:textbox>
              </v:shape>
            </w:pict>
          </mc:Fallback>
        </mc:AlternateContent>
      </w:r>
      <w:r>
        <w:rPr>
          <w:sz w:val="24"/>
          <w:szCs w:val="28"/>
        </w:rPr>
        <mc:AlternateContent>
          <mc:Choice Requires="wps">
            <w:drawing>
              <wp:anchor distT="0" distB="0" distL="114300" distR="114300" simplePos="0" relativeHeight="251743232" behindDoc="0" locked="0" layoutInCell="1" allowOverlap="1">
                <wp:simplePos x="0" y="0"/>
                <wp:positionH relativeFrom="column">
                  <wp:posOffset>2963545</wp:posOffset>
                </wp:positionH>
                <wp:positionV relativeFrom="paragraph">
                  <wp:posOffset>772795</wp:posOffset>
                </wp:positionV>
                <wp:extent cx="918210" cy="497205"/>
                <wp:effectExtent l="38100" t="38100" r="53975" b="55880"/>
                <wp:wrapNone/>
                <wp:docPr id="1441" name="直接箭头连接符 1441"/>
                <wp:cNvGraphicFramePr/>
                <a:graphic xmlns:a="http://schemas.openxmlformats.org/drawingml/2006/main">
                  <a:graphicData uri="http://schemas.microsoft.com/office/word/2010/wordprocessingShape">
                    <wps:wsp>
                      <wps:cNvCnPr/>
                      <wps:spPr>
                        <a:xfrm flipH="1">
                          <a:off x="0" y="0"/>
                          <a:ext cx="918075" cy="496921"/>
                        </a:xfrm>
                        <a:prstGeom prst="straightConnector1">
                          <a:avLst/>
                        </a:prstGeom>
                        <a:noFill/>
                        <a:ln w="38100" cap="flat" cmpd="sng" algn="ctr">
                          <a:solidFill>
                            <a:srgbClr val="FFFF00"/>
                          </a:solidFill>
                          <a:prstDash val="solid"/>
                          <a:headEnd type="triangle"/>
                          <a:tailEnd type="triangle"/>
                        </a:ln>
                        <a:effectLst/>
                      </wps:spPr>
                      <wps:bodyPr/>
                    </wps:wsp>
                  </a:graphicData>
                </a:graphic>
              </wp:anchor>
            </w:drawing>
          </mc:Choice>
          <mc:Fallback>
            <w:pict>
              <v:shape id="_x0000_s1026" o:spid="_x0000_s1026" o:spt="32" type="#_x0000_t32" style="position:absolute;left:0pt;flip:x;margin-left:233.35pt;margin-top:60.85pt;height:39.15pt;width:72.3pt;z-index:251743232;mso-width-relative:page;mso-height-relative:page;" filled="f" stroked="t" coordsize="21600,21600" o:gfxdata="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vZIgZNkAAAALAQAA&#10;DwAAAAAAAAABACAAAAAiAAAAZHJzL2Rvd25yZXYueG1sUEsBAhQAFAAAAAgAh07iQOpKBrkYAgAA&#10;CQQAAA4AAAAAAAAAAQAgAAAAKAEAAGRycy9lMm9Eb2MueG1sUEsFBgAAAAAGAAYAWQEAALIFAAAA&#10;AA==&#10;">
                <v:fill on="f" focussize="0,0"/>
                <v:stroke weight="3pt" color="#FFFF00" joinstyle="round" startarrow="block" endarrow="block"/>
                <v:imagedata o:title=""/>
                <o:lock v:ext="edit" aspectratio="f"/>
              </v:shape>
            </w:pict>
          </mc:Fallback>
        </mc:AlternateContent>
      </w:r>
      <w:r>
        <w:rPr>
          <w:sz w:val="24"/>
          <w:szCs w:val="28"/>
        </w:rPr>
        <mc:AlternateContent>
          <mc:Choice Requires="wps">
            <w:drawing>
              <wp:anchor distT="0" distB="0" distL="114300" distR="114300" simplePos="0" relativeHeight="251747328" behindDoc="0" locked="0" layoutInCell="1" allowOverlap="1">
                <wp:simplePos x="0" y="0"/>
                <wp:positionH relativeFrom="column">
                  <wp:posOffset>2531110</wp:posOffset>
                </wp:positionH>
                <wp:positionV relativeFrom="paragraph">
                  <wp:posOffset>1444625</wp:posOffset>
                </wp:positionV>
                <wp:extent cx="717550" cy="393700"/>
                <wp:effectExtent l="0" t="0" r="0" b="0"/>
                <wp:wrapNone/>
                <wp:docPr id="1442" name="对话气泡: 圆角矩形 1442"/>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34896"/>
                            <a:gd name="adj2" fmla="val -16741"/>
                            <a:gd name="adj3" fmla="val 16667"/>
                          </a:avLst>
                        </a:prstGeom>
                        <a:noFill/>
                        <a:ln w="25400" cap="flat" cmpd="sng" algn="ctr">
                          <a:noFill/>
                          <a:prstDash val="solid"/>
                        </a:ln>
                        <a:effectLst/>
                      </wps:spPr>
                      <wps:txbx>
                        <w:txbxContent>
                          <w:p>
                            <w:pPr>
                              <w:jc w:val="cente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rFonts w:hint="eastAsia"/>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.55km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42" o:spid="_x0000_s1026" o:spt="62" type="#_x0000_t62" style="position:absolute;left:0pt;margin-left:199.3pt;margin-top:113.75pt;height:31pt;width:56.5pt;z-index:251747328;v-text-anchor:middle;mso-width-relative:page;mso-height-relative:page;" filled="f" stroked="f" coordsize="21600,21600" o:gfxdata="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ZA2LdwAAAALAQAADwAAAAAAAAAB&#10;ACAAAAAiAAAAZHJzL2Rvd25yZXYueG1sUEsBAhQAFAAAAAgAh07iQI4LjCK3AgAARQUAAA4AAAAA&#10;AAAAAQAgAAAAKwEAAGRycy9lMm9Eb2MueG1sUEsFBgAAAAAGAAYAWQEAAFQGAAAAAA==&#10;" adj="3262,7184,14400">
                <v:fill on="f" focussize="0,0"/>
                <v:stroke on="f" weight="2pt"/>
                <v:imagedata o:title=""/>
                <o:lock v:ext="edit" aspectratio="f"/>
                <v:textbox>
                  <w:txbxContent>
                    <w:p>
                      <w:pPr>
                        <w:jc w:val="cente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pPr>
                      <w:r>
                        <w:rPr>
                          <w:rFonts w:hint="eastAsia"/>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1</w:t>
                      </w:r>
                      <w:r>
                        <w:rPr>
                          <w:bCs/>
                          <w:color w:val="FFFF00"/>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rPr>
                        <w:t>.55km</w:t>
                      </w:r>
                    </w:p>
                  </w:txbxContent>
                </v:textbox>
              </v:shape>
            </w:pict>
          </mc:Fallback>
        </mc:AlternateContent>
      </w:r>
      <w:r>
        <w:rPr>
          <w:sz w:val="24"/>
          <w:szCs w:val="28"/>
        </w:rPr>
        <mc:AlternateContent>
          <mc:Choice Requires="wps">
            <w:drawing>
              <wp:anchor distT="0" distB="0" distL="114300" distR="114300" simplePos="0" relativeHeight="251746304" behindDoc="0" locked="0" layoutInCell="1" allowOverlap="1">
                <wp:simplePos x="0" y="0"/>
                <wp:positionH relativeFrom="column">
                  <wp:posOffset>2532380</wp:posOffset>
                </wp:positionH>
                <wp:positionV relativeFrom="paragraph">
                  <wp:posOffset>1334135</wp:posOffset>
                </wp:positionV>
                <wp:extent cx="346710" cy="282575"/>
                <wp:effectExtent l="38100" t="38100" r="53340" b="41910"/>
                <wp:wrapNone/>
                <wp:docPr id="1443" name="直接箭头连接符 1443"/>
                <wp:cNvGraphicFramePr/>
                <a:graphic xmlns:a="http://schemas.openxmlformats.org/drawingml/2006/main">
                  <a:graphicData uri="http://schemas.microsoft.com/office/word/2010/wordprocessingShape">
                    <wps:wsp>
                      <wps:cNvCnPr/>
                      <wps:spPr>
                        <a:xfrm flipH="1">
                          <a:off x="0" y="0"/>
                          <a:ext cx="346858" cy="282534"/>
                        </a:xfrm>
                        <a:prstGeom prst="straightConnector1">
                          <a:avLst/>
                        </a:prstGeom>
                        <a:noFill/>
                        <a:ln w="38100" cap="flat" cmpd="sng" algn="ctr">
                          <a:solidFill>
                            <a:srgbClr val="FFFF00"/>
                          </a:solidFill>
                          <a:prstDash val="solid"/>
                          <a:headEnd type="triangle"/>
                          <a:tailEnd type="triangle"/>
                        </a:ln>
                        <a:effectLst/>
                      </wps:spPr>
                      <wps:bodyPr/>
                    </wps:wsp>
                  </a:graphicData>
                </a:graphic>
              </wp:anchor>
            </w:drawing>
          </mc:Choice>
          <mc:Fallback>
            <w:pict>
              <v:shape id="_x0000_s1026" o:spid="_x0000_s1026" o:spt="32" type="#_x0000_t32" style="position:absolute;left:0pt;flip:x;margin-left:199.4pt;margin-top:105.05pt;height:22.25pt;width:27.3pt;z-index:251746304;mso-width-relative:page;mso-height-relative:page;" filled="f" stroked="t" coordsize="21600,21600" o:gfxdata="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5969dsAAAALAQAA&#10;DwAAAAAAAAABACAAAAAiAAAAZHJzL2Rvd25yZXYueG1sUEsBAhQAFAAAAAgAh07iQPJwl2sWAgAA&#10;CQQAAA4AAAAAAAAAAQAgAAAAKgEAAGRycy9lMm9Eb2MueG1sUEsFBgAAAAAGAAYAWQEAALIFAAAA&#10;AA==&#10;">
                <v:fill on="f" focussize="0,0"/>
                <v:stroke weight="3pt" color="#FFFF00" joinstyle="round" startarrow="block" endarrow="block"/>
                <v:imagedata o:title=""/>
                <o:lock v:ext="edit" aspectratio="f"/>
              </v:shape>
            </w:pict>
          </mc:Fallback>
        </mc:AlternateContent>
      </w:r>
      <w:r>
        <w:rPr>
          <w:sz w:val="24"/>
          <w:szCs w:val="28"/>
        </w:rPr>
        <mc:AlternateContent>
          <mc:Choice Requires="wps">
            <w:drawing>
              <wp:anchor distT="0" distB="0" distL="114300" distR="114300" simplePos="0" relativeHeight="251736064" behindDoc="0" locked="0" layoutInCell="1" allowOverlap="1">
                <wp:simplePos x="0" y="0"/>
                <wp:positionH relativeFrom="column">
                  <wp:posOffset>4119245</wp:posOffset>
                </wp:positionH>
                <wp:positionV relativeFrom="paragraph">
                  <wp:posOffset>135255</wp:posOffset>
                </wp:positionV>
                <wp:extent cx="542290" cy="542290"/>
                <wp:effectExtent l="0" t="0" r="0" b="0"/>
                <wp:wrapNone/>
                <wp:docPr id="1444" name="对话气泡: 矩形 1444"/>
                <wp:cNvGraphicFramePr/>
                <a:graphic xmlns:a="http://schemas.openxmlformats.org/drawingml/2006/main">
                  <a:graphicData uri="http://schemas.microsoft.com/office/word/2010/wordprocessingShape">
                    <wps:wsp>
                      <wps:cNvSpPr/>
                      <wps:spPr>
                        <a:xfrm>
                          <a:off x="0" y="0"/>
                          <a:ext cx="542260" cy="542260"/>
                        </a:xfrm>
                        <a:prstGeom prst="wedgeRectCallout">
                          <a:avLst/>
                        </a:prstGeom>
                        <a:noFill/>
                        <a:ln w="25400" cap="flat" cmpd="sng" algn="ctr">
                          <a:noFill/>
                          <a:prstDash val="solid"/>
                        </a:ln>
                        <a:effectLst/>
                      </wps:spPr>
                      <wps:txb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444" o:spid="_x0000_s1026" o:spt="61" type="#_x0000_t61" style="position:absolute;left:0pt;margin-left:324.35pt;margin-top:10.65pt;height:42.7pt;width:42.7pt;z-index:251736064;v-text-anchor:middle;mso-width-relative:page;mso-height-relative:page;" filled="f" stroked="f" coordsize="21600,21600" o:gfxdata="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xmCTnYAAAACgEAAA8AAAAAAAAAAQAgAAAAIgAAAGRycy9k&#10;b3ducmV2LnhtbFBLAQIUABQAAAAIAIdO4kDaWqludAIAAMMEAAAOAAAAAAAAAAEAIAAAACcBAABk&#10;cnMvZTJvRG9jLnhtbFBLBQYAAAAABgAGAFkBAAANBgAAAAA=&#10;" adj="6300,24300">
                <v:fill on="f" focussize="0,0"/>
                <v:stroke on="f" weight="2pt"/>
                <v:imagedata o:title=""/>
                <o:lock v:ext="edit" aspectratio="f"/>
                <v:textbo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v:textbox>
              </v:shape>
            </w:pict>
          </mc:Fallback>
        </mc:AlternateContent>
      </w:r>
      <w:r>
        <w:rPr>
          <w:sz w:val="24"/>
          <w:szCs w:val="28"/>
        </w:rPr>
        <mc:AlternateContent>
          <mc:Choice Requires="wps">
            <w:drawing>
              <wp:anchor distT="0" distB="0" distL="114300" distR="114300" simplePos="0" relativeHeight="251732992" behindDoc="0" locked="0" layoutInCell="1" allowOverlap="1">
                <wp:simplePos x="0" y="0"/>
                <wp:positionH relativeFrom="column">
                  <wp:posOffset>90170</wp:posOffset>
                </wp:positionH>
                <wp:positionV relativeFrom="paragraph">
                  <wp:posOffset>2144395</wp:posOffset>
                </wp:positionV>
                <wp:extent cx="542290" cy="542290"/>
                <wp:effectExtent l="0" t="0" r="0" b="0"/>
                <wp:wrapNone/>
                <wp:docPr id="1445" name="对话气泡: 矩形 1445"/>
                <wp:cNvGraphicFramePr/>
                <a:graphic xmlns:a="http://schemas.openxmlformats.org/drawingml/2006/main">
                  <a:graphicData uri="http://schemas.microsoft.com/office/word/2010/wordprocessingShape">
                    <wps:wsp>
                      <wps:cNvSpPr/>
                      <wps:spPr>
                        <a:xfrm>
                          <a:off x="0" y="0"/>
                          <a:ext cx="542260" cy="542260"/>
                        </a:xfrm>
                        <a:prstGeom prst="wedgeRectCallout">
                          <a:avLst/>
                        </a:prstGeom>
                        <a:noFill/>
                        <a:ln w="25400" cap="flat" cmpd="sng" algn="ctr">
                          <a:noFill/>
                          <a:prstDash val="solid"/>
                        </a:ln>
                        <a:effectLst/>
                      </wps:spPr>
                      <wps:txb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445" o:spid="_x0000_s1026" o:spt="61" type="#_x0000_t61" style="position:absolute;left:0pt;margin-left:7.1pt;margin-top:168.85pt;height:42.7pt;width:42.7pt;z-index:251732992;v-text-anchor:middle;mso-width-relative:page;mso-height-relative:page;" filled="f" stroked="f" coordsize="21600,21600" o:gfxdata="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w3qs/XAAAACQEAAA8AAAAAAAAAAQAgAAAAIgAAAGRycy9k&#10;b3ducmV2LnhtbFBLAQIUABQAAAAIAIdO4kDNWq/HdQIAAMMEAAAOAAAAAAAAAAEAIAAAACYBAABk&#10;cnMvZTJvRG9jLnhtbFBLBQYAAAAABgAGAFkBAAANBgAAAAA=&#10;" adj="6300,24300">
                <v:fill on="f" focussize="0,0"/>
                <v:stroke on="f" weight="2pt"/>
                <v:imagedata o:title=""/>
                <o:lock v:ext="edit" aspectratio="f"/>
                <v:textbox>
                  <w:txbxContent>
                    <w:p>
                      <w:pPr>
                        <w:jc w:val="center"/>
                        <w:rPr>
                          <w14:textOutline w14:w="9525" w14:cap="rnd" w14:cmpd="sng" w14:algn="ctr">
                            <w14:solidFill>
                              <w14:srgbClr w14:val="000000"/>
                            </w14:solidFill>
                            <w14:prstDash w14:val="solid"/>
                            <w14:bevel/>
                          </w14:textOutline>
                        </w:rPr>
                      </w:pPr>
                      <w:r>
                        <w:rPr>
                          <w:rFonts w:hint="eastAsia"/>
                          <w14:textOutline w14:w="9525" w14:cap="rnd" w14:cmpd="sng" w14:algn="ctr">
                            <w14:solidFill>
                              <w14:srgbClr w14:val="000000"/>
                            </w14:solidFill>
                            <w14:prstDash w14:val="solid"/>
                            <w14:bevel/>
                          </w14:textOutline>
                        </w:rPr>
                        <w:t>红线区</w:t>
                      </w:r>
                    </w:p>
                  </w:txbxContent>
                </v:textbox>
              </v:shape>
            </w:pict>
          </mc:Fallback>
        </mc:AlternateContent>
      </w:r>
      <w:r>
        <w:rPr>
          <w:sz w:val="24"/>
          <w:szCs w:val="28"/>
        </w:rPr>
        <mc:AlternateContent>
          <mc:Choice Requires="wps">
            <w:drawing>
              <wp:anchor distT="0" distB="0" distL="114300" distR="114300" simplePos="0" relativeHeight="251745280" behindDoc="0" locked="0" layoutInCell="1" allowOverlap="1">
                <wp:simplePos x="0" y="0"/>
                <wp:positionH relativeFrom="column">
                  <wp:posOffset>2579370</wp:posOffset>
                </wp:positionH>
                <wp:positionV relativeFrom="paragraph">
                  <wp:posOffset>316230</wp:posOffset>
                </wp:positionV>
                <wp:extent cx="717550" cy="393700"/>
                <wp:effectExtent l="0" t="0" r="25400" b="615950"/>
                <wp:wrapNone/>
                <wp:docPr id="1446" name="对话气泡: 圆角矩形 1446"/>
                <wp:cNvGraphicFramePr/>
                <a:graphic xmlns:a="http://schemas.openxmlformats.org/drawingml/2006/main">
                  <a:graphicData uri="http://schemas.microsoft.com/office/word/2010/wordprocessingShape">
                    <wps:wsp>
                      <wps:cNvSpPr/>
                      <wps:spPr>
                        <a:xfrm>
                          <a:off x="0" y="0"/>
                          <a:ext cx="717550" cy="393700"/>
                        </a:xfrm>
                        <a:prstGeom prst="wedgeRoundRectCallout">
                          <a:avLst>
                            <a:gd name="adj1" fmla="val -2359"/>
                            <a:gd name="adj2" fmla="val 193279"/>
                            <a:gd name="adj3" fmla="val 16667"/>
                          </a:avLst>
                        </a:prstGeom>
                        <a:noFill/>
                        <a:ln w="25400" cap="flat" cmpd="sng" algn="ctr">
                          <a:solidFill>
                            <a:srgbClr val="FFC000"/>
                          </a:solidFill>
                          <a:prstDash val="solid"/>
                        </a:ln>
                        <a:effectLst/>
                      </wps:spPr>
                      <wps:txbx>
                        <w:txbxContent>
                          <w:p>
                            <w:pPr>
                              <w:jc w:val="center"/>
                              <w:rPr>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pPr>
                            <w:r>
                              <w:rPr>
                                <w:rFonts w:hint="eastAsia"/>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46" o:spid="_x0000_s1026" o:spt="62" type="#_x0000_t62" style="position:absolute;left:0pt;margin-left:203.1pt;margin-top:24.9pt;height:31pt;width:56.5pt;z-index:251745280;v-text-anchor:middle;mso-width-relative:page;mso-height-relative:page;" filled="f" stroked="t" coordsize="21600,21600" o:gfxdata="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cBXy5tgAAAAK&#10;AQAADwAAAAAAAAABACAAAAAiAAAAZHJzL2Rvd25yZXYueG1sUEsBAhQAFAAAAAgAh07iQCNaYHXH&#10;AgAAbQUAAA4AAAAAAAAAAQAgAAAAJwEAAGRycy9lMm9Eb2MueG1sUEsFBgAAAAAGAAYAWQEAAGAG&#10;AAAAAA==&#10;" adj="10290,52548,14400">
                <v:fill on="f" focussize="0,0"/>
                <v:stroke weight="2pt" color="#FFC000" joinstyle="round"/>
                <v:imagedata o:title=""/>
                <o:lock v:ext="edit" aspectratio="f"/>
                <v:textbox>
                  <w:txbxContent>
                    <w:p>
                      <w:pPr>
                        <w:jc w:val="center"/>
                        <w:rPr>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pPr>
                      <w:r>
                        <w:rPr>
                          <w:rFonts w:hint="eastAsia"/>
                          <w:bCs/>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FFFF00"/>
                            </w14:solidFill>
                            <w14:prstDash w14:val="solid"/>
                            <w14:round/>
                          </w14:textOutline>
                          <w14:textFill>
                            <w14:solidFill>
                              <w14:schemeClr w14:val="tx1"/>
                            </w14:solidFill>
                          </w14:textFill>
                        </w:rPr>
                        <w:t>本项目</w:t>
                      </w:r>
                    </w:p>
                  </w:txbxContent>
                </v:textbox>
              </v:shape>
            </w:pict>
          </mc:Fallback>
        </mc:AlternateContent>
      </w:r>
      <w:r>
        <w:rPr>
          <w:sz w:val="24"/>
          <w:szCs w:val="28"/>
        </w:rPr>
        <mc:AlternateContent>
          <mc:Choice Requires="wps">
            <w:drawing>
              <wp:anchor distT="0" distB="0" distL="114300" distR="114300" simplePos="0" relativeHeight="251738112" behindDoc="0" locked="0" layoutInCell="1" allowOverlap="1">
                <wp:simplePos x="0" y="0"/>
                <wp:positionH relativeFrom="column">
                  <wp:posOffset>2874010</wp:posOffset>
                </wp:positionH>
                <wp:positionV relativeFrom="paragraph">
                  <wp:posOffset>1271905</wp:posOffset>
                </wp:positionV>
                <wp:extent cx="69850" cy="63500"/>
                <wp:effectExtent l="0" t="0" r="25400" b="12700"/>
                <wp:wrapNone/>
                <wp:docPr id="1447" name="矩形 1447"/>
                <wp:cNvGraphicFramePr/>
                <a:graphic xmlns:a="http://schemas.openxmlformats.org/drawingml/2006/main">
                  <a:graphicData uri="http://schemas.microsoft.com/office/word/2010/wordprocessingShape">
                    <wps:wsp>
                      <wps:cNvSpPr/>
                      <wps:spPr>
                        <a:xfrm>
                          <a:off x="0" y="0"/>
                          <a:ext cx="69850" cy="6350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3pt;margin-top:100.15pt;height:5pt;width:5.5pt;z-index:251738112;v-text-anchor:middle;mso-width-relative:page;mso-height-relative:page;" fillcolor="#FF0000" filled="t" stroked="t" coordsize="21600,21600" o:gfxdata="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XHH3rXAAAACwEAAA8AAAAAAAAAAQAgAAAAIgAAAGRycy9kb3ducmV2LnhtbFBLAQIU&#10;ABQAAAAIAIdO4kADXrRfZgIAAO4EAAAOAAAAAAAAAAEAIAAAACYBAABkcnMvZTJvRG9jLnhtbFBL&#10;BQYAAAAABgAGAFkBAAD+BQAAAAA=&#10;">
                <v:fill on="t" focussize="0,0"/>
                <v:stroke weight="2pt" color="#FF0000" joinstyle="round"/>
                <v:imagedata o:title=""/>
                <o:lock v:ext="edit" aspectratio="f"/>
              </v:rect>
            </w:pict>
          </mc:Fallback>
        </mc:AlternateContent>
      </w:r>
      <w:r>
        <w:rPr>
          <w:sz w:val="24"/>
          <w:szCs w:val="28"/>
        </w:rPr>
        <w:drawing>
          <wp:inline distT="0" distB="0" distL="0" distR="0">
            <wp:extent cx="5274310" cy="2750820"/>
            <wp:effectExtent l="0" t="0" r="2540" b="0"/>
            <wp:docPr id="1448" name="图片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图片 144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2750820"/>
                    </a:xfrm>
                    <a:prstGeom prst="rect">
                      <a:avLst/>
                    </a:prstGeom>
                    <a:noFill/>
                    <a:ln>
                      <a:noFill/>
                    </a:ln>
                  </pic:spPr>
                </pic:pic>
              </a:graphicData>
            </a:graphic>
          </wp:inline>
        </w:drawing>
      </w:r>
    </w:p>
    <w:p>
      <w:pPr>
        <w:adjustRightInd w:val="0"/>
        <w:snapToGrid w:val="0"/>
        <w:spacing w:line="360" w:lineRule="auto"/>
        <w:jc w:val="center"/>
        <w:rPr>
          <w:b/>
          <w:bCs/>
          <w:sz w:val="24"/>
          <w:szCs w:val="28"/>
        </w:rPr>
      </w:pPr>
      <w:r>
        <w:rPr>
          <w:rFonts w:hint="eastAsia"/>
          <w:b/>
          <w:bCs/>
          <w:sz w:val="24"/>
          <w:szCs w:val="28"/>
        </w:rPr>
        <w:t>图</w:t>
      </w:r>
      <w:r>
        <w:rPr>
          <w:b/>
          <w:bCs/>
          <w:sz w:val="24"/>
          <w:szCs w:val="28"/>
        </w:rPr>
        <w:t xml:space="preserve">2.7-2 </w:t>
      </w:r>
      <w:r>
        <w:rPr>
          <w:rFonts w:hint="eastAsia"/>
          <w:b/>
          <w:bCs/>
          <w:sz w:val="24"/>
          <w:szCs w:val="28"/>
        </w:rPr>
        <w:t>本项目与生态红线区相对位置图（红色区域为红线区范围）</w:t>
      </w:r>
    </w:p>
    <w:p>
      <w:pPr>
        <w:adjustRightInd w:val="0"/>
        <w:snapToGrid w:val="0"/>
        <w:spacing w:line="360" w:lineRule="auto"/>
        <w:ind w:firstLine="482" w:firstLineChars="200"/>
        <w:jc w:val="left"/>
        <w:rPr>
          <w:b/>
          <w:bCs/>
          <w:sz w:val="24"/>
        </w:rPr>
      </w:pPr>
      <w:r>
        <w:rPr>
          <w:b/>
          <w:bCs/>
          <w:sz w:val="24"/>
        </w:rPr>
        <w:t>（2）基本格局呈“两屏、两带、多点”。</w:t>
      </w:r>
    </w:p>
    <w:p>
      <w:pPr>
        <w:adjustRightInd w:val="0"/>
        <w:snapToGrid w:val="0"/>
        <w:spacing w:line="360" w:lineRule="auto"/>
        <w:ind w:firstLine="480" w:firstLineChars="200"/>
        <w:jc w:val="left"/>
        <w:rPr>
          <w:sz w:val="24"/>
        </w:rPr>
      </w:pPr>
      <w:r>
        <w:rPr>
          <w:sz w:val="24"/>
        </w:rPr>
        <w:t>“两屏”为燕山和太行山生态屏障，主要生态功能为水源涵养、水土保持与生物多样性维护。</w:t>
      </w:r>
    </w:p>
    <w:p>
      <w:pPr>
        <w:adjustRightInd w:val="0"/>
        <w:snapToGrid w:val="0"/>
        <w:spacing w:line="360" w:lineRule="auto"/>
        <w:ind w:firstLine="480" w:firstLineChars="200"/>
        <w:jc w:val="left"/>
        <w:rPr>
          <w:sz w:val="24"/>
        </w:rPr>
      </w:pPr>
      <w:r>
        <w:rPr>
          <w:sz w:val="24"/>
        </w:rPr>
        <w:t>“两带”为坝上高原防风固沙林带和滨海湿地及沿海防护林带。坝上高原防风固沙林带主要生态功能为防风固沙，是京津冀地区抵御浑善达克沙地南侵的最后一道防线；滨海湿地及沿海防护林带对维护海岸生态系统稳定，提高抵御风沙和大潮等自然灾害具有重要生态功能。</w:t>
      </w:r>
    </w:p>
    <w:p>
      <w:pPr>
        <w:adjustRightInd w:val="0"/>
        <w:snapToGrid w:val="0"/>
        <w:spacing w:line="360" w:lineRule="auto"/>
        <w:ind w:firstLine="480" w:firstLineChars="200"/>
        <w:jc w:val="left"/>
        <w:rPr>
          <w:sz w:val="24"/>
        </w:rPr>
      </w:pPr>
      <w:r>
        <w:rPr>
          <w:sz w:val="24"/>
        </w:rPr>
        <w:t>“多点”指分散于平原及山地的各类生态保护地。保护地内多以水库、湖泊森林、湿地、河流为主，具有洪水调蓄、调节径流、水源涵养、生物多样性维护等功能。</w:t>
      </w:r>
    </w:p>
    <w:p>
      <w:pPr>
        <w:adjustRightInd w:val="0"/>
        <w:snapToGrid w:val="0"/>
        <w:spacing w:line="360" w:lineRule="auto"/>
        <w:ind w:firstLine="482" w:firstLineChars="200"/>
        <w:jc w:val="left"/>
        <w:rPr>
          <w:b/>
          <w:bCs/>
          <w:sz w:val="24"/>
        </w:rPr>
      </w:pPr>
      <w:r>
        <w:rPr>
          <w:b/>
          <w:bCs/>
          <w:sz w:val="24"/>
        </w:rPr>
        <w:t>（3）主要类型和分布</w:t>
      </w:r>
    </w:p>
    <w:p>
      <w:pPr>
        <w:adjustRightInd w:val="0"/>
        <w:snapToGrid w:val="0"/>
        <w:spacing w:line="360" w:lineRule="auto"/>
        <w:ind w:firstLine="480" w:firstLineChars="200"/>
        <w:jc w:val="left"/>
        <w:rPr>
          <w:sz w:val="24"/>
        </w:rPr>
      </w:pPr>
      <w:r>
        <w:rPr>
          <w:sz w:val="24"/>
        </w:rPr>
        <w:t>主要类型有坝上高原防风固沙生态保护红线、燕山水源涵养--生物多样性维护生态保护红线、太行山水土保持--生物多样性维护生态保护红线、河北平原河湖滨岸带生态保护红线、海岸海域生态保护红线等。</w:t>
      </w:r>
    </w:p>
    <w:p>
      <w:pPr>
        <w:adjustRightInd w:val="0"/>
        <w:snapToGrid w:val="0"/>
        <w:spacing w:line="360" w:lineRule="auto"/>
        <w:ind w:firstLine="482" w:firstLineChars="200"/>
        <w:jc w:val="left"/>
        <w:rPr>
          <w:b/>
          <w:bCs/>
          <w:sz w:val="24"/>
        </w:rPr>
      </w:pPr>
      <w:r>
        <w:rPr>
          <w:rFonts w:hint="eastAsia"/>
          <w:b/>
          <w:bCs/>
          <w:sz w:val="24"/>
        </w:rPr>
        <w:t>（4）</w:t>
      </w:r>
      <w:r>
        <w:rPr>
          <w:b/>
          <w:bCs/>
          <w:sz w:val="24"/>
        </w:rPr>
        <w:t>项目所在区域属于燕山水源涵养--生物多样性维护生态保护红线区域：</w:t>
      </w:r>
    </w:p>
    <w:p>
      <w:pPr>
        <w:adjustRightInd w:val="0"/>
        <w:snapToGrid w:val="0"/>
        <w:spacing w:line="360" w:lineRule="auto"/>
        <w:ind w:firstLine="480" w:firstLineChars="200"/>
        <w:jc w:val="left"/>
        <w:rPr>
          <w:sz w:val="24"/>
        </w:rPr>
      </w:pPr>
      <w:r>
        <w:rPr>
          <w:kern w:val="0"/>
          <w:sz w:val="24"/>
        </w:rPr>
        <w:t>分布范围：该区位于河北省东北部，北与坝上高原相接，南与河北平原为邻。生态保护红线主要分布于张家口东部坝下、承德地区坝下和唐山、秦皇岛市所属19个县（市）。生态保护红线面积22579平方公里，占全省陆域面积的11.97%。</w:t>
      </w:r>
    </w:p>
    <w:p>
      <w:pPr>
        <w:adjustRightInd w:val="0"/>
        <w:snapToGrid w:val="0"/>
        <w:spacing w:line="360" w:lineRule="auto"/>
        <w:ind w:firstLine="480" w:firstLineChars="200"/>
        <w:jc w:val="left"/>
        <w:rPr>
          <w:sz w:val="24"/>
        </w:rPr>
      </w:pPr>
      <w:r>
        <w:rPr>
          <w:kern w:val="0"/>
          <w:sz w:val="24"/>
        </w:rPr>
        <w:t>生态系统类型及生态功能：区域内以森林生态系统为主，植被覆盖率高，降水条件好，河流水系发达，是滦河、潮白河、辽河三大水系的主要发源地，有潘家口、大黑汀等水库，是北京、天津、唐山三大城市重要水源地，具有重要的水源涵养功能。区域内物种丰富，植被保护良好，为大量生物提供了栖息地，保护了物种的完整性，具有较强的生物多样性维护功能。</w:t>
      </w:r>
    </w:p>
    <w:p>
      <w:pPr>
        <w:widowControl/>
        <w:adjustRightInd w:val="0"/>
        <w:snapToGrid w:val="0"/>
        <w:spacing w:line="360" w:lineRule="auto"/>
        <w:ind w:firstLine="480" w:firstLineChars="200"/>
        <w:jc w:val="left"/>
        <w:rPr>
          <w:kern w:val="0"/>
          <w:sz w:val="24"/>
        </w:rPr>
      </w:pPr>
      <w:r>
        <w:rPr>
          <w:kern w:val="0"/>
          <w:sz w:val="24"/>
        </w:rPr>
        <w:t>保护重点：主要保护森林生态系统，以及珍稀野生动植物栖息地与集中分布区。</w:t>
      </w:r>
    </w:p>
    <w:p>
      <w:pPr>
        <w:adjustRightInd w:val="0"/>
        <w:snapToGrid w:val="0"/>
        <w:spacing w:line="360" w:lineRule="auto"/>
        <w:ind w:firstLine="482" w:firstLineChars="200"/>
        <w:jc w:val="left"/>
        <w:rPr>
          <w:b/>
          <w:bCs/>
          <w:snapToGrid w:val="0"/>
          <w:kern w:val="0"/>
          <w:sz w:val="24"/>
        </w:rPr>
      </w:pPr>
      <w:r>
        <w:rPr>
          <w:b/>
          <w:bCs/>
          <w:snapToGrid w:val="0"/>
          <w:kern w:val="0"/>
          <w:sz w:val="24"/>
        </w:rPr>
        <w:t>（5）</w:t>
      </w:r>
      <w:r>
        <w:rPr>
          <w:rFonts w:hint="eastAsia"/>
          <w:b/>
          <w:bCs/>
          <w:snapToGrid w:val="0"/>
          <w:kern w:val="0"/>
          <w:sz w:val="24"/>
        </w:rPr>
        <w:t>项目</w:t>
      </w:r>
      <w:r>
        <w:rPr>
          <w:b/>
          <w:bCs/>
          <w:snapToGrid w:val="0"/>
          <w:kern w:val="0"/>
          <w:sz w:val="24"/>
        </w:rPr>
        <w:t>与生态保护红线相对位置关系判定</w:t>
      </w:r>
    </w:p>
    <w:p>
      <w:pPr>
        <w:adjustRightInd w:val="0"/>
        <w:snapToGrid w:val="0"/>
        <w:spacing w:line="360" w:lineRule="auto"/>
        <w:ind w:firstLine="480" w:firstLineChars="200"/>
        <w:jc w:val="left"/>
        <w:rPr>
          <w:snapToGrid w:val="0"/>
          <w:kern w:val="0"/>
          <w:sz w:val="24"/>
        </w:rPr>
      </w:pPr>
      <w:r>
        <w:rPr>
          <w:snapToGrid w:val="0"/>
          <w:kern w:val="0"/>
          <w:sz w:val="24"/>
        </w:rPr>
        <w:t>项目选址位于</w:t>
      </w:r>
      <w:r>
        <w:rPr>
          <w:rFonts w:hint="eastAsia"/>
          <w:snapToGrid w:val="0"/>
          <w:kern w:val="0"/>
          <w:sz w:val="24"/>
        </w:rPr>
        <w:t>河北省承德市围场满族蒙古族自治县龙头山镇龙头山村烟囱水大沟</w:t>
      </w:r>
      <w:r>
        <w:rPr>
          <w:snapToGrid w:val="0"/>
          <w:kern w:val="0"/>
          <w:sz w:val="24"/>
        </w:rPr>
        <w:t>，根据《河北省人民政府关于发布&lt;河北省生态保护红线&gt;的通知》及承德市生态保护红线最终成果，并将工程四厂界与生态保护红线范围核对，项目占地不占用</w:t>
      </w:r>
      <w:r>
        <w:rPr>
          <w:sz w:val="24"/>
        </w:rPr>
        <w:t>围场满族蒙古族自治县</w:t>
      </w:r>
      <w:r>
        <w:rPr>
          <w:snapToGrid w:val="0"/>
          <w:kern w:val="0"/>
          <w:sz w:val="24"/>
        </w:rPr>
        <w:t>生态保护红线范围，最近距离为1.55</w:t>
      </w:r>
      <w:r>
        <w:rPr>
          <w:rFonts w:hint="eastAsia"/>
          <w:snapToGrid w:val="0"/>
          <w:kern w:val="0"/>
          <w:sz w:val="24"/>
        </w:rPr>
        <w:t>k</w:t>
      </w:r>
      <w:r>
        <w:rPr>
          <w:snapToGrid w:val="0"/>
          <w:kern w:val="0"/>
          <w:sz w:val="24"/>
        </w:rPr>
        <w:t>m。</w:t>
      </w:r>
    </w:p>
    <w:bookmarkEnd w:id="38"/>
    <w:p>
      <w:pPr>
        <w:pStyle w:val="62"/>
        <w:numPr>
          <w:ilvl w:val="2"/>
          <w:numId w:val="5"/>
        </w:numPr>
        <w:tabs>
          <w:tab w:val="left" w:pos="567"/>
          <w:tab w:val="clear" w:pos="1021"/>
        </w:tabs>
        <w:spacing w:before="156" w:after="156"/>
        <w:ind w:left="0" w:firstLine="0"/>
        <w:rPr>
          <w:rFonts w:ascii="Times New Roman" w:hAnsi="Times New Roman"/>
          <w:bCs w:val="0"/>
          <w:sz w:val="24"/>
          <w:szCs w:val="24"/>
        </w:rPr>
      </w:pPr>
      <w:r>
        <w:rPr>
          <w:rFonts w:ascii="Times New Roman" w:hAnsi="Times New Roman"/>
        </w:rPr>
        <w:t>围场县城乡总体规划（2013～2030）</w:t>
      </w:r>
    </w:p>
    <w:p>
      <w:pPr>
        <w:adjustRightInd w:val="0"/>
        <w:snapToGrid w:val="0"/>
        <w:spacing w:line="360" w:lineRule="auto"/>
        <w:ind w:firstLine="480" w:firstLineChars="200"/>
        <w:jc w:val="left"/>
        <w:rPr>
          <w:bCs/>
          <w:kern w:val="0"/>
          <w:sz w:val="24"/>
          <w:szCs w:val="24"/>
        </w:rPr>
      </w:pPr>
      <w:bookmarkStart w:id="39" w:name="_Hlk78359522"/>
      <w:bookmarkStart w:id="40" w:name="_Hlk93999305"/>
      <w:r>
        <w:rPr>
          <w:rFonts w:hint="eastAsia"/>
          <w:bCs/>
          <w:kern w:val="0"/>
          <w:sz w:val="24"/>
          <w:szCs w:val="24"/>
        </w:rPr>
        <w:t>根据《围</w:t>
      </w:r>
      <w:bookmarkStart w:id="41" w:name="_Hlk78359316"/>
      <w:r>
        <w:rPr>
          <w:rFonts w:hint="eastAsia"/>
          <w:bCs/>
          <w:kern w:val="0"/>
          <w:sz w:val="24"/>
          <w:szCs w:val="24"/>
        </w:rPr>
        <w:t>场满族蒙古族自治县城乡总体规划</w:t>
      </w:r>
      <w:bookmarkEnd w:id="41"/>
      <w:r>
        <w:rPr>
          <w:rFonts w:hint="eastAsia"/>
          <w:bCs/>
          <w:kern w:val="0"/>
          <w:sz w:val="24"/>
          <w:szCs w:val="24"/>
        </w:rPr>
        <w:t>（2013-2030）》，本项目</w:t>
      </w:r>
      <w:r>
        <w:rPr>
          <w:bCs/>
          <w:kern w:val="0"/>
          <w:sz w:val="24"/>
          <w:szCs w:val="24"/>
        </w:rPr>
        <w:t>位于</w:t>
      </w:r>
      <w:r>
        <w:rPr>
          <w:rFonts w:hint="eastAsia"/>
          <w:bCs/>
          <w:kern w:val="0"/>
          <w:sz w:val="24"/>
          <w:szCs w:val="24"/>
        </w:rPr>
        <w:t>河北省承德市围场满族蒙古族自治县龙头山镇龙头山村烟囱水大沟，</w:t>
      </w:r>
      <w:r>
        <w:rPr>
          <w:rFonts w:hint="eastAsia"/>
          <w:sz w:val="24"/>
          <w:szCs w:val="24"/>
        </w:rPr>
        <w:t>本项目建设符合《</w:t>
      </w:r>
      <w:r>
        <w:rPr>
          <w:rFonts w:hint="eastAsia"/>
          <w:bCs/>
          <w:kern w:val="0"/>
          <w:sz w:val="24"/>
          <w:szCs w:val="24"/>
        </w:rPr>
        <w:t>围场满族蒙古族自治县</w:t>
      </w:r>
      <w:r>
        <w:rPr>
          <w:rFonts w:hint="eastAsia"/>
          <w:sz w:val="24"/>
          <w:szCs w:val="24"/>
        </w:rPr>
        <w:t>县城乡总体规划》（2013～2030）。</w:t>
      </w:r>
      <w:bookmarkEnd w:id="39"/>
      <w:r>
        <w:rPr>
          <w:bCs/>
          <w:kern w:val="0"/>
          <w:sz w:val="24"/>
          <w:szCs w:val="24"/>
        </w:rPr>
        <w:t>具体见图2.7-3。</w:t>
      </w:r>
    </w:p>
    <w:bookmarkEnd w:id="40"/>
    <w:p>
      <w:r>
        <mc:AlternateContent>
          <mc:Choice Requires="wps">
            <w:drawing>
              <wp:anchor distT="0" distB="0" distL="114300" distR="114300" simplePos="0" relativeHeight="251705344" behindDoc="0" locked="0" layoutInCell="1" allowOverlap="1">
                <wp:simplePos x="0" y="0"/>
                <wp:positionH relativeFrom="column">
                  <wp:posOffset>1809750</wp:posOffset>
                </wp:positionH>
                <wp:positionV relativeFrom="paragraph">
                  <wp:posOffset>556260</wp:posOffset>
                </wp:positionV>
                <wp:extent cx="726440" cy="295910"/>
                <wp:effectExtent l="19050" t="0" r="16510" b="351790"/>
                <wp:wrapNone/>
                <wp:docPr id="1431" name="对话气泡: 矩形 1431"/>
                <wp:cNvGraphicFramePr/>
                <a:graphic xmlns:a="http://schemas.openxmlformats.org/drawingml/2006/main">
                  <a:graphicData uri="http://schemas.microsoft.com/office/word/2010/wordprocessingShape">
                    <wps:wsp>
                      <wps:cNvSpPr/>
                      <wps:spPr>
                        <a:xfrm>
                          <a:off x="0" y="0"/>
                          <a:ext cx="726440" cy="295910"/>
                        </a:xfrm>
                        <a:prstGeom prst="wedgeRectCallout">
                          <a:avLst>
                            <a:gd name="adj1" fmla="val -51281"/>
                            <a:gd name="adj2" fmla="val 152111"/>
                          </a:avLst>
                        </a:prstGeom>
                        <a:solidFill>
                          <a:srgbClr val="00B0F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431" o:spid="_x0000_s1026" o:spt="61" type="#_x0000_t61" style="position:absolute;left:0pt;margin-left:142.5pt;margin-top:43.8pt;height:23.3pt;width:57.2pt;z-index:251705344;v-text-anchor:middle;mso-width-relative:page;mso-height-relative:page;" fillcolor="#00B0F0" filled="t" stroked="t" coordsize="21600,21600" o:gfxdata="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JjT9V2gAAAAoBAAAPAAAA&#10;AAAAAAEAIAAAACIAAABkcnMvZG93bnJldi54bWxQSwECFAAUAAAACACHTuJA1LpNbL4CAAB7BQAA&#10;DgAAAAAAAAABACAAAAApAQAAZHJzL2Uyb0RvYy54bWxQSwUGAAAAAAYABgBZAQAAWQYAAAAA&#10;" adj="-277,43656">
                <v:fill on="t" opacity="32768f" focussize="0,0"/>
                <v:stroke weight="2pt" color="#FF0000 [3204]" joinstyle="round"/>
                <v:imagedata o:title=""/>
                <o:lock v:ext="edit" aspectratio="f"/>
                <v:textbox>
                  <w:txbxContent>
                    <w:p>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14:textFill>
                            <w14:solidFill>
                              <w14:schemeClr w14:val="tx1"/>
                            </w14:solidFill>
                          </w14:textFill>
                        </w:rPr>
                      </w:pPr>
                      <w:r>
                        <w:rPr>
                          <w:rFonts w:hint="eastAsia"/>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14:textFill>
                            <w14:solidFill>
                              <w14:schemeClr w14:val="tx1"/>
                            </w14:solidFill>
                          </w14:textFill>
                        </w:rPr>
                        <w:t>本项目</w:t>
                      </w:r>
                    </w:p>
                  </w:txbxContent>
                </v:textbox>
              </v:shape>
            </w:pict>
          </mc:Fallback>
        </mc:AlternateContent>
      </w:r>
      <w:r>
        <w:drawing>
          <wp:inline distT="0" distB="0" distL="0" distR="0">
            <wp:extent cx="5125720" cy="6688455"/>
            <wp:effectExtent l="0" t="0" r="0" b="0"/>
            <wp:docPr id="1430" name="图片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4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128888" cy="6692377"/>
                    </a:xfrm>
                    <a:prstGeom prst="rect">
                      <a:avLst/>
                    </a:prstGeom>
                    <a:noFill/>
                    <a:ln>
                      <a:noFill/>
                    </a:ln>
                    <a:effectLst/>
                  </pic:spPr>
                </pic:pic>
              </a:graphicData>
            </a:graphic>
          </wp:inline>
        </w:drawing>
      </w:r>
    </w:p>
    <w:p>
      <w:pPr>
        <w:autoSpaceDE w:val="0"/>
        <w:autoSpaceDN w:val="0"/>
        <w:jc w:val="center"/>
        <w:rPr>
          <w:b/>
          <w:kern w:val="0"/>
          <w:sz w:val="24"/>
          <w:szCs w:val="24"/>
        </w:rPr>
      </w:pPr>
      <w:r>
        <w:rPr>
          <w:b/>
          <w:kern w:val="0"/>
          <w:sz w:val="24"/>
          <w:szCs w:val="24"/>
        </w:rPr>
        <w:t>图</w:t>
      </w:r>
      <w:r>
        <w:rPr>
          <w:rFonts w:hint="eastAsia"/>
          <w:b/>
          <w:kern w:val="0"/>
          <w:sz w:val="24"/>
          <w:szCs w:val="24"/>
        </w:rPr>
        <w:t>2.7</w:t>
      </w:r>
      <w:r>
        <w:rPr>
          <w:b/>
          <w:kern w:val="0"/>
          <w:sz w:val="24"/>
          <w:szCs w:val="24"/>
        </w:rPr>
        <w:t xml:space="preserve">-3  </w:t>
      </w:r>
      <w:r>
        <w:rPr>
          <w:rFonts w:hint="eastAsia"/>
          <w:b/>
          <w:kern w:val="0"/>
          <w:sz w:val="24"/>
          <w:szCs w:val="24"/>
        </w:rPr>
        <w:t>围场县城乡总体规划之环保环卫规划</w:t>
      </w:r>
    </w:p>
    <w:p>
      <w:pPr>
        <w:jc w:val="center"/>
        <w:rPr>
          <w:b/>
          <w:bCs/>
          <w:kern w:val="0"/>
          <w:sz w:val="24"/>
          <w:szCs w:val="24"/>
        </w:rPr>
      </w:pP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围场县环境功能区划</w:t>
      </w:r>
    </w:p>
    <w:p>
      <w:pPr>
        <w:spacing w:line="440" w:lineRule="exact"/>
        <w:ind w:firstLine="480" w:firstLineChars="200"/>
        <w:rPr>
          <w:bCs/>
          <w:sz w:val="24"/>
          <w:szCs w:val="24"/>
        </w:rPr>
      </w:pPr>
      <w:r>
        <w:rPr>
          <w:bCs/>
          <w:sz w:val="24"/>
          <w:szCs w:val="24"/>
        </w:rPr>
        <w:t>根据《围场县城乡总体规划》（2013～2030），围场县空气功能分区为二类区，执行《环境空气质量标准》（GB3095-2012）二级标准；</w:t>
      </w:r>
      <w:r>
        <w:rPr>
          <w:rFonts w:hint="eastAsia"/>
          <w:bCs/>
          <w:sz w:val="24"/>
          <w:szCs w:val="24"/>
        </w:rPr>
        <w:t>项目拟建区域属于农村区域，</w:t>
      </w:r>
      <w:r>
        <w:rPr>
          <w:bCs/>
          <w:sz w:val="24"/>
          <w:szCs w:val="24"/>
        </w:rPr>
        <w:t>环境噪声</w:t>
      </w:r>
      <w:r>
        <w:rPr>
          <w:rFonts w:hint="eastAsia"/>
          <w:bCs/>
          <w:sz w:val="24"/>
          <w:szCs w:val="24"/>
        </w:rPr>
        <w:t>为2</w:t>
      </w:r>
      <w:r>
        <w:rPr>
          <w:bCs/>
          <w:sz w:val="24"/>
          <w:szCs w:val="24"/>
        </w:rPr>
        <w:t>类区。根据预测可知，本项目建成后，对周围环境影响较小，符合环境功能区划要求。</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《承德市人民政府关于加快实施“三线一单”生态环境分区管控的意见》（2010-2020年）</w:t>
      </w:r>
    </w:p>
    <w:p>
      <w:pPr>
        <w:spacing w:line="480" w:lineRule="exact"/>
        <w:ind w:firstLine="480" w:firstLineChars="200"/>
        <w:rPr>
          <w:sz w:val="24"/>
          <w:szCs w:val="24"/>
        </w:rPr>
      </w:pPr>
      <w:r>
        <w:rPr>
          <w:sz w:val="24"/>
          <w:szCs w:val="24"/>
        </w:rPr>
        <w:t>根据《承德市人民政府关于加快实施“三线一单”生态环境分区管控的意见》（2010-2020年），本项目位于一般管控单元。</w:t>
      </w:r>
      <w:r>
        <w:rPr>
          <w:rFonts w:hint="eastAsia"/>
          <w:sz w:val="24"/>
          <w:szCs w:val="24"/>
        </w:rPr>
        <w:t>具体见图2</w:t>
      </w:r>
      <w:r>
        <w:rPr>
          <w:sz w:val="24"/>
          <w:szCs w:val="24"/>
        </w:rPr>
        <w:t>.7-5</w:t>
      </w:r>
      <w:r>
        <w:rPr>
          <w:rFonts w:hint="eastAsia"/>
          <w:sz w:val="24"/>
          <w:szCs w:val="24"/>
        </w:rPr>
        <w:t>。符合性分析见表2</w:t>
      </w:r>
      <w:r>
        <w:rPr>
          <w:sz w:val="24"/>
          <w:szCs w:val="24"/>
        </w:rPr>
        <w:t>.7-2</w:t>
      </w:r>
      <w:r>
        <w:rPr>
          <w:rFonts w:hint="eastAsia"/>
          <w:sz w:val="24"/>
          <w:szCs w:val="24"/>
        </w:rPr>
        <w:t>。</w:t>
      </w: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widowControl/>
        <w:jc w:val="left"/>
        <w:rPr>
          <w:sz w:val="24"/>
          <w:szCs w:val="24"/>
        </w:rPr>
      </w:pPr>
    </w:p>
    <w:p>
      <w:pPr>
        <w:spacing w:line="440" w:lineRule="exact"/>
        <w:rPr>
          <w:bCs/>
          <w:sz w:val="24"/>
          <w:szCs w:val="24"/>
        </w:rPr>
        <w:sectPr>
          <w:headerReference r:id="rId7" w:type="default"/>
          <w:pgSz w:w="11906" w:h="16838"/>
          <w:pgMar w:top="1440" w:right="1800" w:bottom="1440" w:left="1800" w:header="851" w:footer="992" w:gutter="0"/>
          <w:cols w:space="425" w:num="1"/>
          <w:docGrid w:type="lines" w:linePitch="312" w:charSpace="0"/>
        </w:sectPr>
      </w:pPr>
    </w:p>
    <w:p>
      <w:pPr>
        <w:spacing w:line="440" w:lineRule="exact"/>
        <w:jc w:val="center"/>
        <w:rPr>
          <w:b/>
          <w:sz w:val="24"/>
          <w:szCs w:val="24"/>
        </w:rPr>
      </w:pPr>
      <w:r>
        <w:rPr>
          <w:rFonts w:hint="eastAsia"/>
          <w:b/>
          <w:sz w:val="24"/>
          <w:szCs w:val="24"/>
        </w:rPr>
        <w:t>表2</w:t>
      </w:r>
      <w:r>
        <w:rPr>
          <w:b/>
          <w:sz w:val="24"/>
          <w:szCs w:val="24"/>
        </w:rPr>
        <w:t xml:space="preserve">.7-2   </w:t>
      </w:r>
      <w:bookmarkStart w:id="42" w:name="_Hlk87963767"/>
      <w:r>
        <w:rPr>
          <w:b/>
          <w:sz w:val="24"/>
          <w:szCs w:val="24"/>
        </w:rPr>
        <w:t xml:space="preserve"> </w:t>
      </w:r>
      <w:r>
        <w:rPr>
          <w:rFonts w:hint="eastAsia"/>
          <w:b/>
          <w:sz w:val="24"/>
          <w:szCs w:val="24"/>
        </w:rPr>
        <w:t>承德市“三线一单”生态环境准入清</w:t>
      </w:r>
      <w:bookmarkEnd w:id="42"/>
      <w:r>
        <w:rPr>
          <w:rFonts w:hint="eastAsia"/>
          <w:b/>
          <w:sz w:val="24"/>
          <w:szCs w:val="24"/>
        </w:rPr>
        <w:t>单符合性</w:t>
      </w:r>
    </w:p>
    <w:tbl>
      <w:tblPr>
        <w:tblStyle w:val="39"/>
        <w:tblW w:w="4915"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33"/>
        <w:gridCol w:w="215"/>
        <w:gridCol w:w="17"/>
        <w:gridCol w:w="707"/>
        <w:gridCol w:w="7802"/>
        <w:gridCol w:w="8"/>
        <w:gridCol w:w="4158"/>
        <w:gridCol w:w="8"/>
        <w:gridCol w:w="594"/>
        <w:gridCol w:w="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tblHeader/>
          <w:jc w:val="center"/>
        </w:trPr>
        <w:tc>
          <w:tcPr>
            <w:tcW w:w="163" w:type="pct"/>
            <w:gridSpan w:val="2"/>
            <w:vAlign w:val="center"/>
          </w:tcPr>
          <w:p>
            <w:pPr>
              <w:pStyle w:val="67"/>
              <w:adjustRightInd w:val="0"/>
              <w:snapToGrid w:val="0"/>
              <w:jc w:val="center"/>
              <w:rPr>
                <w:rFonts w:ascii="Times New Roman" w:hAnsi="Times New Roman" w:eastAsiaTheme="minorEastAsia"/>
                <w:sz w:val="21"/>
                <w:szCs w:val="21"/>
              </w:rPr>
            </w:pPr>
            <w:r>
              <w:rPr>
                <w:rFonts w:ascii="Times New Roman" w:hAnsi="Times New Roman" w:eastAsiaTheme="minorEastAsia"/>
                <w:sz w:val="21"/>
                <w:szCs w:val="21"/>
              </w:rPr>
              <w:t>类别</w:t>
            </w:r>
          </w:p>
        </w:tc>
        <w:tc>
          <w:tcPr>
            <w:tcW w:w="263" w:type="pct"/>
            <w:gridSpan w:val="2"/>
            <w:vAlign w:val="center"/>
          </w:tcPr>
          <w:p>
            <w:pPr>
              <w:pStyle w:val="67"/>
              <w:adjustRightInd w:val="0"/>
              <w:snapToGrid w:val="0"/>
              <w:jc w:val="center"/>
              <w:rPr>
                <w:rFonts w:ascii="Times New Roman" w:hAnsi="Times New Roman" w:eastAsiaTheme="minorEastAsia"/>
                <w:sz w:val="21"/>
                <w:szCs w:val="21"/>
              </w:rPr>
            </w:pPr>
            <w:r>
              <w:rPr>
                <w:rFonts w:ascii="Times New Roman" w:hAnsi="Times New Roman" w:eastAsiaTheme="minorEastAsia"/>
                <w:sz w:val="21"/>
                <w:szCs w:val="21"/>
              </w:rPr>
              <w:t>类型</w:t>
            </w:r>
          </w:p>
        </w:tc>
        <w:tc>
          <w:tcPr>
            <w:tcW w:w="2837" w:type="pct"/>
            <w:vAlign w:val="center"/>
          </w:tcPr>
          <w:p>
            <w:pPr>
              <w:pStyle w:val="67"/>
              <w:adjustRightInd w:val="0"/>
              <w:snapToGrid w:val="0"/>
              <w:jc w:val="center"/>
              <w:rPr>
                <w:rFonts w:ascii="Times New Roman" w:hAnsi="Times New Roman" w:eastAsiaTheme="minorEastAsia"/>
                <w:sz w:val="21"/>
                <w:szCs w:val="21"/>
              </w:rPr>
            </w:pPr>
            <w:r>
              <w:rPr>
                <w:rFonts w:ascii="Times New Roman" w:hAnsi="Times New Roman" w:eastAsiaTheme="minorEastAsia"/>
                <w:sz w:val="21"/>
                <w:szCs w:val="21"/>
              </w:rPr>
              <w:t>生态环境准入清单</w:t>
            </w:r>
          </w:p>
        </w:tc>
        <w:tc>
          <w:tcPr>
            <w:tcW w:w="1515" w:type="pct"/>
            <w:gridSpan w:val="2"/>
            <w:vAlign w:val="center"/>
          </w:tcPr>
          <w:p>
            <w:pPr>
              <w:pStyle w:val="67"/>
              <w:adjustRightInd w:val="0"/>
              <w:snapToGrid w:val="0"/>
              <w:jc w:val="center"/>
              <w:rPr>
                <w:rFonts w:ascii="Times New Roman" w:hAnsi="Times New Roman" w:eastAsiaTheme="minorEastAsia"/>
                <w:sz w:val="21"/>
                <w:szCs w:val="21"/>
              </w:rPr>
            </w:pPr>
            <w:r>
              <w:rPr>
                <w:rFonts w:ascii="Times New Roman" w:hAnsi="Times New Roman" w:eastAsiaTheme="minorEastAsia"/>
                <w:bCs/>
                <w:sz w:val="21"/>
                <w:szCs w:val="21"/>
              </w:rPr>
              <w:t>本项目相关内容</w:t>
            </w:r>
          </w:p>
        </w:tc>
        <w:tc>
          <w:tcPr>
            <w:tcW w:w="219" w:type="pct"/>
            <w:gridSpan w:val="2"/>
            <w:vAlign w:val="center"/>
          </w:tcPr>
          <w:p>
            <w:pPr>
              <w:pStyle w:val="67"/>
              <w:adjustRightInd w:val="0"/>
              <w:snapToGrid w:val="0"/>
              <w:jc w:val="center"/>
              <w:rPr>
                <w:rFonts w:ascii="Times New Roman" w:hAnsi="Times New Roman" w:eastAsiaTheme="minorEastAsia"/>
                <w:bCs/>
                <w:sz w:val="21"/>
                <w:szCs w:val="21"/>
              </w:rPr>
            </w:pPr>
            <w:r>
              <w:rPr>
                <w:rFonts w:ascii="Times New Roman" w:hAnsi="Times New Roman" w:eastAsiaTheme="minorEastAsia"/>
                <w:bCs/>
                <w:sz w:val="21"/>
                <w:szCs w:val="21"/>
              </w:rPr>
              <w:t>符合性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restar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大气环境准入</w:t>
            </w: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空间布局优化</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禁止在工业企业和产业集聚区大气污染防护距离内建设居住、学校、医院等环境敏感项目。对城市建成区内重污染企业、不符合安全防护距离和卫生防护距离的危化企业实施有序搬迁改造或依法关闭。</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项目选址厂界防护距离内无居住、学校、医院等环境敏感项目。</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污染排放管控</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严格执行河北省生态环境准入要求，禁止建设不符合国家产业政策和行业准入条件的工业项目。</w:t>
            </w:r>
          </w:p>
          <w:p>
            <w:pPr>
              <w:pStyle w:val="67"/>
              <w:adjustRightInd w:val="0"/>
              <w:snapToGrid w:val="0"/>
              <w:rPr>
                <w:rFonts w:ascii="Times New Roman" w:hAnsi="Times New Roman" w:eastAsiaTheme="minorEastAsia"/>
                <w:sz w:val="21"/>
                <w:szCs w:val="21"/>
                <w:lang w:eastAsia="zh-CN"/>
              </w:rPr>
            </w:pPr>
            <w:r>
              <w:rPr>
                <w:rFonts w:hint="eastAsia" w:ascii="宋体" w:hAnsi="宋体" w:cs="宋体"/>
                <w:spacing w:val="-8"/>
                <w:sz w:val="21"/>
                <w:szCs w:val="21"/>
                <w:lang w:eastAsia="zh-CN"/>
              </w:rPr>
              <w:t>②</w:t>
            </w:r>
            <w:r>
              <w:rPr>
                <w:rFonts w:ascii="Times New Roman" w:hAnsi="Times New Roman" w:eastAsiaTheme="minorEastAsia"/>
                <w:spacing w:val="-8"/>
                <w:sz w:val="21"/>
                <w:szCs w:val="21"/>
                <w:lang w:eastAsia="zh-CN"/>
              </w:rPr>
              <w:t>建筑施工严格执行《河北省建筑施工扬尘防治标准》，要做到工地周边围挡、物料堆放覆盖、土方开挖湿法作业、路面硬化、出入车辆清洗、渣土车辆密闭运输“六个百分百”， 5000</w:t>
            </w:r>
            <w:r>
              <w:rPr>
                <w:rFonts w:ascii="Times New Roman" w:hAnsi="Times New Roman" w:eastAsiaTheme="minorEastAsia"/>
                <w:spacing w:val="-7"/>
                <w:sz w:val="21"/>
                <w:szCs w:val="21"/>
                <w:lang w:eastAsia="zh-CN"/>
              </w:rPr>
              <w:t xml:space="preserve"> 平方米及以上土石方建筑工地全部安装在线监测和视频监控，并与当地行业主管部门联网。各类长距离市政、公路、水利等线性工程，全面实行分段施工。渣土车辆要安装</w:t>
            </w:r>
            <w:r>
              <w:rPr>
                <w:rFonts w:ascii="Times New Roman" w:hAnsi="Times New Roman" w:eastAsiaTheme="minorEastAsia"/>
                <w:sz w:val="21"/>
                <w:szCs w:val="21"/>
                <w:lang w:eastAsia="zh-CN"/>
              </w:rPr>
              <w:t>密闭装置，对不符合要求上路行驶的，一经查处按上限处罚并取消渣土运输资格。</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项目符合河北省生态环境准入要求。</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项目施工</w:t>
            </w:r>
            <w:r>
              <w:rPr>
                <w:rFonts w:ascii="Times New Roman" w:hAnsi="Times New Roman" w:eastAsiaTheme="minorEastAsia"/>
                <w:spacing w:val="-8"/>
                <w:sz w:val="21"/>
                <w:szCs w:val="21"/>
                <w:lang w:eastAsia="zh-CN"/>
              </w:rPr>
              <w:t>严格执行《河北省建筑施工扬尘防治标准》要求。</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环境风险防范</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严格限制《环境保护综合名录》（2017 年版）中“高污染、高环境风险”产品与工艺装备。</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本项目不属于《环境保护综合名录》（2017 年版）中“高污染、高环境风险”产品与工艺装备。</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水环境准入</w:t>
            </w: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空间布局优化</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饮用水源地保护区应遵循《河北省水资源管理条例》、《河北省水污染防治条例》等相关法律法规规定要求。</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新建企业原则上均应建在工业集聚区。推进现有企业向依法合规设立、环保设施齐全、符合规划环评要求、满足水法律法规规定的工业集聚区集中，明确涉水工业企业入园时间表；确因不具备入园条件需原地保留的涉水工业企业，明确保留条件，其中直排环境企业应达到排入水体功能区标准。</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③</w:t>
            </w:r>
            <w:r>
              <w:rPr>
                <w:rFonts w:ascii="Times New Roman" w:hAnsi="Times New Roman" w:eastAsiaTheme="minorEastAsia"/>
                <w:sz w:val="21"/>
                <w:szCs w:val="21"/>
                <w:lang w:eastAsia="zh-CN"/>
              </w:rPr>
              <w:t>禁止向水域倾倒工业废渣、城市垃圾、粪便及其它废弃物。</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④</w:t>
            </w:r>
            <w:r>
              <w:rPr>
                <w:rFonts w:ascii="Times New Roman" w:hAnsi="Times New Roman" w:eastAsiaTheme="minorEastAsia"/>
                <w:sz w:val="21"/>
                <w:szCs w:val="21"/>
                <w:lang w:eastAsia="zh-CN"/>
              </w:rPr>
              <w:t>一般工业固体废物贮存场、填埋场不得选在生态保护红线区域、永久基本农田集中区域和其他需要特别保护的区域内，应避开活动断层、溶洞区、天然滑坡或泥石流影响区以及湿地等区域，不得选在江河、湖泊、运河、渠道、水库最高水位线以下的滩地和岸坡，以及国家和地方长远规划中的水库等人工蓄水设施的淹没区和保护区之内。</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本项目废水处理后排入紧邻的生活垃圾焚烧发电项目渗滤液处理站处理达标后，全部回用，不外排。</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本项目选址不在生态保护红线区域、永久基本农田集中区域和其他需要特别保护的区域内，不在活动断层、溶洞区、天然滑坡或泥石流影响区以及湿地等区域，选址不在江河、湖泊、运河、渠道、水库最高水位线以下的滩地和岸坡，以及国家和地方长远规划中的水库等人工蓄水设施的淹没区和保护区之内。</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restar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水环境准入</w:t>
            </w: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污染排放管控</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禁止建设不符合国家产业政策和行业准入条件的工业项目。</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新建污水处理设施及其配套管网应同步设计、同步建设、同步投运。纳管企业应当防止、减少环境污染和生态破坏，按照国家有关规定申领排污许可证，持证排污、按证排污，对所造成的损害依法承担责任。一是按照国家有关规定对工业污水进行预处理，相关标准规定的第一类污染物及其他有毒有害污染物，应在车间或车间处理设施排放口处理达标； 其他污染物达到集中处理设施处理工艺要求后方可排放。二是依法按照相关技术规范开展自行监测并主动公开污染物排放信息，自觉接受监督。属于水环境重点排污单位的，还须依法安装使用自动监测设备，并与当地生态环境部门、运营单位共享数据。三是根据《污水处理费征收使用管理办法》（财税〔2014〕151 号）、委托处理合同等，及时足额缴纳污水处理相关费用。四是发生事故致使排放的污水可能危及污水处理厂安全运行时，应当立即启动应急预案，采取应急措施消除危害，通知运营单位并向生态环境部门及相关主管部门报告。</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④</w:t>
            </w:r>
            <w:r>
              <w:rPr>
                <w:rFonts w:ascii="Times New Roman" w:hAnsi="Times New Roman" w:eastAsiaTheme="minorEastAsia"/>
                <w:sz w:val="21"/>
                <w:szCs w:val="21"/>
                <w:lang w:eastAsia="zh-CN"/>
              </w:rPr>
              <w:t>一般工业固体废物贮存场、填埋场的选址、建设、运行、封场、土地复垦等过程的环境保护要求，以及替代贮存、填埋处置的一般工业固体废物充填及回填利用环境保护要求应执行《一般工业固体废物贮存和填埋污染控制标准》（GB 18599-2020）。</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本项目建设符合国家产业政策和行业准入条件；</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项目建设污水处理设施与配套管网同步建设，生产废水及生活污水经处理后全部回用，不外排。</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③</w:t>
            </w:r>
            <w:r>
              <w:rPr>
                <w:rFonts w:ascii="Times New Roman" w:hAnsi="Times New Roman" w:eastAsiaTheme="minorEastAsia"/>
                <w:sz w:val="21"/>
                <w:szCs w:val="21"/>
                <w:lang w:eastAsia="zh-CN"/>
              </w:rPr>
              <w:t>厂区选址满足《一般工业固体废物贮存和填埋污染控制标准》（GB18599-2020）的要求</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环境风险防范</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限制建设《环境保护综合名录》（2017 年版）中“高污染、高环境风险”产品与工艺装备。限制建设排放《有毒有害水污染物名录》中所列有毒有害污染物的项目。</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本项目不属于《环境保护综合名录》（2017 年版）中“高污染、高环境风险”产品与工艺装备。项目涉及的原辅料不属于《有毒有害水污染物名录》中所列有毒有害污染物的项目。</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restart"/>
            <w:vAlign w:val="center"/>
          </w:tcPr>
          <w:p>
            <w:pPr>
              <w:pStyle w:val="279"/>
              <w:adjustRightInd w:val="0"/>
              <w:snapToGrid w:val="0"/>
              <w:jc w:val="left"/>
              <w:rPr>
                <w:rFonts w:ascii="Times New Roman" w:hAnsi="Times New Roman" w:cs="Times New Roman" w:eastAsiaTheme="minorEastAsia"/>
              </w:rPr>
            </w:pPr>
            <w:r>
              <w:rPr>
                <w:rFonts w:ascii="Times New Roman" w:hAnsi="Times New Roman" w:cs="Times New Roman" w:eastAsiaTheme="minorEastAsia"/>
              </w:rPr>
              <w:t>土壤环境准入清单</w:t>
            </w: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空间布局优化</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农用地优先保护区区内严格控制新建有色金属冶炼、石油加工、化工、焦化、电镀、制革等行业企业。原则上禁止改变现状土地用途。应实行严格保护，确保其面积不减少、土壤环境质量不下降，除法律规定的重点建设项目选址确实无法避让外，其他任何建设不得占用。</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依法划定特定农产品禁止生产区域，严禁种植食用农产品；重度污染耕地应纳入退耕还林还草实施范围，重度污染的牧草地纳入禁牧休牧实施范围。</w:t>
            </w:r>
            <w:r>
              <w:rPr>
                <w:rFonts w:hint="eastAsia" w:ascii="宋体" w:hAnsi="宋体" w:cs="宋体"/>
                <w:sz w:val="21"/>
                <w:szCs w:val="21"/>
                <w:lang w:eastAsia="zh-CN"/>
              </w:rPr>
              <w:t>③</w:t>
            </w:r>
            <w:r>
              <w:rPr>
                <w:rFonts w:ascii="Times New Roman" w:hAnsi="Times New Roman" w:eastAsiaTheme="minorEastAsia"/>
                <w:sz w:val="21"/>
                <w:szCs w:val="21"/>
                <w:lang w:eastAsia="zh-CN"/>
              </w:rPr>
              <w:t>禁止企业向滩涂、沼泽、荒地等未利用地非法排污、倾倒有毒有害物质。</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④</w:t>
            </w:r>
            <w:r>
              <w:rPr>
                <w:rFonts w:ascii="Times New Roman" w:hAnsi="Times New Roman" w:eastAsiaTheme="minorEastAsia"/>
                <w:sz w:val="21"/>
                <w:szCs w:val="21"/>
                <w:lang w:eastAsia="zh-CN"/>
              </w:rPr>
              <w:t>禁止在居民区、学校、医疗和养老机构等周边新建有色金属冶炼、焦化等行业企业。</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本项目选址位于建设用地，不属于农用地，项目选址远离居民区、学校、医疗和养老机构等。</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污染排放管控</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对优先保护类耕地面积减少或土壤环境质量下降的县（市、区），依法采取环评限批等限制性措施。</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新、改、扩建项目选址用地应当达到工业用地土壤环境质量要求。超过国家土壤污染风险管控有关工业类建设用地筛选值标准的工业地块，未经治理修复或者治理修复不符合相关标准的，不得新、改、扩建项目。</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③</w:t>
            </w:r>
            <w:r>
              <w:rPr>
                <w:rFonts w:ascii="Times New Roman" w:hAnsi="Times New Roman" w:eastAsiaTheme="minorEastAsia"/>
                <w:sz w:val="21"/>
                <w:szCs w:val="21"/>
                <w:lang w:eastAsia="zh-CN"/>
              </w:rPr>
              <w:t>禁止在重金属污染重点防控区域内新建、改建、扩建增加重金属污染物排放总量的建设项目，对排放重点重金属的新增产能实行“等量置换”或“减量置换”。</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④</w:t>
            </w:r>
            <w:r>
              <w:rPr>
                <w:rFonts w:ascii="Times New Roman" w:hAnsi="Times New Roman" w:eastAsiaTheme="minorEastAsia"/>
                <w:sz w:val="21"/>
                <w:szCs w:val="21"/>
                <w:lang w:eastAsia="zh-CN"/>
              </w:rPr>
              <w:t>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不符合土壤环境质量要求的，由所在地县（市、区）政府组织划定管控区域，按照相关规定采取环境风险管控措施。</w:t>
            </w:r>
          </w:p>
        </w:tc>
        <w:tc>
          <w:tcPr>
            <w:tcW w:w="1515" w:type="pct"/>
            <w:gridSpan w:val="2"/>
            <w:vMerge w:val="restar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本项目选址不在优先保护类耕地范围内。</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项目选址符合围场县土地利用规划。</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环境风险防范</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严格控制在农用地优先保护区边界 800 米缓冲区范围内新建有色金属冶炼、石油加工、化工、焦化、电镀、制革、制药、铅酸蓄电池行业企业。严格控制在农用地优先保护区边界 800 米缓冲区范围内布局城乡生活垃圾处理、危险废物处置、废旧资源再生利用等设施和场所，合理确定畜禽养殖布局和规模。</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经风险评估对人体健康有严重影响的被污染场地，未经治理修复或者治理修复不符合相关标准的，不得用于居民住宅、学校、幼儿园、医院、养老场所等项目开发。</w:t>
            </w:r>
          </w:p>
        </w:tc>
        <w:tc>
          <w:tcPr>
            <w:tcW w:w="1515" w:type="pct"/>
            <w:gridSpan w:val="2"/>
            <w:vMerge w:val="continue"/>
            <w:vAlign w:val="center"/>
          </w:tcPr>
          <w:p>
            <w:pPr>
              <w:pStyle w:val="67"/>
              <w:adjustRightInd w:val="0"/>
              <w:snapToGrid w:val="0"/>
              <w:rPr>
                <w:rFonts w:ascii="Times New Roman" w:hAnsi="Times New Roman" w:eastAsiaTheme="minorEastAsia"/>
                <w:sz w:val="21"/>
                <w:szCs w:val="21"/>
                <w:lang w:eastAsia="zh-CN"/>
              </w:rPr>
            </w:pPr>
          </w:p>
        </w:tc>
        <w:tc>
          <w:tcPr>
            <w:tcW w:w="219"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restar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资源管控准入清单</w:t>
            </w: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能源</w:t>
            </w:r>
          </w:p>
        </w:tc>
        <w:tc>
          <w:tcPr>
            <w:tcW w:w="2837" w:type="pct"/>
            <w:vAlign w:val="center"/>
          </w:tcPr>
          <w:p>
            <w:pPr>
              <w:pStyle w:val="67"/>
              <w:numPr>
                <w:ilvl w:val="0"/>
                <w:numId w:val="6"/>
              </w:numPr>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禁止生产高耗能落后设备产品，现有工业企业应限期关停退出。</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本项目不使用高耗能设备</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水资源</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禁止新建、改扩建《高耗水工艺、技术和装备淘汰目录》中项目，现有企业应限期关停退出。</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禁止建设不符合《河北省用水定额》（DB13/T 1161-2016）标准的产品，位于公共供水管网覆盖范围内且水量、水质能够满足要求的，不予批准取用地下水。</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③</w:t>
            </w:r>
            <w:r>
              <w:rPr>
                <w:rFonts w:ascii="Times New Roman" w:hAnsi="Times New Roman" w:eastAsiaTheme="minorEastAsia"/>
                <w:sz w:val="21"/>
                <w:szCs w:val="21"/>
                <w:lang w:eastAsia="zh-CN"/>
              </w:rPr>
              <w:t>2025年前，公共管网覆盖范围内年取水量5万立方米以上的重点监控用水单位基本实现监测全覆盖，已安装在线监控设施的用水单位，实现与水行政主管部门的监控系统联网，保存原有监测记录；未安装计量设施的用水单位，由省级统一组织，市、县具体实施。</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本项目不属于《高耗水工艺、技术和装备淘汰目录》中企业；</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②</w:t>
            </w:r>
            <w:r>
              <w:rPr>
                <w:rFonts w:ascii="Times New Roman" w:hAnsi="Times New Roman" w:eastAsiaTheme="minorEastAsia"/>
                <w:sz w:val="21"/>
                <w:szCs w:val="21"/>
                <w:lang w:eastAsia="zh-CN"/>
              </w:rPr>
              <w:t>项目用水满足《河北省用水定额》（DB13/T 1161-2016）要求；</w:t>
            </w:r>
          </w:p>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③</w:t>
            </w:r>
            <w:r>
              <w:rPr>
                <w:rFonts w:ascii="Times New Roman" w:hAnsi="Times New Roman" w:eastAsiaTheme="minorEastAsia"/>
                <w:sz w:val="21"/>
                <w:szCs w:val="21"/>
                <w:lang w:eastAsia="zh-CN"/>
              </w:rPr>
              <w:t>项目取水安装在线监控。</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gridAfter w:val="1"/>
          <w:wAfter w:w="2" w:type="pct"/>
          <w:cantSplit/>
          <w:jc w:val="center"/>
        </w:trPr>
        <w:tc>
          <w:tcPr>
            <w:tcW w:w="163" w:type="pct"/>
            <w:gridSpan w:val="2"/>
            <w:vMerge w:val="continue"/>
            <w:vAlign w:val="center"/>
          </w:tcPr>
          <w:p>
            <w:pPr>
              <w:pStyle w:val="67"/>
              <w:adjustRightInd w:val="0"/>
              <w:snapToGrid w:val="0"/>
              <w:rPr>
                <w:rFonts w:ascii="Times New Roman" w:hAnsi="Times New Roman" w:eastAsiaTheme="minorEastAsia"/>
                <w:sz w:val="21"/>
                <w:szCs w:val="21"/>
              </w:rPr>
            </w:pPr>
          </w:p>
        </w:tc>
        <w:tc>
          <w:tcPr>
            <w:tcW w:w="263"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土地资源</w:t>
            </w:r>
          </w:p>
        </w:tc>
        <w:tc>
          <w:tcPr>
            <w:tcW w:w="2837" w:type="pct"/>
            <w:vAlign w:val="center"/>
          </w:tcPr>
          <w:p>
            <w:pPr>
              <w:pStyle w:val="67"/>
              <w:adjustRightInd w:val="0"/>
              <w:snapToGrid w:val="0"/>
              <w:rPr>
                <w:rFonts w:ascii="Times New Roman" w:hAnsi="Times New Roman" w:eastAsiaTheme="minorEastAsia"/>
                <w:sz w:val="21"/>
                <w:szCs w:val="21"/>
                <w:lang w:eastAsia="zh-CN"/>
              </w:rPr>
            </w:pPr>
            <w:r>
              <w:rPr>
                <w:rFonts w:hint="eastAsia" w:ascii="宋体" w:hAnsi="宋体" w:cs="宋体"/>
                <w:sz w:val="21"/>
                <w:szCs w:val="21"/>
                <w:lang w:eastAsia="zh-CN"/>
              </w:rPr>
              <w:t>①</w:t>
            </w:r>
            <w:r>
              <w:rPr>
                <w:rFonts w:ascii="Times New Roman" w:hAnsi="Times New Roman" w:eastAsiaTheme="minorEastAsia"/>
                <w:sz w:val="21"/>
                <w:szCs w:val="21"/>
                <w:lang w:eastAsia="zh-CN"/>
              </w:rPr>
              <w:t>产业集聚区开发建设应达到《河北省开发区建设用地控制指标实施细则（试行）》（冀国土资发[2015]11 号）要求，对不符合要求的工业项目，原则上不得建设，因安全生产、地形地貌、工艺技术等有特殊要求确需突破控制指标的应遵循相关规定执行。</w:t>
            </w:r>
          </w:p>
        </w:tc>
        <w:tc>
          <w:tcPr>
            <w:tcW w:w="1515" w:type="pct"/>
            <w:gridSpan w:val="2"/>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本项目不属于工业集聚区建设项目，项目选址符合用地要求。</w:t>
            </w:r>
          </w:p>
        </w:tc>
        <w:tc>
          <w:tcPr>
            <w:tcW w:w="219" w:type="pct"/>
            <w:gridSpan w:val="2"/>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0" w:hRule="atLeast"/>
          <w:jc w:val="center"/>
        </w:trPr>
        <w:tc>
          <w:tcPr>
            <w:tcW w:w="85" w:type="pct"/>
            <w:vMerge w:val="restar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lang w:eastAsia="zh-CN"/>
              </w:rPr>
              <w:t>龙头山镇</w:t>
            </w:r>
          </w:p>
        </w:tc>
        <w:tc>
          <w:tcPr>
            <w:tcW w:w="84" w:type="pct"/>
            <w:gridSpan w:val="2"/>
            <w:vMerge w:val="restar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一般管控单元</w:t>
            </w:r>
          </w:p>
        </w:tc>
        <w:tc>
          <w:tcPr>
            <w:tcW w:w="257" w:type="pc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空间布局约束</w:t>
            </w:r>
          </w:p>
        </w:tc>
        <w:tc>
          <w:tcPr>
            <w:tcW w:w="2840" w:type="pct"/>
            <w:gridSpan w:val="2"/>
            <w:vMerge w:val="restart"/>
            <w:vAlign w:val="center"/>
          </w:tcPr>
          <w:p>
            <w:pPr>
              <w:autoSpaceDE w:val="0"/>
              <w:autoSpaceDN w:val="0"/>
              <w:adjustRightInd w:val="0"/>
              <w:jc w:val="left"/>
              <w:rPr>
                <w:kern w:val="0"/>
                <w:sz w:val="22"/>
                <w:szCs w:val="22"/>
              </w:rPr>
            </w:pPr>
            <w:r>
              <w:rPr>
                <w:kern w:val="0"/>
                <w:sz w:val="22"/>
                <w:szCs w:val="22"/>
              </w:rPr>
              <w:t>1. 严格执行国家和省关于产业准入、总量控制和污染物排放标准等管控要求。</w:t>
            </w:r>
          </w:p>
          <w:p>
            <w:pPr>
              <w:autoSpaceDE w:val="0"/>
              <w:autoSpaceDN w:val="0"/>
              <w:adjustRightInd w:val="0"/>
              <w:jc w:val="left"/>
              <w:rPr>
                <w:rFonts w:eastAsiaTheme="minorEastAsia"/>
                <w:szCs w:val="21"/>
              </w:rPr>
            </w:pPr>
            <w:r>
              <w:rPr>
                <w:kern w:val="0"/>
                <w:sz w:val="22"/>
                <w:szCs w:val="22"/>
              </w:rPr>
              <w:t>2. 农用地优先保护区执行承德市总体准入清单要求。</w:t>
            </w:r>
          </w:p>
        </w:tc>
        <w:tc>
          <w:tcPr>
            <w:tcW w:w="1515" w:type="pct"/>
            <w:gridSpan w:val="2"/>
            <w:vMerge w:val="restart"/>
            <w:vAlign w:val="center"/>
          </w:tcPr>
          <w:p>
            <w:pPr>
              <w:pStyle w:val="67"/>
              <w:adjustRightInd w:val="0"/>
              <w:snapToGrid w:val="0"/>
              <w:rPr>
                <w:rFonts w:ascii="Times New Roman" w:hAnsi="Times New Roman" w:eastAsiaTheme="minorEastAsia"/>
                <w:sz w:val="21"/>
                <w:szCs w:val="21"/>
                <w:lang w:eastAsia="zh-CN"/>
              </w:rPr>
            </w:pPr>
            <w:r>
              <w:rPr>
                <w:rFonts w:ascii="Times New Roman" w:hAnsi="Times New Roman" w:eastAsiaTheme="minorEastAsia"/>
                <w:sz w:val="21"/>
                <w:szCs w:val="21"/>
                <w:lang w:eastAsia="zh-CN"/>
              </w:rPr>
              <w:t>本项目建设地点不属于农用地优先保护区，不涉及废水外排；项目建设满足产业准入、总量控制和污染物排放标准等管控要求</w:t>
            </w:r>
          </w:p>
        </w:tc>
        <w:tc>
          <w:tcPr>
            <w:tcW w:w="219" w:type="pct"/>
            <w:gridSpan w:val="2"/>
            <w:vMerge w:val="restar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0" w:hRule="atLeast"/>
          <w:jc w:val="center"/>
        </w:trPr>
        <w:tc>
          <w:tcPr>
            <w:tcW w:w="85" w:type="pct"/>
            <w:vMerge w:val="continue"/>
            <w:vAlign w:val="center"/>
          </w:tcPr>
          <w:p>
            <w:pPr>
              <w:pStyle w:val="67"/>
              <w:adjustRightInd w:val="0"/>
              <w:snapToGrid w:val="0"/>
              <w:rPr>
                <w:rFonts w:ascii="Times New Roman" w:hAnsi="Times New Roman" w:eastAsiaTheme="minorEastAsia"/>
                <w:sz w:val="21"/>
                <w:szCs w:val="21"/>
              </w:rPr>
            </w:pPr>
          </w:p>
        </w:tc>
        <w:tc>
          <w:tcPr>
            <w:tcW w:w="84" w:type="pct"/>
            <w:gridSpan w:val="2"/>
            <w:vMerge w:val="continue"/>
            <w:vAlign w:val="center"/>
          </w:tcPr>
          <w:p>
            <w:pPr>
              <w:pStyle w:val="67"/>
              <w:adjustRightInd w:val="0"/>
              <w:snapToGrid w:val="0"/>
              <w:rPr>
                <w:rFonts w:ascii="Times New Roman" w:hAnsi="Times New Roman" w:eastAsiaTheme="minorEastAsia"/>
                <w:sz w:val="21"/>
                <w:szCs w:val="21"/>
              </w:rPr>
            </w:pPr>
          </w:p>
        </w:tc>
        <w:tc>
          <w:tcPr>
            <w:tcW w:w="257" w:type="pc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污染物排放管控</w:t>
            </w:r>
          </w:p>
        </w:tc>
        <w:tc>
          <w:tcPr>
            <w:tcW w:w="2840" w:type="pct"/>
            <w:gridSpan w:val="2"/>
            <w:vMerge w:val="continue"/>
            <w:vAlign w:val="center"/>
          </w:tcPr>
          <w:p>
            <w:pPr>
              <w:pStyle w:val="67"/>
              <w:adjustRightInd w:val="0"/>
              <w:snapToGrid w:val="0"/>
              <w:rPr>
                <w:rFonts w:ascii="Times New Roman" w:hAnsi="Times New Roman" w:eastAsiaTheme="minorEastAsia"/>
                <w:sz w:val="21"/>
                <w:szCs w:val="21"/>
              </w:rPr>
            </w:pPr>
          </w:p>
        </w:tc>
        <w:tc>
          <w:tcPr>
            <w:tcW w:w="1515" w:type="pct"/>
            <w:gridSpan w:val="2"/>
            <w:vMerge w:val="continue"/>
            <w:vAlign w:val="center"/>
          </w:tcPr>
          <w:p>
            <w:pPr>
              <w:pStyle w:val="67"/>
              <w:adjustRightInd w:val="0"/>
              <w:snapToGrid w:val="0"/>
              <w:rPr>
                <w:rFonts w:ascii="Times New Roman" w:hAnsi="Times New Roman" w:eastAsiaTheme="minorEastAsia"/>
                <w:sz w:val="21"/>
                <w:szCs w:val="21"/>
              </w:rPr>
            </w:pPr>
          </w:p>
        </w:tc>
        <w:tc>
          <w:tcPr>
            <w:tcW w:w="219" w:type="pct"/>
            <w:gridSpan w:val="2"/>
            <w:vMerge w:val="continue"/>
            <w:vAlign w:val="center"/>
          </w:tcPr>
          <w:p>
            <w:pPr>
              <w:pStyle w:val="67"/>
              <w:adjustRightInd w:val="0"/>
              <w:snapToGrid w:val="0"/>
              <w:rPr>
                <w:rFonts w:ascii="Times New Roman" w:hAnsi="Times New Roman" w:eastAsiaTheme="minorEastAsia"/>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0" w:hRule="atLeast"/>
          <w:jc w:val="center"/>
        </w:trPr>
        <w:tc>
          <w:tcPr>
            <w:tcW w:w="85" w:type="pct"/>
            <w:vMerge w:val="continue"/>
            <w:vAlign w:val="center"/>
          </w:tcPr>
          <w:p>
            <w:pPr>
              <w:pStyle w:val="67"/>
              <w:adjustRightInd w:val="0"/>
              <w:snapToGrid w:val="0"/>
              <w:rPr>
                <w:rFonts w:ascii="Times New Roman" w:hAnsi="Times New Roman" w:eastAsiaTheme="minorEastAsia"/>
                <w:sz w:val="21"/>
                <w:szCs w:val="21"/>
              </w:rPr>
            </w:pPr>
          </w:p>
        </w:tc>
        <w:tc>
          <w:tcPr>
            <w:tcW w:w="84" w:type="pct"/>
            <w:gridSpan w:val="2"/>
            <w:vMerge w:val="continue"/>
            <w:vAlign w:val="center"/>
          </w:tcPr>
          <w:p>
            <w:pPr>
              <w:pStyle w:val="67"/>
              <w:adjustRightInd w:val="0"/>
              <w:snapToGrid w:val="0"/>
              <w:rPr>
                <w:rFonts w:ascii="Times New Roman" w:hAnsi="Times New Roman" w:eastAsiaTheme="minorEastAsia"/>
                <w:sz w:val="21"/>
                <w:szCs w:val="21"/>
              </w:rPr>
            </w:pPr>
          </w:p>
        </w:tc>
        <w:tc>
          <w:tcPr>
            <w:tcW w:w="257" w:type="pc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环境风险防控</w:t>
            </w:r>
          </w:p>
        </w:tc>
        <w:tc>
          <w:tcPr>
            <w:tcW w:w="2840" w:type="pct"/>
            <w:gridSpan w:val="2"/>
            <w:vMerge w:val="continue"/>
            <w:vAlign w:val="center"/>
          </w:tcPr>
          <w:p>
            <w:pPr>
              <w:pStyle w:val="67"/>
              <w:adjustRightInd w:val="0"/>
              <w:snapToGrid w:val="0"/>
              <w:rPr>
                <w:rFonts w:ascii="Times New Roman" w:hAnsi="Times New Roman" w:eastAsiaTheme="minorEastAsia"/>
                <w:sz w:val="21"/>
                <w:szCs w:val="21"/>
              </w:rPr>
            </w:pPr>
          </w:p>
        </w:tc>
        <w:tc>
          <w:tcPr>
            <w:tcW w:w="1515" w:type="pct"/>
            <w:gridSpan w:val="2"/>
            <w:vMerge w:val="continue"/>
            <w:vAlign w:val="center"/>
          </w:tcPr>
          <w:p>
            <w:pPr>
              <w:pStyle w:val="67"/>
              <w:adjustRightInd w:val="0"/>
              <w:snapToGrid w:val="0"/>
              <w:rPr>
                <w:rFonts w:ascii="Times New Roman" w:hAnsi="Times New Roman" w:eastAsiaTheme="minorEastAsia"/>
                <w:sz w:val="21"/>
                <w:szCs w:val="21"/>
              </w:rPr>
            </w:pPr>
          </w:p>
        </w:tc>
        <w:tc>
          <w:tcPr>
            <w:tcW w:w="219" w:type="pct"/>
            <w:gridSpan w:val="2"/>
            <w:vMerge w:val="continue"/>
            <w:vAlign w:val="center"/>
          </w:tcPr>
          <w:p>
            <w:pPr>
              <w:pStyle w:val="67"/>
              <w:adjustRightInd w:val="0"/>
              <w:snapToGrid w:val="0"/>
              <w:rPr>
                <w:rFonts w:ascii="Times New Roman" w:hAnsi="Times New Roman" w:eastAsiaTheme="minorEastAsia"/>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cantSplit/>
          <w:trHeight w:val="450" w:hRule="atLeast"/>
          <w:jc w:val="center"/>
        </w:trPr>
        <w:tc>
          <w:tcPr>
            <w:tcW w:w="85" w:type="pct"/>
            <w:vMerge w:val="continue"/>
            <w:vAlign w:val="center"/>
          </w:tcPr>
          <w:p>
            <w:pPr>
              <w:pStyle w:val="67"/>
              <w:adjustRightInd w:val="0"/>
              <w:snapToGrid w:val="0"/>
              <w:rPr>
                <w:rFonts w:ascii="Times New Roman" w:hAnsi="Times New Roman" w:eastAsiaTheme="minorEastAsia"/>
                <w:sz w:val="21"/>
                <w:szCs w:val="21"/>
              </w:rPr>
            </w:pPr>
          </w:p>
        </w:tc>
        <w:tc>
          <w:tcPr>
            <w:tcW w:w="84" w:type="pct"/>
            <w:gridSpan w:val="2"/>
            <w:vMerge w:val="continue"/>
            <w:vAlign w:val="center"/>
          </w:tcPr>
          <w:p>
            <w:pPr>
              <w:pStyle w:val="67"/>
              <w:adjustRightInd w:val="0"/>
              <w:snapToGrid w:val="0"/>
              <w:rPr>
                <w:rFonts w:ascii="Times New Roman" w:hAnsi="Times New Roman" w:eastAsiaTheme="minorEastAsia"/>
                <w:sz w:val="21"/>
                <w:szCs w:val="21"/>
              </w:rPr>
            </w:pPr>
          </w:p>
        </w:tc>
        <w:tc>
          <w:tcPr>
            <w:tcW w:w="257" w:type="pct"/>
            <w:vAlign w:val="center"/>
          </w:tcPr>
          <w:p>
            <w:pPr>
              <w:pStyle w:val="67"/>
              <w:adjustRightInd w:val="0"/>
              <w:snapToGrid w:val="0"/>
              <w:rPr>
                <w:rFonts w:ascii="Times New Roman" w:hAnsi="Times New Roman" w:eastAsiaTheme="minorEastAsia"/>
                <w:sz w:val="21"/>
                <w:szCs w:val="21"/>
              </w:rPr>
            </w:pPr>
            <w:r>
              <w:rPr>
                <w:rFonts w:ascii="Times New Roman" w:hAnsi="Times New Roman" w:eastAsiaTheme="minorEastAsia"/>
                <w:sz w:val="21"/>
                <w:szCs w:val="21"/>
              </w:rPr>
              <w:t>资源利用效率</w:t>
            </w:r>
          </w:p>
        </w:tc>
        <w:tc>
          <w:tcPr>
            <w:tcW w:w="2840" w:type="pct"/>
            <w:gridSpan w:val="2"/>
            <w:vMerge w:val="continue"/>
            <w:vAlign w:val="center"/>
          </w:tcPr>
          <w:p>
            <w:pPr>
              <w:pStyle w:val="67"/>
              <w:adjustRightInd w:val="0"/>
              <w:snapToGrid w:val="0"/>
              <w:rPr>
                <w:rFonts w:ascii="Times New Roman" w:hAnsi="Times New Roman" w:eastAsiaTheme="minorEastAsia"/>
                <w:sz w:val="21"/>
                <w:szCs w:val="21"/>
              </w:rPr>
            </w:pPr>
          </w:p>
        </w:tc>
        <w:tc>
          <w:tcPr>
            <w:tcW w:w="1515" w:type="pct"/>
            <w:gridSpan w:val="2"/>
            <w:vMerge w:val="continue"/>
            <w:vAlign w:val="center"/>
          </w:tcPr>
          <w:p>
            <w:pPr>
              <w:pStyle w:val="67"/>
              <w:adjustRightInd w:val="0"/>
              <w:snapToGrid w:val="0"/>
              <w:rPr>
                <w:rFonts w:ascii="Times New Roman" w:hAnsi="Times New Roman" w:eastAsiaTheme="minorEastAsia"/>
                <w:sz w:val="21"/>
                <w:szCs w:val="21"/>
              </w:rPr>
            </w:pPr>
          </w:p>
        </w:tc>
        <w:tc>
          <w:tcPr>
            <w:tcW w:w="219" w:type="pct"/>
            <w:gridSpan w:val="2"/>
            <w:vMerge w:val="continue"/>
            <w:vAlign w:val="center"/>
          </w:tcPr>
          <w:p>
            <w:pPr>
              <w:pStyle w:val="67"/>
              <w:adjustRightInd w:val="0"/>
              <w:snapToGrid w:val="0"/>
              <w:rPr>
                <w:rFonts w:ascii="Times New Roman" w:hAnsi="Times New Roman" w:eastAsiaTheme="minorEastAsia"/>
                <w:sz w:val="21"/>
                <w:szCs w:val="21"/>
              </w:rPr>
            </w:pPr>
          </w:p>
        </w:tc>
      </w:tr>
    </w:tbl>
    <w:p>
      <w:pPr>
        <w:spacing w:line="440" w:lineRule="exact"/>
        <w:jc w:val="center"/>
        <w:rPr>
          <w:b/>
          <w:sz w:val="24"/>
          <w:szCs w:val="24"/>
        </w:rPr>
      </w:pPr>
    </w:p>
    <w:p>
      <w:pPr>
        <w:spacing w:line="440" w:lineRule="exact"/>
        <w:ind w:firstLine="480" w:firstLineChars="200"/>
        <w:rPr>
          <w:bCs/>
          <w:sz w:val="24"/>
          <w:szCs w:val="24"/>
        </w:rPr>
        <w:sectPr>
          <w:pgSz w:w="16838" w:h="11906" w:orient="landscape"/>
          <w:pgMar w:top="1797" w:right="1440" w:bottom="1797" w:left="1440" w:header="851" w:footer="992" w:gutter="0"/>
          <w:cols w:space="425" w:num="1"/>
          <w:docGrid w:type="linesAndChars" w:linePitch="312" w:charSpace="0"/>
        </w:sectPr>
      </w:pPr>
    </w:p>
    <w:p>
      <w:pPr>
        <w:widowControl/>
        <w:jc w:val="left"/>
        <w:rPr>
          <w:sz w:val="24"/>
          <w:szCs w:val="24"/>
        </w:rPr>
      </w:pPr>
      <w:bookmarkStart w:id="43" w:name="_Hlk88660002"/>
      <w:r>
        <w:rPr>
          <w:sz w:val="24"/>
          <w:szCs w:val="24"/>
        </w:rPr>
        <mc:AlternateContent>
          <mc:Choice Requires="wps">
            <w:drawing>
              <wp:anchor distT="0" distB="0" distL="114300" distR="114300" simplePos="0" relativeHeight="251730944" behindDoc="0" locked="0" layoutInCell="1" allowOverlap="1">
                <wp:simplePos x="0" y="0"/>
                <wp:positionH relativeFrom="column">
                  <wp:posOffset>2327275</wp:posOffset>
                </wp:positionH>
                <wp:positionV relativeFrom="paragraph">
                  <wp:posOffset>751205</wp:posOffset>
                </wp:positionV>
                <wp:extent cx="676275" cy="254635"/>
                <wp:effectExtent l="228600" t="0" r="28575" b="431165"/>
                <wp:wrapNone/>
                <wp:docPr id="78" name="矩形标注 78"/>
                <wp:cNvGraphicFramePr/>
                <a:graphic xmlns:a="http://schemas.openxmlformats.org/drawingml/2006/main">
                  <a:graphicData uri="http://schemas.microsoft.com/office/word/2010/wordprocessingShape">
                    <wps:wsp>
                      <wps:cNvSpPr/>
                      <wps:spPr>
                        <a:xfrm>
                          <a:off x="0" y="0"/>
                          <a:ext cx="676275" cy="254635"/>
                        </a:xfrm>
                        <a:prstGeom prst="wedgeRectCallout">
                          <a:avLst>
                            <a:gd name="adj1" fmla="val -77287"/>
                            <a:gd name="adj2" fmla="val 198370"/>
                          </a:avLst>
                        </a:prstGeom>
                        <a:noFill/>
                        <a:ln w="25400" cap="flat" cmpd="sng" algn="ctr">
                          <a:solidFill>
                            <a:srgbClr val="4F81BD">
                              <a:shade val="50000"/>
                            </a:srgbClr>
                          </a:solidFill>
                          <a:prstDash val="solid"/>
                        </a:ln>
                        <a:effectLst/>
                      </wps:spPr>
                      <wps:txbx>
                        <w:txbxContent>
                          <w:p>
                            <w:pPr>
                              <w:spacing w:line="240" w:lineRule="exact"/>
                              <w:jc w:val="center"/>
                              <w:rPr>
                                <w:b/>
                                <w:color w:val="FF0000"/>
                                <w:sz w:val="18"/>
                                <w:szCs w:val="18"/>
                              </w:rPr>
                            </w:pPr>
                            <w:r>
                              <w:rPr>
                                <w:rFonts w:hint="eastAsia"/>
                                <w:b/>
                                <w:color w:val="FF0000"/>
                                <w:sz w:val="18"/>
                                <w:szCs w:val="18"/>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3.25pt;margin-top:59.15pt;height:20.05pt;width:53.25pt;z-index:251730944;v-text-anchor:middle;mso-width-relative:page;mso-height-relative:page;" filled="f" stroked="t" coordsize="21600,21600" o:gfxdata="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OL4UAnZAAAACwEAAA8AAAAAAAAAAQAgAAAAIgAA&#10;AGRycy9kb3ducmV2LnhtbFBLAQIUABQAAAAIAIdO4kDt5xs7sgIAAFQFAAAOAAAAAAAAAAEAIAAA&#10;ACgBAABkcnMvZTJvRG9jLnhtbFBLBQYAAAAABgAGAFkBAABMBgAAAAA=&#10;" adj="-5894,53648">
                <v:fill on="f" focussize="0,0"/>
                <v:stroke weight="2pt" color="#385D8A" joinstyle="round"/>
                <v:imagedata o:title=""/>
                <o:lock v:ext="edit" aspectratio="f"/>
                <v:textbox>
                  <w:txbxContent>
                    <w:p>
                      <w:pPr>
                        <w:spacing w:line="240" w:lineRule="exact"/>
                        <w:jc w:val="center"/>
                        <w:rPr>
                          <w:b/>
                          <w:color w:val="FF0000"/>
                          <w:sz w:val="18"/>
                          <w:szCs w:val="18"/>
                        </w:rPr>
                      </w:pPr>
                      <w:r>
                        <w:rPr>
                          <w:rFonts w:hint="eastAsia"/>
                          <w:b/>
                          <w:color w:val="FF0000"/>
                          <w:sz w:val="18"/>
                          <w:szCs w:val="18"/>
                        </w:rPr>
                        <w:t>本项目</w:t>
                      </w:r>
                    </w:p>
                  </w:txbxContent>
                </v:textbox>
              </v:shape>
            </w:pict>
          </mc:Fallback>
        </mc:AlternateContent>
      </w:r>
      <w:r>
        <w:rPr>
          <w:sz w:val="24"/>
          <w:szCs w:val="24"/>
        </w:rPr>
        <mc:AlternateContent>
          <mc:Choice Requires="wps">
            <w:drawing>
              <wp:anchor distT="0" distB="0" distL="114300" distR="114300" simplePos="0" relativeHeight="251726848" behindDoc="0" locked="0" layoutInCell="1" allowOverlap="1">
                <wp:simplePos x="0" y="0"/>
                <wp:positionH relativeFrom="column">
                  <wp:posOffset>2099310</wp:posOffset>
                </wp:positionH>
                <wp:positionV relativeFrom="paragraph">
                  <wp:posOffset>1368425</wp:posOffset>
                </wp:positionV>
                <wp:extent cx="45720" cy="45720"/>
                <wp:effectExtent l="0" t="0" r="11430" b="11430"/>
                <wp:wrapNone/>
                <wp:docPr id="73" name="矩形 73"/>
                <wp:cNvGraphicFramePr/>
                <a:graphic xmlns:a="http://schemas.openxmlformats.org/drawingml/2006/main">
                  <a:graphicData uri="http://schemas.microsoft.com/office/word/2010/wordprocessingShape">
                    <wps:wsp>
                      <wps:cNvSpPr/>
                      <wps:spPr>
                        <a:xfrm>
                          <a:off x="0" y="0"/>
                          <a:ext cx="45720" cy="457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3pt;margin-top:107.75pt;height:3.6pt;width:3.6pt;z-index:251726848;v-text-anchor:middle;mso-width-relative:page;mso-height-relative:page;" filled="f" stroked="t" coordsize="21600,21600" o:gfxdata="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j3q8HaAAAACwEAAA8AAAAAAAAAAQAgAAAAIgAAAGRycy9kb3ducmV2LnhtbFBLAQIUABQAAAAI&#10;AIdO4kBw1AGQXQIAAMEEAAAOAAAAAAAAAAEAIAAAACkBAABkcnMvZTJvRG9jLnhtbFBLBQYAAAAA&#10;BgAGAFkBAAD4BQAAAAA=&#10;">
                <v:fill on="f" focussize="0,0"/>
                <v:stroke weight="2pt" color="#FF0000" joinstyle="round"/>
                <v:imagedata o:title=""/>
                <o:lock v:ext="edit" aspectratio="f"/>
              </v:rect>
            </w:pict>
          </mc:Fallback>
        </mc:AlternateContent>
      </w:r>
      <w:r>
        <w:rPr>
          <w:sz w:val="24"/>
          <w:szCs w:val="24"/>
        </w:rPr>
        <w:drawing>
          <wp:inline distT="0" distB="0" distL="0" distR="0">
            <wp:extent cx="5400040" cy="3817620"/>
            <wp:effectExtent l="0" t="0" r="0" b="0"/>
            <wp:docPr id="70" name="图片 70" descr="C:\Users\Administrator\Desktop\承德市重点管控单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Desktop\承德市重点管控单元.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400040" cy="3817798"/>
                    </a:xfrm>
                    <a:prstGeom prst="rect">
                      <a:avLst/>
                    </a:prstGeom>
                    <a:noFill/>
                    <a:ln>
                      <a:noFill/>
                    </a:ln>
                  </pic:spPr>
                </pic:pic>
              </a:graphicData>
            </a:graphic>
          </wp:inline>
        </w:drawing>
      </w:r>
    </w:p>
    <w:p>
      <w:pPr>
        <w:widowControl/>
        <w:jc w:val="center"/>
        <w:rPr>
          <w:sz w:val="24"/>
          <w:szCs w:val="24"/>
        </w:rPr>
      </w:pPr>
      <w:r>
        <w:rPr>
          <w:rFonts w:eastAsia="黑体"/>
          <w:sz w:val="24"/>
          <w:szCs w:val="24"/>
        </w:rPr>
        <w:t>图2.7-5    承德市环境管控单元图</w:t>
      </w:r>
    </w:p>
    <w:p>
      <w:pPr>
        <w:pStyle w:val="62"/>
        <w:numPr>
          <w:ilvl w:val="2"/>
          <w:numId w:val="5"/>
        </w:numPr>
        <w:tabs>
          <w:tab w:val="left" w:pos="567"/>
          <w:tab w:val="clear" w:pos="1021"/>
        </w:tabs>
        <w:spacing w:before="156" w:after="156"/>
        <w:ind w:left="0" w:firstLine="0"/>
        <w:rPr>
          <w:rFonts w:ascii="Times New Roman" w:hAnsi="Times New Roman"/>
        </w:rPr>
      </w:pPr>
      <w:r>
        <w:rPr>
          <w:rFonts w:ascii="Times New Roman" w:hAnsi="Times New Roman"/>
        </w:rPr>
        <w:t>康保县等坝上六县国家重点生态功能区产业准入负面清单</w:t>
      </w:r>
    </w:p>
    <w:p>
      <w:pPr>
        <w:adjustRightInd w:val="0"/>
        <w:snapToGrid w:val="0"/>
        <w:spacing w:line="360" w:lineRule="auto"/>
        <w:ind w:firstLine="480" w:firstLineChars="200"/>
        <w:rPr>
          <w:sz w:val="24"/>
          <w:szCs w:val="28"/>
        </w:rPr>
      </w:pPr>
      <w:r>
        <w:rPr>
          <w:sz w:val="24"/>
          <w:szCs w:val="28"/>
        </w:rPr>
        <w:t>《康保县等坝上六县国家重点生态功能区产业准入负面清单（试行）》</w:t>
      </w:r>
      <w:r>
        <w:rPr>
          <w:rFonts w:hint="eastAsia"/>
          <w:sz w:val="24"/>
          <w:szCs w:val="28"/>
        </w:rPr>
        <w:t>中围场满族蒙古族自治县位于浑善达克沙漠化防治生态功能区，其类型为防风固沙型。</w:t>
      </w:r>
      <w:bookmarkStart w:id="44" w:name="_Hlk94011276"/>
      <w:r>
        <w:rPr>
          <w:rFonts w:hint="eastAsia"/>
          <w:sz w:val="24"/>
          <w:szCs w:val="28"/>
        </w:rPr>
        <w:t>围场县负面清单</w:t>
      </w:r>
      <w:bookmarkEnd w:id="44"/>
      <w:r>
        <w:rPr>
          <w:rFonts w:hint="eastAsia"/>
          <w:sz w:val="24"/>
          <w:szCs w:val="28"/>
        </w:rPr>
        <w:t>涉及国民经济7门类17大类20中类19小类。其中禁止类涉及国民经济1门类2大类2中类1小类；限制类涉及国民经济7门类15大类18中类18小类。</w:t>
      </w:r>
    </w:p>
    <w:p>
      <w:pPr>
        <w:adjustRightInd w:val="0"/>
        <w:snapToGrid w:val="0"/>
        <w:spacing w:line="360" w:lineRule="auto"/>
        <w:ind w:firstLine="480" w:firstLineChars="200"/>
        <w:rPr>
          <w:sz w:val="24"/>
          <w:szCs w:val="28"/>
        </w:rPr>
      </w:pPr>
      <w:r>
        <w:rPr>
          <w:rFonts w:hint="eastAsia"/>
          <w:sz w:val="24"/>
          <w:szCs w:val="28"/>
        </w:rPr>
        <w:t>本项目选址河北省承德市围场满族蒙古族自治县龙头山镇龙头山村烟囱水大沟，不属于沙尘源区、沙尘暴频发区，不属于围场县负面清单中的项目门类。</w:t>
      </w:r>
    </w:p>
    <w:p>
      <w:pPr>
        <w:pStyle w:val="61"/>
        <w:numPr>
          <w:ilvl w:val="1"/>
          <w:numId w:val="5"/>
        </w:numPr>
        <w:spacing w:before="156" w:after="156"/>
        <w:rPr>
          <w:rFonts w:ascii="Times New Roman" w:hAnsi="Times New Roman"/>
        </w:rPr>
      </w:pPr>
      <w:bookmarkStart w:id="45" w:name="_Toc94101202"/>
      <w:r>
        <w:rPr>
          <w:rFonts w:hint="eastAsia" w:ascii="Times New Roman" w:hAnsi="Times New Roman"/>
        </w:rPr>
        <w:t>产业政策相符性分析</w:t>
      </w:r>
      <w:bookmarkEnd w:id="45"/>
    </w:p>
    <w:p>
      <w:pPr>
        <w:adjustRightInd w:val="0"/>
        <w:snapToGrid w:val="0"/>
        <w:spacing w:line="360" w:lineRule="auto"/>
        <w:ind w:firstLine="480" w:firstLineChars="200"/>
        <w:rPr>
          <w:sz w:val="24"/>
          <w:szCs w:val="28"/>
        </w:rPr>
      </w:pPr>
      <w:r>
        <w:rPr>
          <w:sz w:val="24"/>
          <w:szCs w:val="28"/>
        </w:rPr>
        <w:t>根据《产业结构调整指导目录（2019年本）》</w:t>
      </w:r>
      <w:r>
        <w:rPr>
          <w:rFonts w:hint="eastAsia"/>
          <w:sz w:val="24"/>
          <w:szCs w:val="28"/>
        </w:rPr>
        <w:t>，</w:t>
      </w:r>
      <w:r>
        <w:rPr>
          <w:sz w:val="24"/>
          <w:szCs w:val="28"/>
        </w:rPr>
        <w:t>本项目</w:t>
      </w:r>
      <w:r>
        <w:rPr>
          <w:rFonts w:hint="eastAsia"/>
          <w:sz w:val="24"/>
          <w:szCs w:val="28"/>
        </w:rPr>
        <w:t>为固化稳定化飞灰无害化处理工程，属于名录中第四十三“环境保护与资源节约综合利用”中 20“城镇垃圾、农村生活垃圾、农村生活污水、污泥及其他固体废弃物减量化、资源化、无害化处理和综合利用工程”项目，属于鼓励类项目。</w:t>
      </w:r>
      <w:r>
        <w:rPr>
          <w:sz w:val="24"/>
          <w:szCs w:val="28"/>
        </w:rPr>
        <w:t>不属于《河北省限制类和淘汰类产业目录（2015年版）》中限制类和淘汰类项目。</w:t>
      </w:r>
      <w:r>
        <w:rPr>
          <w:rFonts w:hint="eastAsia"/>
          <w:sz w:val="24"/>
          <w:szCs w:val="28"/>
        </w:rPr>
        <w:t>因此本项目符合国家及地方产业政策要求。</w:t>
      </w:r>
    </w:p>
    <w:bookmarkEnd w:id="43"/>
    <w:p>
      <w:pPr>
        <w:keepNext/>
        <w:keepLines/>
        <w:numPr>
          <w:ilvl w:val="1"/>
          <w:numId w:val="5"/>
        </w:numPr>
        <w:tabs>
          <w:tab w:val="left" w:pos="432"/>
          <w:tab w:val="left" w:pos="720"/>
        </w:tabs>
        <w:adjustRightInd w:val="0"/>
        <w:snapToGrid w:val="0"/>
        <w:spacing w:after="156" w:afterLines="50" w:line="360" w:lineRule="auto"/>
        <w:outlineLvl w:val="1"/>
        <w:rPr>
          <w:b/>
          <w:bCs/>
          <w:sz w:val="30"/>
          <w:szCs w:val="30"/>
        </w:rPr>
      </w:pPr>
      <w:bookmarkStart w:id="46" w:name="_Toc94101203"/>
      <w:r>
        <w:rPr>
          <w:rFonts w:hint="eastAsia"/>
          <w:b/>
          <w:bCs/>
          <w:sz w:val="30"/>
          <w:szCs w:val="30"/>
        </w:rPr>
        <w:t>规范、选址符合性分析</w:t>
      </w:r>
      <w:bookmarkEnd w:id="46"/>
    </w:p>
    <w:p>
      <w:pPr>
        <w:adjustRightInd w:val="0"/>
        <w:snapToGrid w:val="0"/>
        <w:spacing w:line="360" w:lineRule="auto"/>
        <w:ind w:firstLine="480" w:firstLineChars="200"/>
        <w:rPr>
          <w:sz w:val="24"/>
          <w:szCs w:val="24"/>
        </w:rPr>
      </w:pPr>
      <w:r>
        <w:rPr>
          <w:rFonts w:hint="eastAsia"/>
          <w:sz w:val="24"/>
          <w:szCs w:val="24"/>
        </w:rPr>
        <w:t>根据原环境保护部《关于生活垃圾焚烧灰渣填埋场工程环评执行标准有关意见的复函》（环函</w:t>
      </w:r>
      <w:r>
        <w:rPr>
          <w:sz w:val="24"/>
          <w:szCs w:val="24"/>
        </w:rPr>
        <w:t xml:space="preserve">[2014]72 </w:t>
      </w:r>
      <w:r>
        <w:rPr>
          <w:rFonts w:hint="eastAsia"/>
          <w:sz w:val="24"/>
          <w:szCs w:val="24"/>
        </w:rPr>
        <w:t>号，</w:t>
      </w:r>
      <w:r>
        <w:rPr>
          <w:sz w:val="24"/>
          <w:szCs w:val="24"/>
        </w:rPr>
        <w:t>2014</w:t>
      </w:r>
      <w:r>
        <w:rPr>
          <w:rFonts w:hint="eastAsia"/>
          <w:sz w:val="24"/>
          <w:szCs w:val="24"/>
        </w:rPr>
        <w:t>年</w:t>
      </w:r>
      <w:r>
        <w:rPr>
          <w:sz w:val="24"/>
          <w:szCs w:val="24"/>
        </w:rPr>
        <w:t>5</w:t>
      </w:r>
      <w:r>
        <w:rPr>
          <w:rFonts w:hint="eastAsia"/>
          <w:sz w:val="24"/>
          <w:szCs w:val="24"/>
        </w:rPr>
        <w:t>月</w:t>
      </w:r>
      <w:r>
        <w:rPr>
          <w:sz w:val="24"/>
          <w:szCs w:val="24"/>
        </w:rPr>
        <w:t>4</w:t>
      </w:r>
      <w:r>
        <w:rPr>
          <w:rFonts w:hint="eastAsia"/>
          <w:sz w:val="24"/>
          <w:szCs w:val="24"/>
        </w:rPr>
        <w:t>日），焚烧灰渣填埋场工程环境影响评价既可以执行《危险废物填埋污染控制标准》（</w:t>
      </w:r>
      <w:r>
        <w:rPr>
          <w:sz w:val="24"/>
          <w:szCs w:val="24"/>
        </w:rPr>
        <w:t>GB18598-2019</w:t>
      </w:r>
      <w:r>
        <w:rPr>
          <w:rFonts w:hint="eastAsia"/>
          <w:sz w:val="24"/>
          <w:szCs w:val="24"/>
        </w:rPr>
        <w:t>），也可以执行《生活垃圾填埋场污染控制标准》（</w:t>
      </w:r>
      <w:r>
        <w:rPr>
          <w:sz w:val="24"/>
          <w:szCs w:val="24"/>
        </w:rPr>
        <w:t>GB16889-2008</w:t>
      </w:r>
      <w:r>
        <w:rPr>
          <w:rFonts w:hint="eastAsia"/>
          <w:sz w:val="24"/>
          <w:szCs w:val="24"/>
        </w:rPr>
        <w:t>），但焚烧飞灰应满足上述两项标准中对应的环境监管和入场要求。</w:t>
      </w:r>
    </w:p>
    <w:p>
      <w:pPr>
        <w:adjustRightInd w:val="0"/>
        <w:snapToGrid w:val="0"/>
        <w:spacing w:line="360" w:lineRule="auto"/>
        <w:ind w:firstLine="480" w:firstLineChars="200"/>
        <w:rPr>
          <w:sz w:val="24"/>
          <w:szCs w:val="24"/>
        </w:rPr>
      </w:pPr>
      <w:r>
        <w:rPr>
          <w:rFonts w:hint="eastAsia"/>
          <w:sz w:val="24"/>
          <w:szCs w:val="24"/>
        </w:rPr>
        <w:t>本项目选址紧邻生活垃圾焚烧项目，运输距离较近。本项目填埋场按照《生活垃圾卫生填埋处理技术规范》</w:t>
      </w:r>
      <w:r>
        <w:rPr>
          <w:sz w:val="24"/>
          <w:szCs w:val="24"/>
        </w:rPr>
        <w:t>(GB50869-2013)</w:t>
      </w:r>
      <w:r>
        <w:rPr>
          <w:rFonts w:hint="eastAsia"/>
          <w:sz w:val="24"/>
          <w:szCs w:val="24"/>
        </w:rPr>
        <w:t>进行建设，填埋场区执行《生活垃圾填埋场污染控制标准》</w:t>
      </w:r>
      <w:r>
        <w:rPr>
          <w:sz w:val="24"/>
          <w:szCs w:val="24"/>
        </w:rPr>
        <w:t>(GB16889-2008)</w:t>
      </w:r>
      <w:r>
        <w:rPr>
          <w:rFonts w:hint="eastAsia"/>
          <w:sz w:val="24"/>
          <w:szCs w:val="24"/>
        </w:rPr>
        <w:t>的相关要求，同时执行《一般工业固体废物贮存和填埋污染控制标准》（GB18599-2020）Ⅱ类的选址要求。</w:t>
      </w:r>
    </w:p>
    <w:p>
      <w:pPr>
        <w:adjustRightInd w:val="0"/>
        <w:snapToGrid w:val="0"/>
        <w:spacing w:line="360" w:lineRule="auto"/>
        <w:ind w:firstLine="480" w:firstLineChars="200"/>
        <w:rPr>
          <w:sz w:val="24"/>
          <w:szCs w:val="24"/>
        </w:rPr>
      </w:pPr>
      <w:r>
        <w:rPr>
          <w:rFonts w:hint="eastAsia"/>
          <w:sz w:val="24"/>
          <w:szCs w:val="24"/>
        </w:rPr>
        <w:t>本项目固化飞灰填埋选址、填埋场区防渗、雨污分流、导流导排系统、污染物监测等方面的建设符合《危险废物填埋污染控制标准》和《生活垃圾填埋场污染控制标准》的要求，同时满足《一般工业固体废物贮存、处置场污染控制标准》Ⅱ类场建设规范要求。</w:t>
      </w:r>
    </w:p>
    <w:p>
      <w:pPr>
        <w:adjustRightInd w:val="0"/>
        <w:snapToGrid w:val="0"/>
        <w:spacing w:line="360" w:lineRule="auto"/>
        <w:ind w:firstLine="480" w:firstLineChars="200"/>
        <w:rPr>
          <w:sz w:val="24"/>
          <w:szCs w:val="24"/>
        </w:rPr>
      </w:pPr>
      <w:r>
        <w:rPr>
          <w:rFonts w:hint="eastAsia"/>
          <w:sz w:val="24"/>
          <w:szCs w:val="24"/>
        </w:rPr>
        <w:t>本项目与固化飞灰填埋场区相关规范、选址要求符合性分析如下：</w:t>
      </w:r>
    </w:p>
    <w:p>
      <w:pPr>
        <w:keepNext/>
        <w:keepLines/>
        <w:numPr>
          <w:ilvl w:val="2"/>
          <w:numId w:val="5"/>
        </w:numPr>
        <w:tabs>
          <w:tab w:val="left" w:pos="432"/>
          <w:tab w:val="left" w:pos="567"/>
        </w:tabs>
        <w:adjustRightInd w:val="0"/>
        <w:snapToGrid w:val="0"/>
        <w:spacing w:before="156" w:beforeLines="50" w:after="156" w:afterLines="50" w:line="360" w:lineRule="auto"/>
        <w:ind w:left="0" w:firstLine="0"/>
        <w:jc w:val="left"/>
        <w:outlineLvl w:val="2"/>
        <w:rPr>
          <w:b/>
          <w:bCs/>
          <w:snapToGrid w:val="0"/>
          <w:sz w:val="28"/>
          <w:szCs w:val="28"/>
        </w:rPr>
      </w:pPr>
      <w:r>
        <w:rPr>
          <w:rFonts w:hint="eastAsia"/>
          <w:b/>
          <w:bCs/>
          <w:snapToGrid w:val="0"/>
          <w:sz w:val="28"/>
          <w:szCs w:val="28"/>
        </w:rPr>
        <w:t>《生活垃圾填埋场污染控制标准》（</w:t>
      </w:r>
      <w:r>
        <w:rPr>
          <w:b/>
          <w:bCs/>
          <w:snapToGrid w:val="0"/>
          <w:sz w:val="28"/>
          <w:szCs w:val="28"/>
        </w:rPr>
        <w:t>GB16889-2008</w:t>
      </w:r>
      <w:r>
        <w:rPr>
          <w:rFonts w:hint="eastAsia"/>
          <w:b/>
          <w:bCs/>
          <w:snapToGrid w:val="0"/>
          <w:sz w:val="28"/>
          <w:szCs w:val="28"/>
        </w:rPr>
        <w:t>）符合性分析</w:t>
      </w:r>
    </w:p>
    <w:p>
      <w:pPr>
        <w:adjustRightInd w:val="0"/>
        <w:snapToGrid w:val="0"/>
        <w:spacing w:line="360" w:lineRule="auto"/>
        <w:ind w:firstLine="464" w:firstLineChars="200"/>
        <w:rPr>
          <w:spacing w:val="-4"/>
          <w:sz w:val="24"/>
          <w:szCs w:val="24"/>
        </w:rPr>
      </w:pPr>
      <w:r>
        <w:rPr>
          <w:rFonts w:hint="eastAsia"/>
          <w:spacing w:val="-4"/>
          <w:sz w:val="24"/>
          <w:szCs w:val="24"/>
        </w:rPr>
        <w:t>本项目与《生活垃圾填埋场污染控制标准》（</w:t>
      </w:r>
      <w:r>
        <w:rPr>
          <w:spacing w:val="-4"/>
          <w:sz w:val="24"/>
          <w:szCs w:val="24"/>
        </w:rPr>
        <w:t>GB16889-2008</w:t>
      </w:r>
      <w:r>
        <w:rPr>
          <w:rFonts w:hint="eastAsia"/>
          <w:spacing w:val="-4"/>
          <w:sz w:val="24"/>
          <w:szCs w:val="24"/>
        </w:rPr>
        <w:t>）要求相符性分析详见表2.9</w:t>
      </w:r>
      <w:r>
        <w:rPr>
          <w:spacing w:val="-4"/>
          <w:sz w:val="24"/>
          <w:szCs w:val="24"/>
        </w:rPr>
        <w:t>-1。</w:t>
      </w:r>
      <w:r>
        <w:rPr>
          <w:rFonts w:hint="eastAsia"/>
          <w:spacing w:val="-4"/>
          <w:sz w:val="24"/>
          <w:szCs w:val="24"/>
        </w:rPr>
        <w:t>由表可知，本项目的建设符合《生活垃圾填埋场污染控制标准》（</w:t>
      </w:r>
      <w:r>
        <w:rPr>
          <w:spacing w:val="-4"/>
          <w:sz w:val="24"/>
          <w:szCs w:val="24"/>
        </w:rPr>
        <w:t>GB16889-2008</w:t>
      </w:r>
      <w:r>
        <w:rPr>
          <w:rFonts w:hint="eastAsia"/>
          <w:spacing w:val="-4"/>
          <w:sz w:val="24"/>
          <w:szCs w:val="24"/>
        </w:rPr>
        <w:t>）要求。</w:t>
      </w:r>
    </w:p>
    <w:p>
      <w:pPr>
        <w:adjustRightInd w:val="0"/>
        <w:snapToGrid w:val="0"/>
        <w:spacing w:line="360" w:lineRule="auto"/>
        <w:jc w:val="center"/>
        <w:rPr>
          <w:b/>
          <w:sz w:val="24"/>
          <w:szCs w:val="24"/>
        </w:rPr>
      </w:pPr>
      <w:r>
        <w:rPr>
          <w:b/>
          <w:sz w:val="24"/>
          <w:szCs w:val="24"/>
        </w:rPr>
        <w:t>表</w:t>
      </w:r>
      <w:r>
        <w:rPr>
          <w:rFonts w:hint="eastAsia"/>
          <w:b/>
          <w:sz w:val="24"/>
          <w:szCs w:val="24"/>
        </w:rPr>
        <w:t>2.9</w:t>
      </w:r>
      <w:r>
        <w:rPr>
          <w:b/>
          <w:sz w:val="24"/>
          <w:szCs w:val="24"/>
        </w:rPr>
        <w:t>-1</w:t>
      </w:r>
      <w:r>
        <w:rPr>
          <w:rFonts w:hint="eastAsia"/>
          <w:b/>
          <w:spacing w:val="-4"/>
          <w:sz w:val="24"/>
          <w:szCs w:val="24"/>
        </w:rPr>
        <w:t>《生活垃圾填埋场污染控制标准》选址</w:t>
      </w:r>
      <w:r>
        <w:rPr>
          <w:b/>
          <w:sz w:val="24"/>
          <w:szCs w:val="24"/>
        </w:rPr>
        <w:t>要求相符性分析表</w:t>
      </w:r>
    </w:p>
    <w:tbl>
      <w:tblPr>
        <w:tblStyle w:val="39"/>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724"/>
        <w:gridCol w:w="3827"/>
        <w:gridCol w:w="3261"/>
        <w:gridCol w:w="52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551" w:type="dxa"/>
            <w:gridSpan w:val="2"/>
            <w:vAlign w:val="center"/>
          </w:tcPr>
          <w:p>
            <w:pPr>
              <w:adjustRightInd w:val="0"/>
              <w:snapToGrid w:val="0"/>
              <w:jc w:val="center"/>
              <w:rPr>
                <w:szCs w:val="21"/>
              </w:rPr>
            </w:pPr>
            <w:r>
              <w:rPr>
                <w:rFonts w:hint="eastAsia"/>
                <w:szCs w:val="21"/>
              </w:rPr>
              <w:t>文件</w:t>
            </w:r>
            <w:r>
              <w:rPr>
                <w:szCs w:val="21"/>
              </w:rPr>
              <w:t>要求</w:t>
            </w:r>
          </w:p>
        </w:tc>
        <w:tc>
          <w:tcPr>
            <w:tcW w:w="3261" w:type="dxa"/>
            <w:vAlign w:val="center"/>
          </w:tcPr>
          <w:p>
            <w:pPr>
              <w:adjustRightInd w:val="0"/>
              <w:snapToGrid w:val="0"/>
              <w:jc w:val="center"/>
              <w:rPr>
                <w:szCs w:val="21"/>
              </w:rPr>
            </w:pPr>
            <w:r>
              <w:rPr>
                <w:szCs w:val="21"/>
              </w:rPr>
              <w:t>本项目选址情况</w:t>
            </w:r>
          </w:p>
        </w:tc>
        <w:tc>
          <w:tcPr>
            <w:tcW w:w="524" w:type="dxa"/>
            <w:vAlign w:val="center"/>
          </w:tcPr>
          <w:p>
            <w:pPr>
              <w:adjustRightInd w:val="0"/>
              <w:snapToGrid w:val="0"/>
              <w:jc w:val="center"/>
              <w:rPr>
                <w:szCs w:val="21"/>
              </w:rPr>
            </w:pPr>
            <w:r>
              <w:rPr>
                <w:szCs w:val="21"/>
              </w:rPr>
              <w:t>是否符合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restart"/>
            <w:vAlign w:val="center"/>
          </w:tcPr>
          <w:p>
            <w:pPr>
              <w:adjustRightInd w:val="0"/>
              <w:snapToGrid w:val="0"/>
              <w:jc w:val="center"/>
              <w:rPr>
                <w:szCs w:val="21"/>
              </w:rPr>
            </w:pPr>
            <w:r>
              <w:rPr>
                <w:rFonts w:hint="eastAsia"/>
                <w:szCs w:val="21"/>
              </w:rPr>
              <w:t>选址要求</w:t>
            </w:r>
          </w:p>
        </w:tc>
        <w:tc>
          <w:tcPr>
            <w:tcW w:w="3827" w:type="dxa"/>
            <w:vAlign w:val="center"/>
          </w:tcPr>
          <w:p>
            <w:pPr>
              <w:adjustRightInd w:val="0"/>
              <w:snapToGrid w:val="0"/>
              <w:jc w:val="left"/>
              <w:rPr>
                <w:szCs w:val="21"/>
              </w:rPr>
            </w:pPr>
            <w:r>
              <w:rPr>
                <w:szCs w:val="21"/>
              </w:rPr>
              <w:t>选址应符合区域性环境规划、环境卫生设施建设规划和当地的城市规划。</w:t>
            </w:r>
          </w:p>
        </w:tc>
        <w:tc>
          <w:tcPr>
            <w:tcW w:w="3261" w:type="dxa"/>
            <w:vAlign w:val="center"/>
          </w:tcPr>
          <w:p>
            <w:pPr>
              <w:adjustRightInd w:val="0"/>
              <w:snapToGrid w:val="0"/>
              <w:jc w:val="left"/>
              <w:rPr>
                <w:szCs w:val="21"/>
              </w:rPr>
            </w:pPr>
            <w:r>
              <w:rPr>
                <w:szCs w:val="21"/>
              </w:rPr>
              <w:t>本项目</w:t>
            </w:r>
            <w:r>
              <w:rPr>
                <w:rFonts w:hint="eastAsia"/>
                <w:szCs w:val="21"/>
              </w:rPr>
              <w:t>场址</w:t>
            </w:r>
            <w:r>
              <w:rPr>
                <w:szCs w:val="21"/>
              </w:rPr>
              <w:t>符合</w:t>
            </w:r>
            <w:r>
              <w:rPr>
                <w:rFonts w:hint="eastAsia"/>
                <w:szCs w:val="21"/>
              </w:rPr>
              <w:t>区域性环境规划、环境卫生设施建设规划和当地的城市规划。</w:t>
            </w:r>
          </w:p>
        </w:tc>
        <w:tc>
          <w:tcPr>
            <w:tcW w:w="524" w:type="dxa"/>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continue"/>
            <w:vAlign w:val="center"/>
          </w:tcPr>
          <w:p>
            <w:pPr>
              <w:adjustRightInd w:val="0"/>
              <w:snapToGrid w:val="0"/>
              <w:jc w:val="center"/>
              <w:rPr>
                <w:szCs w:val="21"/>
              </w:rPr>
            </w:pPr>
          </w:p>
        </w:tc>
        <w:tc>
          <w:tcPr>
            <w:tcW w:w="3827" w:type="dxa"/>
            <w:vAlign w:val="center"/>
          </w:tcPr>
          <w:p>
            <w:pPr>
              <w:adjustRightInd w:val="0"/>
              <w:snapToGrid w:val="0"/>
              <w:jc w:val="left"/>
              <w:rPr>
                <w:szCs w:val="21"/>
              </w:rPr>
            </w:pPr>
            <w:r>
              <w:rPr>
                <w:szCs w:val="21"/>
              </w:rPr>
              <w:t>场址不应选在城市工农业发展规划区、农业保护区、自然保护区、风景名胜区、文物（考古）保护区、生活饮用水水源保护区、供水远景规划区、矿产资源储备区、军事要地、国家保密地区和其他需要特别保护的区域内。</w:t>
            </w:r>
          </w:p>
        </w:tc>
        <w:tc>
          <w:tcPr>
            <w:tcW w:w="3261" w:type="dxa"/>
            <w:vAlign w:val="center"/>
          </w:tcPr>
          <w:p>
            <w:pPr>
              <w:adjustRightInd w:val="0"/>
              <w:snapToGrid w:val="0"/>
              <w:jc w:val="left"/>
              <w:rPr>
                <w:szCs w:val="21"/>
              </w:rPr>
            </w:pPr>
            <w:r>
              <w:rPr>
                <w:szCs w:val="21"/>
              </w:rPr>
              <w:t>本项目选址不在</w:t>
            </w:r>
            <w:r>
              <w:rPr>
                <w:rFonts w:hint="eastAsia"/>
                <w:szCs w:val="21"/>
              </w:rPr>
              <w:t>上述</w:t>
            </w:r>
            <w:r>
              <w:rPr>
                <w:szCs w:val="21"/>
              </w:rPr>
              <w:t>需要特别保护的区域内。</w:t>
            </w:r>
          </w:p>
        </w:tc>
        <w:tc>
          <w:tcPr>
            <w:tcW w:w="524" w:type="dxa"/>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continue"/>
            <w:vAlign w:val="center"/>
          </w:tcPr>
          <w:p>
            <w:pPr>
              <w:adjustRightInd w:val="0"/>
              <w:snapToGrid w:val="0"/>
              <w:jc w:val="center"/>
              <w:rPr>
                <w:szCs w:val="21"/>
              </w:rPr>
            </w:pPr>
          </w:p>
        </w:tc>
        <w:tc>
          <w:tcPr>
            <w:tcW w:w="3827" w:type="dxa"/>
            <w:vAlign w:val="center"/>
          </w:tcPr>
          <w:p>
            <w:pPr>
              <w:adjustRightInd w:val="0"/>
              <w:snapToGrid w:val="0"/>
              <w:jc w:val="left"/>
              <w:rPr>
                <w:szCs w:val="21"/>
              </w:rPr>
            </w:pPr>
            <w:r>
              <w:rPr>
                <w:spacing w:val="-2"/>
                <w:kern w:val="0"/>
                <w:szCs w:val="21"/>
              </w:rPr>
              <w:t>选址的标高应位于重现期不小于</w:t>
            </w:r>
            <w:r>
              <w:rPr>
                <w:spacing w:val="-53"/>
                <w:kern w:val="0"/>
                <w:szCs w:val="21"/>
              </w:rPr>
              <w:t xml:space="preserve"> </w:t>
            </w:r>
            <w:r>
              <w:rPr>
                <w:kern w:val="0"/>
                <w:szCs w:val="21"/>
              </w:rPr>
              <w:t>50</w:t>
            </w:r>
            <w:r>
              <w:rPr>
                <w:spacing w:val="21"/>
                <w:kern w:val="0"/>
                <w:szCs w:val="21"/>
              </w:rPr>
              <w:t xml:space="preserve"> </w:t>
            </w:r>
            <w:r>
              <w:rPr>
                <w:spacing w:val="-2"/>
                <w:kern w:val="0"/>
                <w:szCs w:val="21"/>
              </w:rPr>
              <w:t>年一遇的洪水位之上，并建设在长远</w:t>
            </w:r>
            <w:r>
              <w:rPr>
                <w:spacing w:val="29"/>
                <w:kern w:val="0"/>
                <w:szCs w:val="21"/>
              </w:rPr>
              <w:t xml:space="preserve"> </w:t>
            </w:r>
            <w:r>
              <w:rPr>
                <w:spacing w:val="-2"/>
                <w:kern w:val="0"/>
                <w:szCs w:val="21"/>
              </w:rPr>
              <w:t>规划中的水库等人工蓄水设施的淹没</w:t>
            </w:r>
            <w:r>
              <w:rPr>
                <w:spacing w:val="29"/>
                <w:kern w:val="0"/>
                <w:szCs w:val="21"/>
              </w:rPr>
              <w:t xml:space="preserve"> </w:t>
            </w:r>
            <w:r>
              <w:rPr>
                <w:spacing w:val="-1"/>
                <w:kern w:val="0"/>
                <w:szCs w:val="21"/>
              </w:rPr>
              <w:t>区和保护区之外</w:t>
            </w:r>
            <w:r>
              <w:rPr>
                <w:rFonts w:hint="eastAsia"/>
                <w:spacing w:val="-1"/>
                <w:kern w:val="0"/>
                <w:szCs w:val="21"/>
              </w:rPr>
              <w:t>。</w:t>
            </w:r>
          </w:p>
        </w:tc>
        <w:tc>
          <w:tcPr>
            <w:tcW w:w="3261" w:type="dxa"/>
            <w:vAlign w:val="center"/>
          </w:tcPr>
          <w:p>
            <w:pPr>
              <w:kinsoku w:val="0"/>
              <w:overflowPunct w:val="0"/>
              <w:autoSpaceDE w:val="0"/>
              <w:autoSpaceDN w:val="0"/>
              <w:adjustRightInd w:val="0"/>
              <w:snapToGrid w:val="0"/>
              <w:jc w:val="left"/>
              <w:rPr>
                <w:szCs w:val="21"/>
              </w:rPr>
            </w:pPr>
            <w:r>
              <w:rPr>
                <w:spacing w:val="-2"/>
                <w:kern w:val="0"/>
                <w:szCs w:val="21"/>
              </w:rPr>
              <w:t>本项目选址的标高位于重现期不小于</w:t>
            </w:r>
            <w:r>
              <w:rPr>
                <w:spacing w:val="-52"/>
                <w:kern w:val="0"/>
                <w:szCs w:val="21"/>
              </w:rPr>
              <w:t xml:space="preserve"> </w:t>
            </w:r>
            <w:r>
              <w:rPr>
                <w:kern w:val="0"/>
                <w:szCs w:val="21"/>
              </w:rPr>
              <w:t>50</w:t>
            </w:r>
            <w:r>
              <w:rPr>
                <w:spacing w:val="-3"/>
                <w:kern w:val="0"/>
                <w:szCs w:val="21"/>
              </w:rPr>
              <w:t xml:space="preserve"> </w:t>
            </w:r>
            <w:r>
              <w:rPr>
                <w:spacing w:val="-2"/>
                <w:kern w:val="0"/>
                <w:szCs w:val="21"/>
              </w:rPr>
              <w:t>年一遇的洪水位之上，项目不在淹没区和保</w:t>
            </w:r>
            <w:r>
              <w:rPr>
                <w:spacing w:val="-1"/>
                <w:kern w:val="0"/>
                <w:szCs w:val="21"/>
              </w:rPr>
              <w:t>护区内。</w:t>
            </w:r>
          </w:p>
        </w:tc>
        <w:tc>
          <w:tcPr>
            <w:tcW w:w="524" w:type="dxa"/>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continue"/>
            <w:vAlign w:val="center"/>
          </w:tcPr>
          <w:p>
            <w:pPr>
              <w:adjustRightInd w:val="0"/>
              <w:snapToGrid w:val="0"/>
              <w:jc w:val="center"/>
              <w:rPr>
                <w:szCs w:val="21"/>
              </w:rPr>
            </w:pPr>
          </w:p>
        </w:tc>
        <w:tc>
          <w:tcPr>
            <w:tcW w:w="3827" w:type="dxa"/>
            <w:vAlign w:val="center"/>
          </w:tcPr>
          <w:p>
            <w:pPr>
              <w:adjustRightInd w:val="0"/>
              <w:snapToGrid w:val="0"/>
              <w:jc w:val="left"/>
              <w:rPr>
                <w:szCs w:val="21"/>
              </w:rPr>
            </w:pPr>
            <w:r>
              <w:rPr>
                <w:szCs w:val="21"/>
              </w:rPr>
              <w:t>场址的选择应避开以下区域：破坏性地震及活动构造区；活动中的坍塌、滑坡和隆起地带，活动中的断裂带；石灰岩溶洞发育带；废弃矿区的活动塌陷区；活动沙丘区；海啸及涌浪影响区；湿地；尚未稳定的冲积扇及冲沟地区；泥炭及其他可能危及填埋场安全区域</w:t>
            </w:r>
            <w:r>
              <w:rPr>
                <w:rFonts w:hint="eastAsia"/>
                <w:szCs w:val="21"/>
              </w:rPr>
              <w:t>。</w:t>
            </w:r>
          </w:p>
        </w:tc>
        <w:tc>
          <w:tcPr>
            <w:tcW w:w="3261" w:type="dxa"/>
            <w:vAlign w:val="center"/>
          </w:tcPr>
          <w:p>
            <w:pPr>
              <w:adjustRightInd w:val="0"/>
              <w:snapToGrid w:val="0"/>
              <w:jc w:val="left"/>
              <w:rPr>
                <w:szCs w:val="21"/>
              </w:rPr>
            </w:pPr>
            <w:r>
              <w:rPr>
                <w:szCs w:val="21"/>
              </w:rPr>
              <w:t>拟建项目选址不在上述区域</w:t>
            </w:r>
            <w:r>
              <w:rPr>
                <w:rFonts w:hint="eastAsia"/>
                <w:szCs w:val="21"/>
              </w:rPr>
              <w:t>内</w:t>
            </w:r>
          </w:p>
        </w:tc>
        <w:tc>
          <w:tcPr>
            <w:tcW w:w="524" w:type="dxa"/>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continue"/>
            <w:vAlign w:val="center"/>
          </w:tcPr>
          <w:p>
            <w:pPr>
              <w:adjustRightInd w:val="0"/>
              <w:snapToGrid w:val="0"/>
              <w:jc w:val="center"/>
              <w:rPr>
                <w:szCs w:val="21"/>
              </w:rPr>
            </w:pPr>
          </w:p>
        </w:tc>
        <w:tc>
          <w:tcPr>
            <w:tcW w:w="3827" w:type="dxa"/>
            <w:vAlign w:val="center"/>
          </w:tcPr>
          <w:p>
            <w:pPr>
              <w:adjustRightInd w:val="0"/>
              <w:snapToGrid w:val="0"/>
              <w:jc w:val="left"/>
              <w:rPr>
                <w:szCs w:val="21"/>
              </w:rPr>
            </w:pPr>
            <w:r>
              <w:rPr>
                <w:szCs w:val="21"/>
              </w:rPr>
              <w:t>场址的位置及与周围人群的距离应根据环境影响评价结论确定；根据其所在地区的环境功能区类别，综合评价其对周围环境、居住人群的身体健康、日常生活和生产活动的影响，确定生活垃圾填埋场与常住居民居住场所、地表水域、高速公路、交通主干道（国道或省道）、铁路、飞机场、军事基地等敏感对象之间合理的位置关系以及合理的防护距离，环境影响评价的结论可作为规划控制的依据</w:t>
            </w:r>
          </w:p>
        </w:tc>
        <w:tc>
          <w:tcPr>
            <w:tcW w:w="3261" w:type="dxa"/>
            <w:vAlign w:val="center"/>
          </w:tcPr>
          <w:p>
            <w:pPr>
              <w:adjustRightInd w:val="0"/>
              <w:snapToGrid w:val="0"/>
              <w:jc w:val="left"/>
              <w:rPr>
                <w:szCs w:val="21"/>
              </w:rPr>
            </w:pPr>
            <w:r>
              <w:rPr>
                <w:szCs w:val="21"/>
              </w:rPr>
              <w:t>项目属于生活垃圾焚烧发电厂的配套工程，项目卫生防护距离为300m，本项目周边300m单位内无无居民区、学校、医院及对环境要求较高的企业等环境敏感点</w:t>
            </w:r>
          </w:p>
        </w:tc>
        <w:tc>
          <w:tcPr>
            <w:tcW w:w="524" w:type="dxa"/>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restart"/>
            <w:vAlign w:val="center"/>
          </w:tcPr>
          <w:p>
            <w:pPr>
              <w:adjustRightInd w:val="0"/>
              <w:snapToGrid w:val="0"/>
              <w:jc w:val="center"/>
              <w:rPr>
                <w:szCs w:val="21"/>
              </w:rPr>
            </w:pPr>
            <w:r>
              <w:rPr>
                <w:rFonts w:hint="eastAsia"/>
                <w:szCs w:val="21"/>
              </w:rPr>
              <w:t>填埋物 入场要 求</w:t>
            </w:r>
          </w:p>
        </w:tc>
        <w:tc>
          <w:tcPr>
            <w:tcW w:w="3827" w:type="dxa"/>
            <w:vAlign w:val="center"/>
          </w:tcPr>
          <w:p>
            <w:pPr>
              <w:adjustRightInd w:val="0"/>
              <w:snapToGrid w:val="0"/>
              <w:jc w:val="left"/>
              <w:rPr>
                <w:szCs w:val="21"/>
              </w:rPr>
            </w:pPr>
            <w:r>
              <w:rPr>
                <w:rFonts w:hint="eastAsia"/>
                <w:szCs w:val="21"/>
              </w:rPr>
              <w:t>生活垃圾焚烧飞灰和医疗废物焚烧残渣（包括飞灰、底渣）经处理后满足下列条件，可以进入生活垃圾填埋场填埋处置。（</w:t>
            </w:r>
            <w:r>
              <w:rPr>
                <w:szCs w:val="21"/>
              </w:rPr>
              <w:t>1</w:t>
            </w:r>
            <w:r>
              <w:rPr>
                <w:rFonts w:hint="eastAsia"/>
                <w:szCs w:val="21"/>
              </w:rPr>
              <w:t>）含水率小于</w:t>
            </w:r>
            <w:r>
              <w:rPr>
                <w:szCs w:val="21"/>
              </w:rPr>
              <w:t>30%</w:t>
            </w:r>
            <w:r>
              <w:rPr>
                <w:rFonts w:hint="eastAsia"/>
                <w:szCs w:val="21"/>
              </w:rPr>
              <w:t>；（</w:t>
            </w:r>
            <w:r>
              <w:rPr>
                <w:szCs w:val="21"/>
              </w:rPr>
              <w:t>2</w:t>
            </w:r>
            <w:r>
              <w:rPr>
                <w:rFonts w:hint="eastAsia"/>
                <w:szCs w:val="21"/>
              </w:rPr>
              <w:t>）二噁英含量低于</w:t>
            </w:r>
            <w:r>
              <w:rPr>
                <w:szCs w:val="21"/>
              </w:rPr>
              <w:t>3</w:t>
            </w:r>
            <w:r>
              <w:rPr>
                <w:rFonts w:hint="eastAsia"/>
                <w:szCs w:val="21"/>
              </w:rPr>
              <w:t>μ</w:t>
            </w:r>
            <w:r>
              <w:rPr>
                <w:szCs w:val="21"/>
              </w:rPr>
              <w:t>gTEQ/Kg</w:t>
            </w:r>
            <w:r>
              <w:rPr>
                <w:rFonts w:hint="eastAsia"/>
                <w:szCs w:val="21"/>
              </w:rPr>
              <w:t>；（</w:t>
            </w:r>
            <w:r>
              <w:rPr>
                <w:szCs w:val="21"/>
              </w:rPr>
              <w:t>3</w:t>
            </w:r>
            <w:r>
              <w:rPr>
                <w:rFonts w:hint="eastAsia"/>
                <w:szCs w:val="21"/>
              </w:rPr>
              <w:t>）按照</w:t>
            </w:r>
            <w:r>
              <w:rPr>
                <w:szCs w:val="21"/>
              </w:rPr>
              <w:t>HJ/T 300</w:t>
            </w:r>
            <w:r>
              <w:rPr>
                <w:rFonts w:hint="eastAsia"/>
                <w:szCs w:val="21"/>
              </w:rPr>
              <w:t>制备的浸出液中危害成分浓度低于表</w:t>
            </w:r>
            <w:r>
              <w:rPr>
                <w:szCs w:val="21"/>
              </w:rPr>
              <w:t>1</w:t>
            </w:r>
            <w:r>
              <w:rPr>
                <w:rFonts w:hint="eastAsia"/>
                <w:szCs w:val="21"/>
              </w:rPr>
              <w:t>规定的限值。</w:t>
            </w:r>
          </w:p>
        </w:tc>
        <w:tc>
          <w:tcPr>
            <w:tcW w:w="3261" w:type="dxa"/>
          </w:tcPr>
          <w:p>
            <w:pPr>
              <w:adjustRightInd w:val="0"/>
              <w:snapToGrid w:val="0"/>
              <w:jc w:val="left"/>
              <w:rPr>
                <w:szCs w:val="21"/>
              </w:rPr>
            </w:pPr>
            <w:r>
              <w:rPr>
                <w:rFonts w:hint="eastAsia"/>
                <w:szCs w:val="21"/>
              </w:rPr>
              <w:t>飞灰入场前，建设单位必须提供固化</w:t>
            </w:r>
            <w:r>
              <w:rPr>
                <w:szCs w:val="21"/>
              </w:rPr>
              <w:t>/</w:t>
            </w:r>
            <w:r>
              <w:rPr>
                <w:rFonts w:hint="eastAsia"/>
                <w:szCs w:val="21"/>
              </w:rPr>
              <w:t>稳定化后的飞灰成分检测报告，符合相关入场标准要求后才能进场填埋。</w:t>
            </w:r>
          </w:p>
        </w:tc>
        <w:tc>
          <w:tcPr>
            <w:tcW w:w="524" w:type="dxa"/>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24" w:type="dxa"/>
            <w:vMerge w:val="continue"/>
            <w:vAlign w:val="center"/>
          </w:tcPr>
          <w:p>
            <w:pPr>
              <w:adjustRightInd w:val="0"/>
              <w:snapToGrid w:val="0"/>
              <w:jc w:val="center"/>
              <w:rPr>
                <w:szCs w:val="21"/>
              </w:rPr>
            </w:pPr>
          </w:p>
        </w:tc>
        <w:tc>
          <w:tcPr>
            <w:tcW w:w="3827" w:type="dxa"/>
          </w:tcPr>
          <w:p>
            <w:pPr>
              <w:adjustRightInd w:val="0"/>
              <w:snapToGrid w:val="0"/>
              <w:jc w:val="left"/>
              <w:rPr>
                <w:szCs w:val="21"/>
              </w:rPr>
            </w:pPr>
            <w:r>
              <w:rPr>
                <w:rFonts w:hint="eastAsia"/>
                <w:szCs w:val="21"/>
              </w:rPr>
              <w:t>经处理后满足要求的生活垃圾焚烧飞灰、医疗废物焚烧残渣（包括飞灰和底渣）在生活垃圾填埋场中应单独分区填埋。</w:t>
            </w:r>
          </w:p>
        </w:tc>
        <w:tc>
          <w:tcPr>
            <w:tcW w:w="3261" w:type="dxa"/>
          </w:tcPr>
          <w:p>
            <w:pPr>
              <w:adjustRightInd w:val="0"/>
              <w:snapToGrid w:val="0"/>
              <w:jc w:val="left"/>
              <w:rPr>
                <w:szCs w:val="21"/>
              </w:rPr>
            </w:pPr>
            <w:r>
              <w:rPr>
                <w:rFonts w:hint="eastAsia"/>
                <w:szCs w:val="21"/>
              </w:rPr>
              <w:t>本项目飞灰填埋场有自己的独立填埋库</w:t>
            </w:r>
          </w:p>
        </w:tc>
        <w:tc>
          <w:tcPr>
            <w:tcW w:w="524" w:type="dxa"/>
            <w:vAlign w:val="center"/>
          </w:tcPr>
          <w:p>
            <w:pPr>
              <w:adjustRightInd w:val="0"/>
              <w:snapToGrid w:val="0"/>
              <w:jc w:val="center"/>
              <w:rPr>
                <w:szCs w:val="21"/>
              </w:rPr>
            </w:pPr>
            <w:r>
              <w:rPr>
                <w:szCs w:val="21"/>
              </w:rPr>
              <w:t>符合</w:t>
            </w:r>
          </w:p>
        </w:tc>
      </w:tr>
    </w:tbl>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与《生活垃圾卫生填埋处理技术规范》（</w:t>
      </w:r>
      <w:r>
        <w:rPr>
          <w:rFonts w:ascii="Times New Roman" w:hAnsi="Times New Roman"/>
        </w:rPr>
        <w:t>GB50869-2013</w:t>
      </w:r>
      <w:r>
        <w:rPr>
          <w:rFonts w:hint="eastAsia" w:ascii="Times New Roman" w:hAnsi="Times New Roman"/>
        </w:rPr>
        <w:t>）相符性分析</w:t>
      </w:r>
    </w:p>
    <w:p>
      <w:pPr>
        <w:adjustRightInd w:val="0"/>
        <w:snapToGrid w:val="0"/>
        <w:spacing w:line="360" w:lineRule="auto"/>
        <w:ind w:firstLine="464" w:firstLineChars="200"/>
        <w:rPr>
          <w:spacing w:val="-4"/>
          <w:sz w:val="24"/>
          <w:szCs w:val="24"/>
        </w:rPr>
      </w:pPr>
      <w:r>
        <w:rPr>
          <w:rFonts w:hint="eastAsia"/>
          <w:spacing w:val="-4"/>
          <w:sz w:val="24"/>
          <w:szCs w:val="24"/>
        </w:rPr>
        <w:t>本项目与《生活垃圾卫生填埋处理技术规范》（</w:t>
      </w:r>
      <w:r>
        <w:rPr>
          <w:spacing w:val="-4"/>
          <w:sz w:val="24"/>
          <w:szCs w:val="24"/>
        </w:rPr>
        <w:t>GB50869-2013</w:t>
      </w:r>
      <w:r>
        <w:rPr>
          <w:rFonts w:hint="eastAsia"/>
          <w:spacing w:val="-4"/>
          <w:sz w:val="24"/>
          <w:szCs w:val="24"/>
        </w:rPr>
        <w:t>）相符性分析详见表</w:t>
      </w:r>
      <w:r>
        <w:rPr>
          <w:spacing w:val="-4"/>
          <w:sz w:val="24"/>
          <w:szCs w:val="24"/>
        </w:rPr>
        <w:t>2.9-2</w:t>
      </w:r>
      <w:r>
        <w:rPr>
          <w:rFonts w:hint="eastAsia"/>
          <w:spacing w:val="-4"/>
          <w:sz w:val="24"/>
          <w:szCs w:val="24"/>
        </w:rPr>
        <w:t>。由表可知，本项目场址符合生活垃圾卫生填埋处理技术规范》（</w:t>
      </w:r>
      <w:r>
        <w:rPr>
          <w:spacing w:val="-4"/>
          <w:sz w:val="24"/>
          <w:szCs w:val="24"/>
        </w:rPr>
        <w:t>GB50869-2013</w:t>
      </w:r>
      <w:r>
        <w:rPr>
          <w:rFonts w:hint="eastAsia"/>
          <w:spacing w:val="-4"/>
          <w:sz w:val="24"/>
          <w:szCs w:val="24"/>
        </w:rPr>
        <w:t>）中的相关要求。</w:t>
      </w:r>
    </w:p>
    <w:p>
      <w:pPr>
        <w:adjustRightInd w:val="0"/>
        <w:snapToGrid w:val="0"/>
        <w:spacing w:line="360" w:lineRule="auto"/>
        <w:jc w:val="center"/>
        <w:rPr>
          <w:b/>
          <w:sz w:val="24"/>
          <w:szCs w:val="24"/>
        </w:rPr>
      </w:pPr>
      <w:r>
        <w:rPr>
          <w:rFonts w:hint="eastAsia"/>
          <w:b/>
          <w:sz w:val="24"/>
          <w:szCs w:val="24"/>
        </w:rPr>
        <w:t>表</w:t>
      </w:r>
      <w:r>
        <w:rPr>
          <w:b/>
          <w:bCs/>
          <w:sz w:val="24"/>
          <w:szCs w:val="24"/>
        </w:rPr>
        <w:t xml:space="preserve">2.9-2 </w:t>
      </w:r>
      <w:r>
        <w:rPr>
          <w:rFonts w:hint="eastAsia"/>
          <w:b/>
          <w:sz w:val="24"/>
          <w:szCs w:val="24"/>
        </w:rPr>
        <w:t>本项目选址与</w:t>
      </w:r>
      <w:r>
        <w:rPr>
          <w:b/>
          <w:bCs/>
          <w:sz w:val="24"/>
          <w:szCs w:val="24"/>
        </w:rPr>
        <w:t>GB50869-2013</w:t>
      </w:r>
      <w:r>
        <w:rPr>
          <w:rFonts w:hint="eastAsia"/>
          <w:b/>
          <w:sz w:val="24"/>
          <w:szCs w:val="24"/>
        </w:rPr>
        <w:t>要求相符性分析</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724"/>
        <w:gridCol w:w="3544"/>
        <w:gridCol w:w="3306"/>
        <w:gridCol w:w="76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2560" w:type="pct"/>
            <w:gridSpan w:val="2"/>
            <w:vAlign w:val="center"/>
          </w:tcPr>
          <w:p>
            <w:pPr>
              <w:adjustRightInd w:val="0"/>
              <w:snapToGrid w:val="0"/>
              <w:jc w:val="center"/>
              <w:rPr>
                <w:szCs w:val="21"/>
              </w:rPr>
            </w:pPr>
            <w:r>
              <w:rPr>
                <w:rFonts w:hint="eastAsia"/>
                <w:szCs w:val="21"/>
              </w:rPr>
              <w:t>文件要求</w:t>
            </w:r>
          </w:p>
        </w:tc>
        <w:tc>
          <w:tcPr>
            <w:tcW w:w="1983" w:type="pct"/>
            <w:vAlign w:val="center"/>
          </w:tcPr>
          <w:p>
            <w:pPr>
              <w:adjustRightInd w:val="0"/>
              <w:snapToGrid w:val="0"/>
              <w:jc w:val="center"/>
              <w:rPr>
                <w:szCs w:val="21"/>
              </w:rPr>
            </w:pPr>
            <w:r>
              <w:rPr>
                <w:rFonts w:hint="eastAsia"/>
                <w:szCs w:val="21"/>
              </w:rPr>
              <w:t>本项目情况</w:t>
            </w:r>
          </w:p>
        </w:tc>
        <w:tc>
          <w:tcPr>
            <w:tcW w:w="457" w:type="pct"/>
            <w:vAlign w:val="center"/>
          </w:tcPr>
          <w:p>
            <w:pPr>
              <w:adjustRightInd w:val="0"/>
              <w:snapToGrid w:val="0"/>
              <w:jc w:val="center"/>
              <w:rPr>
                <w:szCs w:val="21"/>
              </w:rPr>
            </w:pPr>
            <w:r>
              <w:rPr>
                <w:rFonts w:hint="eastAsia"/>
                <w:szCs w:val="21"/>
              </w:rPr>
              <w:t>是否符合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restart"/>
            <w:vAlign w:val="center"/>
          </w:tcPr>
          <w:p>
            <w:pPr>
              <w:adjustRightInd w:val="0"/>
              <w:snapToGrid w:val="0"/>
              <w:jc w:val="center"/>
              <w:rPr>
                <w:szCs w:val="21"/>
              </w:rPr>
            </w:pPr>
            <w:r>
              <w:rPr>
                <w:rFonts w:hint="eastAsia"/>
                <w:szCs w:val="21"/>
              </w:rPr>
              <w:t>场址选择要求</w:t>
            </w:r>
          </w:p>
        </w:tc>
        <w:tc>
          <w:tcPr>
            <w:tcW w:w="2126" w:type="pct"/>
            <w:vAlign w:val="center"/>
          </w:tcPr>
          <w:p>
            <w:pPr>
              <w:adjustRightInd w:val="0"/>
              <w:snapToGrid w:val="0"/>
              <w:rPr>
                <w:szCs w:val="21"/>
              </w:rPr>
            </w:pPr>
            <w:r>
              <w:rPr>
                <w:rFonts w:hint="eastAsia"/>
                <w:szCs w:val="21"/>
              </w:rPr>
              <w:t>选址不应选在地下水集中供水水源地及补给区，水源保护区。</w:t>
            </w:r>
          </w:p>
        </w:tc>
        <w:tc>
          <w:tcPr>
            <w:tcW w:w="1983" w:type="pct"/>
            <w:vAlign w:val="center"/>
          </w:tcPr>
          <w:p>
            <w:pPr>
              <w:adjustRightInd w:val="0"/>
              <w:snapToGrid w:val="0"/>
              <w:rPr>
                <w:szCs w:val="21"/>
              </w:rPr>
            </w:pPr>
            <w:r>
              <w:rPr>
                <w:rFonts w:hint="eastAsia"/>
                <w:szCs w:val="21"/>
              </w:rPr>
              <w:t>本项目选址不在地下水集中供水水源地及补给区，水源保护区内</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选址不应选在泛洪区和泄洪道。</w:t>
            </w:r>
          </w:p>
        </w:tc>
        <w:tc>
          <w:tcPr>
            <w:tcW w:w="1983" w:type="pct"/>
            <w:vAlign w:val="center"/>
          </w:tcPr>
          <w:p>
            <w:pPr>
              <w:adjustRightInd w:val="0"/>
              <w:snapToGrid w:val="0"/>
              <w:rPr>
                <w:szCs w:val="21"/>
              </w:rPr>
            </w:pPr>
            <w:r>
              <w:rPr>
                <w:rFonts w:hint="eastAsia"/>
                <w:szCs w:val="21"/>
              </w:rPr>
              <w:t>本项目选址不在泛洪区和泄洪道区域。</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场址不应选在填埋库区与渗滤液处理区边界距河流和湖泊</w:t>
            </w:r>
            <w:r>
              <w:rPr>
                <w:szCs w:val="21"/>
              </w:rPr>
              <w:t>50m</w:t>
            </w:r>
            <w:r>
              <w:rPr>
                <w:rFonts w:hint="eastAsia"/>
                <w:szCs w:val="21"/>
              </w:rPr>
              <w:t>以内的地区。</w:t>
            </w:r>
          </w:p>
        </w:tc>
        <w:tc>
          <w:tcPr>
            <w:tcW w:w="1983" w:type="pct"/>
            <w:vAlign w:val="center"/>
          </w:tcPr>
          <w:p>
            <w:pPr>
              <w:adjustRightInd w:val="0"/>
              <w:snapToGrid w:val="0"/>
              <w:rPr>
                <w:szCs w:val="21"/>
              </w:rPr>
            </w:pPr>
            <w:r>
              <w:rPr>
                <w:rFonts w:hint="eastAsia"/>
                <w:szCs w:val="21"/>
              </w:rPr>
              <w:t>本项目场界周围</w:t>
            </w:r>
            <w:r>
              <w:rPr>
                <w:szCs w:val="21"/>
              </w:rPr>
              <w:t xml:space="preserve"> 50m </w:t>
            </w:r>
            <w:r>
              <w:rPr>
                <w:rFonts w:hint="eastAsia"/>
                <w:szCs w:val="21"/>
              </w:rPr>
              <w:t>内无河流和湖泊。</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场址不应选在填埋库区与渗滤液处理区边界距民用机场</w:t>
            </w:r>
            <w:r>
              <w:rPr>
                <w:szCs w:val="21"/>
              </w:rPr>
              <w:t>3km</w:t>
            </w:r>
            <w:r>
              <w:rPr>
                <w:rFonts w:hint="eastAsia"/>
                <w:szCs w:val="21"/>
              </w:rPr>
              <w:t>以内的地区。</w:t>
            </w:r>
          </w:p>
        </w:tc>
        <w:tc>
          <w:tcPr>
            <w:tcW w:w="1983" w:type="pct"/>
            <w:vAlign w:val="center"/>
          </w:tcPr>
          <w:p>
            <w:pPr>
              <w:adjustRightInd w:val="0"/>
              <w:snapToGrid w:val="0"/>
              <w:rPr>
                <w:szCs w:val="21"/>
              </w:rPr>
            </w:pPr>
            <w:r>
              <w:rPr>
                <w:rFonts w:hint="eastAsia"/>
                <w:szCs w:val="21"/>
              </w:rPr>
              <w:t>本项目场界周围</w:t>
            </w:r>
            <w:r>
              <w:rPr>
                <w:szCs w:val="21"/>
              </w:rPr>
              <w:t xml:space="preserve"> 3km </w:t>
            </w:r>
            <w:r>
              <w:rPr>
                <w:rFonts w:hint="eastAsia"/>
                <w:szCs w:val="21"/>
              </w:rPr>
              <w:t>内无民用机场。</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场址不应选在尚未开采的地下蕴矿区</w:t>
            </w:r>
          </w:p>
        </w:tc>
        <w:tc>
          <w:tcPr>
            <w:tcW w:w="1983" w:type="pct"/>
            <w:vAlign w:val="center"/>
          </w:tcPr>
          <w:p>
            <w:pPr>
              <w:adjustRightInd w:val="0"/>
              <w:snapToGrid w:val="0"/>
              <w:rPr>
                <w:szCs w:val="21"/>
              </w:rPr>
            </w:pPr>
            <w:r>
              <w:rPr>
                <w:rFonts w:hint="eastAsia"/>
                <w:szCs w:val="21"/>
              </w:rPr>
              <w:t>本项目选址范围内未压覆重要矿产资源</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场址不应选在珍贵动植物保护区和国家、地方自然保护区。</w:t>
            </w:r>
          </w:p>
        </w:tc>
        <w:tc>
          <w:tcPr>
            <w:tcW w:w="1983" w:type="pct"/>
            <w:vAlign w:val="center"/>
          </w:tcPr>
          <w:p>
            <w:pPr>
              <w:adjustRightInd w:val="0"/>
              <w:snapToGrid w:val="0"/>
              <w:rPr>
                <w:szCs w:val="21"/>
              </w:rPr>
            </w:pPr>
            <w:r>
              <w:rPr>
                <w:rFonts w:hint="eastAsia"/>
                <w:szCs w:val="21"/>
              </w:rPr>
              <w:t>本项目选址不在珍贵动植物保护区和国家、地方自然保护区内。</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场址不应选在公园、风景游览区、文物古迹区、考古学、历史学、生物学研究考察区</w:t>
            </w:r>
          </w:p>
        </w:tc>
        <w:tc>
          <w:tcPr>
            <w:tcW w:w="1983" w:type="pct"/>
            <w:vAlign w:val="center"/>
          </w:tcPr>
          <w:p>
            <w:pPr>
              <w:adjustRightInd w:val="0"/>
              <w:snapToGrid w:val="0"/>
              <w:rPr>
                <w:szCs w:val="21"/>
              </w:rPr>
            </w:pPr>
            <w:r>
              <w:rPr>
                <w:rFonts w:hint="eastAsia"/>
                <w:szCs w:val="21"/>
              </w:rPr>
              <w:t>本项目场址不在公园、风景游览区、文物古迹区、考古学、历史学、生物学研究考察区内</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场址不应选在军事要地、军工基地和国家保密地区</w:t>
            </w:r>
          </w:p>
        </w:tc>
        <w:tc>
          <w:tcPr>
            <w:tcW w:w="1983" w:type="pct"/>
            <w:vAlign w:val="center"/>
          </w:tcPr>
          <w:p>
            <w:pPr>
              <w:adjustRightInd w:val="0"/>
              <w:snapToGrid w:val="0"/>
              <w:rPr>
                <w:szCs w:val="21"/>
              </w:rPr>
            </w:pPr>
            <w:r>
              <w:rPr>
                <w:rFonts w:hint="eastAsia"/>
                <w:szCs w:val="21"/>
              </w:rPr>
              <w:t>本项目场址不在军事要地、军工基地和国家保密地区内</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选址应符合</w:t>
            </w:r>
            <w:r>
              <w:rPr>
                <w:szCs w:val="21"/>
              </w:rPr>
              <w:t>GB16889-2008</w:t>
            </w:r>
            <w:r>
              <w:rPr>
                <w:rFonts w:hint="eastAsia"/>
                <w:szCs w:val="21"/>
              </w:rPr>
              <w:t>中选址要求</w:t>
            </w:r>
          </w:p>
        </w:tc>
        <w:tc>
          <w:tcPr>
            <w:tcW w:w="1983" w:type="pct"/>
            <w:vAlign w:val="center"/>
          </w:tcPr>
          <w:p>
            <w:pPr>
              <w:adjustRightInd w:val="0"/>
              <w:snapToGrid w:val="0"/>
              <w:rPr>
                <w:szCs w:val="21"/>
              </w:rPr>
            </w:pPr>
            <w:r>
              <w:rPr>
                <w:rFonts w:hint="eastAsia"/>
                <w:szCs w:val="21"/>
              </w:rPr>
              <w:t>本项目选址符合</w:t>
            </w:r>
            <w:r>
              <w:rPr>
                <w:szCs w:val="21"/>
              </w:rPr>
              <w:t>GB16889-2008</w:t>
            </w:r>
            <w:r>
              <w:rPr>
                <w:rFonts w:hint="eastAsia"/>
                <w:szCs w:val="21"/>
              </w:rPr>
              <w:t>中选址要求</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应与当地城市总体规划和城市环境卫生专业规划协调一致</w:t>
            </w:r>
          </w:p>
        </w:tc>
        <w:tc>
          <w:tcPr>
            <w:tcW w:w="1983" w:type="pct"/>
            <w:vAlign w:val="center"/>
          </w:tcPr>
          <w:p>
            <w:pPr>
              <w:adjustRightInd w:val="0"/>
              <w:snapToGrid w:val="0"/>
              <w:rPr>
                <w:szCs w:val="21"/>
              </w:rPr>
            </w:pPr>
            <w:r>
              <w:rPr>
                <w:rFonts w:hint="eastAsia"/>
                <w:szCs w:val="21"/>
              </w:rPr>
              <w:t>本项目与当地城市总体规划协调一致</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应与当地的大气防护、水土资源保护、大自然保护及生态平衡要求相一致</w:t>
            </w:r>
          </w:p>
        </w:tc>
        <w:tc>
          <w:tcPr>
            <w:tcW w:w="1983" w:type="pct"/>
            <w:vAlign w:val="center"/>
          </w:tcPr>
          <w:p>
            <w:pPr>
              <w:adjustRightInd w:val="0"/>
              <w:snapToGrid w:val="0"/>
              <w:rPr>
                <w:szCs w:val="21"/>
              </w:rPr>
            </w:pPr>
            <w:r>
              <w:rPr>
                <w:rFonts w:hint="eastAsia"/>
                <w:szCs w:val="21"/>
              </w:rPr>
              <w:t>本项目拟设置</w:t>
            </w:r>
            <w:r>
              <w:rPr>
                <w:szCs w:val="21"/>
              </w:rPr>
              <w:t xml:space="preserve"> 300m </w:t>
            </w:r>
            <w:r>
              <w:rPr>
                <w:rFonts w:hint="eastAsia"/>
                <w:szCs w:val="21"/>
              </w:rPr>
              <w:t>的卫生防护距离，项目与水土资源保护、大自然</w:t>
            </w:r>
            <w:r>
              <w:rPr>
                <w:szCs w:val="21"/>
              </w:rPr>
              <w:t xml:space="preserve"> </w:t>
            </w:r>
            <w:r>
              <w:rPr>
                <w:rFonts w:hint="eastAsia"/>
                <w:szCs w:val="21"/>
              </w:rPr>
              <w:t>保护及生态平衡要求相一致。</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应交通方便、运距合理</w:t>
            </w:r>
          </w:p>
        </w:tc>
        <w:tc>
          <w:tcPr>
            <w:tcW w:w="1983" w:type="pct"/>
            <w:vAlign w:val="center"/>
          </w:tcPr>
          <w:p>
            <w:pPr>
              <w:adjustRightInd w:val="0"/>
              <w:snapToGrid w:val="0"/>
              <w:rPr>
                <w:szCs w:val="21"/>
              </w:rPr>
            </w:pPr>
            <w:r>
              <w:rPr>
                <w:rFonts w:hint="eastAsia"/>
                <w:szCs w:val="21"/>
              </w:rPr>
              <w:t>本项目接收围场县生活垃圾焚烧发电项目固化飞灰，项目紧邻焚烧发电厂，交通方便，运距合理。</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应人口密度、土地利用价值及征地费用均较低</w:t>
            </w:r>
          </w:p>
        </w:tc>
        <w:tc>
          <w:tcPr>
            <w:tcW w:w="1983" w:type="pct"/>
            <w:vAlign w:val="center"/>
          </w:tcPr>
          <w:p>
            <w:pPr>
              <w:adjustRightInd w:val="0"/>
              <w:snapToGrid w:val="0"/>
              <w:rPr>
                <w:szCs w:val="21"/>
              </w:rPr>
            </w:pPr>
            <w:r>
              <w:rPr>
                <w:rFonts w:hint="eastAsia"/>
                <w:szCs w:val="21"/>
              </w:rPr>
              <w:t>本项目所在区域人口密度、土地利用价值及征地费用均较低。</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应位于地下水贫乏地区、环境保护目标区域的地下水流向下游地区及夏季主导风向下风向</w:t>
            </w:r>
          </w:p>
        </w:tc>
        <w:tc>
          <w:tcPr>
            <w:tcW w:w="1983" w:type="pct"/>
            <w:vAlign w:val="center"/>
          </w:tcPr>
          <w:p>
            <w:pPr>
              <w:adjustRightInd w:val="0"/>
              <w:snapToGrid w:val="0"/>
              <w:rPr>
                <w:szCs w:val="21"/>
              </w:rPr>
            </w:pPr>
            <w:r>
              <w:rPr>
                <w:rFonts w:hint="eastAsia"/>
                <w:szCs w:val="21"/>
              </w:rPr>
              <w:t>据场区工程地质勘查结果，场区内含水层富水性中等。</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Merge w:val="continue"/>
            <w:vAlign w:val="center"/>
          </w:tcPr>
          <w:p>
            <w:pPr>
              <w:adjustRightInd w:val="0"/>
              <w:snapToGrid w:val="0"/>
              <w:jc w:val="center"/>
              <w:rPr>
                <w:szCs w:val="21"/>
              </w:rPr>
            </w:pPr>
          </w:p>
        </w:tc>
        <w:tc>
          <w:tcPr>
            <w:tcW w:w="2126" w:type="pct"/>
            <w:vAlign w:val="center"/>
          </w:tcPr>
          <w:p>
            <w:pPr>
              <w:adjustRightInd w:val="0"/>
              <w:snapToGrid w:val="0"/>
              <w:rPr>
                <w:szCs w:val="21"/>
              </w:rPr>
            </w:pPr>
            <w:r>
              <w:rPr>
                <w:rFonts w:hint="eastAsia"/>
                <w:szCs w:val="21"/>
              </w:rPr>
              <w:t>选址应由建设项目所在地的建设、规划、环保、环卫、国土资源、水利、卫生监督等有关部门和专业设计单位的有关专业技术人员参加</w:t>
            </w:r>
          </w:p>
        </w:tc>
        <w:tc>
          <w:tcPr>
            <w:tcW w:w="1983" w:type="pct"/>
            <w:vAlign w:val="center"/>
          </w:tcPr>
          <w:p>
            <w:pPr>
              <w:adjustRightInd w:val="0"/>
              <w:snapToGrid w:val="0"/>
              <w:rPr>
                <w:szCs w:val="21"/>
              </w:rPr>
            </w:pPr>
            <w:r>
              <w:rPr>
                <w:rFonts w:hint="eastAsia"/>
                <w:szCs w:val="21"/>
              </w:rPr>
              <w:t>本项目选址用地经过相关单位论证，已获得批准。</w:t>
            </w:r>
          </w:p>
        </w:tc>
        <w:tc>
          <w:tcPr>
            <w:tcW w:w="457" w:type="pct"/>
            <w:vAlign w:val="center"/>
          </w:tcPr>
          <w:p>
            <w:pPr>
              <w:adjustRightInd w:val="0"/>
              <w:snapToGrid w:val="0"/>
              <w:jc w:val="center"/>
              <w:rPr>
                <w:szCs w:val="21"/>
              </w:rPr>
            </w:pPr>
            <w:r>
              <w:rPr>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434" w:type="pct"/>
            <w:vAlign w:val="center"/>
          </w:tcPr>
          <w:p>
            <w:pPr>
              <w:adjustRightInd w:val="0"/>
              <w:snapToGrid w:val="0"/>
              <w:jc w:val="center"/>
              <w:rPr>
                <w:szCs w:val="21"/>
              </w:rPr>
            </w:pPr>
            <w:r>
              <w:rPr>
                <w:rFonts w:hint="eastAsia"/>
                <w:szCs w:val="21"/>
              </w:rPr>
              <w:t>填埋物入场技术要求</w:t>
            </w:r>
          </w:p>
        </w:tc>
        <w:tc>
          <w:tcPr>
            <w:tcW w:w="2126" w:type="pct"/>
            <w:vAlign w:val="center"/>
          </w:tcPr>
          <w:p>
            <w:pPr>
              <w:adjustRightInd w:val="0"/>
              <w:snapToGrid w:val="0"/>
              <w:rPr>
                <w:szCs w:val="21"/>
              </w:rPr>
            </w:pPr>
            <w:r>
              <w:rPr>
                <w:rFonts w:hint="eastAsia"/>
                <w:szCs w:val="21"/>
              </w:rPr>
              <w:t>生活垃圾焚烧飞灰和医疗废物焚烧残渣经处理后满足现行国家标准《生活垃圾填埋场污染控制标准》（</w:t>
            </w:r>
            <w:r>
              <w:rPr>
                <w:szCs w:val="21"/>
              </w:rPr>
              <w:t>GB16889-2008</w:t>
            </w:r>
            <w:r>
              <w:rPr>
                <w:rFonts w:hint="eastAsia"/>
                <w:szCs w:val="21"/>
              </w:rPr>
              <w:t>）规定的条件，可进入生活垃圾填埋场填埋处理，处置时应设置与生活填埋库区有效分割的独立填埋库区。</w:t>
            </w:r>
          </w:p>
        </w:tc>
        <w:tc>
          <w:tcPr>
            <w:tcW w:w="1983" w:type="pct"/>
            <w:vAlign w:val="center"/>
          </w:tcPr>
          <w:p>
            <w:pPr>
              <w:adjustRightInd w:val="0"/>
              <w:snapToGrid w:val="0"/>
              <w:rPr>
                <w:szCs w:val="21"/>
              </w:rPr>
            </w:pPr>
            <w:r>
              <w:rPr>
                <w:rFonts w:hint="eastAsia"/>
                <w:szCs w:val="21"/>
              </w:rPr>
              <w:t>本项目固化稳定化飞灰满足《生活垃圾填埋场污染控制标准》（</w:t>
            </w:r>
            <w:r>
              <w:rPr>
                <w:szCs w:val="21"/>
              </w:rPr>
              <w:t>GB16889-2008</w:t>
            </w:r>
            <w:r>
              <w:rPr>
                <w:rFonts w:hint="eastAsia"/>
                <w:szCs w:val="21"/>
              </w:rPr>
              <w:t>）规定的条件，本项目飞灰填埋场有自己的独立填埋库区。</w:t>
            </w:r>
          </w:p>
        </w:tc>
        <w:tc>
          <w:tcPr>
            <w:tcW w:w="457" w:type="pct"/>
            <w:vAlign w:val="center"/>
          </w:tcPr>
          <w:p>
            <w:pPr>
              <w:adjustRightInd w:val="0"/>
              <w:snapToGrid w:val="0"/>
              <w:jc w:val="center"/>
              <w:rPr>
                <w:szCs w:val="21"/>
              </w:rPr>
            </w:pPr>
            <w:r>
              <w:rPr>
                <w:szCs w:val="21"/>
              </w:rPr>
              <w:t>符合</w:t>
            </w:r>
          </w:p>
        </w:tc>
      </w:tr>
    </w:tbl>
    <w:p>
      <w:pPr>
        <w:adjustRightInd w:val="0"/>
        <w:snapToGrid w:val="0"/>
        <w:spacing w:line="360" w:lineRule="auto"/>
        <w:jc w:val="center"/>
        <w:rPr>
          <w:b/>
          <w:sz w:val="24"/>
          <w:szCs w:val="24"/>
        </w:rPr>
      </w:pP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与《生活垃圾卫生填埋处理工程项目建设标准》（建标</w:t>
      </w:r>
      <w:r>
        <w:rPr>
          <w:rFonts w:ascii="Times New Roman" w:hAnsi="Times New Roman"/>
        </w:rPr>
        <w:t>[2009]51</w:t>
      </w:r>
      <w:r>
        <w:rPr>
          <w:rFonts w:hint="eastAsia" w:ascii="Times New Roman" w:hAnsi="Times New Roman"/>
        </w:rPr>
        <w:t>号）相符性分析</w:t>
      </w:r>
    </w:p>
    <w:p>
      <w:pPr>
        <w:adjustRightInd w:val="0"/>
        <w:snapToGrid w:val="0"/>
        <w:spacing w:line="360" w:lineRule="auto"/>
        <w:ind w:firstLine="464" w:firstLineChars="200"/>
        <w:rPr>
          <w:spacing w:val="-4"/>
          <w:sz w:val="24"/>
          <w:szCs w:val="24"/>
        </w:rPr>
      </w:pPr>
      <w:r>
        <w:rPr>
          <w:rFonts w:hint="eastAsia"/>
          <w:spacing w:val="-4"/>
          <w:sz w:val="24"/>
          <w:szCs w:val="24"/>
        </w:rPr>
        <w:t>本项目与《生活垃圾卫生填埋处理工程项目建设标准》（建标</w:t>
      </w:r>
      <w:r>
        <w:rPr>
          <w:spacing w:val="-4"/>
          <w:sz w:val="24"/>
          <w:szCs w:val="24"/>
        </w:rPr>
        <w:t>[2009]51</w:t>
      </w:r>
      <w:r>
        <w:rPr>
          <w:rFonts w:hint="eastAsia"/>
          <w:spacing w:val="-4"/>
          <w:sz w:val="24"/>
          <w:szCs w:val="24"/>
        </w:rPr>
        <w:t>号）相符性分析详见表</w:t>
      </w:r>
      <w:r>
        <w:rPr>
          <w:spacing w:val="-4"/>
          <w:sz w:val="24"/>
          <w:szCs w:val="24"/>
        </w:rPr>
        <w:t>2.9-3</w:t>
      </w:r>
      <w:r>
        <w:rPr>
          <w:rFonts w:hint="eastAsia"/>
          <w:spacing w:val="-4"/>
          <w:sz w:val="24"/>
          <w:szCs w:val="24"/>
        </w:rPr>
        <w:t>。</w:t>
      </w:r>
    </w:p>
    <w:p>
      <w:pPr>
        <w:pStyle w:val="2"/>
      </w:pPr>
    </w:p>
    <w:p>
      <w:pPr>
        <w:pStyle w:val="5"/>
        <w:rPr>
          <w:color w:val="auto"/>
        </w:rPr>
      </w:pPr>
    </w:p>
    <w:p>
      <w:pPr>
        <w:adjustRightInd w:val="0"/>
        <w:snapToGrid w:val="0"/>
        <w:spacing w:line="360" w:lineRule="auto"/>
        <w:jc w:val="center"/>
        <w:rPr>
          <w:b/>
          <w:sz w:val="24"/>
          <w:szCs w:val="24"/>
        </w:rPr>
      </w:pPr>
      <w:r>
        <w:rPr>
          <w:rFonts w:hint="eastAsia"/>
          <w:b/>
          <w:sz w:val="24"/>
          <w:szCs w:val="24"/>
        </w:rPr>
        <w:t>表</w:t>
      </w:r>
      <w:r>
        <w:rPr>
          <w:b/>
          <w:bCs/>
          <w:sz w:val="24"/>
          <w:szCs w:val="24"/>
        </w:rPr>
        <w:t xml:space="preserve">2.9-3 </w:t>
      </w:r>
      <w:r>
        <w:rPr>
          <w:rFonts w:hint="eastAsia"/>
          <w:b/>
          <w:sz w:val="24"/>
          <w:szCs w:val="24"/>
        </w:rPr>
        <w:t>本项目选址与</w:t>
      </w:r>
      <w:r>
        <w:rPr>
          <w:rFonts w:hint="eastAsia"/>
          <w:b/>
          <w:bCs/>
          <w:sz w:val="24"/>
          <w:szCs w:val="24"/>
        </w:rPr>
        <w:t>建标[2009]51号</w:t>
      </w:r>
      <w:r>
        <w:rPr>
          <w:rFonts w:hint="eastAsia"/>
          <w:b/>
          <w:sz w:val="24"/>
          <w:szCs w:val="24"/>
        </w:rPr>
        <w:t>要求相符性分析</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582"/>
        <w:gridCol w:w="3506"/>
        <w:gridCol w:w="3486"/>
        <w:gridCol w:w="76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452" w:type="pct"/>
            <w:gridSpan w:val="2"/>
            <w:vAlign w:val="center"/>
          </w:tcPr>
          <w:p>
            <w:pPr>
              <w:jc w:val="center"/>
            </w:pPr>
            <w:r>
              <w:rPr>
                <w:rFonts w:hint="eastAsia"/>
              </w:rPr>
              <w:t>标准要求</w:t>
            </w:r>
          </w:p>
        </w:tc>
        <w:tc>
          <w:tcPr>
            <w:tcW w:w="2091" w:type="pct"/>
            <w:vAlign w:val="center"/>
          </w:tcPr>
          <w:p>
            <w:pPr>
              <w:jc w:val="center"/>
            </w:pPr>
            <w:r>
              <w:rPr>
                <w:rFonts w:hint="eastAsia"/>
              </w:rPr>
              <w:t>本项目情况</w:t>
            </w:r>
          </w:p>
        </w:tc>
        <w:tc>
          <w:tcPr>
            <w:tcW w:w="457" w:type="pct"/>
            <w:vAlign w:val="center"/>
          </w:tcPr>
          <w:p>
            <w:pPr>
              <w:jc w:val="center"/>
            </w:pPr>
            <w:r>
              <w:rPr>
                <w:rFonts w:hint="eastAsia"/>
              </w:rPr>
              <w:t>是否符合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restart"/>
            <w:vAlign w:val="center"/>
          </w:tcPr>
          <w:p>
            <w:pPr>
              <w:jc w:val="center"/>
            </w:pPr>
            <w:r>
              <w:rPr>
                <w:rFonts w:hint="eastAsia"/>
              </w:rPr>
              <w:t>选址要求</w:t>
            </w:r>
          </w:p>
        </w:tc>
        <w:tc>
          <w:tcPr>
            <w:tcW w:w="2103" w:type="pct"/>
            <w:vAlign w:val="center"/>
          </w:tcPr>
          <w:p>
            <w:pPr>
              <w:jc w:val="center"/>
            </w:pPr>
            <w:r>
              <w:rPr>
                <w:rFonts w:hint="eastAsia"/>
              </w:rPr>
              <w:t>应符合区域性环境规划、环境卫生设施建设规划和当地的城市规划及相关规划，以及现行国家标准规范的规定。</w:t>
            </w:r>
          </w:p>
        </w:tc>
        <w:tc>
          <w:tcPr>
            <w:tcW w:w="2091" w:type="pct"/>
            <w:vAlign w:val="center"/>
          </w:tcPr>
          <w:p>
            <w:pPr>
              <w:jc w:val="center"/>
            </w:pPr>
            <w:r>
              <w:rPr>
                <w:rFonts w:hint="eastAsia"/>
              </w:rPr>
              <w:t>本项目选址符合当地城市总体规划要求及《生活垃圾填埋场污染控制标准》（</w:t>
            </w:r>
            <w:r>
              <w:t>GB16889-2008</w:t>
            </w:r>
            <w:r>
              <w:rPr>
                <w:rFonts w:hint="eastAsia"/>
              </w:rPr>
              <w:t>）等国家标准规定。</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应综合考虑地理位置、地形、地貌、工程与水文地质、地质灾害等条件对周围环境、工程建设投资、运行成本和运输费用的影响，经过多方案比选后确定</w:t>
            </w:r>
          </w:p>
        </w:tc>
        <w:tc>
          <w:tcPr>
            <w:tcW w:w="2091" w:type="pct"/>
            <w:vAlign w:val="center"/>
          </w:tcPr>
          <w:p>
            <w:pPr>
              <w:jc w:val="center"/>
            </w:pPr>
            <w:r>
              <w:rPr>
                <w:rFonts w:hint="eastAsia"/>
              </w:rPr>
              <w:t>本项目选址充分论证，考虑了地理位置、地形、地貌、工程与水文地质、地质灾害等条件对周围环境、工程建设投资、运行成本和运输费用的影响。</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符合环境保护的要求</w:t>
            </w:r>
          </w:p>
        </w:tc>
        <w:tc>
          <w:tcPr>
            <w:tcW w:w="2091" w:type="pct"/>
            <w:vAlign w:val="center"/>
          </w:tcPr>
          <w:p>
            <w:pPr>
              <w:jc w:val="center"/>
            </w:pPr>
            <w:r>
              <w:rPr>
                <w:rFonts w:hint="eastAsia"/>
              </w:rPr>
              <w:t>项目采取报告中建议的废水、废气、噪声及固废防治措施后，对周边环境影响不大，符合环境保护要求</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应充分利用天然地形，以增大填埋库区容量，使用年限应达到相关要求</w:t>
            </w:r>
          </w:p>
        </w:tc>
        <w:tc>
          <w:tcPr>
            <w:tcW w:w="2091" w:type="pct"/>
            <w:vAlign w:val="center"/>
          </w:tcPr>
          <w:p>
            <w:pPr>
              <w:jc w:val="center"/>
            </w:pPr>
            <w:r>
              <w:rPr>
                <w:rFonts w:hint="eastAsia"/>
              </w:rPr>
              <w:t>本项目已充分利用天然地形以增大填埋库区容量。使用年限3</w:t>
            </w:r>
            <w:r>
              <w:t>0</w:t>
            </w:r>
            <w:r>
              <w:rPr>
                <w:rFonts w:hint="eastAsia"/>
              </w:rPr>
              <w:t>年</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交通方便，运距合理</w:t>
            </w:r>
          </w:p>
        </w:tc>
        <w:tc>
          <w:tcPr>
            <w:tcW w:w="2091" w:type="pct"/>
            <w:vAlign w:val="center"/>
          </w:tcPr>
          <w:p>
            <w:pPr>
              <w:jc w:val="center"/>
            </w:pPr>
            <w:r>
              <w:rPr>
                <w:rFonts w:hint="eastAsia"/>
              </w:rPr>
              <w:t>项目距离焚烧厂较近，交通便利，运输距离短</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征地费用较低，施工较方便；人口密度较低、土地利用价值较低</w:t>
            </w:r>
          </w:p>
        </w:tc>
        <w:tc>
          <w:tcPr>
            <w:tcW w:w="2091" w:type="pct"/>
            <w:vAlign w:val="center"/>
          </w:tcPr>
          <w:p>
            <w:pPr>
              <w:jc w:val="center"/>
            </w:pPr>
            <w:r>
              <w:rPr>
                <w:rFonts w:hint="eastAsia"/>
              </w:rPr>
              <w:t>本项目选址，施工较方便；人口密度较低、土地利用价值较低。</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位于夏季主导风下风向，具体环境保护距离应根据环境影响评价报告结论确定</w:t>
            </w:r>
          </w:p>
        </w:tc>
        <w:tc>
          <w:tcPr>
            <w:tcW w:w="2091" w:type="pct"/>
            <w:vAlign w:val="center"/>
          </w:tcPr>
          <w:p>
            <w:pPr>
              <w:jc w:val="center"/>
            </w:pPr>
            <w:r>
              <w:rPr>
                <w:rFonts w:hint="eastAsia"/>
              </w:rPr>
              <w:t>本项目环境保护距离为厂界外延</w:t>
            </w:r>
            <w:r>
              <w:t>0m</w:t>
            </w:r>
            <w:r>
              <w:rPr>
                <w:rFonts w:hint="eastAsia"/>
              </w:rPr>
              <w:t>。周边无环境敏感点</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349" w:type="pct"/>
            <w:vMerge w:val="continue"/>
            <w:vAlign w:val="center"/>
          </w:tcPr>
          <w:p>
            <w:pPr>
              <w:jc w:val="center"/>
            </w:pPr>
          </w:p>
        </w:tc>
        <w:tc>
          <w:tcPr>
            <w:tcW w:w="2103" w:type="pct"/>
            <w:vAlign w:val="center"/>
          </w:tcPr>
          <w:p>
            <w:pPr>
              <w:jc w:val="center"/>
            </w:pPr>
            <w:r>
              <w:rPr>
                <w:rFonts w:hint="eastAsia"/>
              </w:rPr>
              <w:t>远离水源，尽量设在地下水流向的下游地区</w:t>
            </w:r>
          </w:p>
        </w:tc>
        <w:tc>
          <w:tcPr>
            <w:tcW w:w="2091" w:type="pct"/>
            <w:vAlign w:val="center"/>
          </w:tcPr>
          <w:p>
            <w:pPr>
              <w:jc w:val="center"/>
            </w:pPr>
            <w:r>
              <w:rPr>
                <w:rFonts w:hint="eastAsia"/>
              </w:rPr>
              <w:t>项目位于地下水贫乏地区，其富水性及导水性能中等</w:t>
            </w:r>
          </w:p>
        </w:tc>
        <w:tc>
          <w:tcPr>
            <w:tcW w:w="457" w:type="pct"/>
            <w:vAlign w:val="center"/>
          </w:tcPr>
          <w:p>
            <w:pPr>
              <w:jc w:val="center"/>
            </w:pPr>
            <w:r>
              <w:t>符合</w:t>
            </w:r>
          </w:p>
        </w:tc>
      </w:tr>
    </w:tbl>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与《生活垃圾处理技术指南》（建城</w:t>
      </w:r>
      <w:r>
        <w:rPr>
          <w:rFonts w:ascii="Times New Roman" w:hAnsi="Times New Roman"/>
        </w:rPr>
        <w:t>[2010]61</w:t>
      </w:r>
      <w:r>
        <w:rPr>
          <w:rFonts w:hint="eastAsia" w:ascii="Times New Roman" w:hAnsi="Times New Roman"/>
        </w:rPr>
        <w:t>号）相符性分析</w:t>
      </w:r>
    </w:p>
    <w:p>
      <w:pPr>
        <w:adjustRightInd w:val="0"/>
        <w:snapToGrid w:val="0"/>
        <w:spacing w:line="360" w:lineRule="auto"/>
        <w:ind w:firstLine="464" w:firstLineChars="200"/>
        <w:rPr>
          <w:spacing w:val="-4"/>
          <w:sz w:val="24"/>
          <w:szCs w:val="24"/>
        </w:rPr>
      </w:pPr>
      <w:r>
        <w:rPr>
          <w:rFonts w:hint="eastAsia"/>
          <w:spacing w:val="-4"/>
          <w:sz w:val="24"/>
          <w:szCs w:val="24"/>
        </w:rPr>
        <w:t>本项目与《生活垃圾处理技术指南》（建城</w:t>
      </w:r>
      <w:r>
        <w:rPr>
          <w:spacing w:val="-4"/>
          <w:sz w:val="24"/>
          <w:szCs w:val="24"/>
        </w:rPr>
        <w:t>[2010]61</w:t>
      </w:r>
      <w:r>
        <w:rPr>
          <w:rFonts w:hint="eastAsia"/>
          <w:spacing w:val="-4"/>
          <w:sz w:val="24"/>
          <w:szCs w:val="24"/>
        </w:rPr>
        <w:t>号）文件要求基本相符，详见表</w:t>
      </w:r>
      <w:r>
        <w:rPr>
          <w:spacing w:val="-4"/>
          <w:sz w:val="24"/>
          <w:szCs w:val="24"/>
        </w:rPr>
        <w:t>2.6-3</w:t>
      </w:r>
      <w:r>
        <w:rPr>
          <w:rFonts w:hint="eastAsia"/>
          <w:spacing w:val="-4"/>
          <w:sz w:val="24"/>
          <w:szCs w:val="24"/>
        </w:rPr>
        <w:t>。</w:t>
      </w:r>
    </w:p>
    <w:p>
      <w:pPr>
        <w:adjustRightInd w:val="0"/>
        <w:snapToGrid w:val="0"/>
        <w:spacing w:line="360" w:lineRule="auto"/>
        <w:jc w:val="center"/>
        <w:rPr>
          <w:b/>
          <w:sz w:val="24"/>
          <w:szCs w:val="24"/>
        </w:rPr>
      </w:pPr>
      <w:r>
        <w:rPr>
          <w:rFonts w:hint="eastAsia"/>
          <w:b/>
          <w:sz w:val="24"/>
          <w:szCs w:val="24"/>
        </w:rPr>
        <w:t>表</w:t>
      </w:r>
      <w:r>
        <w:rPr>
          <w:b/>
          <w:bCs/>
          <w:sz w:val="24"/>
          <w:szCs w:val="24"/>
        </w:rPr>
        <w:t>2.6-3</w:t>
      </w:r>
      <w:r>
        <w:rPr>
          <w:rFonts w:hint="eastAsia"/>
          <w:b/>
          <w:sz w:val="24"/>
          <w:szCs w:val="24"/>
        </w:rPr>
        <w:t>本项目与《生活垃圾处理技术指南》相符性分析</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582"/>
        <w:gridCol w:w="3823"/>
        <w:gridCol w:w="3169"/>
        <w:gridCol w:w="76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2642" w:type="pct"/>
            <w:gridSpan w:val="2"/>
            <w:vAlign w:val="center"/>
          </w:tcPr>
          <w:p>
            <w:pPr>
              <w:jc w:val="center"/>
            </w:pPr>
            <w:r>
              <w:rPr>
                <w:rFonts w:hint="eastAsia"/>
              </w:rPr>
              <w:t>要求</w:t>
            </w:r>
          </w:p>
        </w:tc>
        <w:tc>
          <w:tcPr>
            <w:tcW w:w="1901" w:type="pct"/>
            <w:vAlign w:val="center"/>
          </w:tcPr>
          <w:p>
            <w:pPr>
              <w:jc w:val="center"/>
            </w:pPr>
            <w:r>
              <w:rPr>
                <w:rFonts w:hint="eastAsia"/>
              </w:rPr>
              <w:t>本项目情况</w:t>
            </w:r>
          </w:p>
        </w:tc>
        <w:tc>
          <w:tcPr>
            <w:tcW w:w="457" w:type="pct"/>
            <w:vAlign w:val="center"/>
          </w:tcPr>
          <w:p>
            <w:pPr>
              <w:jc w:val="center"/>
            </w:pPr>
            <w:r>
              <w:rPr>
                <w:rFonts w:hint="eastAsia"/>
              </w:rPr>
              <w:t>是否符合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Align w:val="center"/>
          </w:tcPr>
          <w:p>
            <w:pPr>
              <w:jc w:val="center"/>
            </w:pPr>
            <w:r>
              <w:rPr>
                <w:rFonts w:hint="eastAsia"/>
              </w:rPr>
              <w:t>选址要求</w:t>
            </w:r>
          </w:p>
        </w:tc>
        <w:tc>
          <w:tcPr>
            <w:tcW w:w="2293" w:type="pct"/>
            <w:vAlign w:val="center"/>
          </w:tcPr>
          <w:p>
            <w:r>
              <w:rPr>
                <w:rFonts w:hint="eastAsia"/>
              </w:rPr>
              <w:t>卫生填埋场的选址应符合国家和行业相关标准的要求。</w:t>
            </w:r>
          </w:p>
        </w:tc>
        <w:tc>
          <w:tcPr>
            <w:tcW w:w="1901" w:type="pct"/>
            <w:vAlign w:val="center"/>
          </w:tcPr>
          <w:p>
            <w:r>
              <w:rPr>
                <w:rFonts w:hint="eastAsia"/>
              </w:rPr>
              <w:t>本项目符合国家和行业的相关标准要求。</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restart"/>
            <w:vAlign w:val="center"/>
          </w:tcPr>
          <w:p>
            <w:pPr>
              <w:jc w:val="center"/>
            </w:pPr>
            <w:r>
              <w:rPr>
                <w:rFonts w:hint="eastAsia"/>
              </w:rPr>
              <w:t>设计、建设要求</w:t>
            </w:r>
          </w:p>
        </w:tc>
        <w:tc>
          <w:tcPr>
            <w:tcW w:w="2293" w:type="pct"/>
            <w:vAlign w:val="center"/>
          </w:tcPr>
          <w:p>
            <w:r>
              <w:rPr>
                <w:rFonts w:hint="eastAsia"/>
              </w:rPr>
              <w:t>卫生填埋场设计和建设应满足《生活垃圾卫生填埋技术规范</w:t>
            </w:r>
            <w:r>
              <w:t>CJJ17</w:t>
            </w:r>
            <w:r>
              <w:rPr>
                <w:rFonts w:hint="eastAsia"/>
              </w:rPr>
              <w:t>》、《生活垃圾卫生填埋处理工程项目建设标准》和《生活垃圾填埋场污染控制标准</w:t>
            </w:r>
            <w:r>
              <w:t>GB16889</w:t>
            </w:r>
            <w:r>
              <w:rPr>
                <w:rFonts w:hint="eastAsia"/>
              </w:rPr>
              <w:t>》等相关标准的要求。</w:t>
            </w:r>
          </w:p>
        </w:tc>
        <w:tc>
          <w:tcPr>
            <w:tcW w:w="1901" w:type="pct"/>
            <w:vAlign w:val="center"/>
          </w:tcPr>
          <w:p>
            <w:r>
              <w:rPr>
                <w:rFonts w:hint="eastAsia"/>
              </w:rPr>
              <w:t>本项目建设满足相关标准要求。</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continue"/>
            <w:vAlign w:val="center"/>
          </w:tcPr>
          <w:p>
            <w:pPr>
              <w:jc w:val="center"/>
            </w:pPr>
          </w:p>
        </w:tc>
        <w:tc>
          <w:tcPr>
            <w:tcW w:w="2293" w:type="pct"/>
            <w:vAlign w:val="center"/>
          </w:tcPr>
          <w:p>
            <w:r>
              <w:rPr>
                <w:rFonts w:hint="eastAsia"/>
              </w:rPr>
              <w:t>填埋场的总库容应满足其使用寿命</w:t>
            </w:r>
            <w:r>
              <w:t>10</w:t>
            </w:r>
            <w:r>
              <w:rPr>
                <w:rFonts w:hint="eastAsia"/>
              </w:rPr>
              <w:t>年以上</w:t>
            </w:r>
          </w:p>
        </w:tc>
        <w:tc>
          <w:tcPr>
            <w:tcW w:w="1901" w:type="pct"/>
            <w:vAlign w:val="center"/>
          </w:tcPr>
          <w:p>
            <w:r>
              <w:rPr>
                <w:rFonts w:hint="eastAsia"/>
              </w:rPr>
              <w:t>本项目满足使用3</w:t>
            </w:r>
            <w:r>
              <w:t>0</w:t>
            </w:r>
            <w:r>
              <w:rPr>
                <w:rFonts w:hint="eastAsia"/>
              </w:rPr>
              <w:t>年</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continue"/>
            <w:vAlign w:val="center"/>
          </w:tcPr>
          <w:p>
            <w:pPr>
              <w:jc w:val="center"/>
            </w:pPr>
          </w:p>
        </w:tc>
        <w:tc>
          <w:tcPr>
            <w:tcW w:w="2293" w:type="pct"/>
            <w:vAlign w:val="center"/>
          </w:tcPr>
          <w:p>
            <w:r>
              <w:rPr>
                <w:rFonts w:hint="eastAsia"/>
              </w:rPr>
              <w:t>卫生填埋场必须进行防渗处理，防止对地下水和地表水造成污染，同时应防止地下水进入填埋区。鼓励采用厚度不小于</w:t>
            </w:r>
            <w:r>
              <w:t>1.5</w:t>
            </w:r>
            <w:r>
              <w:rPr>
                <w:rFonts w:hint="eastAsia"/>
              </w:rPr>
              <w:t>毫米的高密度聚乙烯膜作为主防渗材料。</w:t>
            </w:r>
          </w:p>
        </w:tc>
        <w:tc>
          <w:tcPr>
            <w:tcW w:w="1901" w:type="pct"/>
            <w:vAlign w:val="center"/>
          </w:tcPr>
          <w:p>
            <w:r>
              <w:rPr>
                <w:rFonts w:hint="eastAsia"/>
              </w:rPr>
              <w:t>本项目采取双层防渗措施，采用分别采用厚度为</w:t>
            </w:r>
            <w:r>
              <w:t>2</w:t>
            </w:r>
            <w:r>
              <w:rPr>
                <w:rFonts w:hint="eastAsia"/>
              </w:rPr>
              <w:t>毫米和</w:t>
            </w:r>
            <w:r>
              <w:t>1.5</w:t>
            </w:r>
            <w:r>
              <w:rPr>
                <w:rFonts w:hint="eastAsia"/>
              </w:rPr>
              <w:t>毫米的高密度聚乙烯膜作为主防渗材料。</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continue"/>
            <w:vAlign w:val="center"/>
          </w:tcPr>
          <w:p>
            <w:pPr>
              <w:jc w:val="center"/>
            </w:pPr>
          </w:p>
        </w:tc>
        <w:tc>
          <w:tcPr>
            <w:tcW w:w="2293" w:type="pct"/>
            <w:vAlign w:val="center"/>
          </w:tcPr>
          <w:p>
            <w:r>
              <w:rPr>
                <w:rFonts w:hint="eastAsia"/>
              </w:rPr>
              <w:t>填埋区防渗层应铺设渗滤液收集导排系统。卫生填埋场应设置渗滤液调节池和污水处理装置，渗滤液经处理达标后方可排放到环境中。调节池宜采取封闭等措施防止恶臭物质污染大气。</w:t>
            </w:r>
          </w:p>
        </w:tc>
        <w:tc>
          <w:tcPr>
            <w:tcW w:w="1901" w:type="pct"/>
            <w:vAlign w:val="center"/>
          </w:tcPr>
          <w:p>
            <w:r>
              <w:rPr>
                <w:rFonts w:hint="eastAsia"/>
              </w:rPr>
              <w:t>本项目填埋区铺设渗滤液收集导排系统，并设置渗滤液调节池和污水处理装置，渗滤液经处理达标后泵入生活垃圾焚烧项目渗滤液处理装置深度处理后全部回用，不外排。</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continue"/>
            <w:vAlign w:val="center"/>
          </w:tcPr>
          <w:p>
            <w:pPr>
              <w:jc w:val="center"/>
            </w:pPr>
          </w:p>
        </w:tc>
        <w:tc>
          <w:tcPr>
            <w:tcW w:w="2293" w:type="pct"/>
            <w:vAlign w:val="center"/>
          </w:tcPr>
          <w:p>
            <w:r>
              <w:rPr>
                <w:rFonts w:hint="eastAsia"/>
              </w:rPr>
              <w:t>垃圾渗滤液处理宜采用</w:t>
            </w:r>
            <w:r>
              <w:t>“</w:t>
            </w:r>
            <w:r>
              <w:rPr>
                <w:rFonts w:hint="eastAsia"/>
              </w:rPr>
              <w:t>预处理－生物处理－深度处理和后处理</w:t>
            </w:r>
            <w:r>
              <w:t>”</w:t>
            </w:r>
            <w:r>
              <w:rPr>
                <w:rFonts w:hint="eastAsia"/>
              </w:rPr>
              <w:t>的组合工艺。在满足国家和地方排放标准的前提下，经充分的技术可靠性和经济合理性论证后也可采用其他工艺。</w:t>
            </w:r>
          </w:p>
        </w:tc>
        <w:tc>
          <w:tcPr>
            <w:tcW w:w="1901" w:type="pct"/>
            <w:vAlign w:val="center"/>
          </w:tcPr>
          <w:p>
            <w:r>
              <w:rPr>
                <w:rFonts w:hint="eastAsia"/>
              </w:rPr>
              <w:t>本项目设置渗滤液调节池和污水处理装置，渗滤液经处理达标后泵入生活垃圾焚烧项目渗滤液处理装置深度处理后全部回用，不外排。</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continue"/>
            <w:vAlign w:val="center"/>
          </w:tcPr>
          <w:p>
            <w:pPr>
              <w:jc w:val="center"/>
            </w:pPr>
          </w:p>
        </w:tc>
        <w:tc>
          <w:tcPr>
            <w:tcW w:w="2293" w:type="pct"/>
            <w:vAlign w:val="center"/>
          </w:tcPr>
          <w:p>
            <w:r>
              <w:rPr>
                <w:rFonts w:hint="eastAsia"/>
              </w:rPr>
              <w:t>生活垃圾卫生填埋场应实行雨污分流并设置雨水集排水系统，以收集、排出汇水区内可能流向填埋区的雨水、上游雨水以及未填埋区域内未与生活垃圾接触的雨水。雨水集排水系统收集的雨水不得与渗滤液混排。</w:t>
            </w:r>
          </w:p>
        </w:tc>
        <w:tc>
          <w:tcPr>
            <w:tcW w:w="1901" w:type="pct"/>
            <w:vAlign w:val="center"/>
          </w:tcPr>
          <w:p>
            <w:r>
              <w:rPr>
                <w:rFonts w:hint="eastAsia"/>
              </w:rPr>
              <w:t>本项目实行雨污分流并设置雨水集排水系统。</w:t>
            </w:r>
          </w:p>
        </w:tc>
        <w:tc>
          <w:tcPr>
            <w:tcW w:w="457" w:type="pct"/>
            <w:vAlign w:val="center"/>
          </w:tcPr>
          <w:p>
            <w:pPr>
              <w:jc w:val="center"/>
            </w:pPr>
            <w: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49" w:type="pct"/>
            <w:vMerge w:val="continue"/>
            <w:vAlign w:val="center"/>
          </w:tcPr>
          <w:p>
            <w:pPr>
              <w:jc w:val="center"/>
            </w:pPr>
          </w:p>
        </w:tc>
        <w:tc>
          <w:tcPr>
            <w:tcW w:w="2293" w:type="pct"/>
            <w:vAlign w:val="center"/>
          </w:tcPr>
          <w:p>
            <w:r>
              <w:rPr>
                <w:rFonts w:hint="eastAsia"/>
              </w:rPr>
              <w:t>卫生填埋场必须设置有效的填埋气体导排设施，应对填埋气体进行回收和利用，严防填埋气体自然聚集、迁移引起的火灾和爆炸。卫生填埋场不具备填埋气体利用条件时，应导出进行集中燃烧处理。</w:t>
            </w:r>
          </w:p>
        </w:tc>
        <w:tc>
          <w:tcPr>
            <w:tcW w:w="1901" w:type="pct"/>
            <w:vAlign w:val="center"/>
          </w:tcPr>
          <w:p>
            <w:r>
              <w:rPr>
                <w:rFonts w:hint="eastAsia"/>
              </w:rPr>
              <w:t>因为填埋物为固化后的飞灰，无填埋气产生</w:t>
            </w:r>
          </w:p>
        </w:tc>
        <w:tc>
          <w:tcPr>
            <w:tcW w:w="457" w:type="pct"/>
            <w:vAlign w:val="center"/>
          </w:tcPr>
          <w:p>
            <w:pPr>
              <w:jc w:val="center"/>
            </w:pPr>
            <w:r>
              <w:t>符合</w:t>
            </w:r>
          </w:p>
        </w:tc>
      </w:tr>
    </w:tbl>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与《生活垃圾焚烧飞灰污染控制技术规范》符合性</w:t>
      </w:r>
    </w:p>
    <w:p>
      <w:pPr>
        <w:adjustRightInd w:val="0"/>
        <w:snapToGrid w:val="0"/>
        <w:spacing w:after="120" w:line="360" w:lineRule="auto"/>
        <w:ind w:firstLine="480" w:firstLineChars="200"/>
        <w:rPr>
          <w:sz w:val="24"/>
          <w:szCs w:val="24"/>
        </w:rPr>
      </w:pPr>
      <w:r>
        <w:rPr>
          <w:rFonts w:hint="eastAsia"/>
          <w:sz w:val="24"/>
          <w:szCs w:val="24"/>
        </w:rPr>
        <w:t>本项目与《生活垃圾焚烧飞灰污染控制技术规范（试行）》（HJ1134-2020）相符性分析见表2.9-</w:t>
      </w:r>
      <w:r>
        <w:rPr>
          <w:sz w:val="24"/>
          <w:szCs w:val="24"/>
        </w:rPr>
        <w:t>5</w:t>
      </w:r>
      <w:r>
        <w:rPr>
          <w:rFonts w:hint="eastAsia"/>
          <w:sz w:val="24"/>
          <w:szCs w:val="24"/>
        </w:rPr>
        <w:t>。由表可知，本项目符合其相关要求。</w:t>
      </w:r>
    </w:p>
    <w:p>
      <w:pPr>
        <w:adjustRightInd w:val="0"/>
        <w:snapToGrid w:val="0"/>
        <w:spacing w:after="120" w:line="360" w:lineRule="auto"/>
        <w:ind w:firstLine="482" w:firstLineChars="200"/>
        <w:rPr>
          <w:b/>
          <w:bCs/>
          <w:sz w:val="24"/>
          <w:szCs w:val="24"/>
        </w:rPr>
      </w:pPr>
      <w:r>
        <w:rPr>
          <w:rFonts w:hint="eastAsia"/>
          <w:b/>
          <w:bCs/>
          <w:sz w:val="24"/>
          <w:szCs w:val="24"/>
        </w:rPr>
        <w:t>表2.9-</w:t>
      </w:r>
      <w:r>
        <w:rPr>
          <w:b/>
          <w:bCs/>
          <w:sz w:val="24"/>
          <w:szCs w:val="24"/>
        </w:rPr>
        <w:t>5</w:t>
      </w:r>
      <w:r>
        <w:rPr>
          <w:rFonts w:hint="eastAsia"/>
          <w:b/>
          <w:bCs/>
          <w:sz w:val="24"/>
          <w:szCs w:val="24"/>
        </w:rPr>
        <w:t xml:space="preserve"> 与《生活垃圾焚烧飞灰污染控制技术规范（试行）》相符性分析</w:t>
      </w:r>
    </w:p>
    <w:tbl>
      <w:tblPr>
        <w:tblStyle w:val="4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869"/>
        <w:gridCol w:w="2894"/>
        <w:gridCol w:w="7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kern w:val="0"/>
                <w:szCs w:val="21"/>
              </w:rPr>
              <w:t>技术规范要求</w:t>
            </w:r>
          </w:p>
        </w:tc>
        <w:tc>
          <w:tcPr>
            <w:tcW w:w="2894" w:type="dxa"/>
            <w:vAlign w:val="center"/>
          </w:tcPr>
          <w:p>
            <w:pPr>
              <w:jc w:val="center"/>
              <w:rPr>
                <w:kern w:val="0"/>
                <w:szCs w:val="21"/>
              </w:rPr>
            </w:pPr>
            <w:r>
              <w:rPr>
                <w:kern w:val="0"/>
                <w:szCs w:val="21"/>
              </w:rPr>
              <w:t>本项目</w:t>
            </w:r>
          </w:p>
        </w:tc>
        <w:tc>
          <w:tcPr>
            <w:tcW w:w="759" w:type="dxa"/>
            <w:vAlign w:val="center"/>
          </w:tcPr>
          <w:p>
            <w:pPr>
              <w:jc w:val="center"/>
              <w:rPr>
                <w:kern w:val="0"/>
                <w:szCs w:val="21"/>
              </w:rPr>
            </w:pPr>
            <w:r>
              <w:rPr>
                <w:kern w:val="0"/>
                <w:szCs w:val="21"/>
              </w:rPr>
              <w:t>相符性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0" w:type="auto"/>
            <w:vAlign w:val="center"/>
          </w:tcPr>
          <w:p>
            <w:pPr>
              <w:jc w:val="center"/>
              <w:rPr>
                <w:kern w:val="0"/>
                <w:szCs w:val="21"/>
              </w:rPr>
            </w:pPr>
            <w:r>
              <w:rPr>
                <w:rFonts w:hint="eastAsia"/>
                <w:kern w:val="0"/>
                <w:szCs w:val="21"/>
              </w:rPr>
              <w:t>飞灰处理产物满足</w:t>
            </w:r>
            <w:r>
              <w:rPr>
                <w:kern w:val="0"/>
                <w:szCs w:val="21"/>
              </w:rPr>
              <w:t>GB 16889</w:t>
            </w:r>
            <w:r>
              <w:rPr>
                <w:rFonts w:hint="eastAsia"/>
                <w:kern w:val="0"/>
                <w:szCs w:val="21"/>
              </w:rPr>
              <w:t>入场要求的，可进入生活垃圾填埋场分区填埋。进入生活垃圾填埋场填埋处置的飞灰宜选择在生活垃圾焚烧企业内进行处理。</w:t>
            </w:r>
          </w:p>
        </w:tc>
        <w:tc>
          <w:tcPr>
            <w:tcW w:w="2894" w:type="dxa"/>
            <w:vAlign w:val="center"/>
          </w:tcPr>
          <w:p>
            <w:pPr>
              <w:jc w:val="center"/>
              <w:rPr>
                <w:kern w:val="0"/>
                <w:szCs w:val="21"/>
              </w:rPr>
            </w:pPr>
            <w:r>
              <w:rPr>
                <w:rFonts w:hint="eastAsia"/>
                <w:kern w:val="0"/>
                <w:szCs w:val="21"/>
              </w:rPr>
              <w:t>生活垃圾焚烧发电项目产生的飞灰在焚烧厂内固化处理，满足</w:t>
            </w:r>
            <w:r>
              <w:rPr>
                <w:kern w:val="0"/>
                <w:szCs w:val="21"/>
              </w:rPr>
              <w:t>GB16889</w:t>
            </w:r>
            <w:r>
              <w:rPr>
                <w:rFonts w:hint="eastAsia"/>
                <w:kern w:val="0"/>
                <w:szCs w:val="21"/>
              </w:rPr>
              <w:t>要求后，进入本项目填埋</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进入填埋区的飞灰或飞灰处理产物应密封包装或成型化。</w:t>
            </w:r>
          </w:p>
        </w:tc>
        <w:tc>
          <w:tcPr>
            <w:tcW w:w="2894" w:type="dxa"/>
            <w:vAlign w:val="center"/>
          </w:tcPr>
          <w:p>
            <w:pPr>
              <w:jc w:val="center"/>
              <w:rPr>
                <w:kern w:val="0"/>
                <w:szCs w:val="21"/>
              </w:rPr>
            </w:pPr>
            <w:r>
              <w:rPr>
                <w:rFonts w:hint="eastAsia"/>
                <w:kern w:val="0"/>
                <w:szCs w:val="21"/>
              </w:rPr>
              <w:t>固化飞灰采用密闭式吨袋包装</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飞灰处理产物的收集、运输、贮存应根据其管理属性分别符合相关标准的要求。</w:t>
            </w:r>
          </w:p>
        </w:tc>
        <w:tc>
          <w:tcPr>
            <w:tcW w:w="2894" w:type="dxa"/>
            <w:vAlign w:val="center"/>
          </w:tcPr>
          <w:p>
            <w:pPr>
              <w:jc w:val="center"/>
              <w:rPr>
                <w:kern w:val="0"/>
                <w:szCs w:val="21"/>
              </w:rPr>
            </w:pPr>
            <w:r>
              <w:rPr>
                <w:rFonts w:hint="eastAsia"/>
                <w:kern w:val="0"/>
                <w:szCs w:val="21"/>
              </w:rPr>
              <w:t>固化飞灰仍为危险废物，收集、运输、贮存需要按危险废物管理</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飞灰处理产物进入生活垃圾填埋场进行填埋处置的，飞灰处理产物中重金属浸出浓度监测频次应不少于每日</w:t>
            </w:r>
            <w:r>
              <w:rPr>
                <w:kern w:val="0"/>
                <w:szCs w:val="21"/>
              </w:rPr>
              <w:t xml:space="preserve">1 </w:t>
            </w:r>
            <w:r>
              <w:rPr>
                <w:rFonts w:hint="eastAsia"/>
                <w:kern w:val="0"/>
                <w:szCs w:val="21"/>
              </w:rPr>
              <w:t>次，飞灰处理产物中二噁英类的监测频次应不少于每</w:t>
            </w:r>
            <w:r>
              <w:rPr>
                <w:kern w:val="0"/>
                <w:szCs w:val="21"/>
              </w:rPr>
              <w:t>6</w:t>
            </w:r>
            <w:r>
              <w:rPr>
                <w:rFonts w:hint="eastAsia"/>
                <w:kern w:val="0"/>
                <w:szCs w:val="21"/>
              </w:rPr>
              <w:t>个月</w:t>
            </w:r>
            <w:r>
              <w:rPr>
                <w:kern w:val="0"/>
                <w:szCs w:val="21"/>
              </w:rPr>
              <w:t>1</w:t>
            </w:r>
            <w:r>
              <w:rPr>
                <w:rFonts w:hint="eastAsia"/>
                <w:kern w:val="0"/>
                <w:szCs w:val="21"/>
              </w:rPr>
              <w:t>次。</w:t>
            </w:r>
          </w:p>
        </w:tc>
        <w:tc>
          <w:tcPr>
            <w:tcW w:w="2894" w:type="dxa"/>
            <w:vAlign w:val="center"/>
          </w:tcPr>
          <w:p>
            <w:pPr>
              <w:jc w:val="center"/>
              <w:rPr>
                <w:kern w:val="0"/>
                <w:szCs w:val="21"/>
              </w:rPr>
            </w:pPr>
            <w:r>
              <w:rPr>
                <w:rFonts w:hint="eastAsia"/>
                <w:kern w:val="0"/>
                <w:szCs w:val="21"/>
              </w:rPr>
              <w:t>本项目不设置固化稳定化飞灰鉴别检验设施，入场飞灰必须有符合此规定的检测报告才能入场填埋</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飞灰处理和处置设施所有者应设置专门的部门或者专职人员，负责飞灰处理和处置过程的相关环境管理工作。</w:t>
            </w:r>
          </w:p>
        </w:tc>
        <w:tc>
          <w:tcPr>
            <w:tcW w:w="2894" w:type="dxa"/>
            <w:vAlign w:val="center"/>
          </w:tcPr>
          <w:p>
            <w:pPr>
              <w:jc w:val="center"/>
              <w:rPr>
                <w:kern w:val="0"/>
                <w:szCs w:val="21"/>
              </w:rPr>
            </w:pPr>
            <w:r>
              <w:rPr>
                <w:rFonts w:hint="eastAsia"/>
                <w:kern w:val="0"/>
                <w:szCs w:val="21"/>
              </w:rPr>
              <w:t>设置专职人员管理</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应建立污染预防机制和处理突发环境事件的应急预案制度。</w:t>
            </w:r>
          </w:p>
        </w:tc>
        <w:tc>
          <w:tcPr>
            <w:tcW w:w="2894" w:type="dxa"/>
            <w:vAlign w:val="center"/>
          </w:tcPr>
          <w:p>
            <w:pPr>
              <w:jc w:val="center"/>
              <w:rPr>
                <w:kern w:val="0"/>
                <w:szCs w:val="21"/>
              </w:rPr>
            </w:pPr>
            <w:r>
              <w:rPr>
                <w:rFonts w:hint="eastAsia"/>
                <w:kern w:val="0"/>
                <w:szCs w:val="21"/>
              </w:rPr>
              <w:t>制定预防机制和应急预案</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应对飞灰处理和处置过程的所有作业人员进行培训，内容包括飞灰的危害特性、环境保护要求、环境应急处理等。</w:t>
            </w:r>
          </w:p>
        </w:tc>
        <w:tc>
          <w:tcPr>
            <w:tcW w:w="2894" w:type="dxa"/>
            <w:vAlign w:val="center"/>
          </w:tcPr>
          <w:p>
            <w:pPr>
              <w:jc w:val="center"/>
              <w:rPr>
                <w:kern w:val="0"/>
                <w:szCs w:val="21"/>
              </w:rPr>
            </w:pPr>
            <w:r>
              <w:rPr>
                <w:rFonts w:hint="eastAsia"/>
                <w:kern w:val="0"/>
                <w:szCs w:val="21"/>
              </w:rPr>
              <w:t>对处置人员进行培训</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应保存处理和处置的相关资料，包括培训记录、管理台账等。保存时间不应少于</w:t>
            </w:r>
            <w:r>
              <w:rPr>
                <w:kern w:val="0"/>
                <w:szCs w:val="21"/>
              </w:rPr>
              <w:t>10</w:t>
            </w:r>
            <w:r>
              <w:rPr>
                <w:rFonts w:hint="eastAsia"/>
                <w:kern w:val="0"/>
                <w:szCs w:val="21"/>
              </w:rPr>
              <w:t>年。</w:t>
            </w:r>
          </w:p>
        </w:tc>
        <w:tc>
          <w:tcPr>
            <w:tcW w:w="2894" w:type="dxa"/>
            <w:vAlign w:val="center"/>
          </w:tcPr>
          <w:p>
            <w:pPr>
              <w:jc w:val="center"/>
              <w:rPr>
                <w:kern w:val="0"/>
                <w:szCs w:val="21"/>
              </w:rPr>
            </w:pPr>
            <w:r>
              <w:rPr>
                <w:rFonts w:hint="eastAsia"/>
                <w:kern w:val="0"/>
                <w:szCs w:val="21"/>
              </w:rPr>
              <w:t>对处置资料进行保留</w:t>
            </w:r>
          </w:p>
        </w:tc>
        <w:tc>
          <w:tcPr>
            <w:tcW w:w="759" w:type="dxa"/>
            <w:vAlign w:val="center"/>
          </w:tcPr>
          <w:p>
            <w:pPr>
              <w:jc w:val="center"/>
              <w:rPr>
                <w:kern w:val="0"/>
                <w:szCs w:val="21"/>
              </w:rPr>
            </w:pPr>
            <w:r>
              <w:rPr>
                <w:rFonts w:hint="eastAsia"/>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pPr>
              <w:jc w:val="center"/>
              <w:rPr>
                <w:kern w:val="0"/>
                <w:szCs w:val="21"/>
              </w:rPr>
            </w:pPr>
            <w:r>
              <w:rPr>
                <w:rFonts w:hint="eastAsia"/>
                <w:kern w:val="0"/>
                <w:szCs w:val="21"/>
              </w:rPr>
              <w:t>应每年编制总结报告并向社会公开，总结报告应包括飞灰转移情况、飞灰处理和处置情况、飞灰处理和处置相关监测结果和其他相关材料。</w:t>
            </w:r>
          </w:p>
        </w:tc>
        <w:tc>
          <w:tcPr>
            <w:tcW w:w="2894" w:type="dxa"/>
            <w:vAlign w:val="center"/>
          </w:tcPr>
          <w:p>
            <w:pPr>
              <w:jc w:val="center"/>
              <w:rPr>
                <w:kern w:val="0"/>
                <w:szCs w:val="21"/>
              </w:rPr>
            </w:pPr>
            <w:r>
              <w:rPr>
                <w:rFonts w:hint="eastAsia"/>
                <w:kern w:val="0"/>
                <w:szCs w:val="21"/>
              </w:rPr>
              <w:t>对处置相关监测结果和其他相关材料编制总结报告并向社会公开</w:t>
            </w:r>
          </w:p>
        </w:tc>
        <w:tc>
          <w:tcPr>
            <w:tcW w:w="759" w:type="dxa"/>
            <w:vAlign w:val="center"/>
          </w:tcPr>
          <w:p>
            <w:pPr>
              <w:jc w:val="center"/>
              <w:rPr>
                <w:kern w:val="0"/>
                <w:szCs w:val="21"/>
              </w:rPr>
            </w:pPr>
            <w:r>
              <w:rPr>
                <w:rFonts w:hint="eastAsia"/>
                <w:kern w:val="0"/>
                <w:szCs w:val="21"/>
              </w:rPr>
              <w:t>符合</w:t>
            </w:r>
          </w:p>
        </w:tc>
      </w:tr>
    </w:tbl>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与《一般工业固体废物贮存和填埋污染控制标准》符合性</w:t>
      </w:r>
    </w:p>
    <w:p>
      <w:pPr>
        <w:adjustRightInd w:val="0"/>
        <w:snapToGrid w:val="0"/>
        <w:spacing w:after="120" w:line="360" w:lineRule="auto"/>
        <w:ind w:firstLine="480" w:firstLineChars="200"/>
        <w:rPr>
          <w:sz w:val="24"/>
          <w:szCs w:val="24"/>
        </w:rPr>
      </w:pPr>
      <w:r>
        <w:rPr>
          <w:rFonts w:hint="eastAsia"/>
          <w:sz w:val="24"/>
          <w:szCs w:val="24"/>
        </w:rPr>
        <w:t>本项目与《一般工业固体废物贮存和填埋污染控制标准》(GB18599-20</w:t>
      </w:r>
      <w:r>
        <w:rPr>
          <w:sz w:val="24"/>
          <w:szCs w:val="24"/>
        </w:rPr>
        <w:t>20</w:t>
      </w:r>
      <w:r>
        <w:rPr>
          <w:rFonts w:hint="eastAsia"/>
          <w:sz w:val="24"/>
          <w:szCs w:val="24"/>
        </w:rPr>
        <w:t>)相符性分析见表2.9-</w:t>
      </w:r>
      <w:r>
        <w:rPr>
          <w:sz w:val="24"/>
          <w:szCs w:val="24"/>
        </w:rPr>
        <w:t>6</w:t>
      </w:r>
      <w:r>
        <w:rPr>
          <w:rFonts w:hint="eastAsia"/>
          <w:sz w:val="24"/>
          <w:szCs w:val="24"/>
        </w:rPr>
        <w:t>。由表可知，本项目符合其相关要求。</w:t>
      </w:r>
    </w:p>
    <w:tbl>
      <w:tblPr>
        <w:tblStyle w:val="39"/>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615"/>
        <w:gridCol w:w="4063"/>
        <w:gridCol w:w="2977"/>
        <w:gridCol w:w="66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05" w:hRule="atLeast"/>
        </w:trPr>
        <w:tc>
          <w:tcPr>
            <w:tcW w:w="4693" w:type="dxa"/>
            <w:gridSpan w:val="2"/>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要求</w:t>
            </w:r>
          </w:p>
        </w:tc>
        <w:tc>
          <w:tcPr>
            <w:tcW w:w="2977"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本项目</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restart"/>
            <w:vAlign w:val="center"/>
          </w:tcPr>
          <w:p>
            <w:pPr>
              <w:adjustRightInd w:val="0"/>
              <w:snapToGrid w:val="0"/>
              <w:jc w:val="center"/>
              <w:rPr>
                <w:rFonts w:asciiTheme="minorEastAsia" w:hAnsiTheme="minorEastAsia" w:eastAsiaTheme="minorEastAsia"/>
                <w:szCs w:val="21"/>
              </w:rPr>
            </w:pPr>
            <w:r>
              <w:rPr>
                <w:rFonts w:hint="eastAsia" w:asciiTheme="minorEastAsia" w:hAnsiTheme="minorEastAsia" w:eastAsiaTheme="minorEastAsia"/>
                <w:szCs w:val="21"/>
              </w:rPr>
              <w:t>选址要求</w:t>
            </w:r>
          </w:p>
        </w:tc>
        <w:tc>
          <w:tcPr>
            <w:tcW w:w="4063"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1、一般工业固体废物贮存场、填埋场的选址应符合环境保护法律法规及相关法定规划要求。</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本项目选址符合当地环境保护法律法规及相关规划要求</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2、贮存场、填埋场的位置与周围居民区的距离应依据环境影响评价文件及审批意见确定。</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本项目场址与周围居民区的距离符合防护距离要求</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3、贮存场、填埋场不得选在生态保护红线区域、永久基本农田集中区域和其他需要特别保护的区域内。</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本项目场址不在生态保护红线区域、永久基本农田集中区域和其他需要特别保护的区域内。</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djustRightInd w:val="0"/>
              <w:snapToGrid w:val="0"/>
              <w:jc w:val="left"/>
              <w:rPr>
                <w:rFonts w:asciiTheme="minorEastAsia" w:hAnsiTheme="minorEastAsia" w:eastAsiaTheme="minorEastAsia"/>
                <w:szCs w:val="21"/>
              </w:rPr>
            </w:pPr>
            <w:r>
              <w:rPr>
                <w:rFonts w:asciiTheme="minorEastAsia" w:hAnsiTheme="minorEastAsia" w:eastAsiaTheme="minorEastAsia"/>
                <w:szCs w:val="21"/>
              </w:rPr>
              <w:t>4</w:t>
            </w:r>
            <w:r>
              <w:rPr>
                <w:rFonts w:hint="eastAsia" w:asciiTheme="minorEastAsia" w:hAnsiTheme="minorEastAsia" w:eastAsiaTheme="minorEastAsia"/>
                <w:szCs w:val="21"/>
              </w:rPr>
              <w:t>、贮存场、填埋场应避开活动断层、溶洞区、天然滑坡或泥石流影响区以及湿地等区域。</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本项目场址不在活动断层、溶洞区、天然滑坡或泥石流影响区以及湿地等区域内。</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djustRightInd w:val="0"/>
              <w:snapToGrid w:val="0"/>
              <w:jc w:val="left"/>
              <w:rPr>
                <w:rFonts w:asciiTheme="minorEastAsia" w:hAnsiTheme="minorEastAsia" w:eastAsiaTheme="minorEastAsia"/>
                <w:szCs w:val="21"/>
              </w:rPr>
            </w:pPr>
            <w:r>
              <w:rPr>
                <w:rFonts w:asciiTheme="minorEastAsia" w:hAnsiTheme="minorEastAsia" w:eastAsiaTheme="minorEastAsia"/>
                <w:szCs w:val="21"/>
              </w:rPr>
              <w:t>5</w:t>
            </w:r>
            <w:r>
              <w:rPr>
                <w:rFonts w:hint="eastAsia" w:asciiTheme="minorEastAsia" w:hAnsiTheme="minorEastAsia" w:eastAsiaTheme="minorEastAsia"/>
                <w:szCs w:val="21"/>
              </w:rPr>
              <w:t>、贮存场、填埋场不得选在江河、湖泊、运河、渠道、水库最高水位线以下的滩地和岸坡，以及国家和地方长远规划中的水库等人工蓄水设施的淹没区和保护区之内。</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本项目场址不在江河、湖泊、运河、渠道、水库最高水位线以下的滩地和岸坡，以及国家和地方长远规划中的水库等人工蓄水设施的淹没区和保护区之内。</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restart"/>
            <w:vAlign w:val="center"/>
          </w:tcPr>
          <w:p>
            <w:pPr>
              <w:adjustRightInd w:val="0"/>
              <w:snapToGrid w:val="0"/>
              <w:jc w:val="center"/>
              <w:rPr>
                <w:rFonts w:asciiTheme="minorEastAsia" w:hAnsiTheme="minorEastAsia" w:eastAsiaTheme="minorEastAsia"/>
                <w:szCs w:val="21"/>
              </w:rPr>
            </w:pPr>
          </w:p>
          <w:p>
            <w:pPr>
              <w:pStyle w:val="2"/>
            </w:pPr>
          </w:p>
          <w:p>
            <w:pPr>
              <w:pStyle w:val="5"/>
              <w:rPr>
                <w:color w:val="auto"/>
              </w:rPr>
            </w:pPr>
          </w:p>
          <w:p>
            <w:pPr>
              <w:adjustRightInd w:val="0"/>
              <w:snapToGrid w:val="0"/>
              <w:jc w:val="center"/>
              <w:rPr>
                <w:rFonts w:asciiTheme="minorEastAsia" w:hAnsiTheme="minorEastAsia" w:eastAsiaTheme="minorEastAsia"/>
                <w:szCs w:val="21"/>
              </w:rPr>
            </w:pPr>
          </w:p>
          <w:p>
            <w:pPr>
              <w:adjustRightInd w:val="0"/>
              <w:snapToGrid w:val="0"/>
              <w:jc w:val="center"/>
              <w:rPr>
                <w:rFonts w:asciiTheme="minorEastAsia" w:hAnsiTheme="minorEastAsia" w:eastAsiaTheme="minorEastAsia"/>
                <w:szCs w:val="21"/>
              </w:rPr>
            </w:pPr>
          </w:p>
          <w:p>
            <w:pPr>
              <w:adjustRightInd w:val="0"/>
              <w:snapToGrid w:val="0"/>
              <w:jc w:val="center"/>
              <w:rPr>
                <w:rFonts w:asciiTheme="minorEastAsia" w:hAnsiTheme="minorEastAsia" w:eastAsiaTheme="minorEastAsia"/>
                <w:szCs w:val="21"/>
              </w:rPr>
            </w:pPr>
            <w:r>
              <w:rPr>
                <w:rFonts w:hint="eastAsia" w:asciiTheme="minorEastAsia" w:hAnsiTheme="minorEastAsia" w:eastAsiaTheme="minorEastAsia"/>
                <w:szCs w:val="21"/>
              </w:rPr>
              <w:t>设计、建设要求</w:t>
            </w:r>
          </w:p>
        </w:tc>
        <w:tc>
          <w:tcPr>
            <w:tcW w:w="4063"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1、贮存场、填埋场的防洪标准应按重现期不小于50年一遇的洪水位设计，国家已有标准提出更高要求的除外。</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本项目防洪标准按不小于50年一遇的洪水位设计</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贮存场和填埋场一般应包括以下单元：</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a) 防渗系统、渗滤液收集和导排系统；</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b) 雨污分流系统；</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c) 分析化验与环境监测系统；</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d) 公用工程和配套设施；</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e) 地下水导排系统</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本项目设计有防渗系统、渗滤液收集和导排系统；雨污分流系统；地下水导排系统。</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分析化验与环境监测系统、公用工程和配套设施和废水处理系统依托紧邻的生活垃圾焚烧发电厂。</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utoSpaceDE w:val="0"/>
              <w:autoSpaceDN w:val="0"/>
              <w:adjustRightInd w:val="0"/>
              <w:snapToGrid w:val="0"/>
              <w:jc w:val="left"/>
              <w:rPr>
                <w:rFonts w:asciiTheme="minorEastAsia" w:hAnsiTheme="minorEastAsia" w:eastAsiaTheme="minorEastAsia" w:cstheme="minorBidi"/>
                <w:kern w:val="0"/>
                <w:szCs w:val="21"/>
              </w:rPr>
            </w:pPr>
            <w:r>
              <w:rPr>
                <w:rFonts w:asciiTheme="minorEastAsia" w:hAnsiTheme="minorEastAsia" w:eastAsiaTheme="minorEastAsia" w:cstheme="minorBidi"/>
                <w:kern w:val="0"/>
                <w:szCs w:val="21"/>
              </w:rPr>
              <w:t>2</w:t>
            </w:r>
            <w:r>
              <w:rPr>
                <w:rFonts w:hint="eastAsia" w:asciiTheme="minorEastAsia" w:hAnsiTheme="minorEastAsia" w:eastAsiaTheme="minorEastAsia" w:cstheme="minorBidi"/>
                <w:kern w:val="0"/>
                <w:szCs w:val="21"/>
              </w:rPr>
              <w:t>、II类场</w:t>
            </w:r>
            <w:r>
              <w:rPr>
                <w:rFonts w:asciiTheme="minorEastAsia" w:hAnsiTheme="minorEastAsia" w:eastAsiaTheme="minorEastAsia" w:cstheme="minorBidi"/>
                <w:kern w:val="0"/>
                <w:szCs w:val="21"/>
              </w:rPr>
              <w:t xml:space="preserve">应采用单人工复合衬层作为防渗衬层，并符合以下技术要求： </w:t>
            </w:r>
          </w:p>
          <w:p>
            <w:pPr>
              <w:autoSpaceDE w:val="0"/>
              <w:autoSpaceDN w:val="0"/>
              <w:adjustRightInd w:val="0"/>
              <w:snapToGrid w:val="0"/>
              <w:jc w:val="left"/>
              <w:rPr>
                <w:rFonts w:cs="宋体" w:asciiTheme="minorEastAsia" w:hAnsiTheme="minorEastAsia" w:eastAsiaTheme="minorEastAsia"/>
                <w:kern w:val="0"/>
                <w:szCs w:val="21"/>
              </w:rPr>
            </w:pPr>
            <w:r>
              <w:rPr>
                <w:rFonts w:asciiTheme="minorEastAsia" w:hAnsiTheme="minorEastAsia" w:eastAsiaTheme="minorEastAsia"/>
                <w:kern w:val="0"/>
                <w:szCs w:val="21"/>
              </w:rPr>
              <w:t>a</w:t>
            </w:r>
            <w:r>
              <w:rPr>
                <w:rFonts w:hint="eastAsia" w:cs="宋体" w:asciiTheme="minorEastAsia" w:hAnsiTheme="minorEastAsia" w:eastAsiaTheme="minorEastAsia"/>
                <w:kern w:val="0"/>
                <w:szCs w:val="21"/>
              </w:rPr>
              <w:t>）人工合成材料应采用高密度聚乙烯膜，厚度不小于</w:t>
            </w:r>
            <w:r>
              <w:rPr>
                <w:rFonts w:asciiTheme="minorEastAsia" w:hAnsiTheme="minorEastAsia" w:eastAsiaTheme="minorEastAsia"/>
                <w:kern w:val="0"/>
                <w:szCs w:val="21"/>
              </w:rPr>
              <w:t>1.5 mm</w:t>
            </w:r>
            <w:r>
              <w:rPr>
                <w:rFonts w:hint="eastAsia" w:cs="宋体" w:asciiTheme="minorEastAsia" w:hAnsiTheme="minorEastAsia" w:eastAsiaTheme="minorEastAsia"/>
                <w:kern w:val="0"/>
                <w:szCs w:val="21"/>
              </w:rPr>
              <w:t>，并满足</w:t>
            </w:r>
            <w:r>
              <w:rPr>
                <w:rFonts w:asciiTheme="minorEastAsia" w:hAnsiTheme="minorEastAsia" w:eastAsiaTheme="minorEastAsia"/>
                <w:kern w:val="0"/>
                <w:szCs w:val="21"/>
              </w:rPr>
              <w:t xml:space="preserve">GB/T 17643 </w:t>
            </w:r>
            <w:r>
              <w:rPr>
                <w:rFonts w:hint="eastAsia" w:cs="宋体" w:asciiTheme="minorEastAsia" w:hAnsiTheme="minorEastAsia" w:eastAsiaTheme="minorEastAsia"/>
                <w:kern w:val="0"/>
                <w:szCs w:val="21"/>
              </w:rPr>
              <w:t>规定的技术指标要求。采用其他人工合成材料的，其防渗性能至少相当于</w:t>
            </w:r>
            <w:r>
              <w:rPr>
                <w:rFonts w:asciiTheme="minorEastAsia" w:hAnsiTheme="minorEastAsia" w:eastAsiaTheme="minorEastAsia"/>
                <w:kern w:val="0"/>
                <w:szCs w:val="21"/>
              </w:rPr>
              <w:t>1.5 mm</w:t>
            </w:r>
            <w:r>
              <w:rPr>
                <w:rFonts w:hint="eastAsia" w:cs="宋体" w:asciiTheme="minorEastAsia" w:hAnsiTheme="minorEastAsia" w:eastAsiaTheme="minorEastAsia"/>
                <w:kern w:val="0"/>
                <w:szCs w:val="21"/>
              </w:rPr>
              <w:t>高密度聚乙烯膜的防渗性能。</w:t>
            </w:r>
          </w:p>
          <w:p>
            <w:pPr>
              <w:autoSpaceDE w:val="0"/>
              <w:autoSpaceDN w:val="0"/>
              <w:adjustRightInd w:val="0"/>
              <w:snapToGrid w:val="0"/>
              <w:jc w:val="left"/>
              <w:rPr>
                <w:rFonts w:asciiTheme="minorEastAsia" w:hAnsiTheme="minorEastAsia" w:eastAsiaTheme="minorEastAsia"/>
                <w:szCs w:val="21"/>
              </w:rPr>
            </w:pPr>
            <w:r>
              <w:rPr>
                <w:rFonts w:asciiTheme="minorEastAsia" w:hAnsiTheme="minorEastAsia" w:eastAsiaTheme="minorEastAsia"/>
                <w:kern w:val="0"/>
                <w:szCs w:val="21"/>
              </w:rPr>
              <w:t>b</w:t>
            </w:r>
            <w:r>
              <w:rPr>
                <w:rFonts w:hint="eastAsia" w:cs="宋体" w:asciiTheme="minorEastAsia" w:hAnsiTheme="minorEastAsia" w:eastAsiaTheme="minorEastAsia"/>
                <w:kern w:val="0"/>
                <w:szCs w:val="21"/>
              </w:rPr>
              <w:t>）粘土衬层厚度应不小于</w:t>
            </w:r>
            <w:r>
              <w:rPr>
                <w:rFonts w:asciiTheme="minorEastAsia" w:hAnsiTheme="minorEastAsia" w:eastAsiaTheme="minorEastAsia"/>
                <w:kern w:val="0"/>
                <w:szCs w:val="21"/>
              </w:rPr>
              <w:t>0.75 m</w:t>
            </w:r>
            <w:r>
              <w:rPr>
                <w:rFonts w:hint="eastAsia" w:cs="宋体" w:asciiTheme="minorEastAsia" w:hAnsiTheme="minorEastAsia" w:eastAsiaTheme="minorEastAsia"/>
                <w:kern w:val="0"/>
                <w:szCs w:val="21"/>
              </w:rPr>
              <w:t>，且经压实、人工改性等措施处理后的饱和渗透系数不应大于</w:t>
            </w:r>
            <w:r>
              <w:rPr>
                <w:rFonts w:asciiTheme="minorEastAsia" w:hAnsiTheme="minorEastAsia" w:eastAsiaTheme="minorEastAsia"/>
                <w:kern w:val="0"/>
                <w:szCs w:val="21"/>
              </w:rPr>
              <w:t>1.0×10</w:t>
            </w:r>
            <w:r>
              <w:rPr>
                <w:rFonts w:asciiTheme="minorEastAsia" w:hAnsiTheme="minorEastAsia" w:eastAsiaTheme="minorEastAsia"/>
                <w:kern w:val="0"/>
                <w:szCs w:val="21"/>
                <w:vertAlign w:val="superscript"/>
              </w:rPr>
              <w:t>-7</w:t>
            </w:r>
            <w:r>
              <w:rPr>
                <w:rFonts w:asciiTheme="minorEastAsia" w:hAnsiTheme="minorEastAsia" w:eastAsiaTheme="minorEastAsia"/>
                <w:kern w:val="0"/>
                <w:szCs w:val="21"/>
              </w:rPr>
              <w:t xml:space="preserve"> cm/s</w:t>
            </w:r>
            <w:r>
              <w:rPr>
                <w:rFonts w:hint="eastAsia" w:cs="宋体" w:asciiTheme="minorEastAsia" w:hAnsiTheme="minorEastAsia" w:eastAsiaTheme="minorEastAsia"/>
                <w:kern w:val="0"/>
                <w:szCs w:val="21"/>
              </w:rPr>
              <w:t>。使用其他粘土类防渗衬层材料时，应具有同等以上隔水效力。</w:t>
            </w:r>
          </w:p>
        </w:tc>
        <w:tc>
          <w:tcPr>
            <w:tcW w:w="2977" w:type="dxa"/>
            <w:vAlign w:val="center"/>
          </w:tcPr>
          <w:p>
            <w:pPr>
              <w:adjustRightInd w:val="0"/>
              <w:snapToGrid w:val="0"/>
              <w:jc w:val="left"/>
              <w:rPr>
                <w:rFonts w:asciiTheme="minorEastAsia" w:hAnsiTheme="minorEastAsia" w:eastAsiaTheme="minorEastAsia"/>
                <w:szCs w:val="21"/>
              </w:rPr>
            </w:pPr>
            <w:r>
              <w:rPr>
                <w:rFonts w:asciiTheme="minorEastAsia" w:hAnsiTheme="minorEastAsia" w:eastAsiaTheme="minorEastAsia"/>
                <w:szCs w:val="21"/>
              </w:rPr>
              <w:t>本项目采用满足 CJ/T234 规定的技术指标要求高密度聚乙烯膜双人工衬层，厚度为 2mm</w:t>
            </w:r>
            <w:r>
              <w:rPr>
                <w:rFonts w:hint="eastAsia" w:asciiTheme="minorEastAsia" w:hAnsiTheme="minorEastAsia" w:eastAsiaTheme="minorEastAsia"/>
                <w:szCs w:val="21"/>
              </w:rPr>
              <w:t>，防渗性能满足要求。</w:t>
            </w:r>
          </w:p>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bCs/>
                <w:szCs w:val="21"/>
              </w:rPr>
              <w:t>本项目</w:t>
            </w:r>
            <w:r>
              <w:rPr>
                <w:rFonts w:asciiTheme="minorEastAsia" w:hAnsiTheme="minorEastAsia" w:eastAsiaTheme="minorEastAsia"/>
                <w:bCs/>
                <w:szCs w:val="21"/>
              </w:rPr>
              <w:t>压实粘土渗透系数</w:t>
            </w:r>
            <w:r>
              <w:rPr>
                <w:rFonts w:hint="eastAsia" w:asciiTheme="minorEastAsia" w:hAnsiTheme="minorEastAsia" w:eastAsiaTheme="minorEastAsia"/>
                <w:bCs/>
                <w:szCs w:val="21"/>
              </w:rPr>
              <w:t>小</w:t>
            </w:r>
            <w:r>
              <w:rPr>
                <w:rFonts w:asciiTheme="minorEastAsia" w:hAnsiTheme="minorEastAsia" w:eastAsiaTheme="minorEastAsia"/>
                <w:bCs/>
                <w:szCs w:val="21"/>
              </w:rPr>
              <w:t>于1×10</w:t>
            </w:r>
            <w:r>
              <w:rPr>
                <w:rFonts w:asciiTheme="minorEastAsia" w:hAnsiTheme="minorEastAsia" w:eastAsiaTheme="minorEastAsia"/>
                <w:bCs/>
                <w:szCs w:val="21"/>
                <w:vertAlign w:val="superscript"/>
              </w:rPr>
              <w:t>-7</w:t>
            </w:r>
            <w:r>
              <w:rPr>
                <w:rFonts w:asciiTheme="minorEastAsia" w:hAnsiTheme="minorEastAsia" w:eastAsiaTheme="minorEastAsia"/>
                <w:bCs/>
                <w:szCs w:val="21"/>
              </w:rPr>
              <w:t>cm/s</w:t>
            </w:r>
            <w:r>
              <w:rPr>
                <w:rFonts w:hint="eastAsia" w:asciiTheme="minorEastAsia" w:hAnsiTheme="minorEastAsia" w:eastAsiaTheme="minorEastAsia"/>
                <w:bCs/>
                <w:szCs w:val="21"/>
              </w:rPr>
              <w:t>，</w:t>
            </w:r>
            <w:r>
              <w:rPr>
                <w:rFonts w:hint="eastAsia" w:asciiTheme="minorEastAsia" w:hAnsiTheme="minorEastAsia" w:eastAsiaTheme="minorEastAsia"/>
                <w:szCs w:val="21"/>
              </w:rPr>
              <w:t>满足要求。</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utoSpaceDE w:val="0"/>
              <w:autoSpaceDN w:val="0"/>
              <w:adjustRightInd w:val="0"/>
              <w:snapToGrid w:val="0"/>
              <w:jc w:val="left"/>
              <w:rPr>
                <w:rFonts w:cs="宋体" w:asciiTheme="minorEastAsia" w:hAnsiTheme="minorEastAsia" w:eastAsiaTheme="minorEastAsia"/>
                <w:kern w:val="0"/>
                <w:szCs w:val="21"/>
              </w:rPr>
            </w:pPr>
            <w:r>
              <w:rPr>
                <w:rFonts w:hint="eastAsia" w:asciiTheme="minorEastAsia" w:hAnsiTheme="minorEastAsia" w:eastAsiaTheme="minorEastAsia"/>
                <w:kern w:val="0"/>
                <w:szCs w:val="21"/>
              </w:rPr>
              <w:t>3、</w:t>
            </w:r>
            <w:r>
              <w:rPr>
                <w:rFonts w:hint="eastAsia" w:cs="宋体" w:asciiTheme="minorEastAsia" w:hAnsiTheme="minorEastAsia" w:eastAsiaTheme="minorEastAsia"/>
                <w:kern w:val="0"/>
                <w:szCs w:val="21"/>
              </w:rPr>
              <w:t>基础层表面应与地下水年最高水位保持</w:t>
            </w:r>
            <w:r>
              <w:rPr>
                <w:rFonts w:asciiTheme="minorEastAsia" w:hAnsiTheme="minorEastAsia" w:eastAsiaTheme="minorEastAsia"/>
                <w:kern w:val="0"/>
                <w:szCs w:val="21"/>
              </w:rPr>
              <w:t>1.5 m</w:t>
            </w:r>
            <w:r>
              <w:rPr>
                <w:rFonts w:hint="eastAsia" w:cs="宋体" w:asciiTheme="minorEastAsia" w:hAnsiTheme="minorEastAsia" w:eastAsiaTheme="minorEastAsia"/>
                <w:kern w:val="0"/>
                <w:szCs w:val="21"/>
              </w:rPr>
              <w:t>以上的距离。当场区基础层表面与地下水年最高水位距离不足</w:t>
            </w:r>
            <w:r>
              <w:rPr>
                <w:rFonts w:asciiTheme="minorEastAsia" w:hAnsiTheme="minorEastAsia" w:eastAsiaTheme="minorEastAsia"/>
                <w:kern w:val="0"/>
                <w:szCs w:val="21"/>
              </w:rPr>
              <w:t>1.5 m</w:t>
            </w:r>
            <w:r>
              <w:rPr>
                <w:rFonts w:hint="eastAsia" w:cs="宋体" w:asciiTheme="minorEastAsia" w:hAnsiTheme="minorEastAsia" w:eastAsiaTheme="minorEastAsia"/>
                <w:kern w:val="0"/>
                <w:szCs w:val="21"/>
              </w:rPr>
              <w:t>时，应建设地下水导排系统。地下水导排系统应确保</w:t>
            </w:r>
            <w:r>
              <w:rPr>
                <w:rFonts w:asciiTheme="minorEastAsia" w:hAnsiTheme="minorEastAsia" w:eastAsiaTheme="minorEastAsia"/>
                <w:kern w:val="0"/>
                <w:szCs w:val="21"/>
              </w:rPr>
              <w:t>II</w:t>
            </w:r>
            <w:r>
              <w:rPr>
                <w:rFonts w:hint="eastAsia" w:cs="宋体" w:asciiTheme="minorEastAsia" w:hAnsiTheme="minorEastAsia" w:eastAsiaTheme="minorEastAsia"/>
                <w:kern w:val="0"/>
                <w:szCs w:val="21"/>
              </w:rPr>
              <w:t>类场运行期地下水水位维持在基础层表面</w:t>
            </w:r>
            <w:r>
              <w:rPr>
                <w:rFonts w:asciiTheme="minorEastAsia" w:hAnsiTheme="minorEastAsia" w:eastAsiaTheme="minorEastAsia"/>
                <w:kern w:val="0"/>
                <w:szCs w:val="21"/>
              </w:rPr>
              <w:t>1.5 m</w:t>
            </w:r>
            <w:r>
              <w:rPr>
                <w:rFonts w:hint="eastAsia" w:cs="宋体" w:asciiTheme="minorEastAsia" w:hAnsiTheme="minorEastAsia" w:eastAsiaTheme="minorEastAsia"/>
                <w:kern w:val="0"/>
                <w:szCs w:val="21"/>
              </w:rPr>
              <w:t>以下。</w:t>
            </w:r>
          </w:p>
        </w:tc>
        <w:tc>
          <w:tcPr>
            <w:tcW w:w="2977" w:type="dxa"/>
            <w:vAlign w:val="center"/>
          </w:tcPr>
          <w:p>
            <w:pPr>
              <w:adjustRightInd w:val="0"/>
              <w:snapToGrid w:val="0"/>
              <w:jc w:val="left"/>
              <w:rPr>
                <w:rFonts w:asciiTheme="minorEastAsia" w:hAnsiTheme="minorEastAsia" w:eastAsiaTheme="minorEastAsia"/>
                <w:szCs w:val="21"/>
              </w:rPr>
            </w:pPr>
            <w:r>
              <w:rPr>
                <w:rFonts w:hint="eastAsia" w:cs="宋体" w:asciiTheme="minorEastAsia" w:hAnsiTheme="minorEastAsia" w:eastAsiaTheme="minorEastAsia"/>
                <w:kern w:val="0"/>
                <w:szCs w:val="21"/>
              </w:rPr>
              <w:t>本项目基础层表面与地下水年最高水位能保持</w:t>
            </w:r>
            <w:r>
              <w:rPr>
                <w:rFonts w:asciiTheme="minorEastAsia" w:hAnsiTheme="minorEastAsia" w:eastAsiaTheme="minorEastAsia"/>
                <w:kern w:val="0"/>
                <w:szCs w:val="21"/>
              </w:rPr>
              <w:t>1.5 m</w:t>
            </w:r>
            <w:r>
              <w:rPr>
                <w:rFonts w:hint="eastAsia" w:cs="宋体" w:asciiTheme="minorEastAsia" w:hAnsiTheme="minorEastAsia" w:eastAsiaTheme="minorEastAsia"/>
                <w:kern w:val="0"/>
                <w:szCs w:val="21"/>
              </w:rPr>
              <w:t>以上。</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adjustRightInd w:val="0"/>
              <w:snapToGrid w:val="0"/>
              <w:jc w:val="center"/>
              <w:rPr>
                <w:rFonts w:asciiTheme="minorEastAsia" w:hAnsiTheme="minorEastAsia" w:eastAsiaTheme="minorEastAsia"/>
                <w:szCs w:val="21"/>
              </w:rPr>
            </w:pPr>
          </w:p>
        </w:tc>
        <w:tc>
          <w:tcPr>
            <w:tcW w:w="4063"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II类场</w:t>
            </w:r>
            <w:r>
              <w:rPr>
                <w:rFonts w:asciiTheme="minorEastAsia" w:hAnsiTheme="minorEastAsia" w:eastAsiaTheme="minorEastAsia"/>
                <w:szCs w:val="21"/>
              </w:rPr>
              <w:t>应设置渗漏监控系统，监控防渗衬层的完整性。渗漏监控系统的构成包括但不限于防渗衬层渗漏监测设备、地下水监测井。</w:t>
            </w:r>
          </w:p>
        </w:tc>
        <w:tc>
          <w:tcPr>
            <w:tcW w:w="2977" w:type="dxa"/>
            <w:vAlign w:val="center"/>
          </w:tcPr>
          <w:p>
            <w:pPr>
              <w:adjustRightInd w:val="0"/>
              <w:snapToGrid w:val="0"/>
              <w:jc w:val="left"/>
              <w:rPr>
                <w:rFonts w:asciiTheme="minorEastAsia" w:hAnsiTheme="minorEastAsia" w:eastAsiaTheme="minorEastAsia"/>
                <w:szCs w:val="21"/>
              </w:rPr>
            </w:pPr>
            <w:r>
              <w:rPr>
                <w:rFonts w:hint="eastAsia" w:asciiTheme="minorEastAsia" w:hAnsiTheme="minorEastAsia" w:eastAsiaTheme="minorEastAsia"/>
                <w:szCs w:val="21"/>
              </w:rPr>
              <w:t>本项目</w:t>
            </w:r>
            <w:r>
              <w:rPr>
                <w:rFonts w:asciiTheme="minorEastAsia" w:hAnsiTheme="minorEastAsia" w:eastAsiaTheme="minorEastAsia"/>
                <w:szCs w:val="21"/>
              </w:rPr>
              <w:t>设置</w:t>
            </w:r>
            <w:r>
              <w:rPr>
                <w:rFonts w:hint="eastAsia" w:asciiTheme="minorEastAsia" w:hAnsiTheme="minorEastAsia" w:eastAsiaTheme="minorEastAsia"/>
                <w:szCs w:val="21"/>
              </w:rPr>
              <w:t>了</w:t>
            </w:r>
            <w:r>
              <w:rPr>
                <w:rFonts w:asciiTheme="minorEastAsia" w:hAnsiTheme="minorEastAsia" w:eastAsiaTheme="minorEastAsia"/>
                <w:szCs w:val="21"/>
              </w:rPr>
              <w:t>渗漏监控系统</w:t>
            </w:r>
            <w:r>
              <w:rPr>
                <w:rFonts w:hint="eastAsia" w:asciiTheme="minorEastAsia" w:hAnsiTheme="minorEastAsia" w:eastAsiaTheme="minorEastAsia"/>
                <w:szCs w:val="21"/>
              </w:rPr>
              <w:t>，并</w:t>
            </w:r>
            <w:r>
              <w:rPr>
                <w:rFonts w:asciiTheme="minorEastAsia" w:hAnsiTheme="minorEastAsia" w:eastAsiaTheme="minorEastAsia"/>
                <w:szCs w:val="21"/>
              </w:rPr>
              <w:t>设置三口地下水质监控井</w:t>
            </w:r>
            <w:r>
              <w:rPr>
                <w:rFonts w:hint="eastAsia" w:asciiTheme="minorEastAsia" w:hAnsiTheme="minorEastAsia" w:eastAsiaTheme="minorEastAsia"/>
                <w:szCs w:val="21"/>
              </w:rPr>
              <w:t>以</w:t>
            </w:r>
            <w:r>
              <w:rPr>
                <w:rFonts w:asciiTheme="minorEastAsia" w:hAnsiTheme="minorEastAsia" w:eastAsiaTheme="minorEastAsia"/>
                <w:szCs w:val="21"/>
              </w:rPr>
              <w:t>监控渗滤液对地下水污染</w:t>
            </w:r>
            <w:r>
              <w:rPr>
                <w:rFonts w:hint="eastAsia" w:asciiTheme="minorEastAsia" w:hAnsiTheme="minorEastAsia" w:eastAsiaTheme="minorEastAsia"/>
                <w:szCs w:val="21"/>
              </w:rPr>
              <w:t>。</w:t>
            </w:r>
          </w:p>
        </w:tc>
        <w:tc>
          <w:tcPr>
            <w:tcW w:w="666" w:type="dxa"/>
            <w:vAlign w:val="center"/>
          </w:tcPr>
          <w:p>
            <w:pPr>
              <w:adjustRightInd w:val="0"/>
              <w:snapToGrid w:val="0"/>
              <w:jc w:val="center"/>
              <w:rPr>
                <w:rFonts w:asciiTheme="minorEastAsia" w:hAnsiTheme="minorEastAsia" w:eastAsiaTheme="minorEastAsia"/>
                <w:szCs w:val="21"/>
              </w:rPr>
            </w:pPr>
            <w:r>
              <w:rPr>
                <w:rFonts w:asciiTheme="minorEastAsia" w:hAnsiTheme="minorEastAsia" w:eastAsiaTheme="minorEastAsia"/>
                <w:szCs w:val="21"/>
              </w:rPr>
              <w:t>符合</w:t>
            </w:r>
          </w:p>
        </w:tc>
      </w:tr>
    </w:tbl>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小结</w:t>
      </w:r>
    </w:p>
    <w:p>
      <w:pPr>
        <w:adjustRightInd w:val="0"/>
        <w:snapToGrid w:val="0"/>
        <w:spacing w:after="120" w:line="360" w:lineRule="auto"/>
        <w:ind w:firstLine="480" w:firstLineChars="200"/>
        <w:rPr>
          <w:sz w:val="24"/>
          <w:szCs w:val="24"/>
        </w:rPr>
      </w:pPr>
      <w:r>
        <w:rPr>
          <w:sz w:val="24"/>
          <w:szCs w:val="24"/>
        </w:rPr>
        <w:t>综上所述，本项目</w:t>
      </w:r>
      <w:r>
        <w:rPr>
          <w:rFonts w:hint="eastAsia"/>
          <w:sz w:val="24"/>
          <w:szCs w:val="24"/>
        </w:rPr>
        <w:t>选址</w:t>
      </w:r>
      <w:r>
        <w:rPr>
          <w:sz w:val="24"/>
          <w:szCs w:val="24"/>
        </w:rPr>
        <w:t>符合</w:t>
      </w:r>
      <w:r>
        <w:rPr>
          <w:rFonts w:hint="eastAsia"/>
          <w:sz w:val="24"/>
          <w:szCs w:val="24"/>
        </w:rPr>
        <w:t>《生活垃圾焚烧飞灰污染控制技术规范（试行）》（HJ1134-2020）、《生活垃圾填埋场污染控制标准》（</w:t>
      </w:r>
      <w:r>
        <w:rPr>
          <w:sz w:val="24"/>
          <w:szCs w:val="24"/>
        </w:rPr>
        <w:t>GB16889-2008</w:t>
      </w:r>
      <w:r>
        <w:rPr>
          <w:rFonts w:hint="eastAsia"/>
          <w:sz w:val="24"/>
          <w:szCs w:val="24"/>
        </w:rPr>
        <w:t>）、《生活垃圾卫生填埋处理技术规范》（</w:t>
      </w:r>
      <w:r>
        <w:rPr>
          <w:sz w:val="24"/>
          <w:szCs w:val="24"/>
        </w:rPr>
        <w:t>GB50869-2013</w:t>
      </w:r>
      <w:r>
        <w:rPr>
          <w:rFonts w:hint="eastAsia"/>
          <w:sz w:val="24"/>
          <w:szCs w:val="24"/>
        </w:rPr>
        <w:t>）、《一般工业固体废物贮存和填埋污染控制标准》(GB18599-20</w:t>
      </w:r>
      <w:r>
        <w:rPr>
          <w:sz w:val="24"/>
          <w:szCs w:val="24"/>
        </w:rPr>
        <w:t>20</w:t>
      </w:r>
      <w:r>
        <w:rPr>
          <w:rFonts w:hint="eastAsia"/>
          <w:sz w:val="24"/>
          <w:szCs w:val="24"/>
        </w:rPr>
        <w:t>)等相关技术规范、政策</w:t>
      </w:r>
      <w:r>
        <w:rPr>
          <w:sz w:val="24"/>
          <w:szCs w:val="24"/>
        </w:rPr>
        <w:t>要求。</w:t>
      </w:r>
    </w:p>
    <w:p>
      <w:pPr>
        <w:pStyle w:val="61"/>
        <w:numPr>
          <w:ilvl w:val="1"/>
          <w:numId w:val="5"/>
        </w:numPr>
        <w:tabs>
          <w:tab w:val="left" w:pos="567"/>
          <w:tab w:val="clear" w:pos="432"/>
        </w:tabs>
        <w:spacing w:before="156" w:after="156"/>
        <w:ind w:left="0" w:firstLine="0"/>
        <w:rPr>
          <w:rFonts w:ascii="Times New Roman" w:hAnsi="Times New Roman"/>
        </w:rPr>
      </w:pPr>
      <w:bookmarkStart w:id="47" w:name="_Toc94101204"/>
      <w:r>
        <w:rPr>
          <w:rFonts w:ascii="Times New Roman" w:hAnsi="Times New Roman"/>
        </w:rPr>
        <w:t>环境保护目标</w:t>
      </w:r>
      <w:bookmarkEnd w:id="47"/>
    </w:p>
    <w:p>
      <w:pPr>
        <w:adjustRightInd w:val="0"/>
        <w:snapToGrid w:val="0"/>
        <w:spacing w:line="360" w:lineRule="auto"/>
        <w:ind w:firstLine="480" w:firstLineChars="200"/>
        <w:rPr>
          <w:sz w:val="24"/>
        </w:rPr>
      </w:pPr>
      <w:r>
        <w:rPr>
          <w:sz w:val="24"/>
        </w:rPr>
        <w:t>根据对建设项目周边环境现状的调查，建设项目评价范围内无自然保护区、风景名胜区、文物古迹和饮用水源保护区等敏感目标。场址周围300m范围内无居民区、医院、学校等敏感目标。</w:t>
      </w:r>
    </w:p>
    <w:p>
      <w:pPr>
        <w:adjustRightInd w:val="0"/>
        <w:snapToGrid w:val="0"/>
        <w:spacing w:line="360" w:lineRule="auto"/>
        <w:ind w:firstLine="480" w:firstLineChars="200"/>
        <w:rPr>
          <w:sz w:val="24"/>
        </w:rPr>
      </w:pPr>
      <w:r>
        <w:rPr>
          <w:rFonts w:hint="eastAsia"/>
          <w:sz w:val="24"/>
        </w:rPr>
        <w:t>本项目周边的生态红线区属于水源涵养类，燕山水源涵养、生物多样性维护生态红线区。位于本项目东北方向的红线区域与本项目最近距离为</w:t>
      </w:r>
      <w:r>
        <w:rPr>
          <w:sz w:val="24"/>
        </w:rPr>
        <w:t>1.9</w:t>
      </w:r>
      <w:r>
        <w:rPr>
          <w:rFonts w:hint="eastAsia"/>
          <w:sz w:val="24"/>
        </w:rPr>
        <w:t>km，位于本项目西南方向的红线区域（伊逊河）与本项目最近距离为</w:t>
      </w:r>
      <w:r>
        <w:rPr>
          <w:sz w:val="24"/>
        </w:rPr>
        <w:t>1.5</w:t>
      </w:r>
      <w:r>
        <w:rPr>
          <w:rFonts w:hint="eastAsia"/>
          <w:sz w:val="24"/>
        </w:rPr>
        <w:t>km。</w:t>
      </w:r>
    </w:p>
    <w:p>
      <w:pPr>
        <w:adjustRightInd w:val="0"/>
        <w:snapToGrid w:val="0"/>
        <w:spacing w:line="360" w:lineRule="auto"/>
        <w:ind w:firstLine="480" w:firstLineChars="200"/>
        <w:rPr>
          <w:sz w:val="24"/>
        </w:rPr>
      </w:pPr>
      <w:r>
        <w:rPr>
          <w:sz w:val="24"/>
        </w:rPr>
        <w:t>根据工程性质和周围环境特征，确定评价范围内的主要居民点为大气环境保护目标，保护级别为《环境空气质量标准》(GB3095-2012)中的二级；</w:t>
      </w:r>
    </w:p>
    <w:p>
      <w:pPr>
        <w:adjustRightInd w:val="0"/>
        <w:snapToGrid w:val="0"/>
        <w:spacing w:line="360" w:lineRule="auto"/>
        <w:ind w:firstLine="480" w:firstLineChars="200"/>
        <w:rPr>
          <w:sz w:val="24"/>
        </w:rPr>
      </w:pPr>
      <w:r>
        <w:rPr>
          <w:sz w:val="24"/>
        </w:rPr>
        <w:t>本项目具体环境保护目标和保护级别见表2.9-1和表2.9-2，大气环境保护目标见附图2。</w:t>
      </w:r>
    </w:p>
    <w:p>
      <w:pPr>
        <w:tabs>
          <w:tab w:val="left" w:pos="5954"/>
        </w:tabs>
        <w:adjustRightInd w:val="0"/>
        <w:snapToGrid w:val="0"/>
        <w:jc w:val="center"/>
        <w:rPr>
          <w:b/>
          <w:sz w:val="24"/>
          <w:szCs w:val="24"/>
        </w:rPr>
      </w:pPr>
      <w:r>
        <w:rPr>
          <w:b/>
          <w:sz w:val="24"/>
          <w:szCs w:val="24"/>
        </w:rPr>
        <w:t>表2.10-1   本项目环境保护目标一览表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723"/>
        <w:gridCol w:w="1134"/>
        <w:gridCol w:w="852"/>
        <w:gridCol w:w="17"/>
        <w:gridCol w:w="975"/>
        <w:gridCol w:w="1134"/>
        <w:gridCol w:w="1275"/>
        <w:gridCol w:w="22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jc w:val="center"/>
              <w:rPr>
                <w:szCs w:val="21"/>
              </w:rPr>
            </w:pPr>
            <w:r>
              <w:rPr>
                <w:szCs w:val="21"/>
              </w:rPr>
              <w:t>环境要素</w:t>
            </w:r>
          </w:p>
        </w:tc>
        <w:tc>
          <w:tcPr>
            <w:tcW w:w="680" w:type="pct"/>
            <w:vAlign w:val="center"/>
          </w:tcPr>
          <w:p>
            <w:pPr>
              <w:jc w:val="center"/>
              <w:rPr>
                <w:szCs w:val="21"/>
              </w:rPr>
            </w:pPr>
            <w:r>
              <w:rPr>
                <w:rFonts w:hint="eastAsia" w:ascii="宋体" w:hAnsi="宋体" w:cs="宋体"/>
                <w:kern w:val="0"/>
                <w:sz w:val="20"/>
              </w:rPr>
              <w:t>名称</w:t>
            </w:r>
          </w:p>
        </w:tc>
        <w:tc>
          <w:tcPr>
            <w:tcW w:w="511" w:type="pct"/>
            <w:vAlign w:val="center"/>
          </w:tcPr>
          <w:p>
            <w:pPr>
              <w:jc w:val="center"/>
              <w:rPr>
                <w:szCs w:val="21"/>
              </w:rPr>
            </w:pPr>
            <w:r>
              <w:rPr>
                <w:rFonts w:hint="eastAsia" w:ascii="宋体" w:hAnsi="宋体" w:cs="宋体"/>
                <w:kern w:val="0"/>
                <w:sz w:val="20"/>
              </w:rPr>
              <w:t>相对厂址方位</w:t>
            </w:r>
          </w:p>
        </w:tc>
        <w:tc>
          <w:tcPr>
            <w:tcW w:w="595" w:type="pct"/>
            <w:gridSpan w:val="2"/>
            <w:vAlign w:val="center"/>
          </w:tcPr>
          <w:p>
            <w:pPr>
              <w:jc w:val="center"/>
              <w:rPr>
                <w:szCs w:val="21"/>
              </w:rPr>
            </w:pPr>
            <w:r>
              <w:rPr>
                <w:rFonts w:hint="eastAsia" w:ascii="宋体" w:hAnsi="宋体" w:cs="宋体"/>
                <w:kern w:val="0"/>
                <w:sz w:val="20"/>
              </w:rPr>
              <w:t>相对厂址距离m</w:t>
            </w:r>
          </w:p>
        </w:tc>
        <w:tc>
          <w:tcPr>
            <w:tcW w:w="680" w:type="pct"/>
            <w:shd w:val="clear" w:color="auto" w:fill="auto"/>
            <w:vAlign w:val="center"/>
          </w:tcPr>
          <w:p>
            <w:pPr>
              <w:widowControl/>
              <w:jc w:val="center"/>
              <w:rPr>
                <w:rFonts w:ascii="宋体" w:hAnsi="宋体" w:cs="宋体"/>
                <w:kern w:val="0"/>
                <w:sz w:val="20"/>
              </w:rPr>
            </w:pPr>
            <w:r>
              <w:rPr>
                <w:rFonts w:hint="eastAsia" w:ascii="宋体" w:hAnsi="宋体" w:cs="宋体"/>
                <w:kern w:val="0"/>
                <w:sz w:val="20"/>
              </w:rPr>
              <w:t>海拔高度</w:t>
            </w:r>
          </w:p>
          <w:p>
            <w:pPr>
              <w:jc w:val="center"/>
              <w:rPr>
                <w:szCs w:val="21"/>
              </w:rPr>
            </w:pPr>
            <w:r>
              <w:rPr>
                <w:kern w:val="0"/>
                <w:sz w:val="20"/>
              </w:rPr>
              <w:t>m</w:t>
            </w:r>
          </w:p>
        </w:tc>
        <w:tc>
          <w:tcPr>
            <w:tcW w:w="765" w:type="pct"/>
            <w:shd w:val="clear" w:color="auto" w:fill="auto"/>
            <w:vAlign w:val="center"/>
          </w:tcPr>
          <w:p>
            <w:pPr>
              <w:jc w:val="center"/>
              <w:rPr>
                <w:szCs w:val="21"/>
              </w:rPr>
            </w:pPr>
            <w:r>
              <w:rPr>
                <w:rFonts w:hint="eastAsia" w:ascii="宋体" w:hAnsi="宋体" w:cs="宋体"/>
                <w:kern w:val="0"/>
                <w:sz w:val="20"/>
              </w:rPr>
              <w:t>保护类型</w:t>
            </w:r>
          </w:p>
        </w:tc>
        <w:tc>
          <w:tcPr>
            <w:tcW w:w="1335" w:type="pct"/>
            <w:vAlign w:val="center"/>
          </w:tcPr>
          <w:p>
            <w:pPr>
              <w:jc w:val="center"/>
              <w:rPr>
                <w:szCs w:val="21"/>
              </w:rPr>
            </w:pPr>
            <w:r>
              <w:rPr>
                <w:szCs w:val="21"/>
              </w:rPr>
              <w:t>保护级别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restart"/>
            <w:vAlign w:val="center"/>
          </w:tcPr>
          <w:p>
            <w:pPr>
              <w:jc w:val="center"/>
              <w:rPr>
                <w:szCs w:val="21"/>
              </w:rPr>
            </w:pPr>
            <w:bookmarkStart w:id="48" w:name="_Hlk94014129"/>
            <w:r>
              <w:rPr>
                <w:szCs w:val="21"/>
              </w:rPr>
              <w:t>大气环境、环境风险</w:t>
            </w:r>
          </w:p>
          <w:p>
            <w:pPr>
              <w:jc w:val="center"/>
              <w:rPr>
                <w:szCs w:val="21"/>
              </w:rPr>
            </w:pPr>
          </w:p>
        </w:tc>
        <w:tc>
          <w:tcPr>
            <w:tcW w:w="680" w:type="pct"/>
            <w:vAlign w:val="center"/>
          </w:tcPr>
          <w:p>
            <w:pPr>
              <w:jc w:val="center"/>
              <w:rPr>
                <w:szCs w:val="21"/>
              </w:rPr>
            </w:pPr>
            <w:r>
              <w:rPr>
                <w:rFonts w:hint="eastAsia" w:ascii="宋体" w:hAnsi="宋体" w:cs="宋体"/>
                <w:kern w:val="0"/>
                <w:sz w:val="20"/>
              </w:rPr>
              <w:t>龙头山村</w:t>
            </w:r>
          </w:p>
        </w:tc>
        <w:tc>
          <w:tcPr>
            <w:tcW w:w="511" w:type="pct"/>
            <w:vAlign w:val="center"/>
          </w:tcPr>
          <w:p>
            <w:pPr>
              <w:jc w:val="center"/>
              <w:rPr>
                <w:szCs w:val="21"/>
              </w:rPr>
            </w:pPr>
            <w:r>
              <w:rPr>
                <w:kern w:val="0"/>
                <w:sz w:val="20"/>
              </w:rPr>
              <w:t>S</w:t>
            </w:r>
          </w:p>
        </w:tc>
        <w:tc>
          <w:tcPr>
            <w:tcW w:w="595" w:type="pct"/>
            <w:gridSpan w:val="2"/>
            <w:vAlign w:val="center"/>
          </w:tcPr>
          <w:p>
            <w:pPr>
              <w:jc w:val="center"/>
              <w:rPr>
                <w:szCs w:val="21"/>
              </w:rPr>
            </w:pPr>
            <w:r>
              <w:rPr>
                <w:kern w:val="0"/>
                <w:sz w:val="20"/>
              </w:rPr>
              <w:t>1050</w:t>
            </w:r>
          </w:p>
        </w:tc>
        <w:tc>
          <w:tcPr>
            <w:tcW w:w="680" w:type="pct"/>
            <w:shd w:val="clear" w:color="auto" w:fill="auto"/>
            <w:vAlign w:val="center"/>
          </w:tcPr>
          <w:p>
            <w:pPr>
              <w:jc w:val="center"/>
              <w:rPr>
                <w:szCs w:val="21"/>
              </w:rPr>
            </w:pPr>
            <w:r>
              <w:rPr>
                <w:rFonts w:ascii="Calibri" w:hAnsi="Calibri" w:cs="Calibri"/>
                <w:kern w:val="0"/>
                <w:sz w:val="20"/>
              </w:rPr>
              <w:t>933.89</w:t>
            </w:r>
          </w:p>
        </w:tc>
        <w:tc>
          <w:tcPr>
            <w:tcW w:w="765" w:type="pct"/>
            <w:shd w:val="clear" w:color="auto" w:fill="auto"/>
            <w:vAlign w:val="center"/>
          </w:tcPr>
          <w:p>
            <w:pPr>
              <w:jc w:val="center"/>
              <w:rPr>
                <w:szCs w:val="21"/>
              </w:rPr>
            </w:pPr>
            <w:r>
              <w:rPr>
                <w:rFonts w:hint="eastAsia" w:ascii="宋体" w:hAnsi="宋体" w:cs="宋体"/>
                <w:kern w:val="0"/>
                <w:sz w:val="20"/>
              </w:rPr>
              <w:t>居民区</w:t>
            </w:r>
          </w:p>
        </w:tc>
        <w:tc>
          <w:tcPr>
            <w:tcW w:w="1335" w:type="pct"/>
            <w:vMerge w:val="restart"/>
            <w:vAlign w:val="center"/>
          </w:tcPr>
          <w:p>
            <w:pPr>
              <w:jc w:val="center"/>
              <w:rPr>
                <w:szCs w:val="21"/>
              </w:rPr>
            </w:pPr>
            <w:r>
              <w:rPr>
                <w:szCs w:val="21"/>
              </w:rP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jc w:val="center"/>
              <w:rPr>
                <w:szCs w:val="21"/>
              </w:rPr>
            </w:pPr>
          </w:p>
        </w:tc>
        <w:tc>
          <w:tcPr>
            <w:tcW w:w="680" w:type="pct"/>
            <w:vAlign w:val="center"/>
          </w:tcPr>
          <w:p>
            <w:pPr>
              <w:jc w:val="center"/>
              <w:rPr>
                <w:szCs w:val="21"/>
              </w:rPr>
            </w:pPr>
            <w:r>
              <w:rPr>
                <w:rFonts w:hint="eastAsia" w:ascii="宋体" w:hAnsi="宋体" w:cs="宋体"/>
                <w:kern w:val="0"/>
                <w:sz w:val="20"/>
              </w:rPr>
              <w:t>土城子</w:t>
            </w:r>
          </w:p>
        </w:tc>
        <w:tc>
          <w:tcPr>
            <w:tcW w:w="511" w:type="pct"/>
            <w:vAlign w:val="center"/>
          </w:tcPr>
          <w:p>
            <w:pPr>
              <w:jc w:val="center"/>
              <w:rPr>
                <w:szCs w:val="21"/>
              </w:rPr>
            </w:pPr>
            <w:r>
              <w:rPr>
                <w:kern w:val="0"/>
                <w:sz w:val="20"/>
              </w:rPr>
              <w:t>WNW</w:t>
            </w:r>
          </w:p>
        </w:tc>
        <w:tc>
          <w:tcPr>
            <w:tcW w:w="595" w:type="pct"/>
            <w:gridSpan w:val="2"/>
            <w:vAlign w:val="center"/>
          </w:tcPr>
          <w:p>
            <w:pPr>
              <w:jc w:val="center"/>
              <w:rPr>
                <w:szCs w:val="21"/>
              </w:rPr>
            </w:pPr>
            <w:r>
              <w:rPr>
                <w:kern w:val="0"/>
                <w:sz w:val="20"/>
              </w:rPr>
              <w:t>1280</w:t>
            </w:r>
          </w:p>
        </w:tc>
        <w:tc>
          <w:tcPr>
            <w:tcW w:w="680" w:type="pct"/>
            <w:shd w:val="clear" w:color="auto" w:fill="auto"/>
            <w:vAlign w:val="center"/>
          </w:tcPr>
          <w:p>
            <w:pPr>
              <w:jc w:val="center"/>
              <w:rPr>
                <w:szCs w:val="21"/>
              </w:rPr>
            </w:pPr>
            <w:r>
              <w:rPr>
                <w:rFonts w:ascii="Calibri" w:hAnsi="Calibri" w:cs="Calibri"/>
                <w:kern w:val="0"/>
                <w:sz w:val="20"/>
              </w:rPr>
              <w:t>931</w:t>
            </w:r>
          </w:p>
        </w:tc>
        <w:tc>
          <w:tcPr>
            <w:tcW w:w="765" w:type="pct"/>
            <w:shd w:val="clear" w:color="auto" w:fill="auto"/>
          </w:tcPr>
          <w:p>
            <w:pPr>
              <w:jc w:val="center"/>
              <w:rPr>
                <w:szCs w:val="21"/>
              </w:rPr>
            </w:pPr>
            <w:r>
              <w:rPr>
                <w:rFonts w:hint="eastAsia"/>
              </w:rPr>
              <w:t>居民区</w:t>
            </w:r>
          </w:p>
        </w:tc>
        <w:tc>
          <w:tcPr>
            <w:tcW w:w="1335" w:type="pct"/>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widowControl/>
              <w:jc w:val="center"/>
              <w:rPr>
                <w:szCs w:val="21"/>
              </w:rPr>
            </w:pPr>
          </w:p>
        </w:tc>
        <w:tc>
          <w:tcPr>
            <w:tcW w:w="680" w:type="pct"/>
            <w:vAlign w:val="center"/>
          </w:tcPr>
          <w:p>
            <w:pPr>
              <w:jc w:val="center"/>
              <w:rPr>
                <w:szCs w:val="21"/>
              </w:rPr>
            </w:pPr>
            <w:r>
              <w:rPr>
                <w:rFonts w:hint="eastAsia" w:ascii="宋体" w:hAnsi="宋体" w:cs="宋体"/>
                <w:kern w:val="0"/>
                <w:sz w:val="20"/>
              </w:rPr>
              <w:t>多下二号村</w:t>
            </w:r>
          </w:p>
        </w:tc>
        <w:tc>
          <w:tcPr>
            <w:tcW w:w="511" w:type="pct"/>
            <w:vAlign w:val="center"/>
          </w:tcPr>
          <w:p>
            <w:pPr>
              <w:jc w:val="center"/>
              <w:rPr>
                <w:szCs w:val="21"/>
              </w:rPr>
            </w:pPr>
            <w:r>
              <w:rPr>
                <w:kern w:val="0"/>
                <w:sz w:val="20"/>
              </w:rPr>
              <w:t>N</w:t>
            </w:r>
            <w:r>
              <w:rPr>
                <w:rFonts w:hint="eastAsia"/>
                <w:kern w:val="0"/>
                <w:sz w:val="20"/>
              </w:rPr>
              <w:t>NW</w:t>
            </w:r>
          </w:p>
        </w:tc>
        <w:tc>
          <w:tcPr>
            <w:tcW w:w="595" w:type="pct"/>
            <w:gridSpan w:val="2"/>
            <w:vAlign w:val="center"/>
          </w:tcPr>
          <w:p>
            <w:pPr>
              <w:jc w:val="center"/>
              <w:rPr>
                <w:szCs w:val="21"/>
              </w:rPr>
            </w:pPr>
            <w:r>
              <w:rPr>
                <w:kern w:val="0"/>
                <w:sz w:val="20"/>
              </w:rPr>
              <w:t>1955</w:t>
            </w:r>
          </w:p>
        </w:tc>
        <w:tc>
          <w:tcPr>
            <w:tcW w:w="680" w:type="pct"/>
            <w:shd w:val="clear" w:color="auto" w:fill="auto"/>
            <w:vAlign w:val="center"/>
          </w:tcPr>
          <w:p>
            <w:pPr>
              <w:jc w:val="center"/>
              <w:rPr>
                <w:szCs w:val="21"/>
              </w:rPr>
            </w:pPr>
            <w:r>
              <w:rPr>
                <w:rFonts w:ascii="Calibri" w:hAnsi="Calibri" w:cs="Calibri"/>
                <w:kern w:val="0"/>
                <w:sz w:val="20"/>
              </w:rPr>
              <w:t>911.14</w:t>
            </w:r>
          </w:p>
        </w:tc>
        <w:tc>
          <w:tcPr>
            <w:tcW w:w="765" w:type="pct"/>
            <w:shd w:val="clear" w:color="auto" w:fill="auto"/>
          </w:tcPr>
          <w:p>
            <w:pPr>
              <w:jc w:val="center"/>
              <w:rPr>
                <w:szCs w:val="21"/>
              </w:rPr>
            </w:pPr>
            <w:r>
              <w:rPr>
                <w:rFonts w:hint="eastAsia"/>
              </w:rPr>
              <w:t>居民区</w:t>
            </w:r>
          </w:p>
        </w:tc>
        <w:tc>
          <w:tcPr>
            <w:tcW w:w="1335" w:type="pct"/>
            <w:vMerge w:val="continue"/>
            <w:vAlign w:val="center"/>
          </w:tcPr>
          <w:p>
            <w:pPr>
              <w:widowControl/>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73" w:hRule="atLeast"/>
          <w:jc w:val="center"/>
        </w:trPr>
        <w:tc>
          <w:tcPr>
            <w:tcW w:w="434" w:type="pct"/>
            <w:vMerge w:val="continue"/>
            <w:vAlign w:val="center"/>
          </w:tcPr>
          <w:p>
            <w:pPr>
              <w:widowControl/>
              <w:jc w:val="center"/>
              <w:rPr>
                <w:szCs w:val="21"/>
              </w:rPr>
            </w:pPr>
          </w:p>
        </w:tc>
        <w:tc>
          <w:tcPr>
            <w:tcW w:w="680" w:type="pct"/>
            <w:vAlign w:val="center"/>
          </w:tcPr>
          <w:p>
            <w:pPr>
              <w:jc w:val="center"/>
              <w:rPr>
                <w:szCs w:val="21"/>
              </w:rPr>
            </w:pPr>
            <w:r>
              <w:rPr>
                <w:rFonts w:hint="eastAsia"/>
                <w:szCs w:val="21"/>
              </w:rPr>
              <w:t>二十二号村</w:t>
            </w:r>
          </w:p>
        </w:tc>
        <w:tc>
          <w:tcPr>
            <w:tcW w:w="511" w:type="pct"/>
            <w:vAlign w:val="center"/>
          </w:tcPr>
          <w:p>
            <w:pPr>
              <w:jc w:val="center"/>
              <w:rPr>
                <w:szCs w:val="21"/>
              </w:rPr>
            </w:pPr>
            <w:r>
              <w:rPr>
                <w:rFonts w:hint="eastAsia"/>
                <w:szCs w:val="21"/>
              </w:rPr>
              <w:t>SE</w:t>
            </w:r>
          </w:p>
        </w:tc>
        <w:tc>
          <w:tcPr>
            <w:tcW w:w="595" w:type="pct"/>
            <w:gridSpan w:val="2"/>
            <w:vAlign w:val="center"/>
          </w:tcPr>
          <w:p>
            <w:pPr>
              <w:jc w:val="center"/>
              <w:rPr>
                <w:szCs w:val="21"/>
              </w:rPr>
            </w:pPr>
            <w:r>
              <w:rPr>
                <w:rFonts w:hint="eastAsia"/>
                <w:szCs w:val="21"/>
              </w:rPr>
              <w:t>1</w:t>
            </w:r>
            <w:r>
              <w:rPr>
                <w:szCs w:val="21"/>
              </w:rPr>
              <w:t>700</w:t>
            </w:r>
          </w:p>
        </w:tc>
        <w:tc>
          <w:tcPr>
            <w:tcW w:w="680" w:type="pct"/>
            <w:shd w:val="clear" w:color="auto" w:fill="auto"/>
            <w:vAlign w:val="center"/>
          </w:tcPr>
          <w:p>
            <w:pPr>
              <w:jc w:val="center"/>
              <w:rPr>
                <w:szCs w:val="21"/>
              </w:rPr>
            </w:pPr>
            <w:r>
              <w:rPr>
                <w:rFonts w:hint="eastAsia"/>
                <w:szCs w:val="21"/>
              </w:rPr>
              <w:t>8</w:t>
            </w:r>
            <w:r>
              <w:rPr>
                <w:szCs w:val="21"/>
              </w:rPr>
              <w:t>78.9</w:t>
            </w:r>
          </w:p>
        </w:tc>
        <w:tc>
          <w:tcPr>
            <w:tcW w:w="765" w:type="pct"/>
            <w:shd w:val="clear" w:color="auto" w:fill="auto"/>
          </w:tcPr>
          <w:p>
            <w:pPr>
              <w:jc w:val="center"/>
              <w:rPr>
                <w:szCs w:val="21"/>
              </w:rPr>
            </w:pPr>
            <w:r>
              <w:rPr>
                <w:rFonts w:hint="eastAsia"/>
              </w:rPr>
              <w:t>居民区</w:t>
            </w:r>
          </w:p>
        </w:tc>
        <w:tc>
          <w:tcPr>
            <w:tcW w:w="1335" w:type="pct"/>
            <w:vMerge w:val="continue"/>
            <w:vAlign w:val="center"/>
          </w:tcPr>
          <w:p>
            <w:pPr>
              <w:widowControl/>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widowControl/>
              <w:jc w:val="center"/>
              <w:rPr>
                <w:szCs w:val="21"/>
              </w:rPr>
            </w:pPr>
          </w:p>
        </w:tc>
        <w:tc>
          <w:tcPr>
            <w:tcW w:w="680" w:type="pct"/>
            <w:vAlign w:val="center"/>
          </w:tcPr>
          <w:p>
            <w:pPr>
              <w:jc w:val="center"/>
              <w:rPr>
                <w:szCs w:val="21"/>
              </w:rPr>
            </w:pPr>
            <w:r>
              <w:rPr>
                <w:kern w:val="0"/>
                <w:sz w:val="20"/>
              </w:rPr>
              <w:t>驰骋驾校</w:t>
            </w:r>
          </w:p>
        </w:tc>
        <w:tc>
          <w:tcPr>
            <w:tcW w:w="511" w:type="pct"/>
            <w:vAlign w:val="center"/>
          </w:tcPr>
          <w:p>
            <w:pPr>
              <w:jc w:val="center"/>
              <w:rPr>
                <w:szCs w:val="21"/>
                <w:u w:val="single"/>
              </w:rPr>
            </w:pPr>
            <w:r>
              <w:rPr>
                <w:kern w:val="0"/>
                <w:sz w:val="20"/>
              </w:rPr>
              <w:t>S</w:t>
            </w:r>
          </w:p>
        </w:tc>
        <w:tc>
          <w:tcPr>
            <w:tcW w:w="595" w:type="pct"/>
            <w:gridSpan w:val="2"/>
            <w:vAlign w:val="center"/>
          </w:tcPr>
          <w:p>
            <w:pPr>
              <w:jc w:val="center"/>
              <w:rPr>
                <w:szCs w:val="21"/>
                <w:u w:val="single"/>
              </w:rPr>
            </w:pPr>
            <w:r>
              <w:rPr>
                <w:kern w:val="0"/>
                <w:sz w:val="20"/>
              </w:rPr>
              <w:t>466</w:t>
            </w:r>
          </w:p>
        </w:tc>
        <w:tc>
          <w:tcPr>
            <w:tcW w:w="680" w:type="pct"/>
            <w:shd w:val="clear" w:color="auto" w:fill="auto"/>
            <w:vAlign w:val="center"/>
          </w:tcPr>
          <w:p>
            <w:pPr>
              <w:jc w:val="center"/>
              <w:rPr>
                <w:szCs w:val="21"/>
              </w:rPr>
            </w:pPr>
            <w:r>
              <w:rPr>
                <w:kern w:val="0"/>
                <w:sz w:val="20"/>
              </w:rPr>
              <w:t>954.88</w:t>
            </w:r>
          </w:p>
        </w:tc>
        <w:tc>
          <w:tcPr>
            <w:tcW w:w="765" w:type="pct"/>
            <w:shd w:val="clear" w:color="auto" w:fill="auto"/>
            <w:vAlign w:val="center"/>
          </w:tcPr>
          <w:p>
            <w:pPr>
              <w:jc w:val="center"/>
              <w:rPr>
                <w:szCs w:val="21"/>
              </w:rPr>
            </w:pPr>
            <w:r>
              <w:rPr>
                <w:rFonts w:hint="eastAsia"/>
                <w:kern w:val="0"/>
                <w:sz w:val="20"/>
              </w:rPr>
              <w:t>人群聚集区</w:t>
            </w:r>
          </w:p>
        </w:tc>
        <w:tc>
          <w:tcPr>
            <w:tcW w:w="1335" w:type="pct"/>
            <w:vMerge w:val="continue"/>
            <w:vAlign w:val="center"/>
          </w:tcPr>
          <w:p>
            <w:pPr>
              <w:widowControl/>
              <w:jc w:val="center"/>
              <w:rPr>
                <w:szCs w:val="21"/>
              </w:rPr>
            </w:pPr>
          </w:p>
        </w:tc>
      </w:tr>
      <w:bookmarkEnd w:id="48"/>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jc w:val="center"/>
              <w:rPr>
                <w:szCs w:val="21"/>
              </w:rPr>
            </w:pPr>
            <w:r>
              <w:rPr>
                <w:szCs w:val="21"/>
              </w:rPr>
              <w:t>地表水环境</w:t>
            </w:r>
          </w:p>
        </w:tc>
        <w:tc>
          <w:tcPr>
            <w:tcW w:w="680" w:type="pct"/>
            <w:vAlign w:val="center"/>
          </w:tcPr>
          <w:p>
            <w:pPr>
              <w:jc w:val="center"/>
              <w:rPr>
                <w:szCs w:val="21"/>
              </w:rPr>
            </w:pPr>
            <w:r>
              <w:rPr>
                <w:szCs w:val="21"/>
              </w:rPr>
              <w:t>伊逊河</w:t>
            </w:r>
          </w:p>
        </w:tc>
        <w:tc>
          <w:tcPr>
            <w:tcW w:w="511" w:type="pct"/>
            <w:vAlign w:val="center"/>
          </w:tcPr>
          <w:p>
            <w:pPr>
              <w:jc w:val="center"/>
              <w:rPr>
                <w:szCs w:val="21"/>
              </w:rPr>
            </w:pPr>
            <w:r>
              <w:rPr>
                <w:szCs w:val="21"/>
              </w:rPr>
              <w:t>西南</w:t>
            </w:r>
          </w:p>
        </w:tc>
        <w:tc>
          <w:tcPr>
            <w:tcW w:w="595" w:type="pct"/>
            <w:gridSpan w:val="2"/>
            <w:vAlign w:val="center"/>
          </w:tcPr>
          <w:p>
            <w:pPr>
              <w:jc w:val="center"/>
              <w:rPr>
                <w:szCs w:val="21"/>
              </w:rPr>
            </w:pPr>
            <w:r>
              <w:rPr>
                <w:rFonts w:hint="eastAsia"/>
                <w:szCs w:val="21"/>
              </w:rPr>
              <w:t>1500</w:t>
            </w:r>
          </w:p>
        </w:tc>
        <w:tc>
          <w:tcPr>
            <w:tcW w:w="1445" w:type="pct"/>
            <w:gridSpan w:val="2"/>
            <w:vAlign w:val="center"/>
          </w:tcPr>
          <w:p>
            <w:pPr>
              <w:jc w:val="center"/>
              <w:rPr>
                <w:szCs w:val="21"/>
              </w:rPr>
            </w:pPr>
            <w:r>
              <w:rPr>
                <w:snapToGrid w:val="0"/>
                <w:kern w:val="0"/>
                <w:szCs w:val="21"/>
              </w:rPr>
              <w:t>Ⅲ</w:t>
            </w:r>
            <w:r>
              <w:rPr>
                <w:szCs w:val="21"/>
              </w:rPr>
              <w:t>类水体</w:t>
            </w:r>
          </w:p>
        </w:tc>
        <w:tc>
          <w:tcPr>
            <w:tcW w:w="1335" w:type="pct"/>
            <w:vAlign w:val="center"/>
          </w:tcPr>
          <w:p>
            <w:pPr>
              <w:jc w:val="center"/>
              <w:rPr>
                <w:szCs w:val="21"/>
              </w:rPr>
            </w:pPr>
            <w:r>
              <w:rPr>
                <w:szCs w:val="21"/>
              </w:rPr>
              <w:t>《地表水环境质量标准》（GB3838-2002）的</w:t>
            </w:r>
            <w:r>
              <w:rPr>
                <w:snapToGrid w:val="0"/>
                <w:kern w:val="0"/>
                <w:szCs w:val="21"/>
              </w:rPr>
              <w:t>Ⅲ</w:t>
            </w:r>
            <w:r>
              <w:rPr>
                <w:szCs w:val="21"/>
              </w:rPr>
              <w:t>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jc w:val="center"/>
              <w:rPr>
                <w:szCs w:val="21"/>
              </w:rPr>
            </w:pPr>
            <w:r>
              <w:rPr>
                <w:szCs w:val="21"/>
              </w:rPr>
              <w:t>地下水环境</w:t>
            </w:r>
          </w:p>
        </w:tc>
        <w:tc>
          <w:tcPr>
            <w:tcW w:w="3231" w:type="pct"/>
            <w:gridSpan w:val="6"/>
            <w:vAlign w:val="center"/>
          </w:tcPr>
          <w:p>
            <w:pPr>
              <w:widowControl/>
              <w:jc w:val="center"/>
              <w:rPr>
                <w:szCs w:val="21"/>
              </w:rPr>
            </w:pPr>
            <w:r>
              <w:rPr>
                <w:rFonts w:hint="eastAsia"/>
                <w:szCs w:val="21"/>
              </w:rPr>
              <w:t>评价范围内的潜水含水层，土城子村、龙头山村、二十三号村居民井</w:t>
            </w:r>
          </w:p>
        </w:tc>
        <w:tc>
          <w:tcPr>
            <w:tcW w:w="1335" w:type="pct"/>
            <w:vAlign w:val="center"/>
          </w:tcPr>
          <w:p>
            <w:pPr>
              <w:jc w:val="center"/>
              <w:rPr>
                <w:szCs w:val="21"/>
              </w:rPr>
            </w:pPr>
            <w:r>
              <w:rPr>
                <w:szCs w:val="21"/>
              </w:rPr>
              <w:t>《地下水质量标准》（</w:t>
            </w:r>
            <w:r>
              <w:rPr>
                <w:snapToGrid w:val="0"/>
                <w:kern w:val="0"/>
                <w:szCs w:val="21"/>
              </w:rPr>
              <w:t>GB/T14848-2017</w:t>
            </w:r>
            <w:r>
              <w:rPr>
                <w:szCs w:val="21"/>
              </w:rPr>
              <w:t>）</w:t>
            </w:r>
            <w:r>
              <w:rPr>
                <w:snapToGrid w:val="0"/>
                <w:kern w:val="0"/>
                <w:szCs w:val="21"/>
              </w:rPr>
              <w:t>中Ⅲ类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9" w:hRule="atLeast"/>
          <w:jc w:val="center"/>
        </w:trPr>
        <w:tc>
          <w:tcPr>
            <w:tcW w:w="434" w:type="pct"/>
            <w:vMerge w:val="restart"/>
            <w:vAlign w:val="center"/>
          </w:tcPr>
          <w:p>
            <w:pPr>
              <w:jc w:val="center"/>
              <w:rPr>
                <w:szCs w:val="21"/>
              </w:rPr>
            </w:pPr>
            <w:r>
              <w:rPr>
                <w:szCs w:val="21"/>
              </w:rPr>
              <w:t>生态环境</w:t>
            </w:r>
          </w:p>
        </w:tc>
        <w:tc>
          <w:tcPr>
            <w:tcW w:w="680" w:type="pct"/>
            <w:vMerge w:val="restart"/>
            <w:vAlign w:val="center"/>
          </w:tcPr>
          <w:p>
            <w:pPr>
              <w:jc w:val="center"/>
              <w:rPr>
                <w:szCs w:val="21"/>
              </w:rPr>
            </w:pPr>
            <w:r>
              <w:rPr>
                <w:rFonts w:hint="eastAsia"/>
                <w:szCs w:val="21"/>
              </w:rPr>
              <w:t>生态红线区</w:t>
            </w:r>
          </w:p>
        </w:tc>
        <w:tc>
          <w:tcPr>
            <w:tcW w:w="521" w:type="pct"/>
            <w:gridSpan w:val="2"/>
            <w:tcBorders>
              <w:right w:val="single" w:color="auto" w:sz="4" w:space="0"/>
            </w:tcBorders>
            <w:vAlign w:val="center"/>
          </w:tcPr>
          <w:p>
            <w:pPr>
              <w:jc w:val="center"/>
              <w:rPr>
                <w:szCs w:val="21"/>
              </w:rPr>
            </w:pPr>
            <w:r>
              <w:rPr>
                <w:rFonts w:hint="eastAsia"/>
                <w:szCs w:val="21"/>
              </w:rPr>
              <w:t xml:space="preserve">西南 </w:t>
            </w:r>
          </w:p>
        </w:tc>
        <w:tc>
          <w:tcPr>
            <w:tcW w:w="585" w:type="pct"/>
            <w:tcBorders>
              <w:left w:val="single" w:color="auto" w:sz="4" w:space="0"/>
            </w:tcBorders>
            <w:vAlign w:val="center"/>
          </w:tcPr>
          <w:p>
            <w:pPr>
              <w:jc w:val="center"/>
              <w:rPr>
                <w:szCs w:val="21"/>
              </w:rPr>
            </w:pPr>
            <w:r>
              <w:rPr>
                <w:rFonts w:hint="eastAsia"/>
                <w:szCs w:val="21"/>
              </w:rPr>
              <w:t>1</w:t>
            </w:r>
            <w:r>
              <w:rPr>
                <w:szCs w:val="21"/>
              </w:rPr>
              <w:t>.5</w:t>
            </w:r>
            <w:r>
              <w:rPr>
                <w:rFonts w:hint="eastAsia"/>
                <w:szCs w:val="21"/>
              </w:rPr>
              <w:t>km</w:t>
            </w:r>
          </w:p>
        </w:tc>
        <w:tc>
          <w:tcPr>
            <w:tcW w:w="2780" w:type="pct"/>
            <w:gridSpan w:val="3"/>
            <w:vMerge w:val="restart"/>
            <w:vAlign w:val="center"/>
          </w:tcPr>
          <w:p>
            <w:pPr>
              <w:jc w:val="center"/>
              <w:rPr>
                <w:kern w:val="0"/>
                <w:szCs w:val="21"/>
              </w:rPr>
            </w:pPr>
            <w:r>
              <w:rPr>
                <w:szCs w:val="21"/>
              </w:rPr>
              <w:t>生态功能不降级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8" w:hRule="atLeast"/>
          <w:jc w:val="center"/>
        </w:trPr>
        <w:tc>
          <w:tcPr>
            <w:tcW w:w="434" w:type="pct"/>
            <w:vMerge w:val="continue"/>
            <w:vAlign w:val="center"/>
          </w:tcPr>
          <w:p>
            <w:pPr>
              <w:jc w:val="center"/>
              <w:rPr>
                <w:szCs w:val="21"/>
              </w:rPr>
            </w:pPr>
          </w:p>
        </w:tc>
        <w:tc>
          <w:tcPr>
            <w:tcW w:w="680" w:type="pct"/>
            <w:vMerge w:val="continue"/>
            <w:vAlign w:val="center"/>
          </w:tcPr>
          <w:p>
            <w:pPr>
              <w:jc w:val="center"/>
              <w:rPr>
                <w:szCs w:val="21"/>
              </w:rPr>
            </w:pPr>
          </w:p>
        </w:tc>
        <w:tc>
          <w:tcPr>
            <w:tcW w:w="521" w:type="pct"/>
            <w:gridSpan w:val="2"/>
            <w:tcBorders>
              <w:right w:val="single" w:color="auto" w:sz="4" w:space="0"/>
            </w:tcBorders>
            <w:vAlign w:val="center"/>
          </w:tcPr>
          <w:p>
            <w:pPr>
              <w:jc w:val="center"/>
              <w:rPr>
                <w:szCs w:val="21"/>
              </w:rPr>
            </w:pPr>
            <w:r>
              <w:rPr>
                <w:rFonts w:hint="eastAsia"/>
                <w:szCs w:val="21"/>
              </w:rPr>
              <w:t>东北</w:t>
            </w:r>
          </w:p>
        </w:tc>
        <w:tc>
          <w:tcPr>
            <w:tcW w:w="585" w:type="pct"/>
            <w:tcBorders>
              <w:left w:val="single" w:color="auto" w:sz="4" w:space="0"/>
            </w:tcBorders>
            <w:vAlign w:val="center"/>
          </w:tcPr>
          <w:p>
            <w:pPr>
              <w:jc w:val="center"/>
              <w:rPr>
                <w:szCs w:val="21"/>
              </w:rPr>
            </w:pPr>
            <w:r>
              <w:rPr>
                <w:rFonts w:hint="eastAsia"/>
                <w:szCs w:val="21"/>
              </w:rPr>
              <w:t>1</w:t>
            </w:r>
            <w:r>
              <w:rPr>
                <w:szCs w:val="21"/>
              </w:rPr>
              <w:t>.9</w:t>
            </w:r>
            <w:r>
              <w:rPr>
                <w:rFonts w:hint="eastAsia"/>
                <w:szCs w:val="21"/>
              </w:rPr>
              <w:t>km</w:t>
            </w:r>
          </w:p>
        </w:tc>
        <w:tc>
          <w:tcPr>
            <w:tcW w:w="2780" w:type="pct"/>
            <w:gridSpan w:val="3"/>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jc w:val="center"/>
              <w:rPr>
                <w:szCs w:val="21"/>
              </w:rPr>
            </w:pPr>
          </w:p>
        </w:tc>
        <w:tc>
          <w:tcPr>
            <w:tcW w:w="680" w:type="pct"/>
            <w:vAlign w:val="center"/>
          </w:tcPr>
          <w:p>
            <w:pPr>
              <w:jc w:val="center"/>
              <w:rPr>
                <w:szCs w:val="21"/>
              </w:rPr>
            </w:pPr>
            <w:r>
              <w:rPr>
                <w:szCs w:val="21"/>
              </w:rPr>
              <w:t>植被、林地</w:t>
            </w:r>
          </w:p>
        </w:tc>
        <w:tc>
          <w:tcPr>
            <w:tcW w:w="1106" w:type="pct"/>
            <w:gridSpan w:val="3"/>
            <w:vAlign w:val="center"/>
          </w:tcPr>
          <w:p>
            <w:pPr>
              <w:jc w:val="center"/>
              <w:rPr>
                <w:szCs w:val="21"/>
              </w:rPr>
            </w:pPr>
            <w:r>
              <w:rPr>
                <w:szCs w:val="21"/>
              </w:rPr>
              <w:t>项目周边</w:t>
            </w:r>
          </w:p>
        </w:tc>
        <w:tc>
          <w:tcPr>
            <w:tcW w:w="2780" w:type="pct"/>
            <w:gridSpan w:val="3"/>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jc w:val="center"/>
              <w:rPr>
                <w:szCs w:val="21"/>
              </w:rPr>
            </w:pPr>
            <w:r>
              <w:rPr>
                <w:rFonts w:hint="eastAsia"/>
                <w:szCs w:val="21"/>
              </w:rPr>
              <w:t>土壤</w:t>
            </w:r>
          </w:p>
        </w:tc>
        <w:tc>
          <w:tcPr>
            <w:tcW w:w="1786" w:type="pct"/>
            <w:gridSpan w:val="4"/>
            <w:vAlign w:val="center"/>
          </w:tcPr>
          <w:p>
            <w:pPr>
              <w:jc w:val="center"/>
              <w:rPr>
                <w:szCs w:val="21"/>
              </w:rPr>
            </w:pPr>
            <w:r>
              <w:rPr>
                <w:szCs w:val="21"/>
              </w:rPr>
              <w:t>厂区占地范围外1km</w:t>
            </w:r>
          </w:p>
        </w:tc>
        <w:tc>
          <w:tcPr>
            <w:tcW w:w="2780" w:type="pct"/>
            <w:gridSpan w:val="3"/>
            <w:vAlign w:val="center"/>
          </w:tcPr>
          <w:p>
            <w:pPr>
              <w:jc w:val="center"/>
              <w:rPr>
                <w:szCs w:val="21"/>
              </w:rPr>
            </w:pPr>
            <w:r>
              <w:rPr>
                <w:rFonts w:hint="eastAsia"/>
                <w:szCs w:val="21"/>
              </w:rPr>
              <w:t>《土壤环境质量农用地土壤污染风险管控标准》（试行）（GB15618-2018）表1标准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jc w:val="center"/>
              <w:rPr>
                <w:szCs w:val="21"/>
              </w:rPr>
            </w:pPr>
            <w:r>
              <w:rPr>
                <w:rFonts w:hint="eastAsia"/>
                <w:szCs w:val="21"/>
              </w:rPr>
              <w:t>声环境</w:t>
            </w:r>
          </w:p>
        </w:tc>
        <w:tc>
          <w:tcPr>
            <w:tcW w:w="1786" w:type="pct"/>
            <w:gridSpan w:val="4"/>
            <w:vAlign w:val="center"/>
          </w:tcPr>
          <w:p>
            <w:pPr>
              <w:jc w:val="center"/>
              <w:rPr>
                <w:szCs w:val="21"/>
              </w:rPr>
            </w:pPr>
            <w:r>
              <w:rPr>
                <w:rFonts w:hint="eastAsia"/>
                <w:szCs w:val="21"/>
              </w:rPr>
              <w:t>项目周边3</w:t>
            </w:r>
            <w:r>
              <w:rPr>
                <w:szCs w:val="21"/>
              </w:rPr>
              <w:t>00</w:t>
            </w:r>
            <w:r>
              <w:rPr>
                <w:rFonts w:hint="eastAsia"/>
                <w:szCs w:val="21"/>
              </w:rPr>
              <w:t>m范围无声环境敏感目标</w:t>
            </w:r>
          </w:p>
        </w:tc>
        <w:tc>
          <w:tcPr>
            <w:tcW w:w="2780" w:type="pct"/>
            <w:gridSpan w:val="3"/>
            <w:vAlign w:val="center"/>
          </w:tcPr>
          <w:p>
            <w:pPr>
              <w:jc w:val="center"/>
              <w:rPr>
                <w:szCs w:val="21"/>
              </w:rPr>
            </w:pPr>
            <w:r>
              <w:rPr>
                <w:szCs w:val="21"/>
              </w:rPr>
              <w:t>《声环境质量标准》（GB3096-2008）中2类标准</w:t>
            </w:r>
          </w:p>
        </w:tc>
      </w:tr>
    </w:tbl>
    <w:p>
      <w:pPr>
        <w:tabs>
          <w:tab w:val="left" w:pos="5954"/>
        </w:tabs>
        <w:adjustRightInd w:val="0"/>
        <w:snapToGrid w:val="0"/>
        <w:jc w:val="center"/>
        <w:rPr>
          <w:b/>
          <w:sz w:val="24"/>
          <w:szCs w:val="24"/>
        </w:rPr>
      </w:pPr>
    </w:p>
    <w:p>
      <w:pPr>
        <w:jc w:val="center"/>
        <w:rPr>
          <w:rFonts w:eastAsia="黑体"/>
          <w:sz w:val="24"/>
          <w:szCs w:val="24"/>
        </w:rPr>
      </w:pPr>
      <w:r>
        <w:rPr>
          <w:rFonts w:eastAsia="黑体"/>
          <w:sz w:val="24"/>
          <w:szCs w:val="24"/>
        </w:rPr>
        <w:t xml:space="preserve">表2.10-2    </w:t>
      </w:r>
      <w:r>
        <w:rPr>
          <w:rFonts w:hint="eastAsia" w:eastAsia="黑体"/>
          <w:sz w:val="24"/>
          <w:szCs w:val="24"/>
        </w:rPr>
        <w:t>地下水环境保护目标信息一览表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796"/>
        <w:gridCol w:w="1236"/>
        <w:gridCol w:w="461"/>
        <w:gridCol w:w="597"/>
        <w:gridCol w:w="600"/>
        <w:gridCol w:w="600"/>
        <w:gridCol w:w="600"/>
        <w:gridCol w:w="498"/>
        <w:gridCol w:w="508"/>
        <w:gridCol w:w="503"/>
        <w:gridCol w:w="19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78" w:type="pct"/>
            <w:vAlign w:val="center"/>
          </w:tcPr>
          <w:p>
            <w:pPr>
              <w:jc w:val="center"/>
              <w:rPr>
                <w:szCs w:val="21"/>
              </w:rPr>
            </w:pPr>
            <w:r>
              <w:rPr>
                <w:rFonts w:hint="eastAsia"/>
                <w:szCs w:val="21"/>
              </w:rPr>
              <w:t>名称</w:t>
            </w:r>
          </w:p>
        </w:tc>
        <w:tc>
          <w:tcPr>
            <w:tcW w:w="742" w:type="pct"/>
            <w:vAlign w:val="center"/>
          </w:tcPr>
          <w:p>
            <w:pPr>
              <w:jc w:val="center"/>
              <w:rPr>
                <w:szCs w:val="21"/>
              </w:rPr>
            </w:pPr>
            <w:r>
              <w:rPr>
                <w:rFonts w:hint="eastAsia"/>
                <w:szCs w:val="21"/>
              </w:rPr>
              <w:t>坐标</w:t>
            </w:r>
          </w:p>
        </w:tc>
        <w:tc>
          <w:tcPr>
            <w:tcW w:w="277" w:type="pct"/>
            <w:vAlign w:val="center"/>
          </w:tcPr>
          <w:p>
            <w:pPr>
              <w:jc w:val="center"/>
              <w:rPr>
                <w:szCs w:val="21"/>
              </w:rPr>
            </w:pPr>
            <w:r>
              <w:rPr>
                <w:szCs w:val="21"/>
              </w:rPr>
              <w:t>相对</w:t>
            </w:r>
          </w:p>
          <w:p>
            <w:pPr>
              <w:jc w:val="center"/>
              <w:rPr>
                <w:szCs w:val="21"/>
              </w:rPr>
            </w:pPr>
            <w:r>
              <w:rPr>
                <w:szCs w:val="21"/>
              </w:rPr>
              <w:t>方位</w:t>
            </w:r>
          </w:p>
        </w:tc>
        <w:tc>
          <w:tcPr>
            <w:tcW w:w="358" w:type="pct"/>
            <w:vAlign w:val="center"/>
          </w:tcPr>
          <w:p>
            <w:pPr>
              <w:jc w:val="center"/>
              <w:rPr>
                <w:szCs w:val="21"/>
              </w:rPr>
            </w:pPr>
            <w:r>
              <w:rPr>
                <w:rFonts w:hint="eastAsia"/>
                <w:szCs w:val="21"/>
              </w:rPr>
              <w:t>相对距离</w:t>
            </w:r>
          </w:p>
        </w:tc>
        <w:tc>
          <w:tcPr>
            <w:tcW w:w="359" w:type="pct"/>
            <w:vAlign w:val="center"/>
          </w:tcPr>
          <w:p>
            <w:pPr>
              <w:jc w:val="center"/>
              <w:rPr>
                <w:szCs w:val="21"/>
              </w:rPr>
            </w:pPr>
            <w:r>
              <w:rPr>
                <w:rFonts w:hint="eastAsia"/>
                <w:szCs w:val="21"/>
              </w:rPr>
              <w:t>高程</w:t>
            </w:r>
          </w:p>
          <w:p>
            <w:pPr>
              <w:jc w:val="center"/>
              <w:rPr>
                <w:szCs w:val="21"/>
              </w:rPr>
            </w:pPr>
            <w:r>
              <w:rPr>
                <w:rFonts w:hint="eastAsia"/>
                <w:szCs w:val="21"/>
              </w:rPr>
              <w:t>（</w:t>
            </w:r>
            <w:r>
              <w:rPr>
                <w:szCs w:val="21"/>
              </w:rPr>
              <w:t>m</w:t>
            </w:r>
            <w:r>
              <w:rPr>
                <w:rFonts w:hint="eastAsia"/>
                <w:szCs w:val="21"/>
              </w:rPr>
              <w:t>）</w:t>
            </w:r>
          </w:p>
        </w:tc>
        <w:tc>
          <w:tcPr>
            <w:tcW w:w="359" w:type="pct"/>
            <w:vAlign w:val="center"/>
          </w:tcPr>
          <w:p>
            <w:pPr>
              <w:jc w:val="center"/>
              <w:rPr>
                <w:szCs w:val="21"/>
              </w:rPr>
            </w:pPr>
            <w:r>
              <w:rPr>
                <w:rFonts w:hint="eastAsia"/>
                <w:szCs w:val="21"/>
              </w:rPr>
              <w:t>井深（</w:t>
            </w:r>
            <w:r>
              <w:rPr>
                <w:szCs w:val="21"/>
              </w:rPr>
              <w:t>m</w:t>
            </w:r>
            <w:r>
              <w:rPr>
                <w:rFonts w:hint="eastAsia"/>
                <w:szCs w:val="21"/>
              </w:rPr>
              <w:t>）</w:t>
            </w:r>
          </w:p>
        </w:tc>
        <w:tc>
          <w:tcPr>
            <w:tcW w:w="359" w:type="pct"/>
            <w:vAlign w:val="center"/>
          </w:tcPr>
          <w:p>
            <w:pPr>
              <w:jc w:val="center"/>
              <w:rPr>
                <w:szCs w:val="21"/>
              </w:rPr>
            </w:pPr>
            <w:r>
              <w:rPr>
                <w:rFonts w:hint="eastAsia"/>
                <w:szCs w:val="21"/>
              </w:rPr>
              <w:t>水位</w:t>
            </w:r>
          </w:p>
          <w:p>
            <w:pPr>
              <w:jc w:val="center"/>
              <w:rPr>
                <w:szCs w:val="21"/>
              </w:rPr>
            </w:pPr>
            <w:r>
              <w:rPr>
                <w:rFonts w:hint="eastAsia"/>
                <w:szCs w:val="21"/>
              </w:rPr>
              <w:t>埋深</w:t>
            </w:r>
          </w:p>
          <w:p>
            <w:pPr>
              <w:jc w:val="center"/>
              <w:rPr>
                <w:szCs w:val="21"/>
              </w:rPr>
            </w:pPr>
            <w:r>
              <w:rPr>
                <w:rFonts w:hint="eastAsia"/>
                <w:szCs w:val="21"/>
              </w:rPr>
              <w:t>（m）</w:t>
            </w:r>
          </w:p>
        </w:tc>
        <w:tc>
          <w:tcPr>
            <w:tcW w:w="299" w:type="pct"/>
            <w:vAlign w:val="center"/>
          </w:tcPr>
          <w:p>
            <w:pPr>
              <w:jc w:val="center"/>
              <w:rPr>
                <w:szCs w:val="21"/>
              </w:rPr>
            </w:pPr>
            <w:r>
              <w:rPr>
                <w:rFonts w:hint="eastAsia"/>
                <w:szCs w:val="21"/>
              </w:rPr>
              <w:t>取水</w:t>
            </w:r>
          </w:p>
          <w:p>
            <w:pPr>
              <w:jc w:val="center"/>
              <w:rPr>
                <w:szCs w:val="21"/>
              </w:rPr>
            </w:pPr>
            <w:r>
              <w:rPr>
                <w:rFonts w:hint="eastAsia"/>
                <w:szCs w:val="21"/>
              </w:rPr>
              <w:t>层位</w:t>
            </w:r>
          </w:p>
        </w:tc>
        <w:tc>
          <w:tcPr>
            <w:tcW w:w="305" w:type="pct"/>
            <w:vAlign w:val="center"/>
          </w:tcPr>
          <w:p>
            <w:pPr>
              <w:jc w:val="center"/>
              <w:rPr>
                <w:szCs w:val="21"/>
              </w:rPr>
            </w:pPr>
            <w:r>
              <w:rPr>
                <w:rFonts w:hint="eastAsia"/>
                <w:szCs w:val="21"/>
              </w:rPr>
              <w:t>取水</w:t>
            </w:r>
          </w:p>
          <w:p>
            <w:pPr>
              <w:jc w:val="center"/>
              <w:rPr>
                <w:szCs w:val="21"/>
              </w:rPr>
            </w:pPr>
            <w:r>
              <w:rPr>
                <w:szCs w:val="21"/>
              </w:rPr>
              <w:t>规模</w:t>
            </w:r>
          </w:p>
          <w:p>
            <w:pPr>
              <w:jc w:val="center"/>
              <w:rPr>
                <w:szCs w:val="21"/>
              </w:rPr>
            </w:pPr>
            <w:r>
              <w:rPr>
                <w:szCs w:val="21"/>
              </w:rPr>
              <w:t>m</w:t>
            </w:r>
            <w:r>
              <w:rPr>
                <w:szCs w:val="21"/>
                <w:vertAlign w:val="superscript"/>
              </w:rPr>
              <w:t>3</w:t>
            </w:r>
            <w:r>
              <w:rPr>
                <w:szCs w:val="21"/>
              </w:rPr>
              <w:t>/d</w:t>
            </w:r>
          </w:p>
        </w:tc>
        <w:tc>
          <w:tcPr>
            <w:tcW w:w="302" w:type="pct"/>
            <w:vAlign w:val="center"/>
          </w:tcPr>
          <w:p>
            <w:pPr>
              <w:jc w:val="center"/>
              <w:rPr>
                <w:szCs w:val="21"/>
              </w:rPr>
            </w:pPr>
            <w:r>
              <w:rPr>
                <w:rFonts w:hint="eastAsia"/>
                <w:szCs w:val="21"/>
              </w:rPr>
              <w:t>供水</w:t>
            </w:r>
          </w:p>
          <w:p>
            <w:pPr>
              <w:jc w:val="center"/>
              <w:rPr>
                <w:szCs w:val="21"/>
              </w:rPr>
            </w:pPr>
            <w:r>
              <w:rPr>
                <w:rFonts w:hint="eastAsia"/>
                <w:szCs w:val="21"/>
              </w:rPr>
              <w:t>人口</w:t>
            </w:r>
          </w:p>
          <w:p>
            <w:pPr>
              <w:jc w:val="center"/>
              <w:rPr>
                <w:szCs w:val="21"/>
              </w:rPr>
            </w:pPr>
            <w:r>
              <w:rPr>
                <w:szCs w:val="21"/>
              </w:rPr>
              <w:t>/</w:t>
            </w:r>
            <w:r>
              <w:rPr>
                <w:rFonts w:hint="eastAsia"/>
                <w:szCs w:val="21"/>
              </w:rPr>
              <w:t>人</w:t>
            </w:r>
          </w:p>
        </w:tc>
        <w:tc>
          <w:tcPr>
            <w:tcW w:w="1162" w:type="pct"/>
            <w:vAlign w:val="center"/>
          </w:tcPr>
          <w:p>
            <w:pPr>
              <w:jc w:val="center"/>
              <w:rPr>
                <w:szCs w:val="21"/>
              </w:rPr>
            </w:pPr>
            <w:r>
              <w:rPr>
                <w:szCs w:val="21"/>
              </w:rPr>
              <w:t>保护级别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78" w:type="pct"/>
            <w:shd w:val="clear" w:color="auto" w:fill="auto"/>
            <w:vAlign w:val="center"/>
          </w:tcPr>
          <w:p>
            <w:pPr>
              <w:jc w:val="center"/>
              <w:rPr>
                <w:szCs w:val="21"/>
              </w:rPr>
            </w:pPr>
            <w:r>
              <w:rPr>
                <w:rFonts w:hint="eastAsia"/>
                <w:szCs w:val="21"/>
              </w:rPr>
              <w:t>土城子村</w:t>
            </w:r>
          </w:p>
        </w:tc>
        <w:tc>
          <w:tcPr>
            <w:tcW w:w="742" w:type="pct"/>
            <w:vAlign w:val="center"/>
          </w:tcPr>
          <w:p>
            <w:pPr>
              <w:jc w:val="center"/>
              <w:rPr>
                <w:szCs w:val="21"/>
              </w:rPr>
            </w:pPr>
            <w:r>
              <w:rPr>
                <w:szCs w:val="21"/>
              </w:rPr>
              <w:t>117.685922</w:t>
            </w:r>
            <w:r>
              <w:rPr>
                <w:rFonts w:hint="eastAsia"/>
                <w:szCs w:val="21"/>
              </w:rPr>
              <w:t>°</w:t>
            </w:r>
          </w:p>
          <w:p>
            <w:pPr>
              <w:jc w:val="center"/>
              <w:rPr>
                <w:szCs w:val="21"/>
              </w:rPr>
            </w:pPr>
            <w:r>
              <w:rPr>
                <w:szCs w:val="21"/>
              </w:rPr>
              <w:t>41.999136</w:t>
            </w:r>
            <w:r>
              <w:rPr>
                <w:rFonts w:hint="eastAsia"/>
                <w:szCs w:val="21"/>
              </w:rPr>
              <w:t>°</w:t>
            </w:r>
          </w:p>
        </w:tc>
        <w:tc>
          <w:tcPr>
            <w:tcW w:w="277" w:type="pct"/>
            <w:vAlign w:val="center"/>
          </w:tcPr>
          <w:p>
            <w:pPr>
              <w:jc w:val="center"/>
              <w:rPr>
                <w:szCs w:val="21"/>
              </w:rPr>
            </w:pPr>
            <w:r>
              <w:rPr>
                <w:rFonts w:hint="eastAsia"/>
                <w:szCs w:val="21"/>
              </w:rPr>
              <w:t>西</w:t>
            </w:r>
          </w:p>
        </w:tc>
        <w:tc>
          <w:tcPr>
            <w:tcW w:w="358" w:type="pct"/>
            <w:vAlign w:val="center"/>
          </w:tcPr>
          <w:p>
            <w:pPr>
              <w:jc w:val="center"/>
            </w:pPr>
            <w:r>
              <w:t>1280</w:t>
            </w:r>
          </w:p>
        </w:tc>
        <w:tc>
          <w:tcPr>
            <w:tcW w:w="359" w:type="pct"/>
            <w:vAlign w:val="center"/>
          </w:tcPr>
          <w:p>
            <w:pPr>
              <w:jc w:val="center"/>
              <w:rPr>
                <w:szCs w:val="21"/>
              </w:rPr>
            </w:pPr>
            <w:r>
              <w:t>911</w:t>
            </w:r>
          </w:p>
        </w:tc>
        <w:tc>
          <w:tcPr>
            <w:tcW w:w="359" w:type="pct"/>
            <w:vAlign w:val="center"/>
          </w:tcPr>
          <w:p>
            <w:pPr>
              <w:jc w:val="center"/>
              <w:rPr>
                <w:szCs w:val="21"/>
              </w:rPr>
            </w:pPr>
            <w:r>
              <w:rPr>
                <w:rFonts w:hint="eastAsia"/>
                <w:szCs w:val="21"/>
              </w:rPr>
              <w:t>1</w:t>
            </w:r>
            <w:r>
              <w:rPr>
                <w:szCs w:val="21"/>
              </w:rPr>
              <w:t>8</w:t>
            </w:r>
          </w:p>
        </w:tc>
        <w:tc>
          <w:tcPr>
            <w:tcW w:w="359" w:type="pct"/>
            <w:vAlign w:val="center"/>
          </w:tcPr>
          <w:p>
            <w:pPr>
              <w:jc w:val="center"/>
              <w:rPr>
                <w:szCs w:val="21"/>
              </w:rPr>
            </w:pPr>
            <w:r>
              <w:t>6.83</w:t>
            </w:r>
          </w:p>
        </w:tc>
        <w:tc>
          <w:tcPr>
            <w:tcW w:w="299" w:type="pct"/>
            <w:vMerge w:val="restart"/>
            <w:vAlign w:val="center"/>
          </w:tcPr>
          <w:p>
            <w:pPr>
              <w:jc w:val="center"/>
              <w:rPr>
                <w:szCs w:val="21"/>
              </w:rPr>
            </w:pPr>
            <w:r>
              <w:rPr>
                <w:rFonts w:hint="eastAsia"/>
                <w:szCs w:val="21"/>
              </w:rPr>
              <w:t>潜水含水层</w:t>
            </w:r>
          </w:p>
        </w:tc>
        <w:tc>
          <w:tcPr>
            <w:tcW w:w="305" w:type="pct"/>
            <w:shd w:val="clear" w:color="auto" w:fill="auto"/>
            <w:vAlign w:val="center"/>
          </w:tcPr>
          <w:p>
            <w:pPr>
              <w:jc w:val="center"/>
              <w:rPr>
                <w:szCs w:val="21"/>
              </w:rPr>
            </w:pPr>
            <w:r>
              <w:rPr>
                <w:szCs w:val="21"/>
              </w:rPr>
              <w:t>8</w:t>
            </w:r>
          </w:p>
        </w:tc>
        <w:tc>
          <w:tcPr>
            <w:tcW w:w="302" w:type="pct"/>
            <w:vAlign w:val="center"/>
          </w:tcPr>
          <w:p>
            <w:pPr>
              <w:jc w:val="center"/>
              <w:rPr>
                <w:szCs w:val="21"/>
              </w:rPr>
            </w:pPr>
            <w:r>
              <w:rPr>
                <w:szCs w:val="21"/>
              </w:rPr>
              <w:t>50</w:t>
            </w:r>
          </w:p>
        </w:tc>
        <w:tc>
          <w:tcPr>
            <w:tcW w:w="1162" w:type="pct"/>
            <w:vMerge w:val="restart"/>
            <w:vAlign w:val="center"/>
          </w:tcPr>
          <w:p>
            <w:pPr>
              <w:jc w:val="center"/>
              <w:rPr>
                <w:szCs w:val="21"/>
              </w:rPr>
            </w:pPr>
            <w:r>
              <w:rPr>
                <w:szCs w:val="21"/>
              </w:rPr>
              <w:t>《地下水质量标准》（</w:t>
            </w:r>
            <w:r>
              <w:rPr>
                <w:snapToGrid w:val="0"/>
                <w:kern w:val="0"/>
                <w:szCs w:val="21"/>
              </w:rPr>
              <w:t>GB/T14848-2017</w:t>
            </w:r>
            <w:r>
              <w:rPr>
                <w:szCs w:val="21"/>
              </w:rPr>
              <w:t>）</w:t>
            </w:r>
            <w:r>
              <w:rPr>
                <w:snapToGrid w:val="0"/>
                <w:kern w:val="0"/>
                <w:szCs w:val="21"/>
              </w:rPr>
              <w:t>中Ⅲ类</w:t>
            </w:r>
            <w:r>
              <w:rPr>
                <w:rFonts w:hint="eastAsia"/>
                <w:snapToGrid w:val="0"/>
                <w:kern w:val="0"/>
                <w:szCs w:val="21"/>
              </w:rPr>
              <w:t>；石油类参照执行</w:t>
            </w:r>
            <w:r>
              <w:rPr>
                <w:szCs w:val="21"/>
              </w:rPr>
              <w:t>《地表水环境质量标准》（GB3838-2002）的</w:t>
            </w:r>
            <w:r>
              <w:rPr>
                <w:snapToGrid w:val="0"/>
                <w:kern w:val="0"/>
                <w:szCs w:val="21"/>
              </w:rPr>
              <w:t>Ⅲ</w:t>
            </w:r>
            <w:r>
              <w:rPr>
                <w:szCs w:val="21"/>
              </w:rPr>
              <w:t>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78" w:type="pct"/>
            <w:shd w:val="clear" w:color="auto" w:fill="auto"/>
            <w:vAlign w:val="center"/>
          </w:tcPr>
          <w:p>
            <w:pPr>
              <w:jc w:val="center"/>
              <w:rPr>
                <w:szCs w:val="21"/>
              </w:rPr>
            </w:pPr>
            <w:r>
              <w:rPr>
                <w:rFonts w:hint="eastAsia"/>
                <w:szCs w:val="21"/>
              </w:rPr>
              <w:t>龙头山村</w:t>
            </w:r>
          </w:p>
        </w:tc>
        <w:tc>
          <w:tcPr>
            <w:tcW w:w="742" w:type="pct"/>
            <w:vAlign w:val="center"/>
          </w:tcPr>
          <w:p>
            <w:pPr>
              <w:jc w:val="center"/>
              <w:rPr>
                <w:szCs w:val="21"/>
              </w:rPr>
            </w:pPr>
            <w:r>
              <w:rPr>
                <w:szCs w:val="21"/>
              </w:rPr>
              <w:t>117.698560</w:t>
            </w:r>
            <w:r>
              <w:rPr>
                <w:rFonts w:hint="eastAsia"/>
                <w:szCs w:val="21"/>
              </w:rPr>
              <w:t>°</w:t>
            </w:r>
          </w:p>
          <w:p>
            <w:pPr>
              <w:jc w:val="center"/>
              <w:rPr>
                <w:szCs w:val="21"/>
              </w:rPr>
            </w:pPr>
            <w:r>
              <w:rPr>
                <w:szCs w:val="21"/>
              </w:rPr>
              <w:t>41.986461</w:t>
            </w:r>
            <w:r>
              <w:rPr>
                <w:rFonts w:hint="eastAsia"/>
                <w:szCs w:val="21"/>
              </w:rPr>
              <w:t>°</w:t>
            </w:r>
          </w:p>
        </w:tc>
        <w:tc>
          <w:tcPr>
            <w:tcW w:w="277" w:type="pct"/>
            <w:vAlign w:val="center"/>
          </w:tcPr>
          <w:p>
            <w:pPr>
              <w:jc w:val="center"/>
              <w:rPr>
                <w:szCs w:val="21"/>
              </w:rPr>
            </w:pPr>
            <w:r>
              <w:rPr>
                <w:rFonts w:hint="eastAsia"/>
                <w:szCs w:val="21"/>
              </w:rPr>
              <w:t>西南</w:t>
            </w:r>
          </w:p>
        </w:tc>
        <w:tc>
          <w:tcPr>
            <w:tcW w:w="358" w:type="pct"/>
            <w:vAlign w:val="center"/>
          </w:tcPr>
          <w:p>
            <w:pPr>
              <w:jc w:val="center"/>
            </w:pPr>
            <w:r>
              <w:t>1050</w:t>
            </w:r>
          </w:p>
        </w:tc>
        <w:tc>
          <w:tcPr>
            <w:tcW w:w="359" w:type="pct"/>
            <w:vAlign w:val="center"/>
          </w:tcPr>
          <w:p>
            <w:pPr>
              <w:jc w:val="center"/>
              <w:rPr>
                <w:szCs w:val="21"/>
              </w:rPr>
            </w:pPr>
            <w:r>
              <w:t>884</w:t>
            </w:r>
          </w:p>
        </w:tc>
        <w:tc>
          <w:tcPr>
            <w:tcW w:w="359" w:type="pct"/>
            <w:vAlign w:val="center"/>
          </w:tcPr>
          <w:p>
            <w:pPr>
              <w:jc w:val="center"/>
              <w:rPr>
                <w:szCs w:val="21"/>
              </w:rPr>
            </w:pPr>
            <w:r>
              <w:rPr>
                <w:rFonts w:hint="eastAsia"/>
                <w:szCs w:val="21"/>
              </w:rPr>
              <w:t>7</w:t>
            </w:r>
          </w:p>
        </w:tc>
        <w:tc>
          <w:tcPr>
            <w:tcW w:w="359" w:type="pct"/>
            <w:vAlign w:val="center"/>
          </w:tcPr>
          <w:p>
            <w:pPr>
              <w:jc w:val="center"/>
              <w:rPr>
                <w:szCs w:val="21"/>
              </w:rPr>
            </w:pPr>
            <w:r>
              <w:t>3.27</w:t>
            </w:r>
          </w:p>
        </w:tc>
        <w:tc>
          <w:tcPr>
            <w:tcW w:w="299" w:type="pct"/>
            <w:vMerge w:val="continue"/>
            <w:vAlign w:val="center"/>
          </w:tcPr>
          <w:p>
            <w:pPr>
              <w:jc w:val="center"/>
              <w:rPr>
                <w:szCs w:val="21"/>
              </w:rPr>
            </w:pPr>
          </w:p>
        </w:tc>
        <w:tc>
          <w:tcPr>
            <w:tcW w:w="305" w:type="pct"/>
            <w:shd w:val="clear" w:color="auto" w:fill="auto"/>
            <w:vAlign w:val="center"/>
          </w:tcPr>
          <w:p>
            <w:pPr>
              <w:jc w:val="center"/>
              <w:rPr>
                <w:szCs w:val="21"/>
              </w:rPr>
            </w:pPr>
            <w:r>
              <w:rPr>
                <w:szCs w:val="21"/>
              </w:rPr>
              <w:t>23</w:t>
            </w:r>
          </w:p>
        </w:tc>
        <w:tc>
          <w:tcPr>
            <w:tcW w:w="302" w:type="pct"/>
            <w:vAlign w:val="center"/>
          </w:tcPr>
          <w:p>
            <w:pPr>
              <w:jc w:val="center"/>
              <w:rPr>
                <w:szCs w:val="21"/>
              </w:rPr>
            </w:pPr>
            <w:r>
              <w:rPr>
                <w:szCs w:val="21"/>
              </w:rPr>
              <w:t>144</w:t>
            </w:r>
          </w:p>
        </w:tc>
        <w:tc>
          <w:tcPr>
            <w:tcW w:w="1162" w:type="pct"/>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78" w:type="pct"/>
            <w:shd w:val="clear" w:color="auto" w:fill="auto"/>
            <w:vAlign w:val="center"/>
          </w:tcPr>
          <w:p>
            <w:pPr>
              <w:jc w:val="center"/>
              <w:rPr>
                <w:szCs w:val="21"/>
              </w:rPr>
            </w:pPr>
            <w:r>
              <w:rPr>
                <w:rFonts w:hint="eastAsia"/>
                <w:szCs w:val="21"/>
              </w:rPr>
              <w:t>二十三号村</w:t>
            </w:r>
          </w:p>
        </w:tc>
        <w:tc>
          <w:tcPr>
            <w:tcW w:w="742" w:type="pct"/>
            <w:vAlign w:val="center"/>
          </w:tcPr>
          <w:p>
            <w:pPr>
              <w:jc w:val="center"/>
              <w:rPr>
                <w:szCs w:val="21"/>
              </w:rPr>
            </w:pPr>
            <w:r>
              <w:rPr>
                <w:szCs w:val="21"/>
              </w:rPr>
              <w:t>117.708014</w:t>
            </w:r>
            <w:r>
              <w:rPr>
                <w:rFonts w:hint="eastAsia"/>
                <w:szCs w:val="21"/>
              </w:rPr>
              <w:t>°</w:t>
            </w:r>
          </w:p>
          <w:p>
            <w:pPr>
              <w:jc w:val="center"/>
              <w:rPr>
                <w:szCs w:val="21"/>
              </w:rPr>
            </w:pPr>
            <w:r>
              <w:rPr>
                <w:szCs w:val="21"/>
              </w:rPr>
              <w:t>41.985136</w:t>
            </w:r>
            <w:r>
              <w:rPr>
                <w:rFonts w:hint="eastAsia"/>
                <w:szCs w:val="21"/>
              </w:rPr>
              <w:t>°</w:t>
            </w:r>
          </w:p>
        </w:tc>
        <w:tc>
          <w:tcPr>
            <w:tcW w:w="277" w:type="pct"/>
            <w:vAlign w:val="center"/>
          </w:tcPr>
          <w:p>
            <w:pPr>
              <w:jc w:val="center"/>
              <w:rPr>
                <w:szCs w:val="21"/>
              </w:rPr>
            </w:pPr>
            <w:r>
              <w:rPr>
                <w:rFonts w:hint="eastAsia"/>
                <w:spacing w:val="-6"/>
                <w:szCs w:val="21"/>
              </w:rPr>
              <w:t>南偏东</w:t>
            </w:r>
          </w:p>
        </w:tc>
        <w:tc>
          <w:tcPr>
            <w:tcW w:w="358" w:type="pct"/>
            <w:vAlign w:val="center"/>
          </w:tcPr>
          <w:p>
            <w:pPr>
              <w:jc w:val="center"/>
              <w:rPr>
                <w:szCs w:val="21"/>
              </w:rPr>
            </w:pPr>
            <w:r>
              <w:rPr>
                <w:szCs w:val="21"/>
              </w:rPr>
              <w:t>1420</w:t>
            </w:r>
          </w:p>
        </w:tc>
        <w:tc>
          <w:tcPr>
            <w:tcW w:w="359" w:type="pct"/>
            <w:vAlign w:val="center"/>
          </w:tcPr>
          <w:p>
            <w:pPr>
              <w:jc w:val="center"/>
              <w:rPr>
                <w:szCs w:val="21"/>
              </w:rPr>
            </w:pPr>
            <w:r>
              <w:rPr>
                <w:szCs w:val="21"/>
              </w:rPr>
              <w:t>884.5</w:t>
            </w:r>
          </w:p>
        </w:tc>
        <w:tc>
          <w:tcPr>
            <w:tcW w:w="359" w:type="pct"/>
            <w:vAlign w:val="center"/>
          </w:tcPr>
          <w:p>
            <w:pPr>
              <w:jc w:val="center"/>
              <w:rPr>
                <w:szCs w:val="21"/>
              </w:rPr>
            </w:pPr>
            <w:r>
              <w:rPr>
                <w:rFonts w:hint="eastAsia"/>
                <w:szCs w:val="21"/>
              </w:rPr>
              <w:t>8</w:t>
            </w:r>
          </w:p>
        </w:tc>
        <w:tc>
          <w:tcPr>
            <w:tcW w:w="359" w:type="pct"/>
            <w:vAlign w:val="center"/>
          </w:tcPr>
          <w:p>
            <w:pPr>
              <w:jc w:val="center"/>
              <w:rPr>
                <w:szCs w:val="21"/>
              </w:rPr>
            </w:pPr>
            <w:r>
              <w:rPr>
                <w:szCs w:val="21"/>
              </w:rPr>
              <w:t>5.</w:t>
            </w:r>
            <w:r>
              <w:rPr>
                <w:rFonts w:hint="eastAsia"/>
                <w:szCs w:val="21"/>
              </w:rPr>
              <w:t>8</w:t>
            </w:r>
          </w:p>
        </w:tc>
        <w:tc>
          <w:tcPr>
            <w:tcW w:w="299" w:type="pct"/>
            <w:vMerge w:val="continue"/>
            <w:vAlign w:val="center"/>
          </w:tcPr>
          <w:p>
            <w:pPr>
              <w:jc w:val="center"/>
              <w:rPr>
                <w:szCs w:val="21"/>
              </w:rPr>
            </w:pPr>
          </w:p>
        </w:tc>
        <w:tc>
          <w:tcPr>
            <w:tcW w:w="305" w:type="pct"/>
            <w:shd w:val="clear" w:color="auto" w:fill="auto"/>
            <w:vAlign w:val="center"/>
          </w:tcPr>
          <w:p>
            <w:pPr>
              <w:jc w:val="center"/>
              <w:rPr>
                <w:szCs w:val="21"/>
              </w:rPr>
            </w:pPr>
            <w:r>
              <w:rPr>
                <w:szCs w:val="21"/>
              </w:rPr>
              <w:t>5</w:t>
            </w:r>
          </w:p>
        </w:tc>
        <w:tc>
          <w:tcPr>
            <w:tcW w:w="302" w:type="pct"/>
            <w:vAlign w:val="center"/>
          </w:tcPr>
          <w:p>
            <w:pPr>
              <w:widowControl/>
              <w:jc w:val="center"/>
              <w:rPr>
                <w:szCs w:val="21"/>
              </w:rPr>
            </w:pPr>
            <w:r>
              <w:rPr>
                <w:szCs w:val="21"/>
              </w:rPr>
              <w:t>30</w:t>
            </w:r>
          </w:p>
        </w:tc>
        <w:tc>
          <w:tcPr>
            <w:tcW w:w="1162" w:type="pct"/>
            <w:vMerge w:val="continue"/>
            <w:vAlign w:val="center"/>
          </w:tcPr>
          <w:p>
            <w:pPr>
              <w:widowControl/>
              <w:jc w:val="center"/>
              <w:rPr>
                <w:szCs w:val="21"/>
              </w:rPr>
            </w:pPr>
          </w:p>
        </w:tc>
      </w:tr>
    </w:tbl>
    <w:p>
      <w:pPr>
        <w:tabs>
          <w:tab w:val="left" w:pos="5954"/>
        </w:tabs>
        <w:adjustRightInd w:val="0"/>
        <w:snapToGrid w:val="0"/>
        <w:spacing w:line="360" w:lineRule="auto"/>
        <w:jc w:val="center"/>
        <w:rPr>
          <w:b/>
          <w:sz w:val="24"/>
          <w:szCs w:val="24"/>
        </w:rPr>
      </w:pPr>
    </w:p>
    <w:p>
      <w:pPr>
        <w:tabs>
          <w:tab w:val="left" w:pos="5954"/>
        </w:tabs>
        <w:adjustRightInd w:val="0"/>
        <w:snapToGrid w:val="0"/>
        <w:spacing w:line="360" w:lineRule="auto"/>
        <w:jc w:val="center"/>
        <w:rPr>
          <w:b/>
          <w:sz w:val="24"/>
          <w:szCs w:val="24"/>
        </w:rPr>
      </w:pPr>
    </w:p>
    <w:p>
      <w:pPr>
        <w:tabs>
          <w:tab w:val="left" w:pos="5954"/>
        </w:tabs>
        <w:adjustRightInd w:val="0"/>
        <w:snapToGrid w:val="0"/>
        <w:spacing w:line="360" w:lineRule="auto"/>
        <w:jc w:val="center"/>
        <w:rPr>
          <w:b/>
          <w:sz w:val="24"/>
          <w:szCs w:val="24"/>
        </w:rPr>
      </w:pPr>
    </w:p>
    <w:p>
      <w:pPr>
        <w:tabs>
          <w:tab w:val="left" w:pos="5954"/>
        </w:tabs>
        <w:adjustRightInd w:val="0"/>
        <w:snapToGrid w:val="0"/>
        <w:spacing w:line="360" w:lineRule="auto"/>
        <w:jc w:val="center"/>
        <w:rPr>
          <w:b/>
          <w:sz w:val="24"/>
          <w:szCs w:val="24"/>
        </w:rPr>
      </w:pPr>
    </w:p>
    <w:p>
      <w:pPr>
        <w:snapToGrid w:val="0"/>
        <w:spacing w:line="360" w:lineRule="auto"/>
        <w:jc w:val="center"/>
        <w:rPr>
          <w:sz w:val="23"/>
          <w:szCs w:val="23"/>
        </w:rPr>
        <w:sectPr>
          <w:headerReference r:id="rId8" w:type="default"/>
          <w:pgSz w:w="11906" w:h="16838"/>
          <w:pgMar w:top="1440" w:right="1800" w:bottom="1440" w:left="1800" w:header="851" w:footer="992" w:gutter="0"/>
          <w:cols w:space="425" w:num="1"/>
          <w:docGrid w:type="lines" w:linePitch="312" w:charSpace="0"/>
        </w:sectPr>
      </w:pPr>
    </w:p>
    <w:bookmarkEnd w:id="3"/>
    <w:bookmarkEnd w:id="4"/>
    <w:bookmarkEnd w:id="5"/>
    <w:bookmarkEnd w:id="6"/>
    <w:p>
      <w:pPr>
        <w:keepNext/>
        <w:keepLines/>
        <w:numPr>
          <w:ilvl w:val="0"/>
          <w:numId w:val="5"/>
        </w:numPr>
        <w:snapToGrid w:val="0"/>
        <w:spacing w:before="50" w:after="50" w:line="360" w:lineRule="auto"/>
        <w:jc w:val="center"/>
        <w:outlineLvl w:val="0"/>
        <w:rPr>
          <w:b/>
          <w:bCs/>
          <w:kern w:val="44"/>
          <w:sz w:val="32"/>
          <w:szCs w:val="32"/>
        </w:rPr>
      </w:pPr>
      <w:bookmarkStart w:id="49" w:name="_Toc94101205"/>
      <w:r>
        <w:rPr>
          <w:b/>
          <w:bCs/>
          <w:kern w:val="44"/>
          <w:sz w:val="32"/>
          <w:szCs w:val="32"/>
        </w:rPr>
        <w:t>项目概况与工程分析</w:t>
      </w:r>
      <w:bookmarkEnd w:id="49"/>
    </w:p>
    <w:p>
      <w:pPr>
        <w:pStyle w:val="61"/>
        <w:numPr>
          <w:ilvl w:val="1"/>
          <w:numId w:val="5"/>
        </w:numPr>
        <w:tabs>
          <w:tab w:val="left" w:pos="567"/>
          <w:tab w:val="clear" w:pos="432"/>
        </w:tabs>
        <w:spacing w:before="120" w:after="120"/>
        <w:ind w:left="0" w:firstLine="0"/>
        <w:rPr>
          <w:rFonts w:ascii="Times New Roman" w:hAnsi="Times New Roman"/>
        </w:rPr>
      </w:pPr>
      <w:bookmarkStart w:id="50" w:name="_Toc94101206"/>
      <w:r>
        <w:rPr>
          <w:rFonts w:ascii="Times New Roman" w:hAnsi="Times New Roman"/>
        </w:rPr>
        <w:t>项目概况</w:t>
      </w:r>
      <w:bookmarkEnd w:id="50"/>
    </w:p>
    <w:p>
      <w:pPr>
        <w:pStyle w:val="62"/>
        <w:numPr>
          <w:ilvl w:val="2"/>
          <w:numId w:val="5"/>
        </w:numPr>
        <w:tabs>
          <w:tab w:val="left" w:pos="567"/>
        </w:tabs>
        <w:spacing w:before="120" w:after="120"/>
        <w:ind w:left="0" w:firstLine="0"/>
        <w:rPr>
          <w:rFonts w:ascii="Times New Roman" w:hAnsi="Times New Roman"/>
        </w:rPr>
      </w:pPr>
      <w:r>
        <w:rPr>
          <w:rFonts w:ascii="Times New Roman" w:hAnsi="Times New Roman"/>
        </w:rPr>
        <w:t>项目基本情况</w:t>
      </w:r>
    </w:p>
    <w:p>
      <w:pPr>
        <w:adjustRightInd w:val="0"/>
        <w:snapToGrid w:val="0"/>
        <w:spacing w:line="360" w:lineRule="auto"/>
        <w:ind w:firstLine="498" w:firstLineChars="200"/>
        <w:rPr>
          <w:spacing w:val="4"/>
          <w:sz w:val="24"/>
          <w:szCs w:val="28"/>
        </w:rPr>
      </w:pPr>
      <w:bookmarkStart w:id="51" w:name="_Hlk88665399"/>
      <w:r>
        <w:rPr>
          <w:b/>
          <w:spacing w:val="4"/>
          <w:sz w:val="24"/>
          <w:szCs w:val="28"/>
        </w:rPr>
        <w:t>（1）项目名称：</w:t>
      </w:r>
      <w:r>
        <w:rPr>
          <w:spacing w:val="4"/>
          <w:sz w:val="24"/>
          <w:szCs w:val="28"/>
        </w:rPr>
        <w:t>围场满族蒙古族自治县静脉产业园飞灰填埋场项目；</w:t>
      </w:r>
    </w:p>
    <w:p>
      <w:pPr>
        <w:adjustRightInd w:val="0"/>
        <w:snapToGrid w:val="0"/>
        <w:spacing w:line="360" w:lineRule="auto"/>
        <w:ind w:firstLine="498" w:firstLineChars="200"/>
        <w:rPr>
          <w:spacing w:val="4"/>
          <w:sz w:val="24"/>
          <w:szCs w:val="28"/>
        </w:rPr>
      </w:pPr>
      <w:r>
        <w:rPr>
          <w:b/>
          <w:spacing w:val="4"/>
          <w:sz w:val="24"/>
          <w:szCs w:val="28"/>
        </w:rPr>
        <w:t>（2）建设单位：</w:t>
      </w:r>
      <w:bookmarkStart w:id="52" w:name="_Hlk88665523"/>
      <w:r>
        <w:rPr>
          <w:sz w:val="24"/>
        </w:rPr>
        <w:t>围场满族蒙古族自治县塞罕坝综合执法大队</w:t>
      </w:r>
      <w:bookmarkEnd w:id="52"/>
      <w:r>
        <w:rPr>
          <w:sz w:val="24"/>
        </w:rPr>
        <w:t>；</w:t>
      </w:r>
    </w:p>
    <w:p>
      <w:pPr>
        <w:adjustRightInd w:val="0"/>
        <w:snapToGrid w:val="0"/>
        <w:spacing w:line="360" w:lineRule="auto"/>
        <w:ind w:firstLine="498" w:firstLineChars="200"/>
        <w:rPr>
          <w:spacing w:val="4"/>
          <w:sz w:val="24"/>
          <w:szCs w:val="28"/>
        </w:rPr>
      </w:pPr>
      <w:r>
        <w:rPr>
          <w:b/>
          <w:spacing w:val="4"/>
          <w:sz w:val="24"/>
          <w:szCs w:val="28"/>
        </w:rPr>
        <w:t>（3）项目性质：</w:t>
      </w:r>
      <w:r>
        <w:rPr>
          <w:rFonts w:hint="eastAsia"/>
          <w:spacing w:val="4"/>
          <w:sz w:val="24"/>
          <w:szCs w:val="28"/>
        </w:rPr>
        <w:t>新建；</w:t>
      </w:r>
    </w:p>
    <w:p>
      <w:pPr>
        <w:adjustRightInd w:val="0"/>
        <w:snapToGrid w:val="0"/>
        <w:spacing w:line="360" w:lineRule="auto"/>
        <w:ind w:firstLine="498" w:firstLineChars="200"/>
        <w:rPr>
          <w:spacing w:val="4"/>
          <w:sz w:val="24"/>
          <w:szCs w:val="28"/>
        </w:rPr>
      </w:pPr>
      <w:r>
        <w:rPr>
          <w:b/>
          <w:spacing w:val="4"/>
          <w:sz w:val="24"/>
          <w:szCs w:val="28"/>
        </w:rPr>
        <w:t>（4）建设地点</w:t>
      </w:r>
      <w:bookmarkStart w:id="53" w:name="_Hlk79583612"/>
      <w:bookmarkStart w:id="54" w:name="_Hlk76117805"/>
      <w:r>
        <w:rPr>
          <w:b/>
          <w:spacing w:val="4"/>
          <w:sz w:val="24"/>
          <w:szCs w:val="28"/>
        </w:rPr>
        <w:t>：</w:t>
      </w:r>
      <w:bookmarkStart w:id="55" w:name="_Hlk88659744"/>
      <w:r>
        <w:rPr>
          <w:rFonts w:hint="eastAsia"/>
          <w:spacing w:val="4"/>
          <w:sz w:val="24"/>
          <w:szCs w:val="28"/>
        </w:rPr>
        <w:t>建设项目选址为河北省承德市围场满族蒙古族自治县龙头山镇龙头山村烟囱水大沟，场址紧邻围场满族蒙古族自治县静脉产业园生活垃圾焚烧发电项目</w:t>
      </w:r>
      <w:bookmarkStart w:id="56" w:name="_Hlk110352283"/>
      <w:r>
        <w:rPr>
          <w:rFonts w:hint="eastAsia"/>
          <w:spacing w:val="4"/>
          <w:sz w:val="24"/>
          <w:szCs w:val="28"/>
        </w:rPr>
        <w:t>。</w:t>
      </w:r>
      <w:bookmarkEnd w:id="53"/>
      <w:r>
        <w:rPr>
          <w:spacing w:val="4"/>
          <w:sz w:val="24"/>
          <w:szCs w:val="28"/>
        </w:rPr>
        <w:t>中心地理坐标为东经117.7068078671</w:t>
      </w:r>
      <w:r>
        <w:rPr>
          <w:rFonts w:hint="eastAsia"/>
          <w:spacing w:val="4"/>
          <w:sz w:val="24"/>
          <w:szCs w:val="28"/>
        </w:rPr>
        <w:t>°</w:t>
      </w:r>
      <w:r>
        <w:rPr>
          <w:spacing w:val="4"/>
          <w:sz w:val="24"/>
          <w:szCs w:val="28"/>
        </w:rPr>
        <w:t>，北纬41.9962995546</w:t>
      </w:r>
      <w:r>
        <w:rPr>
          <w:rFonts w:hint="eastAsia"/>
          <w:spacing w:val="4"/>
          <w:sz w:val="24"/>
          <w:szCs w:val="28"/>
        </w:rPr>
        <w:t>°。</w:t>
      </w:r>
      <w:bookmarkEnd w:id="55"/>
    </w:p>
    <w:bookmarkEnd w:id="56"/>
    <w:p>
      <w:pPr>
        <w:adjustRightInd w:val="0"/>
        <w:snapToGrid w:val="0"/>
        <w:spacing w:line="360" w:lineRule="auto"/>
        <w:ind w:firstLine="480" w:firstLineChars="200"/>
        <w:rPr>
          <w:sz w:val="24"/>
        </w:rPr>
      </w:pPr>
      <w:r>
        <w:rPr>
          <w:rFonts w:hint="eastAsia"/>
          <w:sz w:val="24"/>
        </w:rPr>
        <w:t>四至：场址西侧2</w:t>
      </w:r>
      <w:r>
        <w:rPr>
          <w:sz w:val="24"/>
        </w:rPr>
        <w:t>80</w:t>
      </w:r>
      <w:r>
        <w:rPr>
          <w:rFonts w:hint="eastAsia"/>
          <w:sz w:val="24"/>
        </w:rPr>
        <w:t>m为围场县现有垃圾填埋场填埋区，南侧2</w:t>
      </w:r>
      <w:r>
        <w:rPr>
          <w:sz w:val="24"/>
        </w:rPr>
        <w:t>00</w:t>
      </w:r>
      <w:r>
        <w:rPr>
          <w:rFonts w:hint="eastAsia"/>
          <w:sz w:val="24"/>
        </w:rPr>
        <w:t>m为围场县生活垃圾焚烧发电项目，南侧</w:t>
      </w:r>
      <w:r>
        <w:rPr>
          <w:sz w:val="24"/>
        </w:rPr>
        <w:t>466</w:t>
      </w:r>
      <w:r>
        <w:rPr>
          <w:rFonts w:hint="eastAsia"/>
          <w:sz w:val="24"/>
        </w:rPr>
        <w:t>m为驰骋驾校训练场，南侧</w:t>
      </w:r>
      <w:r>
        <w:rPr>
          <w:sz w:val="24"/>
        </w:rPr>
        <w:t>1050</w:t>
      </w:r>
      <w:r>
        <w:rPr>
          <w:rFonts w:hint="eastAsia"/>
          <w:sz w:val="24"/>
        </w:rPr>
        <w:t>m为龙头山村居民区；西北方向1</w:t>
      </w:r>
      <w:r>
        <w:rPr>
          <w:sz w:val="24"/>
        </w:rPr>
        <w:t>280</w:t>
      </w:r>
      <w:r>
        <w:rPr>
          <w:rFonts w:hint="eastAsia"/>
          <w:sz w:val="24"/>
        </w:rPr>
        <w:t>m处为土城子村，西北方向</w:t>
      </w:r>
      <w:r>
        <w:rPr>
          <w:sz w:val="24"/>
        </w:rPr>
        <w:t>1955</w:t>
      </w:r>
      <w:r>
        <w:rPr>
          <w:rFonts w:hint="eastAsia"/>
          <w:sz w:val="24"/>
        </w:rPr>
        <w:t>m处为多下二号村。其余方向</w:t>
      </w:r>
      <w:r>
        <w:rPr>
          <w:sz w:val="24"/>
        </w:rPr>
        <w:t>300</w:t>
      </w:r>
      <w:r>
        <w:rPr>
          <w:rFonts w:hint="eastAsia"/>
          <w:sz w:val="24"/>
        </w:rPr>
        <w:t>m范围内为荒地和林地，无居民区等环境敏感点。</w:t>
      </w:r>
    </w:p>
    <w:p>
      <w:pPr>
        <w:adjustRightInd w:val="0"/>
        <w:snapToGrid w:val="0"/>
        <w:spacing w:line="360" w:lineRule="auto"/>
        <w:ind w:firstLine="480" w:firstLineChars="200"/>
        <w:rPr>
          <w:sz w:val="24"/>
        </w:rPr>
      </w:pPr>
      <w:r>
        <w:rPr>
          <w:sz w:val="24"/>
        </w:rPr>
        <w:t>项目地理位置详见附图1。</w:t>
      </w:r>
    </w:p>
    <w:bookmarkEnd w:id="54"/>
    <w:p>
      <w:pPr>
        <w:adjustRightInd w:val="0"/>
        <w:snapToGrid w:val="0"/>
        <w:spacing w:line="360" w:lineRule="auto"/>
        <w:ind w:firstLine="498" w:firstLineChars="200"/>
        <w:rPr>
          <w:b/>
          <w:spacing w:val="4"/>
          <w:sz w:val="24"/>
        </w:rPr>
      </w:pPr>
      <w:r>
        <w:rPr>
          <w:b/>
          <w:spacing w:val="4"/>
          <w:sz w:val="24"/>
        </w:rPr>
        <w:t>（5）建设内容及规模：</w:t>
      </w:r>
    </w:p>
    <w:p>
      <w:pPr>
        <w:adjustRightInd w:val="0"/>
        <w:snapToGrid w:val="0"/>
        <w:spacing w:line="360" w:lineRule="auto"/>
        <w:ind w:firstLine="480" w:firstLineChars="200"/>
        <w:rPr>
          <w:spacing w:val="4"/>
          <w:sz w:val="24"/>
        </w:rPr>
      </w:pPr>
      <w:bookmarkStart w:id="57" w:name="_Hlk110352240"/>
      <w:r>
        <w:rPr>
          <w:rFonts w:hint="eastAsia"/>
          <w:sz w:val="24"/>
          <w:szCs w:val="24"/>
        </w:rPr>
        <w:t>填埋场总</w:t>
      </w:r>
      <w:r>
        <w:rPr>
          <w:sz w:val="24"/>
          <w:szCs w:val="24"/>
        </w:rPr>
        <w:t>占地面积</w:t>
      </w:r>
      <w:r>
        <w:rPr>
          <w:rFonts w:hint="eastAsia"/>
          <w:sz w:val="24"/>
          <w:szCs w:val="24"/>
        </w:rPr>
        <w:t>约</w:t>
      </w:r>
      <w:r>
        <w:rPr>
          <w:sz w:val="24"/>
          <w:szCs w:val="24"/>
        </w:rPr>
        <w:t>45</w:t>
      </w:r>
      <w:r>
        <w:rPr>
          <w:rFonts w:hint="eastAsia"/>
          <w:sz w:val="24"/>
          <w:szCs w:val="24"/>
        </w:rPr>
        <w:t>亩，其中库区占地</w:t>
      </w:r>
      <w:r>
        <w:rPr>
          <w:sz w:val="24"/>
          <w:szCs w:val="24"/>
        </w:rPr>
        <w:t>41.5</w:t>
      </w:r>
      <w:r>
        <w:rPr>
          <w:rFonts w:hint="eastAsia"/>
          <w:sz w:val="24"/>
          <w:szCs w:val="24"/>
        </w:rPr>
        <w:t>亩，管理区占地3.5亩。飞灰填埋区容积为20</w:t>
      </w:r>
      <w:r>
        <w:rPr>
          <w:sz w:val="24"/>
          <w:szCs w:val="24"/>
        </w:rPr>
        <w:t>万m</w:t>
      </w:r>
      <w:r>
        <w:rPr>
          <w:sz w:val="24"/>
          <w:szCs w:val="24"/>
          <w:vertAlign w:val="superscript"/>
        </w:rPr>
        <w:t>3</w:t>
      </w:r>
      <w:r>
        <w:rPr>
          <w:rFonts w:hint="eastAsia"/>
          <w:sz w:val="24"/>
          <w:szCs w:val="24"/>
        </w:rPr>
        <w:t>，</w:t>
      </w:r>
      <w:r>
        <w:rPr>
          <w:sz w:val="24"/>
          <w:szCs w:val="24"/>
        </w:rPr>
        <w:t>使用年限</w:t>
      </w:r>
      <w:r>
        <w:rPr>
          <w:rFonts w:hint="eastAsia"/>
          <w:sz w:val="24"/>
          <w:szCs w:val="24"/>
        </w:rPr>
        <w:t>30</w:t>
      </w:r>
      <w:r>
        <w:rPr>
          <w:sz w:val="24"/>
          <w:szCs w:val="24"/>
        </w:rPr>
        <w:t>年</w:t>
      </w:r>
      <w:r>
        <w:rPr>
          <w:rFonts w:hint="eastAsia"/>
          <w:sz w:val="24"/>
          <w:szCs w:val="24"/>
        </w:rPr>
        <w:t>。主要建设内容包括飞灰填埋库区、防渗系统、渗滤液收集及导排系统等。</w:t>
      </w:r>
      <w:r>
        <w:rPr>
          <w:rFonts w:hint="eastAsia"/>
          <w:spacing w:val="4"/>
          <w:sz w:val="24"/>
        </w:rPr>
        <w:t>飞灰填埋规模为19.88t/d。</w:t>
      </w:r>
    </w:p>
    <w:bookmarkEnd w:id="57"/>
    <w:p>
      <w:pPr>
        <w:spacing w:line="360" w:lineRule="auto"/>
        <w:ind w:firstLine="474" w:firstLineChars="200"/>
        <w:rPr>
          <w:b/>
          <w:spacing w:val="-2"/>
          <w:sz w:val="24"/>
        </w:rPr>
      </w:pPr>
      <w:r>
        <w:rPr>
          <w:rFonts w:hint="eastAsia"/>
          <w:b/>
          <w:spacing w:val="-2"/>
          <w:sz w:val="24"/>
        </w:rPr>
        <w:t>（6）服务范围：</w:t>
      </w:r>
      <w:bookmarkStart w:id="58" w:name="_Hlk78896639"/>
    </w:p>
    <w:p>
      <w:pPr>
        <w:spacing w:line="360" w:lineRule="auto"/>
        <w:ind w:firstLine="472" w:firstLineChars="200"/>
        <w:rPr>
          <w:bCs/>
          <w:spacing w:val="-2"/>
          <w:sz w:val="24"/>
        </w:rPr>
      </w:pPr>
      <w:bookmarkStart w:id="59" w:name="_Hlk108430622"/>
      <w:r>
        <w:rPr>
          <w:rFonts w:hint="eastAsia"/>
          <w:bCs/>
          <w:spacing w:val="-2"/>
          <w:sz w:val="24"/>
        </w:rPr>
        <w:t>为</w:t>
      </w:r>
      <w:r>
        <w:rPr>
          <w:rFonts w:hint="eastAsia"/>
          <w:bCs/>
          <w:spacing w:val="4"/>
          <w:sz w:val="24"/>
          <w:szCs w:val="28"/>
        </w:rPr>
        <w:t>围场满族蒙古族自治县静脉产业园生活垃圾焚烧发电</w:t>
      </w:r>
      <w:r>
        <w:rPr>
          <w:bCs/>
          <w:spacing w:val="-2"/>
          <w:sz w:val="24"/>
        </w:rPr>
        <w:t>项目产生的生活垃圾焚烧固化稳定化后的飞灰</w:t>
      </w:r>
      <w:r>
        <w:rPr>
          <w:rFonts w:hint="eastAsia"/>
          <w:bCs/>
          <w:spacing w:val="-2"/>
          <w:sz w:val="24"/>
        </w:rPr>
        <w:t>和围场县在建的10座垃圾热解焚烧炉产生的固化后飞灰。</w:t>
      </w:r>
    </w:p>
    <w:bookmarkEnd w:id="51"/>
    <w:bookmarkEnd w:id="58"/>
    <w:bookmarkEnd w:id="59"/>
    <w:p>
      <w:pPr>
        <w:pStyle w:val="77"/>
        <w:ind w:firstLine="498" w:firstLineChars="200"/>
        <w:rPr>
          <w:color w:val="auto"/>
          <w:spacing w:val="4"/>
          <w:szCs w:val="28"/>
        </w:rPr>
      </w:pPr>
      <w:r>
        <w:rPr>
          <w:b/>
          <w:color w:val="auto"/>
          <w:spacing w:val="4"/>
          <w:szCs w:val="28"/>
        </w:rPr>
        <w:t>（7）投资总额：</w:t>
      </w:r>
      <w:bookmarkStart w:id="60" w:name="_Hlk93591349"/>
      <w:r>
        <w:rPr>
          <w:color w:val="auto"/>
        </w:rPr>
        <w:t>本项目总投资</w:t>
      </w:r>
      <w:r>
        <w:rPr>
          <w:rFonts w:hint="eastAsia"/>
          <w:color w:val="auto"/>
        </w:rPr>
        <w:t>3825.45</w:t>
      </w:r>
      <w:r>
        <w:rPr>
          <w:color w:val="auto"/>
        </w:rPr>
        <w:t>万元，</w:t>
      </w:r>
      <w:bookmarkStart w:id="61" w:name="_Hlk81240635"/>
      <w:r>
        <w:rPr>
          <w:color w:val="auto"/>
        </w:rPr>
        <w:t>其中环保投资1378.5万元，占项目总投资的</w:t>
      </w:r>
      <w:r>
        <w:rPr>
          <w:rFonts w:hint="eastAsia"/>
          <w:color w:val="auto"/>
        </w:rPr>
        <w:t>36</w:t>
      </w:r>
      <w:r>
        <w:rPr>
          <w:color w:val="auto"/>
        </w:rPr>
        <w:t>%。</w:t>
      </w:r>
    </w:p>
    <w:bookmarkEnd w:id="60"/>
    <w:bookmarkEnd w:id="61"/>
    <w:p>
      <w:pPr>
        <w:spacing w:line="360" w:lineRule="auto"/>
        <w:ind w:firstLine="474" w:firstLineChars="200"/>
        <w:rPr>
          <w:sz w:val="24"/>
        </w:rPr>
      </w:pPr>
      <w:r>
        <w:rPr>
          <w:b/>
          <w:spacing w:val="-2"/>
          <w:sz w:val="24"/>
        </w:rPr>
        <w:t>（8）占地面积：</w:t>
      </w:r>
      <w:bookmarkStart w:id="62" w:name="_Hlk80263316"/>
      <w:r>
        <w:rPr>
          <w:spacing w:val="-2"/>
          <w:sz w:val="24"/>
        </w:rPr>
        <w:t>本</w:t>
      </w:r>
      <w:r>
        <w:rPr>
          <w:sz w:val="24"/>
        </w:rPr>
        <w:t>项目</w:t>
      </w:r>
      <w:r>
        <w:rPr>
          <w:rFonts w:hint="eastAsia"/>
          <w:sz w:val="24"/>
        </w:rPr>
        <w:t>占地面积约</w:t>
      </w:r>
      <w:bookmarkEnd w:id="62"/>
      <w:r>
        <w:rPr>
          <w:sz w:val="24"/>
        </w:rPr>
        <w:t>4</w:t>
      </w:r>
      <w:r>
        <w:rPr>
          <w:rFonts w:hint="eastAsia"/>
          <w:sz w:val="24"/>
        </w:rPr>
        <w:t>5亩。</w:t>
      </w:r>
    </w:p>
    <w:p>
      <w:pPr>
        <w:spacing w:line="360" w:lineRule="auto"/>
        <w:ind w:firstLine="474" w:firstLineChars="200"/>
        <w:rPr>
          <w:spacing w:val="-2"/>
          <w:sz w:val="24"/>
        </w:rPr>
      </w:pPr>
      <w:r>
        <w:rPr>
          <w:b/>
          <w:spacing w:val="-2"/>
          <w:sz w:val="24"/>
        </w:rPr>
        <w:t>（9）工作制度和劳动定员：</w:t>
      </w:r>
      <w:r>
        <w:rPr>
          <w:rFonts w:hint="eastAsia"/>
          <w:spacing w:val="-2"/>
          <w:sz w:val="24"/>
        </w:rPr>
        <w:t>本项目</w:t>
      </w:r>
      <w:r>
        <w:rPr>
          <w:spacing w:val="-2"/>
          <w:sz w:val="24"/>
        </w:rPr>
        <w:t>工作</w:t>
      </w:r>
      <w:r>
        <w:rPr>
          <w:rFonts w:hint="eastAsia"/>
          <w:spacing w:val="-2"/>
          <w:sz w:val="24"/>
        </w:rPr>
        <w:t>为一班</w:t>
      </w:r>
      <w:r>
        <w:rPr>
          <w:spacing w:val="-2"/>
          <w:sz w:val="24"/>
        </w:rPr>
        <w:t>制，</w:t>
      </w:r>
      <w:r>
        <w:rPr>
          <w:rFonts w:hint="eastAsia"/>
          <w:spacing w:val="-2"/>
          <w:sz w:val="24"/>
        </w:rPr>
        <w:t>工作时间为8小时/天，生产天数按</w:t>
      </w:r>
      <w:r>
        <w:rPr>
          <w:spacing w:val="-2"/>
          <w:sz w:val="24"/>
        </w:rPr>
        <w:t>365</w:t>
      </w:r>
      <w:r>
        <w:rPr>
          <w:rFonts w:hint="eastAsia"/>
          <w:spacing w:val="-2"/>
          <w:sz w:val="24"/>
        </w:rPr>
        <w:t>天/年计（下雨天不工作）</w:t>
      </w:r>
      <w:r>
        <w:rPr>
          <w:spacing w:val="-2"/>
          <w:sz w:val="24"/>
        </w:rPr>
        <w:t>。职工定员为12人。</w:t>
      </w:r>
    </w:p>
    <w:p>
      <w:pPr>
        <w:spacing w:line="360" w:lineRule="auto"/>
        <w:ind w:firstLine="474" w:firstLineChars="200"/>
        <w:rPr>
          <w:b/>
          <w:bCs/>
          <w:spacing w:val="-2"/>
          <w:sz w:val="24"/>
        </w:rPr>
      </w:pPr>
      <w:r>
        <w:rPr>
          <w:rFonts w:hint="eastAsia"/>
          <w:b/>
          <w:bCs/>
          <w:spacing w:val="-2"/>
          <w:sz w:val="24"/>
        </w:rPr>
        <w:t>（1</w:t>
      </w:r>
      <w:r>
        <w:rPr>
          <w:b/>
          <w:bCs/>
          <w:spacing w:val="-2"/>
          <w:sz w:val="24"/>
        </w:rPr>
        <w:t>0</w:t>
      </w:r>
      <w:r>
        <w:rPr>
          <w:rFonts w:hint="eastAsia"/>
          <w:b/>
          <w:bCs/>
          <w:spacing w:val="-2"/>
          <w:sz w:val="24"/>
        </w:rPr>
        <w:t>）建设进度：</w:t>
      </w:r>
      <w:bookmarkStart w:id="63" w:name="_Hlk93930741"/>
      <w:r>
        <w:rPr>
          <w:rFonts w:hint="eastAsia"/>
          <w:spacing w:val="-2"/>
          <w:sz w:val="24"/>
        </w:rPr>
        <w:t>建设时间20</w:t>
      </w:r>
      <w:r>
        <w:rPr>
          <w:spacing w:val="-2"/>
          <w:sz w:val="24"/>
        </w:rPr>
        <w:t>23</w:t>
      </w:r>
      <w:r>
        <w:rPr>
          <w:rFonts w:hint="eastAsia"/>
          <w:spacing w:val="-2"/>
          <w:sz w:val="24"/>
        </w:rPr>
        <w:t>年5月至2</w:t>
      </w:r>
      <w:r>
        <w:rPr>
          <w:spacing w:val="-2"/>
          <w:sz w:val="24"/>
        </w:rPr>
        <w:t>023</w:t>
      </w:r>
      <w:r>
        <w:rPr>
          <w:rFonts w:hint="eastAsia"/>
          <w:spacing w:val="-2"/>
          <w:sz w:val="24"/>
        </w:rPr>
        <w:t>年1</w:t>
      </w:r>
      <w:r>
        <w:rPr>
          <w:spacing w:val="-2"/>
          <w:sz w:val="24"/>
        </w:rPr>
        <w:t>2</w:t>
      </w:r>
      <w:r>
        <w:rPr>
          <w:rFonts w:hint="eastAsia"/>
          <w:spacing w:val="-2"/>
          <w:sz w:val="24"/>
        </w:rPr>
        <w:t>月。</w:t>
      </w:r>
      <w:bookmarkEnd w:id="63"/>
    </w:p>
    <w:p>
      <w:pPr>
        <w:pStyle w:val="62"/>
        <w:numPr>
          <w:ilvl w:val="2"/>
          <w:numId w:val="5"/>
        </w:numPr>
        <w:tabs>
          <w:tab w:val="left" w:pos="567"/>
        </w:tabs>
        <w:spacing w:before="120" w:after="120"/>
        <w:ind w:left="0" w:firstLine="0"/>
        <w:rPr>
          <w:rFonts w:ascii="Times New Roman" w:hAnsi="Times New Roman"/>
        </w:rPr>
      </w:pPr>
      <w:r>
        <w:rPr>
          <w:rFonts w:ascii="Times New Roman" w:hAnsi="Times New Roman"/>
        </w:rPr>
        <w:t>项目建设内容及组成</w:t>
      </w:r>
    </w:p>
    <w:p>
      <w:pPr>
        <w:pStyle w:val="20"/>
        <w:adjustRightInd w:val="0"/>
        <w:snapToGrid w:val="0"/>
        <w:spacing w:after="0" w:line="360" w:lineRule="auto"/>
        <w:ind w:firstLine="480" w:firstLineChars="200"/>
        <w:rPr>
          <w:sz w:val="24"/>
          <w:szCs w:val="24"/>
        </w:rPr>
      </w:pPr>
      <w:r>
        <w:rPr>
          <w:sz w:val="24"/>
          <w:szCs w:val="24"/>
        </w:rPr>
        <w:t>本项目主要建设内容包括：库区清基与土方平整、分隔坝工程、防渗工程、场区洪雨水导排工程、地下水导排工程、渗滤液导排工程、覆盖及封场工程、渗滤液调节池、地下水水质监测井设置等。本项目工程组成见见表3.1-1。</w:t>
      </w:r>
    </w:p>
    <w:p>
      <w:pPr>
        <w:snapToGrid w:val="0"/>
        <w:spacing w:line="360" w:lineRule="auto"/>
        <w:jc w:val="center"/>
        <w:rPr>
          <w:b/>
          <w:sz w:val="24"/>
        </w:rPr>
      </w:pPr>
      <w:r>
        <w:rPr>
          <w:b/>
          <w:sz w:val="24"/>
        </w:rPr>
        <w:t>表3.1-1本项目工程内容组成一览表</w:t>
      </w:r>
    </w:p>
    <w:tbl>
      <w:tblPr>
        <w:tblStyle w:val="285"/>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608"/>
        <w:gridCol w:w="392"/>
        <w:gridCol w:w="1057"/>
        <w:gridCol w:w="627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1234" w:type="pct"/>
            <w:gridSpan w:val="3"/>
            <w:vAlign w:val="center"/>
          </w:tcPr>
          <w:p>
            <w:pPr>
              <w:adjustRightInd w:val="0"/>
              <w:snapToGrid w:val="0"/>
              <w:jc w:val="center"/>
              <w:rPr>
                <w:rFonts w:eastAsiaTheme="minorEastAsia"/>
                <w:b/>
                <w:bCs/>
                <w:kern w:val="0"/>
                <w:szCs w:val="21"/>
                <w:lang w:eastAsia="en-US"/>
              </w:rPr>
            </w:pPr>
            <w:r>
              <w:rPr>
                <w:rFonts w:eastAsiaTheme="minorEastAsia"/>
                <w:b/>
                <w:bCs/>
                <w:spacing w:val="-1"/>
                <w:kern w:val="0"/>
                <w:szCs w:val="21"/>
                <w:lang w:eastAsia="en-US"/>
              </w:rPr>
              <w:t>项目组成</w:t>
            </w:r>
          </w:p>
        </w:tc>
        <w:tc>
          <w:tcPr>
            <w:tcW w:w="3766" w:type="pct"/>
            <w:vAlign w:val="center"/>
          </w:tcPr>
          <w:p>
            <w:pPr>
              <w:adjustRightInd w:val="0"/>
              <w:snapToGrid w:val="0"/>
              <w:jc w:val="center"/>
              <w:rPr>
                <w:rFonts w:eastAsiaTheme="minorEastAsia"/>
                <w:b/>
                <w:bCs/>
                <w:kern w:val="0"/>
                <w:szCs w:val="21"/>
                <w:lang w:eastAsia="en-US"/>
              </w:rPr>
            </w:pPr>
            <w:r>
              <w:rPr>
                <w:rFonts w:eastAsiaTheme="minorEastAsia"/>
                <w:b/>
                <w:bCs/>
                <w:spacing w:val="-1"/>
                <w:kern w:val="0"/>
                <w:szCs w:val="21"/>
                <w:lang w:eastAsia="en-US"/>
              </w:rPr>
              <w:t>主要建设内容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restart"/>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主体 工程</w:t>
            </w:r>
          </w:p>
        </w:tc>
        <w:tc>
          <w:tcPr>
            <w:tcW w:w="869" w:type="pct"/>
            <w:gridSpan w:val="2"/>
            <w:vAlign w:val="center"/>
          </w:tcPr>
          <w:p>
            <w:pPr>
              <w:adjustRightInd w:val="0"/>
              <w:snapToGrid w:val="0"/>
              <w:jc w:val="center"/>
              <w:rPr>
                <w:rFonts w:asciiTheme="minorEastAsia" w:hAnsiTheme="minorEastAsia" w:eastAsiaTheme="minorEastAsia"/>
                <w:spacing w:val="-2"/>
                <w:kern w:val="0"/>
                <w:szCs w:val="21"/>
                <w:lang w:eastAsia="en-US"/>
              </w:rPr>
            </w:pPr>
            <w:r>
              <w:rPr>
                <w:rFonts w:asciiTheme="minorEastAsia" w:hAnsiTheme="minorEastAsia" w:eastAsiaTheme="minorEastAsia"/>
                <w:spacing w:val="-2"/>
                <w:kern w:val="0"/>
                <w:szCs w:val="21"/>
                <w:lang w:eastAsia="en-US"/>
              </w:rPr>
              <w:t>填埋库区</w:t>
            </w:r>
          </w:p>
        </w:tc>
        <w:tc>
          <w:tcPr>
            <w:tcW w:w="3766" w:type="pct"/>
            <w:vAlign w:val="center"/>
          </w:tcPr>
          <w:p>
            <w:pPr>
              <w:adjustRightInd w:val="0"/>
              <w:snapToGrid w:val="0"/>
              <w:jc w:val="left"/>
              <w:rPr>
                <w:rFonts w:asciiTheme="minorEastAsia" w:hAnsiTheme="minorEastAsia" w:eastAsiaTheme="minorEastAsia"/>
                <w:spacing w:val="-2"/>
                <w:kern w:val="0"/>
                <w:szCs w:val="21"/>
                <w:lang w:eastAsia="zh-CN"/>
              </w:rPr>
            </w:pPr>
            <w:r>
              <w:rPr>
                <w:rFonts w:asciiTheme="minorEastAsia" w:hAnsiTheme="minorEastAsia" w:eastAsiaTheme="minorEastAsia"/>
                <w:spacing w:val="-2"/>
                <w:kern w:val="0"/>
                <w:szCs w:val="21"/>
                <w:lang w:eastAsia="zh-CN"/>
              </w:rPr>
              <w:t>库区属山谷型填埋场，</w:t>
            </w:r>
            <w:r>
              <w:rPr>
                <w:rFonts w:hint="eastAsia" w:asciiTheme="minorEastAsia" w:hAnsiTheme="minorEastAsia" w:eastAsiaTheme="minorEastAsia"/>
                <w:spacing w:val="-2"/>
                <w:kern w:val="0"/>
                <w:szCs w:val="21"/>
                <w:lang w:eastAsia="zh-CN"/>
              </w:rPr>
              <w:t>填埋场总</w:t>
            </w:r>
            <w:r>
              <w:rPr>
                <w:rFonts w:asciiTheme="minorEastAsia" w:hAnsiTheme="minorEastAsia" w:eastAsiaTheme="minorEastAsia"/>
                <w:spacing w:val="-2"/>
                <w:kern w:val="0"/>
                <w:szCs w:val="21"/>
                <w:lang w:eastAsia="zh-CN"/>
              </w:rPr>
              <w:t>占地面积</w:t>
            </w:r>
            <w:r>
              <w:rPr>
                <w:rFonts w:hint="eastAsia" w:asciiTheme="minorEastAsia" w:hAnsiTheme="minorEastAsia" w:eastAsiaTheme="minorEastAsia"/>
                <w:spacing w:val="-2"/>
                <w:kern w:val="0"/>
                <w:szCs w:val="21"/>
                <w:lang w:eastAsia="zh-CN"/>
              </w:rPr>
              <w:t>约</w:t>
            </w:r>
            <w:r>
              <w:rPr>
                <w:rFonts w:asciiTheme="minorEastAsia" w:hAnsiTheme="minorEastAsia" w:eastAsiaTheme="minorEastAsia"/>
                <w:spacing w:val="-2"/>
                <w:kern w:val="0"/>
                <w:szCs w:val="21"/>
                <w:lang w:eastAsia="zh-CN"/>
              </w:rPr>
              <w:t>45</w:t>
            </w:r>
            <w:r>
              <w:rPr>
                <w:rFonts w:hint="eastAsia" w:asciiTheme="minorEastAsia" w:hAnsiTheme="minorEastAsia" w:eastAsiaTheme="minorEastAsia"/>
                <w:spacing w:val="-2"/>
                <w:kern w:val="0"/>
                <w:szCs w:val="21"/>
                <w:lang w:eastAsia="zh-CN"/>
              </w:rPr>
              <w:t>亩，其中库区占地</w:t>
            </w:r>
            <w:r>
              <w:rPr>
                <w:rFonts w:asciiTheme="minorEastAsia" w:hAnsiTheme="minorEastAsia" w:eastAsiaTheme="minorEastAsia"/>
                <w:spacing w:val="-2"/>
                <w:kern w:val="0"/>
                <w:szCs w:val="21"/>
                <w:lang w:eastAsia="zh-CN"/>
              </w:rPr>
              <w:t>41.5</w:t>
            </w:r>
            <w:r>
              <w:rPr>
                <w:rFonts w:hint="eastAsia" w:asciiTheme="minorEastAsia" w:hAnsiTheme="minorEastAsia" w:eastAsiaTheme="minorEastAsia"/>
                <w:spacing w:val="-2"/>
                <w:kern w:val="0"/>
                <w:szCs w:val="21"/>
                <w:lang w:eastAsia="zh-CN"/>
              </w:rPr>
              <w:t>亩，管理区占地3.5亩。飞灰填埋区容积为20</w:t>
            </w:r>
            <w:r>
              <w:rPr>
                <w:rFonts w:asciiTheme="minorEastAsia" w:hAnsiTheme="minorEastAsia" w:eastAsiaTheme="minorEastAsia"/>
                <w:spacing w:val="-2"/>
                <w:kern w:val="0"/>
                <w:szCs w:val="21"/>
                <w:lang w:eastAsia="zh-CN"/>
              </w:rPr>
              <w:t>万m</w:t>
            </w:r>
            <w:r>
              <w:rPr>
                <w:rFonts w:asciiTheme="minorEastAsia" w:hAnsiTheme="minorEastAsia" w:eastAsiaTheme="minorEastAsia"/>
                <w:spacing w:val="-2"/>
                <w:kern w:val="0"/>
                <w:szCs w:val="21"/>
                <w:vertAlign w:val="superscript"/>
                <w:lang w:eastAsia="zh-CN"/>
              </w:rPr>
              <w:t>3</w:t>
            </w:r>
            <w:r>
              <w:rPr>
                <w:rFonts w:hint="eastAsia" w:asciiTheme="minorEastAsia" w:hAnsiTheme="minorEastAsia" w:eastAsiaTheme="minorEastAsia"/>
                <w:spacing w:val="-2"/>
                <w:kern w:val="0"/>
                <w:szCs w:val="21"/>
                <w:lang w:eastAsia="zh-CN"/>
              </w:rPr>
              <w:t>，</w:t>
            </w:r>
            <w:r>
              <w:rPr>
                <w:rFonts w:asciiTheme="minorEastAsia" w:hAnsiTheme="minorEastAsia" w:eastAsiaTheme="minorEastAsia"/>
                <w:spacing w:val="-2"/>
                <w:kern w:val="0"/>
                <w:szCs w:val="21"/>
                <w:lang w:eastAsia="zh-CN"/>
              </w:rPr>
              <w:t>使用年限</w:t>
            </w:r>
            <w:r>
              <w:rPr>
                <w:rFonts w:hint="eastAsia" w:asciiTheme="minorEastAsia" w:hAnsiTheme="minorEastAsia" w:eastAsiaTheme="minorEastAsia"/>
                <w:spacing w:val="-2"/>
                <w:kern w:val="0"/>
                <w:szCs w:val="21"/>
                <w:lang w:eastAsia="zh-CN"/>
              </w:rPr>
              <w:t>30</w:t>
            </w:r>
            <w:r>
              <w:rPr>
                <w:rFonts w:asciiTheme="minorEastAsia" w:hAnsiTheme="minorEastAsia" w:eastAsiaTheme="minorEastAsia"/>
                <w:spacing w:val="-2"/>
                <w:kern w:val="0"/>
                <w:szCs w:val="21"/>
                <w:lang w:eastAsia="zh-CN"/>
              </w:rPr>
              <w:t>年</w:t>
            </w:r>
            <w:r>
              <w:rPr>
                <w:rFonts w:hint="eastAsia" w:asciiTheme="minorEastAsia" w:hAnsiTheme="minorEastAsia" w:eastAsiaTheme="minorEastAsia"/>
                <w:spacing w:val="-2"/>
                <w:kern w:val="0"/>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asciiTheme="minorEastAsia" w:hAnsiTheme="minorEastAsia" w:eastAsiaTheme="minorEastAsia"/>
                <w:spacing w:val="-2"/>
                <w:kern w:val="0"/>
                <w:szCs w:val="21"/>
                <w:lang w:eastAsia="en-US"/>
              </w:rPr>
            </w:pPr>
            <w:r>
              <w:rPr>
                <w:rFonts w:hint="eastAsia" w:asciiTheme="minorEastAsia" w:hAnsiTheme="minorEastAsia" w:eastAsiaTheme="minorEastAsia"/>
                <w:spacing w:val="-2"/>
                <w:kern w:val="0"/>
                <w:szCs w:val="21"/>
                <w:lang w:eastAsia="zh-CN"/>
              </w:rPr>
              <w:t>挡坝与挡土墙</w:t>
            </w:r>
          </w:p>
        </w:tc>
        <w:tc>
          <w:tcPr>
            <w:tcW w:w="3766" w:type="pct"/>
            <w:vAlign w:val="center"/>
          </w:tcPr>
          <w:p>
            <w:pPr>
              <w:adjustRightInd w:val="0"/>
              <w:snapToGrid w:val="0"/>
              <w:jc w:val="left"/>
              <w:rPr>
                <w:rFonts w:asciiTheme="minorEastAsia" w:hAnsiTheme="minorEastAsia" w:eastAsiaTheme="minorEastAsia"/>
                <w:spacing w:val="-2"/>
                <w:kern w:val="0"/>
                <w:szCs w:val="21"/>
                <w:lang w:eastAsia="zh-CN"/>
              </w:rPr>
            </w:pPr>
            <w:r>
              <w:rPr>
                <w:rFonts w:asciiTheme="minorEastAsia" w:hAnsiTheme="minorEastAsia" w:eastAsiaTheme="minorEastAsia"/>
                <w:spacing w:val="-2"/>
                <w:kern w:val="0"/>
                <w:szCs w:val="21"/>
                <w:lang w:eastAsia="zh-CN"/>
              </w:rPr>
              <w:t>飞灰固化物填埋区</w:t>
            </w:r>
            <w:r>
              <w:rPr>
                <w:rFonts w:hint="eastAsia" w:asciiTheme="minorEastAsia" w:hAnsiTheme="minorEastAsia" w:eastAsiaTheme="minorEastAsia"/>
                <w:spacing w:val="-2"/>
                <w:kern w:val="0"/>
                <w:szCs w:val="21"/>
                <w:lang w:eastAsia="zh-CN"/>
              </w:rPr>
              <w:t>北侧</w:t>
            </w:r>
            <w:r>
              <w:rPr>
                <w:rFonts w:asciiTheme="minorEastAsia" w:hAnsiTheme="minorEastAsia" w:eastAsiaTheme="minorEastAsia"/>
                <w:spacing w:val="-2"/>
                <w:kern w:val="0"/>
                <w:szCs w:val="21"/>
                <w:lang w:eastAsia="zh-CN"/>
              </w:rPr>
              <w:t>设置一道</w:t>
            </w:r>
            <w:r>
              <w:rPr>
                <w:rFonts w:hint="eastAsia" w:asciiTheme="minorEastAsia" w:hAnsiTheme="minorEastAsia" w:eastAsiaTheme="minorEastAsia"/>
                <w:spacing w:val="-2"/>
                <w:kern w:val="0"/>
                <w:szCs w:val="21"/>
                <w:lang w:eastAsia="zh-CN"/>
              </w:rPr>
              <w:t>挡</w:t>
            </w:r>
            <w:r>
              <w:rPr>
                <w:rFonts w:asciiTheme="minorEastAsia" w:hAnsiTheme="minorEastAsia" w:eastAsiaTheme="minorEastAsia"/>
                <w:spacing w:val="-2"/>
                <w:kern w:val="0"/>
                <w:szCs w:val="21"/>
                <w:lang w:eastAsia="zh-CN"/>
              </w:rPr>
              <w:t>坝，坝体为碾压式土石坝，坝顶标高定位970.000，坝顶宽度4.0m，最大坝高13m，坝长约88.43m。坝体两侧均为1：2放坡、敷设防渗系统并以袋装砂土作为保护层。现场地形地势起伏较大，为了节省空间满足填埋场库容要求，根据地形走势设置钢筋混凝土挡墙。挡土墙采用悬臂式挡土墙、扶壁式挡土墙，混凝土强度等级为C30，钢筋采用HRB400级钢。挡土墙基础采用墙下条形基础。挡土墙按地下埋深2.5米，挡墙总长度约274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asciiTheme="minorEastAsia" w:hAnsiTheme="minorEastAsia" w:eastAsiaTheme="minorEastAsia"/>
                <w:spacing w:val="-2"/>
                <w:kern w:val="0"/>
                <w:szCs w:val="21"/>
                <w:lang w:eastAsia="en-US"/>
              </w:rPr>
            </w:pPr>
            <w:r>
              <w:rPr>
                <w:rFonts w:asciiTheme="minorEastAsia" w:hAnsiTheme="minorEastAsia" w:eastAsiaTheme="minorEastAsia"/>
                <w:spacing w:val="-1"/>
                <w:kern w:val="0"/>
                <w:szCs w:val="21"/>
                <w:lang w:eastAsia="en-US"/>
              </w:rPr>
              <w:t>防渗工程</w:t>
            </w:r>
          </w:p>
        </w:tc>
        <w:tc>
          <w:tcPr>
            <w:tcW w:w="3766" w:type="pct"/>
            <w:vAlign w:val="center"/>
          </w:tcPr>
          <w:p>
            <w:pPr>
              <w:adjustRightInd w:val="0"/>
              <w:snapToGrid w:val="0"/>
              <w:jc w:val="left"/>
              <w:rPr>
                <w:rFonts w:asciiTheme="minorEastAsia" w:hAnsiTheme="minorEastAsia" w:eastAsiaTheme="minorEastAsia"/>
                <w:spacing w:val="-2"/>
                <w:kern w:val="0"/>
                <w:szCs w:val="21"/>
                <w:lang w:eastAsia="zh-CN"/>
              </w:rPr>
            </w:pPr>
            <w:r>
              <w:rPr>
                <w:rFonts w:asciiTheme="minorEastAsia" w:hAnsiTheme="minorEastAsia" w:eastAsiaTheme="minorEastAsia"/>
                <w:bCs/>
                <w:spacing w:val="-2"/>
                <w:kern w:val="0"/>
                <w:szCs w:val="21"/>
                <w:lang w:eastAsia="zh-CN"/>
              </w:rPr>
              <w:t>采用土工膜进行防渗。土工膜采用高密度聚乙烯（HDPE），防渗方案采用1.5mm和2.0mm两种规格双层HDPE膜防渗系统，其中2.0mm的HDPE膜作为主防渗材料。防渗结构主要由基础层、膜下保护层、土工膜、膜上保护层、渗滤液导流层、土工织物层等组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asciiTheme="minorEastAsia" w:hAnsiTheme="minorEastAsia" w:eastAsiaTheme="minorEastAsia"/>
                <w:spacing w:val="-2"/>
                <w:kern w:val="0"/>
                <w:szCs w:val="21"/>
                <w:lang w:eastAsia="en-US"/>
              </w:rPr>
            </w:pPr>
            <w:r>
              <w:rPr>
                <w:rFonts w:asciiTheme="minorEastAsia" w:hAnsiTheme="minorEastAsia" w:eastAsiaTheme="minorEastAsia"/>
                <w:spacing w:val="-1"/>
                <w:kern w:val="0"/>
                <w:szCs w:val="21"/>
                <w:lang w:eastAsia="en-US"/>
              </w:rPr>
              <w:t>渗滤液导排工程</w:t>
            </w:r>
          </w:p>
        </w:tc>
        <w:tc>
          <w:tcPr>
            <w:tcW w:w="3766" w:type="pct"/>
            <w:vAlign w:val="center"/>
          </w:tcPr>
          <w:p>
            <w:pPr>
              <w:adjustRightInd w:val="0"/>
              <w:snapToGrid w:val="0"/>
              <w:jc w:val="left"/>
              <w:rPr>
                <w:rFonts w:eastAsiaTheme="minorEastAsia"/>
                <w:spacing w:val="-2"/>
                <w:kern w:val="0"/>
                <w:szCs w:val="21"/>
                <w:lang w:eastAsia="zh-CN"/>
              </w:rPr>
            </w:pPr>
            <w:r>
              <w:rPr>
                <w:rFonts w:eastAsiaTheme="minorEastAsia"/>
                <w:spacing w:val="-2"/>
                <w:kern w:val="0"/>
                <w:szCs w:val="21"/>
                <w:lang w:eastAsia="zh-CN"/>
              </w:rPr>
              <w:t>沿库区底部设置渗滤液收集主盲沟，采用梯形断面，最大断面尺寸为：上底宽</w:t>
            </w:r>
            <w:r>
              <w:rPr>
                <w:rFonts w:eastAsiaTheme="minorEastAsia"/>
                <w:spacing w:val="-52"/>
                <w:kern w:val="0"/>
                <w:szCs w:val="21"/>
                <w:lang w:eastAsia="zh-CN"/>
              </w:rPr>
              <w:t xml:space="preserve"> </w:t>
            </w:r>
            <w:r>
              <w:rPr>
                <w:rFonts w:eastAsiaTheme="minorEastAsia"/>
                <w:spacing w:val="-1"/>
                <w:kern w:val="0"/>
                <w:szCs w:val="21"/>
                <w:lang w:eastAsia="zh-CN"/>
              </w:rPr>
              <w:t>0.8m，下底宽</w:t>
            </w:r>
            <w:r>
              <w:rPr>
                <w:rFonts w:eastAsiaTheme="minorEastAsia"/>
                <w:spacing w:val="-52"/>
                <w:kern w:val="0"/>
                <w:szCs w:val="21"/>
                <w:lang w:eastAsia="zh-CN"/>
              </w:rPr>
              <w:t xml:space="preserve"> </w:t>
            </w:r>
            <w:r>
              <w:rPr>
                <w:rFonts w:eastAsiaTheme="minorEastAsia"/>
                <w:spacing w:val="-2"/>
                <w:kern w:val="0"/>
                <w:szCs w:val="21"/>
                <w:lang w:eastAsia="zh-CN"/>
              </w:rPr>
              <w:t>1.8m，深</w:t>
            </w:r>
            <w:r>
              <w:rPr>
                <w:rFonts w:eastAsiaTheme="minorEastAsia"/>
                <w:spacing w:val="-53"/>
                <w:kern w:val="0"/>
                <w:szCs w:val="21"/>
                <w:lang w:eastAsia="zh-CN"/>
              </w:rPr>
              <w:t xml:space="preserve"> </w:t>
            </w:r>
            <w:r>
              <w:rPr>
                <w:rFonts w:eastAsiaTheme="minorEastAsia"/>
                <w:spacing w:val="-2"/>
                <w:kern w:val="0"/>
                <w:szCs w:val="21"/>
                <w:lang w:eastAsia="zh-CN"/>
              </w:rPr>
              <w:t>0.8m。盲沟内铺设</w:t>
            </w:r>
            <w:r>
              <w:rPr>
                <w:rFonts w:eastAsiaTheme="minorEastAsia"/>
                <w:spacing w:val="-52"/>
                <w:kern w:val="0"/>
                <w:szCs w:val="21"/>
                <w:lang w:eastAsia="zh-CN"/>
              </w:rPr>
              <w:t xml:space="preserve"> </w:t>
            </w:r>
            <w:r>
              <w:rPr>
                <w:rFonts w:eastAsiaTheme="minorEastAsia"/>
                <w:spacing w:val="-1"/>
                <w:kern w:val="0"/>
                <w:szCs w:val="21"/>
                <w:lang w:eastAsia="zh-CN"/>
              </w:rPr>
              <w:t>dn300</w:t>
            </w:r>
            <w:r>
              <w:rPr>
                <w:rFonts w:eastAsiaTheme="minorEastAsia"/>
                <w:kern w:val="0"/>
                <w:szCs w:val="21"/>
                <w:lang w:eastAsia="zh-CN"/>
              </w:rPr>
              <w:t xml:space="preserve"> 管径的</w:t>
            </w:r>
            <w:r>
              <w:rPr>
                <w:rFonts w:eastAsiaTheme="minorEastAsia"/>
                <w:spacing w:val="-54"/>
                <w:kern w:val="0"/>
                <w:szCs w:val="21"/>
                <w:lang w:eastAsia="zh-CN"/>
              </w:rPr>
              <w:t xml:space="preserve"> </w:t>
            </w:r>
            <w:r>
              <w:rPr>
                <w:rFonts w:eastAsiaTheme="minorEastAsia"/>
                <w:spacing w:val="-1"/>
                <w:kern w:val="0"/>
                <w:szCs w:val="21"/>
                <w:lang w:eastAsia="zh-CN"/>
              </w:rPr>
              <w:t>HDPE</w:t>
            </w:r>
            <w:r>
              <w:rPr>
                <w:rFonts w:eastAsiaTheme="minorEastAsia"/>
                <w:spacing w:val="1"/>
                <w:kern w:val="0"/>
                <w:szCs w:val="21"/>
                <w:lang w:eastAsia="zh-CN"/>
              </w:rPr>
              <w:t xml:space="preserve"> </w:t>
            </w:r>
            <w:r>
              <w:rPr>
                <w:rFonts w:eastAsiaTheme="minorEastAsia"/>
                <w:spacing w:val="-3"/>
                <w:kern w:val="0"/>
                <w:szCs w:val="21"/>
                <w:lang w:eastAsia="zh-CN"/>
              </w:rPr>
              <w:t>穿孔花管和级配砾石（粒径</w:t>
            </w:r>
            <w:r>
              <w:rPr>
                <w:rFonts w:eastAsiaTheme="minorEastAsia"/>
                <w:spacing w:val="-53"/>
                <w:kern w:val="0"/>
                <w:szCs w:val="21"/>
                <w:lang w:eastAsia="zh-CN"/>
              </w:rPr>
              <w:t xml:space="preserve"> </w:t>
            </w:r>
            <w:r>
              <w:rPr>
                <w:rFonts w:eastAsiaTheme="minorEastAsia"/>
                <w:spacing w:val="-3"/>
                <w:kern w:val="0"/>
                <w:szCs w:val="21"/>
                <w:lang w:eastAsia="zh-CN"/>
              </w:rPr>
              <w:t>d30~d60mm），渗滤液在集水</w:t>
            </w:r>
            <w:r>
              <w:rPr>
                <w:rFonts w:eastAsiaTheme="minorEastAsia"/>
                <w:spacing w:val="-2"/>
                <w:kern w:val="0"/>
                <w:szCs w:val="21"/>
                <w:lang w:eastAsia="zh-CN"/>
              </w:rPr>
              <w:t>管内为非满流，充满度</w:t>
            </w:r>
            <w:r>
              <w:rPr>
                <w:rFonts w:eastAsiaTheme="minorEastAsia"/>
                <w:spacing w:val="-52"/>
                <w:kern w:val="0"/>
                <w:szCs w:val="21"/>
                <w:lang w:eastAsia="zh-CN"/>
              </w:rPr>
              <w:t xml:space="preserve"> </w:t>
            </w:r>
            <w:r>
              <w:rPr>
                <w:rFonts w:eastAsiaTheme="minorEastAsia"/>
                <w:spacing w:val="-2"/>
                <w:kern w:val="0"/>
                <w:szCs w:val="21"/>
                <w:lang w:eastAsia="zh-CN"/>
              </w:rPr>
              <w:t>h/D≤0.5。为了堆体中渗滤液及填埋气体导排顺畅，设计在固化稳定化飞灰每填埋</w:t>
            </w:r>
            <w:r>
              <w:rPr>
                <w:rFonts w:eastAsiaTheme="minorEastAsia"/>
                <w:spacing w:val="-52"/>
                <w:kern w:val="0"/>
                <w:szCs w:val="21"/>
                <w:lang w:eastAsia="zh-CN"/>
              </w:rPr>
              <w:t xml:space="preserve"> </w:t>
            </w:r>
            <w:r>
              <w:rPr>
                <w:rFonts w:eastAsiaTheme="minorEastAsia"/>
                <w:kern w:val="0"/>
                <w:szCs w:val="21"/>
                <w:lang w:eastAsia="zh-CN"/>
              </w:rPr>
              <w:t>5</w:t>
            </w:r>
            <w:r>
              <w:rPr>
                <w:rFonts w:eastAsiaTheme="minorEastAsia"/>
                <w:spacing w:val="-3"/>
                <w:kern w:val="0"/>
                <w:szCs w:val="21"/>
                <w:lang w:eastAsia="zh-CN"/>
              </w:rPr>
              <w:t xml:space="preserve"> m</w:t>
            </w:r>
            <w:r>
              <w:rPr>
                <w:rFonts w:eastAsiaTheme="minorEastAsia"/>
                <w:spacing w:val="-2"/>
                <w:kern w:val="0"/>
                <w:szCs w:val="21"/>
                <w:lang w:eastAsia="zh-CN"/>
              </w:rPr>
              <w:t>高度，均设置渗滤液和横向收集次盲沟，次盲沟均按</w:t>
            </w:r>
            <w:r>
              <w:rPr>
                <w:rFonts w:eastAsiaTheme="minorEastAsia"/>
                <w:spacing w:val="-52"/>
                <w:kern w:val="0"/>
                <w:szCs w:val="21"/>
                <w:lang w:eastAsia="zh-CN"/>
              </w:rPr>
              <w:t xml:space="preserve"> </w:t>
            </w:r>
            <w:r>
              <w:rPr>
                <w:rFonts w:eastAsiaTheme="minorEastAsia"/>
                <w:kern w:val="0"/>
                <w:szCs w:val="21"/>
                <w:lang w:eastAsia="zh-CN"/>
              </w:rPr>
              <w:t>40m</w:t>
            </w:r>
            <w:r>
              <w:rPr>
                <w:rFonts w:eastAsiaTheme="minorEastAsia"/>
                <w:spacing w:val="-4"/>
                <w:kern w:val="0"/>
                <w:szCs w:val="21"/>
                <w:lang w:eastAsia="zh-CN"/>
              </w:rPr>
              <w:t xml:space="preserve"> </w:t>
            </w:r>
            <w:r>
              <w:rPr>
                <w:rFonts w:eastAsiaTheme="minorEastAsia"/>
                <w:spacing w:val="-2"/>
                <w:kern w:val="0"/>
                <w:szCs w:val="21"/>
                <w:lang w:eastAsia="zh-CN"/>
              </w:rPr>
              <w:t>间距设置，采用矩形断面，断面</w:t>
            </w:r>
            <w:r>
              <w:rPr>
                <w:rFonts w:eastAsiaTheme="minorEastAsia"/>
                <w:spacing w:val="-1"/>
                <w:kern w:val="0"/>
                <w:szCs w:val="21"/>
                <w:lang w:eastAsia="zh-CN"/>
              </w:rPr>
              <w:t>尺寸为</w:t>
            </w:r>
            <w:r>
              <w:rPr>
                <w:rFonts w:eastAsiaTheme="minorEastAsia"/>
                <w:spacing w:val="-2"/>
                <w:kern w:val="0"/>
                <w:szCs w:val="21"/>
                <w:lang w:eastAsia="zh-CN"/>
              </w:rPr>
              <w:t>0.30×0.30m，盲沟内填充级配砾石，粒径d20~d50mm。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asciiTheme="minorEastAsia" w:hAnsiTheme="minorEastAsia" w:eastAsiaTheme="minorEastAsia"/>
                <w:spacing w:val="-2"/>
                <w:kern w:val="0"/>
                <w:szCs w:val="21"/>
                <w:lang w:eastAsia="en-US"/>
              </w:rPr>
            </w:pPr>
            <w:r>
              <w:rPr>
                <w:rFonts w:asciiTheme="minorEastAsia" w:hAnsiTheme="minorEastAsia" w:eastAsiaTheme="minorEastAsia"/>
                <w:spacing w:val="-2"/>
                <w:kern w:val="0"/>
                <w:szCs w:val="21"/>
                <w:lang w:eastAsia="en-US"/>
              </w:rPr>
              <w:t>防洪工程</w:t>
            </w:r>
          </w:p>
        </w:tc>
        <w:tc>
          <w:tcPr>
            <w:tcW w:w="3766" w:type="pct"/>
            <w:vAlign w:val="center"/>
          </w:tcPr>
          <w:p>
            <w:pPr>
              <w:adjustRightInd w:val="0"/>
              <w:snapToGrid w:val="0"/>
              <w:jc w:val="left"/>
              <w:rPr>
                <w:rFonts w:asciiTheme="minorEastAsia" w:hAnsiTheme="minorEastAsia" w:eastAsiaTheme="minorEastAsia"/>
                <w:spacing w:val="-2"/>
                <w:kern w:val="0"/>
                <w:szCs w:val="21"/>
                <w:lang w:eastAsia="zh-CN"/>
              </w:rPr>
            </w:pPr>
            <w:r>
              <w:rPr>
                <w:rFonts w:asciiTheme="minorEastAsia" w:hAnsiTheme="minorEastAsia" w:eastAsiaTheme="minorEastAsia"/>
                <w:bCs/>
                <w:spacing w:val="-2"/>
                <w:kern w:val="0"/>
                <w:szCs w:val="21"/>
                <w:lang w:eastAsia="zh-CN"/>
              </w:rPr>
              <w:t>本处理场属Ⅳ类建设规模，防洪</w:t>
            </w:r>
            <w:r>
              <w:rPr>
                <w:rFonts w:hint="eastAsia" w:asciiTheme="minorEastAsia" w:hAnsiTheme="minorEastAsia" w:eastAsiaTheme="minorEastAsia"/>
                <w:bCs/>
                <w:spacing w:val="-2"/>
                <w:kern w:val="0"/>
                <w:szCs w:val="21"/>
                <w:lang w:eastAsia="zh-CN"/>
              </w:rPr>
              <w:t>标准按</w:t>
            </w:r>
            <w:r>
              <w:rPr>
                <w:rFonts w:asciiTheme="minorEastAsia" w:hAnsiTheme="minorEastAsia" w:eastAsiaTheme="minorEastAsia"/>
                <w:bCs/>
                <w:spacing w:val="-2"/>
                <w:kern w:val="0"/>
                <w:szCs w:val="21"/>
                <w:lang w:eastAsia="zh-CN"/>
              </w:rPr>
              <w:t>50年一遇洪水设计，100年一遇校核。填埋场地形为山谷，场区地处山谷上游，地势较高，不在洪涝区范围内，设计场区依地势而定。截洪沟的断面尺寸为1.2m宽，1.0m高，截洪沟全长约为402.26m。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asciiTheme="minorEastAsia" w:hAnsiTheme="minorEastAsia" w:eastAsiaTheme="minorEastAsia"/>
                <w:spacing w:val="-2"/>
                <w:kern w:val="0"/>
                <w:szCs w:val="21"/>
                <w:lang w:eastAsia="en-US"/>
              </w:rPr>
            </w:pPr>
            <w:r>
              <w:rPr>
                <w:rFonts w:asciiTheme="minorEastAsia" w:hAnsiTheme="minorEastAsia" w:eastAsiaTheme="minorEastAsia"/>
                <w:spacing w:val="-1"/>
                <w:kern w:val="0"/>
                <w:szCs w:val="21"/>
                <w:lang w:eastAsia="en-US"/>
              </w:rPr>
              <w:t>临时覆盖及封场</w:t>
            </w:r>
            <w:r>
              <w:rPr>
                <w:rFonts w:asciiTheme="minorEastAsia" w:hAnsiTheme="minorEastAsia" w:eastAsiaTheme="minorEastAsia"/>
                <w:spacing w:val="22"/>
                <w:kern w:val="0"/>
                <w:szCs w:val="21"/>
                <w:lang w:eastAsia="en-US"/>
              </w:rPr>
              <w:t xml:space="preserve"> </w:t>
            </w:r>
            <w:r>
              <w:rPr>
                <w:rFonts w:asciiTheme="minorEastAsia" w:hAnsiTheme="minorEastAsia" w:eastAsiaTheme="minorEastAsia"/>
                <w:kern w:val="0"/>
                <w:szCs w:val="21"/>
                <w:lang w:eastAsia="en-US"/>
              </w:rPr>
              <w:t>工程</w:t>
            </w:r>
          </w:p>
        </w:tc>
        <w:tc>
          <w:tcPr>
            <w:tcW w:w="3766" w:type="pct"/>
            <w:vAlign w:val="center"/>
          </w:tcPr>
          <w:p>
            <w:pPr>
              <w:adjustRightInd w:val="0"/>
              <w:snapToGrid w:val="0"/>
              <w:jc w:val="left"/>
              <w:rPr>
                <w:rFonts w:asciiTheme="minorEastAsia" w:hAnsiTheme="minorEastAsia" w:eastAsiaTheme="minorEastAsia"/>
                <w:spacing w:val="-2"/>
                <w:kern w:val="0"/>
                <w:szCs w:val="21"/>
                <w:lang w:eastAsia="zh-CN"/>
              </w:rPr>
            </w:pPr>
            <w:r>
              <w:rPr>
                <w:rFonts w:asciiTheme="minorEastAsia" w:hAnsiTheme="minorEastAsia" w:eastAsiaTheme="minorEastAsia"/>
                <w:spacing w:val="-1"/>
                <w:kern w:val="0"/>
                <w:szCs w:val="21"/>
                <w:lang w:eastAsia="zh-CN"/>
              </w:rPr>
              <w:t>本项目覆盖材料拟选</w:t>
            </w:r>
            <w:r>
              <w:rPr>
                <w:rFonts w:asciiTheme="minorEastAsia" w:hAnsiTheme="minorEastAsia" w:eastAsiaTheme="minorEastAsia"/>
                <w:spacing w:val="-69"/>
                <w:kern w:val="0"/>
                <w:szCs w:val="21"/>
                <w:lang w:eastAsia="zh-CN"/>
              </w:rPr>
              <w:t xml:space="preserve"> </w:t>
            </w:r>
            <w:r>
              <w:rPr>
                <w:rFonts w:asciiTheme="minorEastAsia" w:hAnsiTheme="minorEastAsia" w:eastAsiaTheme="minorEastAsia"/>
                <w:spacing w:val="-1"/>
                <w:kern w:val="0"/>
                <w:szCs w:val="21"/>
                <w:lang w:eastAsia="zh-CN"/>
              </w:rPr>
              <w:t>0.5mmHDPE</w:t>
            </w:r>
            <w:r>
              <w:rPr>
                <w:rFonts w:asciiTheme="minorEastAsia" w:hAnsiTheme="minorEastAsia" w:eastAsiaTheme="minorEastAsia"/>
                <w:spacing w:val="-15"/>
                <w:kern w:val="0"/>
                <w:szCs w:val="21"/>
                <w:lang w:eastAsia="zh-CN"/>
              </w:rPr>
              <w:t xml:space="preserve"> </w:t>
            </w:r>
            <w:r>
              <w:rPr>
                <w:rFonts w:asciiTheme="minorEastAsia" w:hAnsiTheme="minorEastAsia" w:eastAsiaTheme="minorEastAsia"/>
                <w:spacing w:val="-2"/>
                <w:kern w:val="0"/>
                <w:szCs w:val="21"/>
                <w:lang w:eastAsia="zh-CN"/>
              </w:rPr>
              <w:t>膜作为填埋库区日覆盖的覆盖材料；填埋区终场覆盖层的基本结构由下至上依次为：填埋气导排层、膜下保护层、LLDPE土工膜防渗层、膜上保护层兼排水层、自然表土层、</w:t>
            </w:r>
            <w:r>
              <w:rPr>
                <w:rFonts w:asciiTheme="minorEastAsia" w:hAnsiTheme="minorEastAsia" w:eastAsiaTheme="minorEastAsia"/>
                <w:spacing w:val="-1"/>
                <w:kern w:val="0"/>
                <w:szCs w:val="21"/>
                <w:lang w:eastAsia="zh-CN"/>
              </w:rPr>
              <w:t>营养土层和植被层。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辅助工程</w:t>
            </w:r>
          </w:p>
        </w:tc>
        <w:tc>
          <w:tcPr>
            <w:tcW w:w="869" w:type="pct"/>
            <w:gridSpan w:val="2"/>
            <w:vAlign w:val="center"/>
          </w:tcPr>
          <w:p>
            <w:pPr>
              <w:adjustRightInd w:val="0"/>
              <w:snapToGrid w:val="0"/>
              <w:jc w:val="center"/>
              <w:rPr>
                <w:rFonts w:asciiTheme="minorEastAsia" w:hAnsiTheme="minorEastAsia" w:eastAsiaTheme="minorEastAsia"/>
                <w:kern w:val="0"/>
                <w:szCs w:val="21"/>
                <w:lang w:eastAsia="en-US"/>
              </w:rPr>
            </w:pPr>
            <w:r>
              <w:rPr>
                <w:rFonts w:asciiTheme="minorEastAsia" w:hAnsiTheme="minorEastAsia" w:eastAsiaTheme="minorEastAsia"/>
                <w:spacing w:val="-1"/>
                <w:kern w:val="0"/>
                <w:szCs w:val="21"/>
                <w:lang w:eastAsia="en-US"/>
              </w:rPr>
              <w:t>地磅及值班室</w:t>
            </w:r>
          </w:p>
        </w:tc>
        <w:tc>
          <w:tcPr>
            <w:tcW w:w="3766" w:type="pct"/>
            <w:vAlign w:val="center"/>
          </w:tcPr>
          <w:p>
            <w:pPr>
              <w:rPr>
                <w:rFonts w:asciiTheme="minorEastAsia" w:hAnsiTheme="minorEastAsia" w:eastAsiaTheme="minorEastAsia"/>
                <w:kern w:val="0"/>
                <w:szCs w:val="21"/>
                <w:lang w:eastAsia="zh-CN"/>
              </w:rPr>
            </w:pPr>
            <w:r>
              <w:rPr>
                <w:rFonts w:asciiTheme="minorEastAsia" w:hAnsiTheme="minorEastAsia" w:eastAsiaTheme="minorEastAsia"/>
                <w:kern w:val="0"/>
                <w:szCs w:val="21"/>
                <w:lang w:eastAsia="zh-CN"/>
              </w:rPr>
              <w:t>设置 1 处地磅及值班室，位于项目场地的南侧，设置于场区道路出入口旁。</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restart"/>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公用 工程</w:t>
            </w:r>
          </w:p>
        </w:tc>
        <w:tc>
          <w:tcPr>
            <w:tcW w:w="869" w:type="pct"/>
            <w:gridSpan w:val="2"/>
            <w:vAlign w:val="center"/>
          </w:tcPr>
          <w:p>
            <w:pPr>
              <w:adjustRightInd w:val="0"/>
              <w:snapToGrid w:val="0"/>
              <w:jc w:val="center"/>
              <w:rPr>
                <w:rFonts w:eastAsiaTheme="minorEastAsia"/>
                <w:kern w:val="0"/>
                <w:szCs w:val="21"/>
                <w:lang w:eastAsia="en-US"/>
              </w:rPr>
            </w:pPr>
            <w:r>
              <w:rPr>
                <w:rFonts w:eastAsiaTheme="minorEastAsia"/>
                <w:spacing w:val="-1"/>
                <w:kern w:val="0"/>
                <w:szCs w:val="21"/>
                <w:lang w:eastAsia="en-US"/>
              </w:rPr>
              <w:t>给水工程</w:t>
            </w:r>
          </w:p>
        </w:tc>
        <w:tc>
          <w:tcPr>
            <w:tcW w:w="3766" w:type="pct"/>
            <w:vAlign w:val="center"/>
          </w:tcPr>
          <w:p>
            <w:pPr>
              <w:adjustRightInd w:val="0"/>
              <w:snapToGrid w:val="0"/>
              <w:jc w:val="center"/>
              <w:rPr>
                <w:rFonts w:eastAsiaTheme="minorEastAsia"/>
                <w:kern w:val="0"/>
                <w:szCs w:val="21"/>
                <w:lang w:eastAsia="zh-CN"/>
              </w:rPr>
            </w:pPr>
            <w:r>
              <w:rPr>
                <w:rFonts w:eastAsiaTheme="minorEastAsia"/>
                <w:spacing w:val="-1"/>
                <w:kern w:val="0"/>
                <w:szCs w:val="21"/>
                <w:lang w:eastAsia="zh-CN"/>
              </w:rPr>
              <w:t>由紧邻的生活垃圾焚烧发电项目提供</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eastAsiaTheme="minorEastAsia"/>
                <w:kern w:val="0"/>
                <w:szCs w:val="21"/>
                <w:lang w:eastAsia="en-US"/>
              </w:rPr>
            </w:pPr>
            <w:r>
              <w:rPr>
                <w:rFonts w:eastAsiaTheme="minorEastAsia"/>
                <w:spacing w:val="-1"/>
                <w:kern w:val="0"/>
                <w:szCs w:val="21"/>
                <w:lang w:eastAsia="en-US"/>
              </w:rPr>
              <w:t>供电工程</w:t>
            </w:r>
          </w:p>
        </w:tc>
        <w:tc>
          <w:tcPr>
            <w:tcW w:w="3766" w:type="pct"/>
            <w:vAlign w:val="center"/>
          </w:tcPr>
          <w:p>
            <w:pPr>
              <w:adjustRightInd w:val="0"/>
              <w:snapToGrid w:val="0"/>
              <w:jc w:val="center"/>
              <w:rPr>
                <w:rFonts w:eastAsiaTheme="minorEastAsia"/>
                <w:kern w:val="0"/>
                <w:szCs w:val="21"/>
                <w:lang w:eastAsia="zh-CN"/>
              </w:rPr>
            </w:pPr>
            <w:r>
              <w:rPr>
                <w:rFonts w:eastAsiaTheme="minorEastAsia"/>
                <w:spacing w:val="-1"/>
                <w:kern w:val="0"/>
                <w:szCs w:val="21"/>
                <w:lang w:eastAsia="zh-CN"/>
              </w:rPr>
              <w:t>由紧邻的生活垃圾焚烧发电项目提供</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排水</w:t>
            </w:r>
          </w:p>
        </w:tc>
        <w:tc>
          <w:tcPr>
            <w:tcW w:w="3766" w:type="pct"/>
            <w:vAlign w:val="center"/>
          </w:tcPr>
          <w:p>
            <w:pPr>
              <w:adjustRightInd w:val="0"/>
              <w:snapToGrid w:val="0"/>
              <w:jc w:val="left"/>
              <w:rPr>
                <w:rFonts w:eastAsiaTheme="minorEastAsia"/>
                <w:kern w:val="0"/>
                <w:szCs w:val="21"/>
                <w:lang w:eastAsia="zh-CN"/>
              </w:rPr>
            </w:pPr>
            <w:r>
              <w:rPr>
                <w:rFonts w:eastAsiaTheme="minorEastAsia"/>
                <w:kern w:val="0"/>
                <w:szCs w:val="21"/>
                <w:lang w:eastAsia="zh-CN"/>
              </w:rPr>
              <w:t>项目排水体制采用雨污分流制。填埋场区外雨水经永久截洪沟收集后，排入库区周边永久截洪沟。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restart"/>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环保 工程</w:t>
            </w:r>
          </w:p>
        </w:tc>
        <w:tc>
          <w:tcPr>
            <w:tcW w:w="869" w:type="pct"/>
            <w:gridSpan w:val="2"/>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废气</w:t>
            </w:r>
          </w:p>
        </w:tc>
        <w:tc>
          <w:tcPr>
            <w:tcW w:w="3766" w:type="pct"/>
            <w:vAlign w:val="center"/>
          </w:tcPr>
          <w:p>
            <w:pPr>
              <w:adjustRightInd w:val="0"/>
              <w:snapToGrid w:val="0"/>
              <w:jc w:val="left"/>
              <w:rPr>
                <w:rFonts w:eastAsiaTheme="minorEastAsia"/>
                <w:kern w:val="0"/>
                <w:szCs w:val="21"/>
                <w:lang w:eastAsia="en-US"/>
              </w:rPr>
            </w:pPr>
            <w:r>
              <w:rPr>
                <w:rFonts w:eastAsiaTheme="minorEastAsia"/>
                <w:spacing w:val="-2"/>
                <w:kern w:val="0"/>
                <w:szCs w:val="21"/>
                <w:lang w:eastAsia="zh-CN"/>
              </w:rPr>
              <w:t>进场道路和填埋区作业道路利用洒水车洒水，填埋作业过程产生的粉尘通过及时覆盖并采用洒水降尘；调节池臭气采取加盖封闭、定期清理池底污泥等措施。</w:t>
            </w:r>
            <w:r>
              <w:rPr>
                <w:rFonts w:eastAsiaTheme="minorEastAsia"/>
                <w:spacing w:val="-2"/>
                <w:kern w:val="0"/>
                <w:szCs w:val="21"/>
                <w:lang w:eastAsia="en-US"/>
              </w:rPr>
              <w:t>同时，厂区四周采取加强绿化等操作。</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en-US"/>
              </w:rPr>
            </w:pPr>
          </w:p>
        </w:tc>
        <w:tc>
          <w:tcPr>
            <w:tcW w:w="235" w:type="pct"/>
            <w:vMerge w:val="restart"/>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废 水</w:t>
            </w:r>
          </w:p>
        </w:tc>
        <w:tc>
          <w:tcPr>
            <w:tcW w:w="634" w:type="pct"/>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渗滤液</w:t>
            </w:r>
          </w:p>
        </w:tc>
        <w:tc>
          <w:tcPr>
            <w:tcW w:w="3766" w:type="pct"/>
            <w:vAlign w:val="center"/>
          </w:tcPr>
          <w:p>
            <w:pPr>
              <w:adjustRightInd w:val="0"/>
              <w:snapToGrid w:val="0"/>
              <w:rPr>
                <w:rFonts w:eastAsiaTheme="minorEastAsia"/>
                <w:kern w:val="0"/>
                <w:szCs w:val="21"/>
                <w:lang w:eastAsia="zh-CN"/>
              </w:rPr>
            </w:pPr>
            <w:r>
              <w:rPr>
                <w:rFonts w:eastAsiaTheme="minorEastAsia"/>
                <w:spacing w:val="-2"/>
                <w:kern w:val="0"/>
                <w:szCs w:val="21"/>
                <w:lang w:eastAsia="zh-CN"/>
              </w:rPr>
              <w:t>在填埋场西南侧建设渗滤液调节池，容积3000m</w:t>
            </w:r>
            <w:r>
              <w:rPr>
                <w:rFonts w:eastAsiaTheme="minorEastAsia"/>
                <w:spacing w:val="-2"/>
                <w:kern w:val="0"/>
                <w:szCs w:val="21"/>
                <w:vertAlign w:val="superscript"/>
                <w:lang w:eastAsia="zh-CN"/>
              </w:rPr>
              <w:t>3</w:t>
            </w:r>
            <w:r>
              <w:rPr>
                <w:rFonts w:eastAsiaTheme="minorEastAsia"/>
                <w:spacing w:val="-2"/>
                <w:kern w:val="0"/>
                <w:szCs w:val="21"/>
                <w:lang w:eastAsia="zh-CN"/>
              </w:rPr>
              <w:t>，渗滤液由渗滤液导排管收集至渗滤液调节池。调节池西面建设渗滤液处理车间，处理规模为</w:t>
            </w:r>
            <w:r>
              <w:rPr>
                <w:rFonts w:eastAsiaTheme="minorEastAsia"/>
                <w:spacing w:val="-53"/>
                <w:kern w:val="0"/>
                <w:szCs w:val="21"/>
                <w:lang w:eastAsia="zh-CN"/>
              </w:rPr>
              <w:t xml:space="preserve"> </w:t>
            </w:r>
            <w:r>
              <w:rPr>
                <w:rFonts w:eastAsiaTheme="minorEastAsia"/>
                <w:spacing w:val="-2"/>
                <w:kern w:val="0"/>
                <w:szCs w:val="21"/>
                <w:lang w:eastAsia="zh-CN"/>
              </w:rPr>
              <w:t>30m</w:t>
            </w:r>
            <w:r>
              <w:rPr>
                <w:rFonts w:eastAsiaTheme="minorEastAsia"/>
                <w:spacing w:val="-2"/>
                <w:kern w:val="0"/>
                <w:szCs w:val="21"/>
                <w:vertAlign w:val="superscript"/>
                <w:lang w:eastAsia="zh-CN"/>
              </w:rPr>
              <w:t>3</w:t>
            </w:r>
            <w:r>
              <w:rPr>
                <w:rFonts w:eastAsiaTheme="minorEastAsia"/>
                <w:spacing w:val="-2"/>
                <w:kern w:val="0"/>
                <w:szCs w:val="21"/>
                <w:lang w:eastAsia="zh-CN"/>
              </w:rPr>
              <w:t>/d，经渗滤液处理站处理后，分批泵入紧邻的</w:t>
            </w:r>
            <w:r>
              <w:rPr>
                <w:rFonts w:eastAsiaTheme="minorEastAsia"/>
                <w:spacing w:val="-1"/>
                <w:kern w:val="0"/>
                <w:szCs w:val="21"/>
                <w:lang w:eastAsia="zh-CN"/>
              </w:rPr>
              <w:t>生活垃圾焚烧发电项目污水处理站处理达标后，全部回用，不外排。</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235" w:type="pct"/>
            <w:vMerge w:val="continue"/>
            <w:vAlign w:val="center"/>
          </w:tcPr>
          <w:p>
            <w:pPr>
              <w:adjustRightInd w:val="0"/>
              <w:snapToGrid w:val="0"/>
              <w:jc w:val="center"/>
              <w:rPr>
                <w:rFonts w:eastAsiaTheme="minorEastAsia"/>
                <w:kern w:val="0"/>
                <w:szCs w:val="21"/>
                <w:lang w:eastAsia="zh-CN"/>
              </w:rPr>
            </w:pPr>
          </w:p>
        </w:tc>
        <w:tc>
          <w:tcPr>
            <w:tcW w:w="634" w:type="pct"/>
            <w:vAlign w:val="center"/>
          </w:tcPr>
          <w:p>
            <w:pPr>
              <w:adjustRightInd w:val="0"/>
              <w:snapToGrid w:val="0"/>
              <w:jc w:val="center"/>
              <w:rPr>
                <w:rFonts w:eastAsiaTheme="minorEastAsia"/>
                <w:kern w:val="0"/>
                <w:szCs w:val="21"/>
                <w:lang w:eastAsia="zh-CN"/>
              </w:rPr>
            </w:pPr>
            <w:r>
              <w:rPr>
                <w:rFonts w:eastAsiaTheme="minorEastAsia"/>
                <w:spacing w:val="-1"/>
                <w:kern w:val="0"/>
                <w:szCs w:val="21"/>
                <w:lang w:eastAsia="zh-CN"/>
              </w:rPr>
              <w:t>生活污水、车辆冲洗废</w:t>
            </w:r>
            <w:r>
              <w:rPr>
                <w:rFonts w:eastAsiaTheme="minorEastAsia"/>
                <w:kern w:val="0"/>
                <w:szCs w:val="21"/>
                <w:lang w:eastAsia="zh-CN"/>
              </w:rPr>
              <w:t>水</w:t>
            </w:r>
          </w:p>
        </w:tc>
        <w:tc>
          <w:tcPr>
            <w:tcW w:w="3766" w:type="pct"/>
            <w:vAlign w:val="center"/>
          </w:tcPr>
          <w:p>
            <w:pPr>
              <w:adjustRightInd w:val="0"/>
              <w:snapToGrid w:val="0"/>
              <w:jc w:val="left"/>
              <w:rPr>
                <w:rFonts w:eastAsiaTheme="minorEastAsia"/>
                <w:kern w:val="0"/>
                <w:szCs w:val="21"/>
                <w:lang w:eastAsia="zh-CN"/>
              </w:rPr>
            </w:pPr>
            <w:r>
              <w:rPr>
                <w:rFonts w:eastAsiaTheme="minorEastAsia"/>
                <w:spacing w:val="-2"/>
                <w:kern w:val="0"/>
                <w:szCs w:val="21"/>
                <w:lang w:eastAsia="zh-CN"/>
              </w:rPr>
              <w:t>集中收集后，排入渗滤液调节池，与渗滤液一并处置。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eastAsiaTheme="minorEastAsia"/>
                <w:spacing w:val="-1"/>
                <w:kern w:val="0"/>
                <w:szCs w:val="21"/>
                <w:lang w:eastAsia="en-US"/>
              </w:rPr>
            </w:pPr>
            <w:r>
              <w:rPr>
                <w:rFonts w:eastAsiaTheme="minorEastAsia"/>
                <w:spacing w:val="-1"/>
                <w:kern w:val="0"/>
                <w:szCs w:val="21"/>
                <w:lang w:eastAsia="en-US"/>
              </w:rPr>
              <w:t>固废</w:t>
            </w:r>
          </w:p>
        </w:tc>
        <w:tc>
          <w:tcPr>
            <w:tcW w:w="3766" w:type="pct"/>
            <w:vAlign w:val="center"/>
          </w:tcPr>
          <w:p>
            <w:pPr>
              <w:adjustRightInd w:val="0"/>
              <w:snapToGrid w:val="0"/>
              <w:jc w:val="left"/>
              <w:rPr>
                <w:rFonts w:eastAsiaTheme="minorEastAsia"/>
                <w:spacing w:val="-2"/>
                <w:kern w:val="0"/>
                <w:szCs w:val="21"/>
                <w:lang w:eastAsia="zh-CN"/>
              </w:rPr>
            </w:pPr>
            <w:r>
              <w:rPr>
                <w:rFonts w:eastAsiaTheme="minorEastAsia"/>
                <w:spacing w:val="-2"/>
                <w:kern w:val="0"/>
                <w:szCs w:val="21"/>
                <w:lang w:eastAsia="zh-CN"/>
              </w:rPr>
              <w:t>生活垃圾集中收集，日产日清，送紧邻的</w:t>
            </w:r>
            <w:r>
              <w:rPr>
                <w:rFonts w:eastAsiaTheme="minorEastAsia"/>
                <w:spacing w:val="-1"/>
                <w:kern w:val="0"/>
                <w:szCs w:val="21"/>
                <w:lang w:eastAsia="zh-CN"/>
              </w:rPr>
              <w:t>生活垃圾焚烧发电项目焚烧处置。</w:t>
            </w:r>
          </w:p>
          <w:p>
            <w:pPr>
              <w:adjustRightInd w:val="0"/>
              <w:snapToGrid w:val="0"/>
              <w:jc w:val="left"/>
              <w:rPr>
                <w:rFonts w:eastAsiaTheme="minorEastAsia"/>
                <w:spacing w:val="-2"/>
                <w:kern w:val="0"/>
                <w:szCs w:val="21"/>
                <w:lang w:eastAsia="zh-CN"/>
              </w:rPr>
            </w:pPr>
            <w:r>
              <w:rPr>
                <w:rFonts w:eastAsiaTheme="minorEastAsia"/>
                <w:spacing w:val="-2"/>
                <w:kern w:val="0"/>
                <w:szCs w:val="21"/>
                <w:lang w:eastAsia="zh-CN"/>
              </w:rPr>
              <w:t>渗滤液处理站污泥送紧邻的</w:t>
            </w:r>
            <w:r>
              <w:rPr>
                <w:rFonts w:eastAsiaTheme="minorEastAsia"/>
                <w:spacing w:val="-1"/>
                <w:kern w:val="0"/>
                <w:szCs w:val="21"/>
                <w:lang w:eastAsia="zh-CN"/>
              </w:rPr>
              <w:t>生活垃圾焚烧发电项目焚烧处置。</w:t>
            </w:r>
          </w:p>
          <w:p>
            <w:pPr>
              <w:adjustRightInd w:val="0"/>
              <w:snapToGrid w:val="0"/>
              <w:jc w:val="left"/>
              <w:rPr>
                <w:rFonts w:eastAsiaTheme="minorEastAsia"/>
                <w:spacing w:val="-2"/>
                <w:kern w:val="0"/>
                <w:szCs w:val="21"/>
                <w:lang w:eastAsia="zh-CN"/>
              </w:rPr>
            </w:pPr>
            <w:r>
              <w:rPr>
                <w:rFonts w:eastAsiaTheme="minorEastAsia"/>
                <w:spacing w:val="-2"/>
                <w:kern w:val="0"/>
                <w:szCs w:val="21"/>
                <w:lang w:eastAsia="zh-CN"/>
              </w:rPr>
              <w:t>废油等危险废物送紧邻的</w:t>
            </w:r>
            <w:r>
              <w:rPr>
                <w:rFonts w:eastAsiaTheme="minorEastAsia"/>
                <w:spacing w:val="-1"/>
                <w:kern w:val="0"/>
                <w:szCs w:val="21"/>
                <w:lang w:eastAsia="zh-CN"/>
              </w:rPr>
              <w:t>生活垃圾焚烧发电项目危废暂存间后一并</w:t>
            </w:r>
            <w:r>
              <w:rPr>
                <w:rFonts w:eastAsiaTheme="minorEastAsia"/>
                <w:spacing w:val="-2"/>
                <w:kern w:val="0"/>
                <w:szCs w:val="21"/>
                <w:lang w:eastAsia="zh-CN"/>
              </w:rPr>
              <w:t>委托有资质的单位进行处置。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eastAsiaTheme="minorEastAsia"/>
                <w:spacing w:val="-1"/>
                <w:kern w:val="0"/>
                <w:szCs w:val="21"/>
                <w:lang w:eastAsia="en-US"/>
              </w:rPr>
            </w:pPr>
            <w:r>
              <w:rPr>
                <w:rFonts w:eastAsiaTheme="minorEastAsia"/>
                <w:kern w:val="0"/>
                <w:szCs w:val="21"/>
                <w:lang w:eastAsia="en-US"/>
              </w:rPr>
              <w:t>噪声</w:t>
            </w:r>
          </w:p>
        </w:tc>
        <w:tc>
          <w:tcPr>
            <w:tcW w:w="3766" w:type="pct"/>
            <w:vAlign w:val="center"/>
          </w:tcPr>
          <w:p>
            <w:pPr>
              <w:adjustRightInd w:val="0"/>
              <w:snapToGrid w:val="0"/>
              <w:jc w:val="center"/>
              <w:rPr>
                <w:rFonts w:eastAsiaTheme="minorEastAsia"/>
                <w:spacing w:val="-1"/>
                <w:kern w:val="0"/>
                <w:szCs w:val="21"/>
                <w:lang w:eastAsia="zh-CN"/>
              </w:rPr>
            </w:pPr>
            <w:r>
              <w:rPr>
                <w:rFonts w:eastAsiaTheme="minorEastAsia"/>
                <w:spacing w:val="-1"/>
                <w:kern w:val="0"/>
                <w:szCs w:val="21"/>
                <w:lang w:eastAsia="zh-CN"/>
              </w:rPr>
              <w:t>采用专业填埋作业车辆，控制填埋作业仅在昼间作业；</w:t>
            </w:r>
          </w:p>
          <w:p>
            <w:pPr>
              <w:adjustRightInd w:val="0"/>
              <w:snapToGrid w:val="0"/>
              <w:jc w:val="left"/>
              <w:rPr>
                <w:rFonts w:eastAsiaTheme="minorEastAsia"/>
                <w:spacing w:val="-2"/>
                <w:kern w:val="0"/>
                <w:szCs w:val="21"/>
                <w:lang w:eastAsia="zh-CN"/>
              </w:rPr>
            </w:pPr>
            <w:r>
              <w:rPr>
                <w:rFonts w:eastAsiaTheme="minorEastAsia"/>
                <w:spacing w:val="-1"/>
                <w:kern w:val="0"/>
                <w:szCs w:val="21"/>
                <w:lang w:eastAsia="zh-CN"/>
              </w:rPr>
              <w:t>选用低噪声设备，产噪设备采取隔声、减震等综合降噪措施。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eastAsiaTheme="minorEastAsia"/>
                <w:spacing w:val="-2"/>
                <w:kern w:val="0"/>
                <w:szCs w:val="21"/>
                <w:lang w:eastAsia="en-US"/>
              </w:rPr>
            </w:pPr>
            <w:r>
              <w:rPr>
                <w:rFonts w:eastAsiaTheme="minorEastAsia"/>
                <w:spacing w:val="-2"/>
                <w:kern w:val="0"/>
                <w:szCs w:val="21"/>
                <w:lang w:eastAsia="en-US"/>
              </w:rPr>
              <w:t>地下水监测设施</w:t>
            </w:r>
          </w:p>
        </w:tc>
        <w:tc>
          <w:tcPr>
            <w:tcW w:w="3766" w:type="pct"/>
            <w:vAlign w:val="center"/>
          </w:tcPr>
          <w:p>
            <w:pPr>
              <w:adjustRightInd w:val="0"/>
              <w:snapToGrid w:val="0"/>
              <w:jc w:val="center"/>
              <w:rPr>
                <w:rFonts w:eastAsiaTheme="minorEastAsia"/>
                <w:spacing w:val="-2"/>
                <w:kern w:val="0"/>
                <w:szCs w:val="21"/>
                <w:lang w:eastAsia="zh-CN"/>
              </w:rPr>
            </w:pPr>
            <w:r>
              <w:rPr>
                <w:rFonts w:eastAsiaTheme="minorEastAsia"/>
                <w:spacing w:val="-2"/>
                <w:kern w:val="0"/>
                <w:szCs w:val="21"/>
                <w:lang w:eastAsia="zh-CN"/>
              </w:rPr>
              <w:t>本项目场地共布置</w:t>
            </w:r>
            <w:r>
              <w:rPr>
                <w:rFonts w:hint="eastAsia" w:eastAsiaTheme="minorEastAsia"/>
                <w:spacing w:val="-2"/>
                <w:kern w:val="0"/>
                <w:szCs w:val="21"/>
                <w:lang w:eastAsia="zh-CN"/>
              </w:rPr>
              <w:t>3</w:t>
            </w:r>
            <w:r>
              <w:rPr>
                <w:rFonts w:eastAsiaTheme="minorEastAsia"/>
                <w:spacing w:val="-2"/>
                <w:kern w:val="0"/>
                <w:szCs w:val="21"/>
                <w:lang w:eastAsia="zh-CN"/>
              </w:rPr>
              <w:t>眼地下水监测井</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65" w:type="pct"/>
            <w:vMerge w:val="continue"/>
            <w:vAlign w:val="center"/>
          </w:tcPr>
          <w:p>
            <w:pPr>
              <w:adjustRightInd w:val="0"/>
              <w:snapToGrid w:val="0"/>
              <w:jc w:val="center"/>
              <w:rPr>
                <w:rFonts w:eastAsiaTheme="minorEastAsia"/>
                <w:kern w:val="0"/>
                <w:szCs w:val="21"/>
                <w:lang w:eastAsia="zh-CN"/>
              </w:rPr>
            </w:pPr>
          </w:p>
        </w:tc>
        <w:tc>
          <w:tcPr>
            <w:tcW w:w="869" w:type="pct"/>
            <w:gridSpan w:val="2"/>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绿化</w:t>
            </w:r>
          </w:p>
        </w:tc>
        <w:tc>
          <w:tcPr>
            <w:tcW w:w="3766" w:type="pct"/>
            <w:vAlign w:val="center"/>
          </w:tcPr>
          <w:p>
            <w:pPr>
              <w:adjustRightInd w:val="0"/>
              <w:snapToGrid w:val="0"/>
              <w:jc w:val="center"/>
              <w:rPr>
                <w:rFonts w:eastAsiaTheme="minorEastAsia"/>
                <w:kern w:val="0"/>
                <w:szCs w:val="21"/>
                <w:lang w:eastAsia="zh-CN"/>
              </w:rPr>
            </w:pPr>
            <w:r>
              <w:rPr>
                <w:rFonts w:eastAsiaTheme="minorEastAsia"/>
                <w:kern w:val="0"/>
                <w:szCs w:val="21"/>
                <w:lang w:eastAsia="zh-CN"/>
              </w:rPr>
              <w:t>填埋场四周设置绿化隔离带；填埋区边坡及时种植植被</w:t>
            </w:r>
          </w:p>
        </w:tc>
      </w:tr>
    </w:tbl>
    <w:p>
      <w:pPr>
        <w:pStyle w:val="62"/>
        <w:numPr>
          <w:ilvl w:val="2"/>
          <w:numId w:val="5"/>
        </w:numPr>
        <w:tabs>
          <w:tab w:val="left" w:pos="567"/>
        </w:tabs>
        <w:spacing w:before="120" w:after="120"/>
        <w:ind w:left="0" w:firstLine="0"/>
        <w:rPr>
          <w:rFonts w:ascii="Times New Roman" w:hAnsi="Times New Roman"/>
        </w:rPr>
      </w:pPr>
      <w:bookmarkStart w:id="64" w:name="_Toc518025835"/>
      <w:r>
        <w:rPr>
          <w:rFonts w:ascii="Times New Roman" w:hAnsi="Times New Roman"/>
        </w:rPr>
        <w:t>主要技术经济指标</w:t>
      </w:r>
      <w:bookmarkEnd w:id="64"/>
    </w:p>
    <w:p>
      <w:pPr>
        <w:pStyle w:val="87"/>
        <w:rPr>
          <w:rFonts w:ascii="Times New Roman" w:hAnsi="Times New Roman"/>
        </w:rPr>
      </w:pPr>
      <w:r>
        <w:rPr>
          <w:rFonts w:ascii="Times New Roman" w:hAnsi="Times New Roman"/>
        </w:rPr>
        <w:t>本项目主要技术经济指标见表3.1-4</w:t>
      </w:r>
      <w:r>
        <w:rPr>
          <w:rFonts w:hint="eastAsia" w:ascii="Times New Roman" w:hAnsi="Times New Roman"/>
        </w:rPr>
        <w:t>，建筑物一览表见表3.1-5</w:t>
      </w:r>
      <w:r>
        <w:rPr>
          <w:rFonts w:ascii="Times New Roman" w:hAnsi="Times New Roman"/>
        </w:rPr>
        <w:t>。</w:t>
      </w:r>
    </w:p>
    <w:p>
      <w:pPr>
        <w:pStyle w:val="87"/>
        <w:ind w:firstLine="482"/>
        <w:jc w:val="center"/>
      </w:pPr>
      <w:r>
        <w:rPr>
          <w:rFonts w:ascii="Times New Roman" w:hAnsi="Times New Roman"/>
          <w:b/>
        </w:rPr>
        <w:t>表3.1-4  主要技术经济指标表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30"/>
        <w:gridCol w:w="3724"/>
        <w:gridCol w:w="1906"/>
        <w:gridCol w:w="16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序号</w:t>
            </w:r>
          </w:p>
        </w:tc>
        <w:tc>
          <w:tcPr>
            <w:tcW w:w="2185" w:type="pct"/>
            <w:vAlign w:val="center"/>
          </w:tcPr>
          <w:p>
            <w:pPr>
              <w:pStyle w:val="87"/>
              <w:spacing w:line="240" w:lineRule="auto"/>
              <w:ind w:firstLine="0" w:firstLineChars="0"/>
              <w:jc w:val="center"/>
              <w:rPr>
                <w:sz w:val="21"/>
                <w:szCs w:val="21"/>
              </w:rPr>
            </w:pPr>
            <w:r>
              <w:rPr>
                <w:rFonts w:hint="eastAsia"/>
                <w:sz w:val="21"/>
                <w:szCs w:val="21"/>
              </w:rPr>
              <w:t>项目名称</w:t>
            </w:r>
          </w:p>
        </w:tc>
        <w:tc>
          <w:tcPr>
            <w:tcW w:w="1118" w:type="pct"/>
            <w:vAlign w:val="center"/>
          </w:tcPr>
          <w:p>
            <w:pPr>
              <w:pStyle w:val="87"/>
              <w:spacing w:line="240" w:lineRule="auto"/>
              <w:ind w:firstLine="0" w:firstLineChars="0"/>
              <w:jc w:val="center"/>
              <w:rPr>
                <w:sz w:val="21"/>
                <w:szCs w:val="21"/>
              </w:rPr>
            </w:pPr>
            <w:r>
              <w:rPr>
                <w:rFonts w:hint="eastAsia"/>
                <w:sz w:val="21"/>
                <w:szCs w:val="21"/>
              </w:rPr>
              <w:t>单位</w:t>
            </w:r>
          </w:p>
        </w:tc>
        <w:tc>
          <w:tcPr>
            <w:tcW w:w="976" w:type="pct"/>
            <w:vAlign w:val="center"/>
          </w:tcPr>
          <w:p>
            <w:pPr>
              <w:pStyle w:val="87"/>
              <w:spacing w:line="240" w:lineRule="auto"/>
              <w:ind w:firstLine="0" w:firstLineChars="0"/>
              <w:jc w:val="center"/>
              <w:rPr>
                <w:sz w:val="21"/>
                <w:szCs w:val="21"/>
              </w:rPr>
            </w:pPr>
            <w:r>
              <w:rPr>
                <w:rFonts w:hint="eastAsia"/>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1</w:t>
            </w:r>
          </w:p>
        </w:tc>
        <w:tc>
          <w:tcPr>
            <w:tcW w:w="2185" w:type="pct"/>
            <w:vAlign w:val="center"/>
          </w:tcPr>
          <w:p>
            <w:pPr>
              <w:pStyle w:val="87"/>
              <w:spacing w:line="240" w:lineRule="auto"/>
              <w:ind w:firstLine="0" w:firstLineChars="0"/>
              <w:jc w:val="center"/>
              <w:rPr>
                <w:sz w:val="21"/>
                <w:szCs w:val="21"/>
              </w:rPr>
            </w:pPr>
            <w:r>
              <w:rPr>
                <w:rFonts w:hint="eastAsia"/>
                <w:sz w:val="21"/>
                <w:szCs w:val="21"/>
              </w:rPr>
              <w:t>处理规模</w:t>
            </w:r>
          </w:p>
        </w:tc>
        <w:tc>
          <w:tcPr>
            <w:tcW w:w="1118" w:type="pct"/>
            <w:vAlign w:val="center"/>
          </w:tcPr>
          <w:p>
            <w:pPr>
              <w:pStyle w:val="87"/>
              <w:spacing w:line="240" w:lineRule="auto"/>
              <w:ind w:firstLine="0" w:firstLineChars="0"/>
              <w:jc w:val="center"/>
              <w:rPr>
                <w:sz w:val="21"/>
                <w:szCs w:val="21"/>
              </w:rPr>
            </w:pPr>
            <w:r>
              <w:rPr>
                <w:rFonts w:hint="eastAsia"/>
                <w:sz w:val="21"/>
                <w:szCs w:val="21"/>
              </w:rPr>
              <w:t>吨/天</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19.88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2</w:t>
            </w:r>
          </w:p>
        </w:tc>
        <w:tc>
          <w:tcPr>
            <w:tcW w:w="2185" w:type="pct"/>
            <w:vAlign w:val="center"/>
          </w:tcPr>
          <w:p>
            <w:pPr>
              <w:pStyle w:val="87"/>
              <w:spacing w:line="240" w:lineRule="auto"/>
              <w:ind w:firstLine="0" w:firstLineChars="0"/>
              <w:jc w:val="center"/>
              <w:rPr>
                <w:sz w:val="21"/>
                <w:szCs w:val="21"/>
              </w:rPr>
            </w:pPr>
            <w:r>
              <w:rPr>
                <w:rFonts w:hint="eastAsia"/>
                <w:sz w:val="21"/>
                <w:szCs w:val="21"/>
              </w:rPr>
              <w:t>填埋场库容</w:t>
            </w:r>
          </w:p>
        </w:tc>
        <w:tc>
          <w:tcPr>
            <w:tcW w:w="1118" w:type="pct"/>
            <w:vAlign w:val="center"/>
          </w:tcPr>
          <w:p>
            <w:pPr>
              <w:pStyle w:val="87"/>
              <w:spacing w:line="240" w:lineRule="auto"/>
              <w:ind w:firstLine="0" w:firstLineChars="0"/>
              <w:jc w:val="center"/>
              <w:rPr>
                <w:sz w:val="21"/>
                <w:szCs w:val="21"/>
              </w:rPr>
            </w:pPr>
            <w:r>
              <w:rPr>
                <w:rFonts w:hint="eastAsia"/>
                <w:sz w:val="21"/>
                <w:szCs w:val="21"/>
              </w:rPr>
              <w:t>万立方米</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3</w:t>
            </w:r>
          </w:p>
        </w:tc>
        <w:tc>
          <w:tcPr>
            <w:tcW w:w="2185" w:type="pct"/>
            <w:vAlign w:val="center"/>
          </w:tcPr>
          <w:p>
            <w:pPr>
              <w:pStyle w:val="87"/>
              <w:spacing w:line="240" w:lineRule="auto"/>
              <w:ind w:firstLine="0" w:firstLineChars="0"/>
              <w:jc w:val="center"/>
              <w:rPr>
                <w:sz w:val="21"/>
                <w:szCs w:val="21"/>
              </w:rPr>
            </w:pPr>
            <w:r>
              <w:rPr>
                <w:rFonts w:hint="eastAsia"/>
                <w:sz w:val="21"/>
                <w:szCs w:val="21"/>
              </w:rPr>
              <w:t>使用年限</w:t>
            </w:r>
          </w:p>
        </w:tc>
        <w:tc>
          <w:tcPr>
            <w:tcW w:w="1118" w:type="pct"/>
            <w:vAlign w:val="center"/>
          </w:tcPr>
          <w:p>
            <w:pPr>
              <w:pStyle w:val="87"/>
              <w:spacing w:line="240" w:lineRule="auto"/>
              <w:ind w:firstLine="0" w:firstLineChars="0"/>
              <w:jc w:val="center"/>
              <w:rPr>
                <w:sz w:val="21"/>
                <w:szCs w:val="21"/>
              </w:rPr>
            </w:pPr>
            <w:r>
              <w:rPr>
                <w:rFonts w:hint="eastAsia"/>
                <w:sz w:val="21"/>
                <w:szCs w:val="21"/>
              </w:rPr>
              <w:t>年</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4</w:t>
            </w:r>
          </w:p>
        </w:tc>
        <w:tc>
          <w:tcPr>
            <w:tcW w:w="2185" w:type="pct"/>
            <w:vAlign w:val="center"/>
          </w:tcPr>
          <w:p>
            <w:pPr>
              <w:pStyle w:val="87"/>
              <w:spacing w:line="240" w:lineRule="auto"/>
              <w:ind w:firstLine="0" w:firstLineChars="0"/>
              <w:jc w:val="center"/>
              <w:rPr>
                <w:sz w:val="21"/>
                <w:szCs w:val="21"/>
              </w:rPr>
            </w:pPr>
            <w:r>
              <w:rPr>
                <w:rFonts w:hint="eastAsia"/>
                <w:sz w:val="21"/>
                <w:szCs w:val="21"/>
              </w:rPr>
              <w:t>渗沥液处理规模</w:t>
            </w:r>
          </w:p>
        </w:tc>
        <w:tc>
          <w:tcPr>
            <w:tcW w:w="1118" w:type="pct"/>
            <w:vAlign w:val="center"/>
          </w:tcPr>
          <w:p>
            <w:pPr>
              <w:pStyle w:val="87"/>
              <w:spacing w:line="240" w:lineRule="auto"/>
              <w:ind w:firstLine="0" w:firstLineChars="0"/>
              <w:jc w:val="center"/>
              <w:rPr>
                <w:sz w:val="21"/>
                <w:szCs w:val="21"/>
              </w:rPr>
            </w:pPr>
            <w:r>
              <w:rPr>
                <w:rFonts w:hint="eastAsia"/>
                <w:sz w:val="21"/>
                <w:szCs w:val="21"/>
              </w:rPr>
              <w:t>吨/天</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5</w:t>
            </w:r>
          </w:p>
        </w:tc>
        <w:tc>
          <w:tcPr>
            <w:tcW w:w="2185" w:type="pct"/>
            <w:vAlign w:val="center"/>
          </w:tcPr>
          <w:p>
            <w:pPr>
              <w:pStyle w:val="87"/>
              <w:spacing w:line="240" w:lineRule="auto"/>
              <w:ind w:firstLine="0" w:firstLineChars="0"/>
              <w:jc w:val="center"/>
              <w:rPr>
                <w:sz w:val="21"/>
                <w:szCs w:val="21"/>
              </w:rPr>
            </w:pPr>
            <w:r>
              <w:rPr>
                <w:rFonts w:hint="eastAsia"/>
                <w:sz w:val="21"/>
                <w:szCs w:val="21"/>
              </w:rPr>
              <w:t>调节池容积</w:t>
            </w:r>
          </w:p>
        </w:tc>
        <w:tc>
          <w:tcPr>
            <w:tcW w:w="1118" w:type="pct"/>
            <w:vAlign w:val="center"/>
          </w:tcPr>
          <w:p>
            <w:pPr>
              <w:pStyle w:val="87"/>
              <w:spacing w:line="240" w:lineRule="auto"/>
              <w:ind w:firstLine="0" w:firstLineChars="0"/>
              <w:jc w:val="center"/>
              <w:rPr>
                <w:sz w:val="21"/>
                <w:szCs w:val="21"/>
              </w:rPr>
            </w:pPr>
            <w:r>
              <w:rPr>
                <w:rFonts w:hint="eastAsia"/>
                <w:sz w:val="21"/>
                <w:szCs w:val="21"/>
              </w:rPr>
              <w:t>立方米</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6</w:t>
            </w:r>
          </w:p>
        </w:tc>
        <w:tc>
          <w:tcPr>
            <w:tcW w:w="2185" w:type="pct"/>
            <w:vAlign w:val="center"/>
          </w:tcPr>
          <w:p>
            <w:pPr>
              <w:pStyle w:val="87"/>
              <w:spacing w:line="240" w:lineRule="auto"/>
              <w:ind w:firstLine="0" w:firstLineChars="0"/>
              <w:jc w:val="center"/>
              <w:rPr>
                <w:sz w:val="21"/>
                <w:szCs w:val="21"/>
              </w:rPr>
            </w:pPr>
            <w:r>
              <w:rPr>
                <w:rFonts w:hint="eastAsia"/>
                <w:sz w:val="21"/>
                <w:szCs w:val="21"/>
              </w:rPr>
              <w:t>劳动定员</w:t>
            </w:r>
          </w:p>
        </w:tc>
        <w:tc>
          <w:tcPr>
            <w:tcW w:w="1118" w:type="pct"/>
            <w:vAlign w:val="center"/>
          </w:tcPr>
          <w:p>
            <w:pPr>
              <w:pStyle w:val="87"/>
              <w:spacing w:line="240" w:lineRule="auto"/>
              <w:ind w:firstLine="0" w:firstLineChars="0"/>
              <w:jc w:val="center"/>
              <w:rPr>
                <w:sz w:val="21"/>
                <w:szCs w:val="21"/>
              </w:rPr>
            </w:pPr>
            <w:r>
              <w:rPr>
                <w:rFonts w:hint="eastAsia"/>
                <w:sz w:val="21"/>
                <w:szCs w:val="21"/>
              </w:rPr>
              <w:t>人</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22" w:type="pct"/>
            <w:vAlign w:val="center"/>
          </w:tcPr>
          <w:p>
            <w:pPr>
              <w:pStyle w:val="87"/>
              <w:spacing w:line="240" w:lineRule="auto"/>
              <w:ind w:firstLine="0" w:firstLineChars="0"/>
              <w:jc w:val="center"/>
              <w:rPr>
                <w:sz w:val="21"/>
                <w:szCs w:val="21"/>
              </w:rPr>
            </w:pPr>
            <w:r>
              <w:rPr>
                <w:rFonts w:hint="eastAsia"/>
                <w:sz w:val="21"/>
                <w:szCs w:val="21"/>
              </w:rPr>
              <w:t>7</w:t>
            </w:r>
          </w:p>
        </w:tc>
        <w:tc>
          <w:tcPr>
            <w:tcW w:w="2185" w:type="pct"/>
            <w:vAlign w:val="center"/>
          </w:tcPr>
          <w:p>
            <w:pPr>
              <w:pStyle w:val="87"/>
              <w:spacing w:line="240" w:lineRule="auto"/>
              <w:ind w:firstLine="0" w:firstLineChars="0"/>
              <w:jc w:val="center"/>
              <w:rPr>
                <w:sz w:val="21"/>
                <w:szCs w:val="21"/>
              </w:rPr>
            </w:pPr>
            <w:r>
              <w:rPr>
                <w:rFonts w:hint="eastAsia"/>
                <w:sz w:val="21"/>
                <w:szCs w:val="21"/>
              </w:rPr>
              <w:t>工程总投资</w:t>
            </w:r>
          </w:p>
        </w:tc>
        <w:tc>
          <w:tcPr>
            <w:tcW w:w="1118" w:type="pct"/>
            <w:vAlign w:val="center"/>
          </w:tcPr>
          <w:p>
            <w:pPr>
              <w:pStyle w:val="87"/>
              <w:spacing w:line="240" w:lineRule="auto"/>
              <w:ind w:firstLine="0" w:firstLineChars="0"/>
              <w:jc w:val="center"/>
              <w:rPr>
                <w:sz w:val="21"/>
                <w:szCs w:val="21"/>
              </w:rPr>
            </w:pPr>
            <w:r>
              <w:rPr>
                <w:rFonts w:hint="eastAsia"/>
                <w:sz w:val="21"/>
                <w:szCs w:val="21"/>
              </w:rPr>
              <w:t>万元</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3825.45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22" w:type="pct"/>
            <w:vAlign w:val="center"/>
          </w:tcPr>
          <w:p>
            <w:pPr>
              <w:pStyle w:val="87"/>
              <w:spacing w:line="240" w:lineRule="auto"/>
              <w:ind w:firstLine="0" w:firstLineChars="0"/>
              <w:jc w:val="center"/>
              <w:rPr>
                <w:sz w:val="21"/>
                <w:szCs w:val="21"/>
              </w:rPr>
            </w:pPr>
            <w:r>
              <w:rPr>
                <w:rFonts w:hint="eastAsia"/>
                <w:sz w:val="21"/>
                <w:szCs w:val="21"/>
              </w:rPr>
              <w:t>8</w:t>
            </w:r>
          </w:p>
        </w:tc>
        <w:tc>
          <w:tcPr>
            <w:tcW w:w="2185" w:type="pct"/>
            <w:vAlign w:val="center"/>
          </w:tcPr>
          <w:p>
            <w:pPr>
              <w:pStyle w:val="87"/>
              <w:spacing w:line="240" w:lineRule="auto"/>
              <w:ind w:firstLine="0" w:firstLineChars="0"/>
              <w:jc w:val="center"/>
              <w:rPr>
                <w:sz w:val="21"/>
                <w:szCs w:val="21"/>
              </w:rPr>
            </w:pPr>
            <w:r>
              <w:rPr>
                <w:rFonts w:hint="eastAsia"/>
                <w:sz w:val="21"/>
                <w:szCs w:val="21"/>
              </w:rPr>
              <w:t>直接工程费</w:t>
            </w:r>
          </w:p>
        </w:tc>
        <w:tc>
          <w:tcPr>
            <w:tcW w:w="1118" w:type="pct"/>
            <w:vAlign w:val="center"/>
          </w:tcPr>
          <w:p>
            <w:pPr>
              <w:pStyle w:val="87"/>
              <w:spacing w:line="240" w:lineRule="auto"/>
              <w:ind w:firstLine="0" w:firstLineChars="0"/>
              <w:jc w:val="center"/>
              <w:rPr>
                <w:sz w:val="21"/>
                <w:szCs w:val="21"/>
              </w:rPr>
            </w:pPr>
            <w:r>
              <w:rPr>
                <w:rFonts w:hint="eastAsia"/>
                <w:sz w:val="21"/>
                <w:szCs w:val="21"/>
              </w:rPr>
              <w:t>万元</w:t>
            </w:r>
          </w:p>
        </w:tc>
        <w:tc>
          <w:tcPr>
            <w:tcW w:w="976" w:type="pct"/>
            <w:vAlign w:val="center"/>
          </w:tcPr>
          <w:p>
            <w:pPr>
              <w:pStyle w:val="87"/>
              <w:spacing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2880.56</w:t>
            </w:r>
          </w:p>
        </w:tc>
      </w:tr>
    </w:tbl>
    <w:p>
      <w:pPr>
        <w:pStyle w:val="87"/>
        <w:ind w:firstLine="482"/>
        <w:jc w:val="center"/>
        <w:rPr>
          <w:rFonts w:ascii="Times New Roman" w:hAnsi="Times New Roman"/>
          <w:b/>
        </w:rPr>
      </w:pPr>
      <w:r>
        <w:rPr>
          <w:rFonts w:hint="eastAsia" w:ascii="Times New Roman" w:hAnsi="Times New Roman"/>
          <w:b/>
        </w:rPr>
        <w:t>表3</w:t>
      </w:r>
      <w:r>
        <w:rPr>
          <w:rFonts w:ascii="Times New Roman" w:hAnsi="Times New Roman"/>
          <w:b/>
        </w:rPr>
        <w:t xml:space="preserve">.1-5  </w:t>
      </w:r>
      <w:r>
        <w:rPr>
          <w:rFonts w:hint="eastAsia" w:ascii="Times New Roman" w:hAnsi="Times New Roman"/>
          <w:b/>
        </w:rPr>
        <w:t>工程量一览表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649"/>
        <w:gridCol w:w="3506"/>
        <w:gridCol w:w="798"/>
        <w:gridCol w:w="1845"/>
        <w:gridCol w:w="172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lang w:bidi="ar"/>
              </w:rPr>
              <w:t>序号</w:t>
            </w:r>
          </w:p>
        </w:tc>
        <w:tc>
          <w:tcPr>
            <w:tcW w:w="2057"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lang w:bidi="ar"/>
              </w:rPr>
              <w:t>工程名称</w:t>
            </w:r>
          </w:p>
        </w:tc>
        <w:tc>
          <w:tcPr>
            <w:tcW w:w="468"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lang w:bidi="ar"/>
              </w:rPr>
              <w:t>单位</w:t>
            </w:r>
          </w:p>
        </w:tc>
        <w:tc>
          <w:tcPr>
            <w:tcW w:w="1082"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lang w:bidi="ar"/>
              </w:rPr>
              <w:t>数量</w:t>
            </w:r>
          </w:p>
        </w:tc>
        <w:tc>
          <w:tcPr>
            <w:tcW w:w="1011"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lang w:bidi="ar"/>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1</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设备间（一体化处理设备）</w:t>
            </w:r>
          </w:p>
        </w:tc>
        <w:tc>
          <w:tcPr>
            <w:tcW w:w="468" w:type="pct"/>
            <w:vAlign w:val="center"/>
          </w:tcPr>
          <w:p>
            <w:pPr>
              <w:jc w:val="center"/>
              <w:rPr>
                <w:rFonts w:eastAsiaTheme="minorEastAsia"/>
              </w:rPr>
            </w:pPr>
            <w:r>
              <w:rPr>
                <w:rFonts w:eastAsiaTheme="minorEastAsia"/>
              </w:rPr>
              <w:t>m</w:t>
            </w:r>
            <w:r>
              <w:rPr>
                <w:rFonts w:eastAsiaTheme="minorEastAsia"/>
                <w:vertAlign w:val="superscript"/>
              </w:rPr>
              <w:t>2</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75</w:t>
            </w:r>
          </w:p>
        </w:tc>
        <w:tc>
          <w:tcPr>
            <w:tcW w:w="1011"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rPr>
              <w:t>框架结构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2</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调节池</w:t>
            </w:r>
          </w:p>
        </w:tc>
        <w:tc>
          <w:tcPr>
            <w:tcW w:w="468" w:type="pct"/>
            <w:vAlign w:val="center"/>
          </w:tcPr>
          <w:p>
            <w:pPr>
              <w:jc w:val="center"/>
              <w:rPr>
                <w:rFonts w:eastAsiaTheme="minorEastAsia"/>
              </w:rPr>
            </w:pPr>
            <w:r>
              <w:rPr>
                <w:rFonts w:hint="eastAsia" w:eastAsiaTheme="minorEastAsia"/>
              </w:rPr>
              <w:t>m</w:t>
            </w:r>
            <w:r>
              <w:rPr>
                <w:rFonts w:eastAsiaTheme="minorEastAsia"/>
                <w:vertAlign w:val="superscript"/>
              </w:rPr>
              <w:t>3</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3000</w:t>
            </w:r>
          </w:p>
        </w:tc>
        <w:tc>
          <w:tcPr>
            <w:tcW w:w="1011"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rPr>
              <w:t>钢筋混凝土结构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3</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门卫</w:t>
            </w:r>
          </w:p>
        </w:tc>
        <w:tc>
          <w:tcPr>
            <w:tcW w:w="468" w:type="pct"/>
            <w:vAlign w:val="center"/>
          </w:tcPr>
          <w:p>
            <w:pPr>
              <w:jc w:val="center"/>
              <w:rPr>
                <w:rFonts w:eastAsiaTheme="minorEastAsia"/>
              </w:rPr>
            </w:pPr>
            <w:r>
              <w:rPr>
                <w:rFonts w:eastAsiaTheme="minorEastAsia"/>
              </w:rPr>
              <w:t>m</w:t>
            </w:r>
            <w:r>
              <w:rPr>
                <w:rFonts w:eastAsiaTheme="minorEastAsia"/>
                <w:vertAlign w:val="superscript"/>
              </w:rPr>
              <w:t>2</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27.3</w:t>
            </w:r>
          </w:p>
        </w:tc>
        <w:tc>
          <w:tcPr>
            <w:tcW w:w="1011" w:type="pct"/>
            <w:vAlign w:val="center"/>
          </w:tcPr>
          <w:p>
            <w:pPr>
              <w:widowControl/>
              <w:adjustRightInd w:val="0"/>
              <w:snapToGrid w:val="0"/>
              <w:jc w:val="center"/>
              <w:textAlignment w:val="bottom"/>
              <w:rPr>
                <w:rFonts w:eastAsiaTheme="minorEastAsia"/>
                <w:kern w:val="0"/>
                <w:szCs w:val="21"/>
                <w:lang w:bidi="ar"/>
              </w:rPr>
            </w:pPr>
            <w:r>
              <w:rPr>
                <w:rFonts w:eastAsiaTheme="minorEastAsia"/>
                <w:kern w:val="0"/>
                <w:szCs w:val="21"/>
              </w:rPr>
              <w:t>砌体结构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4</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土方工程</w:t>
            </w:r>
          </w:p>
        </w:tc>
        <w:tc>
          <w:tcPr>
            <w:tcW w:w="468" w:type="pct"/>
            <w:vAlign w:val="center"/>
          </w:tcPr>
          <w:p>
            <w:pPr>
              <w:jc w:val="center"/>
              <w:rPr>
                <w:rFonts w:eastAsiaTheme="minorEastAsia"/>
              </w:rPr>
            </w:pPr>
            <w:r>
              <w:rPr>
                <w:rFonts w:hint="eastAsia" w:eastAsiaTheme="minorEastAsia"/>
              </w:rPr>
              <w:t>m</w:t>
            </w:r>
            <w:r>
              <w:rPr>
                <w:rFonts w:eastAsiaTheme="minorEastAsia"/>
                <w:vertAlign w:val="superscript"/>
              </w:rPr>
              <w:t>3</w:t>
            </w:r>
          </w:p>
        </w:tc>
        <w:tc>
          <w:tcPr>
            <w:tcW w:w="1082" w:type="pct"/>
            <w:vAlign w:val="center"/>
          </w:tcPr>
          <w:p>
            <w:pPr>
              <w:adjustRightInd w:val="0"/>
              <w:snapToGrid w:val="0"/>
              <w:jc w:val="center"/>
              <w:rPr>
                <w:rFonts w:eastAsiaTheme="minorEastAsia"/>
                <w:kern w:val="0"/>
                <w:szCs w:val="21"/>
              </w:rPr>
            </w:pPr>
            <w:r>
              <w:rPr>
                <w:rFonts w:eastAsiaTheme="minorEastAsia"/>
                <w:kern w:val="0"/>
                <w:szCs w:val="21"/>
              </w:rPr>
              <w:t>49606.49（挖方）</w:t>
            </w:r>
          </w:p>
          <w:p>
            <w:pPr>
              <w:adjustRightInd w:val="0"/>
              <w:snapToGrid w:val="0"/>
              <w:jc w:val="center"/>
              <w:rPr>
                <w:rFonts w:eastAsiaTheme="minorEastAsia"/>
                <w:kern w:val="0"/>
                <w:szCs w:val="21"/>
              </w:rPr>
            </w:pPr>
            <w:r>
              <w:rPr>
                <w:rFonts w:eastAsiaTheme="minorEastAsia"/>
                <w:kern w:val="0"/>
                <w:szCs w:val="21"/>
              </w:rPr>
              <w:t>46957.45（填方）</w:t>
            </w:r>
          </w:p>
        </w:tc>
        <w:tc>
          <w:tcPr>
            <w:tcW w:w="1011" w:type="pct"/>
            <w:vAlign w:val="center"/>
          </w:tcPr>
          <w:p>
            <w:pPr>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5</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垃圾挡坝</w:t>
            </w:r>
          </w:p>
        </w:tc>
        <w:tc>
          <w:tcPr>
            <w:tcW w:w="468" w:type="pct"/>
            <w:vAlign w:val="center"/>
          </w:tcPr>
          <w:p>
            <w:pPr>
              <w:jc w:val="center"/>
              <w:rPr>
                <w:rFonts w:eastAsiaTheme="minorEastAsia"/>
              </w:rPr>
            </w:pPr>
            <w:r>
              <w:rPr>
                <w:rFonts w:hint="eastAsia" w:eastAsiaTheme="minorEastAsia"/>
              </w:rPr>
              <w:t>m</w:t>
            </w:r>
            <w:r>
              <w:rPr>
                <w:rFonts w:eastAsiaTheme="minorEastAsia"/>
                <w:vertAlign w:val="superscript"/>
              </w:rPr>
              <w:t>3</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22991.8</w:t>
            </w:r>
          </w:p>
        </w:tc>
        <w:tc>
          <w:tcPr>
            <w:tcW w:w="1011" w:type="pct"/>
            <w:vAlign w:val="center"/>
          </w:tcPr>
          <w:p>
            <w:pPr>
              <w:widowControl/>
              <w:adjustRightInd w:val="0"/>
              <w:snapToGrid w:val="0"/>
              <w:jc w:val="center"/>
              <w:textAlignment w:val="bottom"/>
              <w:rPr>
                <w:rFonts w:eastAsiaTheme="minorEastAsia"/>
                <w:kern w:val="0"/>
                <w:szCs w:val="21"/>
                <w:lang w:bidi="ar"/>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6</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挡墙</w:t>
            </w:r>
          </w:p>
        </w:tc>
        <w:tc>
          <w:tcPr>
            <w:tcW w:w="468" w:type="pct"/>
            <w:vAlign w:val="center"/>
          </w:tcPr>
          <w:p>
            <w:pPr>
              <w:jc w:val="center"/>
              <w:rPr>
                <w:rFonts w:eastAsiaTheme="minorEastAsia"/>
              </w:rPr>
            </w:pPr>
            <w:r>
              <w:rPr>
                <w:rFonts w:hint="eastAsia" w:eastAsiaTheme="minorEastAsia"/>
              </w:rPr>
              <w:t>m</w:t>
            </w:r>
            <w:r>
              <w:rPr>
                <w:rFonts w:eastAsiaTheme="minorEastAsia"/>
                <w:vertAlign w:val="superscript"/>
              </w:rPr>
              <w:t>3</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4185.15</w:t>
            </w:r>
          </w:p>
        </w:tc>
        <w:tc>
          <w:tcPr>
            <w:tcW w:w="1011" w:type="pct"/>
            <w:vAlign w:val="center"/>
          </w:tcPr>
          <w:p>
            <w:pPr>
              <w:widowControl/>
              <w:adjustRightInd w:val="0"/>
              <w:snapToGrid w:val="0"/>
              <w:jc w:val="center"/>
              <w:textAlignment w:val="bottom"/>
              <w:rPr>
                <w:rFonts w:eastAsiaTheme="minorEastAsia"/>
                <w:kern w:val="0"/>
                <w:szCs w:val="21"/>
                <w:lang w:bidi="ar"/>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7</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厂区道路</w:t>
            </w:r>
          </w:p>
        </w:tc>
        <w:tc>
          <w:tcPr>
            <w:tcW w:w="468" w:type="pct"/>
            <w:vAlign w:val="center"/>
          </w:tcPr>
          <w:p>
            <w:pPr>
              <w:jc w:val="center"/>
              <w:rPr>
                <w:rFonts w:eastAsiaTheme="minorEastAsia"/>
              </w:rPr>
            </w:pPr>
            <w:r>
              <w:rPr>
                <w:rFonts w:eastAsiaTheme="minorEastAsia"/>
              </w:rPr>
              <w:t>m</w:t>
            </w:r>
            <w:r>
              <w:rPr>
                <w:rFonts w:eastAsiaTheme="minorEastAsia"/>
                <w:vertAlign w:val="superscript"/>
              </w:rPr>
              <w:t>2</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5402</w:t>
            </w:r>
          </w:p>
        </w:tc>
        <w:tc>
          <w:tcPr>
            <w:tcW w:w="1011" w:type="pct"/>
            <w:vAlign w:val="center"/>
          </w:tcPr>
          <w:p>
            <w:pPr>
              <w:widowControl/>
              <w:adjustRightInd w:val="0"/>
              <w:snapToGrid w:val="0"/>
              <w:jc w:val="center"/>
              <w:textAlignment w:val="bottom"/>
              <w:rPr>
                <w:rFonts w:eastAsiaTheme="minorEastAsia"/>
                <w:kern w:val="0"/>
                <w:szCs w:val="21"/>
                <w:lang w:bidi="ar"/>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8</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防渗系统</w:t>
            </w:r>
          </w:p>
        </w:tc>
        <w:tc>
          <w:tcPr>
            <w:tcW w:w="468" w:type="pct"/>
            <w:vAlign w:val="center"/>
          </w:tcPr>
          <w:p>
            <w:pPr>
              <w:jc w:val="center"/>
              <w:rPr>
                <w:rFonts w:eastAsiaTheme="minorEastAsia"/>
              </w:rPr>
            </w:pPr>
            <w:r>
              <w:rPr>
                <w:rFonts w:eastAsiaTheme="minorEastAsia"/>
              </w:rPr>
              <w:t>m</w:t>
            </w:r>
            <w:r>
              <w:rPr>
                <w:rFonts w:eastAsiaTheme="minorEastAsia"/>
                <w:vertAlign w:val="superscript"/>
              </w:rPr>
              <w:t>2</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23666.58</w:t>
            </w:r>
          </w:p>
        </w:tc>
        <w:tc>
          <w:tcPr>
            <w:tcW w:w="1011" w:type="pct"/>
            <w:vAlign w:val="center"/>
          </w:tcPr>
          <w:p>
            <w:pPr>
              <w:widowControl/>
              <w:adjustRightInd w:val="0"/>
              <w:snapToGrid w:val="0"/>
              <w:jc w:val="center"/>
              <w:textAlignment w:val="bottom"/>
              <w:rPr>
                <w:rFonts w:eastAsiaTheme="minorEastAsia"/>
                <w:kern w:val="0"/>
                <w:szCs w:val="21"/>
                <w:lang w:bidi="ar"/>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9</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截洪沟</w:t>
            </w:r>
          </w:p>
        </w:tc>
        <w:tc>
          <w:tcPr>
            <w:tcW w:w="468" w:type="pct"/>
            <w:vAlign w:val="center"/>
          </w:tcPr>
          <w:p>
            <w:pPr>
              <w:jc w:val="center"/>
              <w:rPr>
                <w:rFonts w:eastAsiaTheme="minorEastAsia"/>
              </w:rPr>
            </w:pPr>
            <w:r>
              <w:rPr>
                <w:rFonts w:eastAsiaTheme="minorEastAsia"/>
              </w:rPr>
              <w:t>m</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402.26</w:t>
            </w:r>
          </w:p>
        </w:tc>
        <w:tc>
          <w:tcPr>
            <w:tcW w:w="1011" w:type="pct"/>
            <w:vAlign w:val="center"/>
          </w:tcPr>
          <w:p>
            <w:pPr>
              <w:widowControl/>
              <w:adjustRightInd w:val="0"/>
              <w:snapToGrid w:val="0"/>
              <w:jc w:val="center"/>
              <w:textAlignment w:val="bottom"/>
              <w:rPr>
                <w:rFonts w:eastAsiaTheme="minorEastAsia"/>
                <w:kern w:val="0"/>
                <w:szCs w:val="21"/>
                <w:lang w:bidi="ar"/>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10</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入厂道路</w:t>
            </w:r>
          </w:p>
        </w:tc>
        <w:tc>
          <w:tcPr>
            <w:tcW w:w="468" w:type="pct"/>
            <w:vAlign w:val="center"/>
          </w:tcPr>
          <w:p>
            <w:pPr>
              <w:jc w:val="center"/>
              <w:rPr>
                <w:rFonts w:eastAsiaTheme="minorEastAsia"/>
              </w:rPr>
            </w:pPr>
            <w:r>
              <w:rPr>
                <w:rFonts w:eastAsiaTheme="minorEastAsia"/>
              </w:rPr>
              <w:t>m</w:t>
            </w:r>
            <w:r>
              <w:rPr>
                <w:rFonts w:eastAsiaTheme="minorEastAsia"/>
                <w:vertAlign w:val="superscript"/>
              </w:rPr>
              <w:t>2</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9000</w:t>
            </w:r>
          </w:p>
        </w:tc>
        <w:tc>
          <w:tcPr>
            <w:tcW w:w="1011" w:type="pct"/>
            <w:vAlign w:val="center"/>
          </w:tcPr>
          <w:p>
            <w:pPr>
              <w:widowControl/>
              <w:adjustRightInd w:val="0"/>
              <w:snapToGrid w:val="0"/>
              <w:jc w:val="center"/>
              <w:textAlignment w:val="bottom"/>
              <w:rPr>
                <w:rFonts w:eastAsiaTheme="minorEastAsia"/>
                <w:kern w:val="0"/>
                <w:szCs w:val="21"/>
                <w:lang w:bidi="ar"/>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81"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11</w:t>
            </w:r>
          </w:p>
        </w:tc>
        <w:tc>
          <w:tcPr>
            <w:tcW w:w="2057"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排水管网工程（HDPE管 DN400）</w:t>
            </w:r>
          </w:p>
        </w:tc>
        <w:tc>
          <w:tcPr>
            <w:tcW w:w="468" w:type="pct"/>
            <w:vAlign w:val="center"/>
          </w:tcPr>
          <w:p>
            <w:pPr>
              <w:jc w:val="center"/>
              <w:rPr>
                <w:rFonts w:eastAsiaTheme="minorEastAsia"/>
              </w:rPr>
            </w:pPr>
            <w:r>
              <w:rPr>
                <w:rFonts w:eastAsiaTheme="minorEastAsia"/>
              </w:rPr>
              <w:t>m</w:t>
            </w:r>
          </w:p>
        </w:tc>
        <w:tc>
          <w:tcPr>
            <w:tcW w:w="1082" w:type="pct"/>
            <w:vAlign w:val="center"/>
          </w:tcPr>
          <w:p>
            <w:pPr>
              <w:widowControl/>
              <w:adjustRightInd w:val="0"/>
              <w:snapToGrid w:val="0"/>
              <w:jc w:val="center"/>
              <w:textAlignment w:val="bottom"/>
              <w:rPr>
                <w:rFonts w:eastAsiaTheme="minorEastAsia"/>
                <w:kern w:val="0"/>
                <w:szCs w:val="21"/>
              </w:rPr>
            </w:pPr>
            <w:r>
              <w:rPr>
                <w:rFonts w:eastAsiaTheme="minorEastAsia"/>
                <w:kern w:val="0"/>
                <w:szCs w:val="21"/>
                <w:lang w:bidi="ar"/>
              </w:rPr>
              <w:t>100</w:t>
            </w:r>
          </w:p>
        </w:tc>
        <w:tc>
          <w:tcPr>
            <w:tcW w:w="1011" w:type="pct"/>
            <w:vAlign w:val="center"/>
          </w:tcPr>
          <w:p>
            <w:pPr>
              <w:widowControl/>
              <w:adjustRightInd w:val="0"/>
              <w:snapToGrid w:val="0"/>
              <w:jc w:val="center"/>
              <w:textAlignment w:val="bottom"/>
              <w:rPr>
                <w:rFonts w:eastAsiaTheme="minorEastAsia"/>
                <w:kern w:val="0"/>
                <w:szCs w:val="21"/>
                <w:lang w:bidi="ar"/>
              </w:rPr>
            </w:pPr>
          </w:p>
        </w:tc>
      </w:tr>
    </w:tbl>
    <w:p>
      <w:pPr>
        <w:pStyle w:val="62"/>
        <w:numPr>
          <w:ilvl w:val="2"/>
          <w:numId w:val="5"/>
        </w:numPr>
        <w:tabs>
          <w:tab w:val="left" w:pos="567"/>
        </w:tabs>
        <w:spacing w:before="120" w:after="120"/>
        <w:ind w:left="0" w:firstLine="0"/>
        <w:rPr>
          <w:rFonts w:ascii="Times New Roman" w:hAnsi="Times New Roman"/>
        </w:rPr>
      </w:pPr>
      <w:r>
        <w:rPr>
          <w:rFonts w:hint="eastAsia" w:ascii="Times New Roman" w:hAnsi="Times New Roman"/>
        </w:rPr>
        <w:t>设计库容与使用年限</w:t>
      </w:r>
    </w:p>
    <w:p>
      <w:pPr>
        <w:adjustRightInd w:val="0"/>
        <w:snapToGrid w:val="0"/>
        <w:spacing w:line="360" w:lineRule="auto"/>
        <w:ind w:firstLine="480" w:firstLineChars="200"/>
        <w:rPr>
          <w:sz w:val="24"/>
        </w:rPr>
      </w:pPr>
      <w:r>
        <w:rPr>
          <w:sz w:val="24"/>
        </w:rPr>
        <w:t>根据《围场满族蒙古族自治县静脉产业园生活垃圾焚烧发电项目环境影响报告》</w:t>
      </w:r>
      <w:r>
        <w:rPr>
          <w:rFonts w:hint="eastAsia"/>
          <w:sz w:val="24"/>
        </w:rPr>
        <w:t>，项目</w:t>
      </w:r>
      <w:r>
        <w:rPr>
          <w:sz w:val="24"/>
        </w:rPr>
        <w:t>日焚烧处理生活垃圾300吨</w:t>
      </w:r>
      <w:r>
        <w:rPr>
          <w:rFonts w:hint="eastAsia"/>
          <w:sz w:val="24"/>
        </w:rPr>
        <w:t>（年生产时间8</w:t>
      </w:r>
      <w:r>
        <w:rPr>
          <w:sz w:val="24"/>
        </w:rPr>
        <w:t>000</w:t>
      </w:r>
      <w:r>
        <w:rPr>
          <w:rFonts w:hint="eastAsia"/>
          <w:sz w:val="24"/>
        </w:rPr>
        <w:t>h）</w:t>
      </w:r>
      <w:r>
        <w:rPr>
          <w:sz w:val="24"/>
        </w:rPr>
        <w:t>，</w:t>
      </w:r>
      <w:r>
        <w:rPr>
          <w:rFonts w:hint="eastAsia"/>
          <w:sz w:val="24"/>
        </w:rPr>
        <w:t>飞灰产生量为</w:t>
      </w:r>
      <w:r>
        <w:rPr>
          <w:sz w:val="24"/>
        </w:rPr>
        <w:t>9.0t/d</w:t>
      </w:r>
      <w:r>
        <w:rPr>
          <w:rFonts w:hint="eastAsia"/>
          <w:sz w:val="24"/>
        </w:rPr>
        <w:t>（</w:t>
      </w:r>
      <w:r>
        <w:rPr>
          <w:sz w:val="24"/>
        </w:rPr>
        <w:t>3000t/a</w:t>
      </w:r>
      <w:r>
        <w:rPr>
          <w:rFonts w:hint="eastAsia"/>
          <w:sz w:val="24"/>
        </w:rPr>
        <w:t>），约占垃圾焚烧量的</w:t>
      </w:r>
      <w:r>
        <w:rPr>
          <w:sz w:val="24"/>
        </w:rPr>
        <w:t>3.0%</w:t>
      </w:r>
      <w:r>
        <w:rPr>
          <w:rFonts w:hint="eastAsia"/>
          <w:sz w:val="24"/>
        </w:rPr>
        <w:t>。</w:t>
      </w:r>
      <w:r>
        <w:rPr>
          <w:sz w:val="24"/>
        </w:rPr>
        <w:t>采用“水泥+螯合剂”固化技术工艺进行飞灰固化，</w:t>
      </w:r>
      <w:r>
        <w:rPr>
          <w:rFonts w:hint="eastAsia"/>
          <w:sz w:val="24"/>
        </w:rPr>
        <w:t>飞</w:t>
      </w:r>
      <w:r>
        <w:rPr>
          <w:sz w:val="24"/>
        </w:rPr>
        <w:t>灰固化工艺中水、水泥和螯合剂的添加量分别为飞灰量的 20%、10%和2%</w:t>
      </w:r>
      <w:r>
        <w:rPr>
          <w:rFonts w:hint="eastAsia"/>
          <w:sz w:val="24"/>
        </w:rPr>
        <w:t>。固化后</w:t>
      </w:r>
      <w:r>
        <w:rPr>
          <w:sz w:val="24"/>
        </w:rPr>
        <w:t>焚烧飞灰产生量为</w:t>
      </w:r>
      <w:r>
        <w:rPr>
          <w:rFonts w:hint="eastAsia"/>
          <w:sz w:val="24"/>
        </w:rPr>
        <w:t>1</w:t>
      </w:r>
      <w:r>
        <w:rPr>
          <w:sz w:val="24"/>
        </w:rPr>
        <w:t>1.88</w:t>
      </w:r>
      <w:r>
        <w:rPr>
          <w:rFonts w:hint="eastAsia"/>
          <w:sz w:val="24"/>
        </w:rPr>
        <w:t>t/d（</w:t>
      </w:r>
      <w:r>
        <w:rPr>
          <w:sz w:val="24"/>
        </w:rPr>
        <w:t>3960t/a</w:t>
      </w:r>
      <w:r>
        <w:rPr>
          <w:rFonts w:hint="eastAsia"/>
          <w:sz w:val="24"/>
        </w:rPr>
        <w:t>）。</w:t>
      </w:r>
    </w:p>
    <w:p>
      <w:pPr>
        <w:adjustRightInd w:val="0"/>
        <w:snapToGrid w:val="0"/>
        <w:spacing w:line="360" w:lineRule="auto"/>
        <w:ind w:firstLine="480" w:firstLineChars="200"/>
        <w:rPr>
          <w:sz w:val="24"/>
        </w:rPr>
      </w:pPr>
      <w:r>
        <w:rPr>
          <w:rFonts w:hint="eastAsia"/>
          <w:sz w:val="24"/>
        </w:rPr>
        <w:t>根据《围场满族蒙古族自治县农村环境整治生活垃圾治理项目环评报告》，项目1</w:t>
      </w:r>
      <w:r>
        <w:rPr>
          <w:sz w:val="24"/>
        </w:rPr>
        <w:t>0</w:t>
      </w:r>
      <w:r>
        <w:rPr>
          <w:rFonts w:hint="eastAsia"/>
          <w:sz w:val="24"/>
        </w:rPr>
        <w:t>×</w:t>
      </w:r>
      <w:r>
        <w:rPr>
          <w:sz w:val="24"/>
        </w:rPr>
        <w:t>10</w:t>
      </w:r>
      <w:r>
        <w:rPr>
          <w:rFonts w:hint="eastAsia"/>
          <w:sz w:val="24"/>
        </w:rPr>
        <w:t>t热解气化焚烧炉</w:t>
      </w:r>
      <w:r>
        <w:rPr>
          <w:sz w:val="24"/>
        </w:rPr>
        <w:t>日焚烧处理生活垃圾100吨（</w:t>
      </w:r>
      <w:r>
        <w:rPr>
          <w:rFonts w:hint="eastAsia"/>
          <w:sz w:val="24"/>
        </w:rPr>
        <w:t>年生产时间8</w:t>
      </w:r>
      <w:r>
        <w:rPr>
          <w:sz w:val="24"/>
        </w:rPr>
        <w:t>000h</w:t>
      </w:r>
      <w:r>
        <w:rPr>
          <w:rFonts w:hint="eastAsia"/>
          <w:sz w:val="24"/>
        </w:rPr>
        <w:t>计</w:t>
      </w:r>
      <w:r>
        <w:rPr>
          <w:sz w:val="24"/>
        </w:rPr>
        <w:t>）</w:t>
      </w:r>
      <w:r>
        <w:rPr>
          <w:rFonts w:hint="eastAsia"/>
          <w:sz w:val="24"/>
        </w:rPr>
        <w:t>，日产飞灰产生量为</w:t>
      </w:r>
      <w:r>
        <w:rPr>
          <w:sz w:val="24"/>
        </w:rPr>
        <w:t>5.0t/d</w:t>
      </w:r>
      <w:r>
        <w:rPr>
          <w:rFonts w:hint="eastAsia"/>
          <w:sz w:val="24"/>
        </w:rPr>
        <w:t>（</w:t>
      </w:r>
      <w:r>
        <w:rPr>
          <w:sz w:val="24"/>
        </w:rPr>
        <w:t>1667t/a</w:t>
      </w:r>
      <w:r>
        <w:rPr>
          <w:rFonts w:hint="eastAsia"/>
          <w:sz w:val="24"/>
        </w:rPr>
        <w:t>），约占垃圾焚烧量的</w:t>
      </w:r>
      <w:r>
        <w:rPr>
          <w:sz w:val="24"/>
        </w:rPr>
        <w:t>5.0%</w:t>
      </w:r>
      <w:r>
        <w:rPr>
          <w:rFonts w:hint="eastAsia"/>
          <w:sz w:val="24"/>
        </w:rPr>
        <w:t>。</w:t>
      </w:r>
      <w:r>
        <w:rPr>
          <w:sz w:val="24"/>
        </w:rPr>
        <w:t>采用“水泥+螯合剂”固化技术工艺进行飞灰固化，</w:t>
      </w:r>
      <w:r>
        <w:rPr>
          <w:rFonts w:hint="eastAsia"/>
          <w:sz w:val="24"/>
        </w:rPr>
        <w:t>飞</w:t>
      </w:r>
      <w:r>
        <w:rPr>
          <w:sz w:val="24"/>
        </w:rPr>
        <w:t>灰固化工艺中水、水泥和螯合剂的添加量分别为飞灰量的 20%、10%和2%</w:t>
      </w:r>
      <w:r>
        <w:rPr>
          <w:rFonts w:hint="eastAsia"/>
          <w:sz w:val="24"/>
        </w:rPr>
        <w:t>。固化后</w:t>
      </w:r>
      <w:r>
        <w:rPr>
          <w:sz w:val="24"/>
        </w:rPr>
        <w:t>焚烧飞灰产生量为6.6</w:t>
      </w:r>
      <w:r>
        <w:rPr>
          <w:rFonts w:hint="eastAsia"/>
          <w:sz w:val="24"/>
        </w:rPr>
        <w:t>t/d（</w:t>
      </w:r>
      <w:r>
        <w:rPr>
          <w:sz w:val="24"/>
        </w:rPr>
        <w:t>2200t/a</w:t>
      </w:r>
      <w:r>
        <w:rPr>
          <w:rFonts w:hint="eastAsia"/>
          <w:sz w:val="24"/>
        </w:rPr>
        <w:t>）。</w:t>
      </w:r>
    </w:p>
    <w:p>
      <w:pPr>
        <w:adjustRightInd w:val="0"/>
        <w:snapToGrid w:val="0"/>
        <w:spacing w:line="360" w:lineRule="auto"/>
        <w:ind w:firstLine="480" w:firstLineChars="200"/>
        <w:rPr>
          <w:bCs/>
          <w:sz w:val="24"/>
          <w:szCs w:val="24"/>
        </w:rPr>
      </w:pPr>
      <w:r>
        <w:rPr>
          <w:rFonts w:hint="eastAsia"/>
          <w:sz w:val="24"/>
          <w:szCs w:val="24"/>
        </w:rPr>
        <w:t>以上合计固化后</w:t>
      </w:r>
      <w:r>
        <w:rPr>
          <w:sz w:val="24"/>
          <w:szCs w:val="24"/>
        </w:rPr>
        <w:t>飞灰</w:t>
      </w:r>
      <w:r>
        <w:rPr>
          <w:rFonts w:hint="eastAsia"/>
          <w:sz w:val="24"/>
          <w:szCs w:val="24"/>
        </w:rPr>
        <w:t>实际</w:t>
      </w:r>
      <w:r>
        <w:rPr>
          <w:sz w:val="24"/>
          <w:szCs w:val="24"/>
        </w:rPr>
        <w:t>产生量为18.48</w:t>
      </w:r>
      <w:r>
        <w:rPr>
          <w:rFonts w:hint="eastAsia"/>
          <w:sz w:val="24"/>
          <w:szCs w:val="24"/>
        </w:rPr>
        <w:t>t/d（</w:t>
      </w:r>
      <w:r>
        <w:rPr>
          <w:sz w:val="24"/>
          <w:szCs w:val="24"/>
        </w:rPr>
        <w:t>6160t/a</w:t>
      </w:r>
      <w:r>
        <w:rPr>
          <w:rFonts w:hint="eastAsia"/>
          <w:sz w:val="24"/>
          <w:szCs w:val="24"/>
        </w:rPr>
        <w:t>）。</w:t>
      </w:r>
      <w:r>
        <w:rPr>
          <w:rFonts w:hint="eastAsia"/>
          <w:kern w:val="0"/>
          <w:sz w:val="24"/>
          <w:szCs w:val="24"/>
        </w:rPr>
        <w:t>根据同类型项目类比，固化后飞灰容重为1.2t/m³，</w:t>
      </w:r>
      <w:r>
        <w:rPr>
          <w:bCs/>
          <w:sz w:val="24"/>
          <w:szCs w:val="24"/>
        </w:rPr>
        <w:t>按30年计算，需填埋库容15.4万</w:t>
      </w:r>
      <w:r>
        <w:rPr>
          <w:kern w:val="0"/>
          <w:sz w:val="24"/>
          <w:szCs w:val="24"/>
        </w:rPr>
        <w:t>m</w:t>
      </w:r>
      <w:r>
        <w:rPr>
          <w:kern w:val="0"/>
          <w:sz w:val="24"/>
          <w:szCs w:val="24"/>
          <w:vertAlign w:val="superscript"/>
        </w:rPr>
        <w:t>3</w:t>
      </w:r>
      <w:r>
        <w:rPr>
          <w:kern w:val="0"/>
          <w:sz w:val="24"/>
          <w:szCs w:val="24"/>
        </w:rPr>
        <w:t>，</w:t>
      </w:r>
      <w:r>
        <w:rPr>
          <w:bCs/>
          <w:sz w:val="24"/>
          <w:szCs w:val="24"/>
        </w:rPr>
        <w:t>考虑填埋存在一定的松散空隙等其他因素，按1.2富裕系数计算，需要有效库容需满足18.48万</w:t>
      </w:r>
      <w:r>
        <w:rPr>
          <w:kern w:val="0"/>
          <w:sz w:val="24"/>
          <w:szCs w:val="24"/>
        </w:rPr>
        <w:t>m</w:t>
      </w:r>
      <w:r>
        <w:rPr>
          <w:kern w:val="0"/>
          <w:sz w:val="24"/>
          <w:szCs w:val="24"/>
          <w:vertAlign w:val="superscript"/>
        </w:rPr>
        <w:t>3</w:t>
      </w:r>
      <w:r>
        <w:rPr>
          <w:bCs/>
          <w:sz w:val="24"/>
          <w:szCs w:val="24"/>
        </w:rPr>
        <w:t>，</w:t>
      </w:r>
      <w:r>
        <w:rPr>
          <w:kern w:val="0"/>
          <w:sz w:val="24"/>
          <w:szCs w:val="24"/>
        </w:rPr>
        <w:t>本项目飞灰填埋场</w:t>
      </w:r>
      <w:r>
        <w:rPr>
          <w:bCs/>
          <w:sz w:val="24"/>
          <w:szCs w:val="24"/>
        </w:rPr>
        <w:t>库容约20万m</w:t>
      </w:r>
      <w:r>
        <w:rPr>
          <w:bCs/>
          <w:sz w:val="24"/>
          <w:szCs w:val="24"/>
          <w:vertAlign w:val="superscript"/>
        </w:rPr>
        <w:t>3</w:t>
      </w:r>
      <w:r>
        <w:rPr>
          <w:rFonts w:hint="eastAsia"/>
          <w:bCs/>
          <w:sz w:val="24"/>
          <w:szCs w:val="24"/>
        </w:rPr>
        <w:t>，有效库容系数按 0.9</w:t>
      </w:r>
      <w:r>
        <w:rPr>
          <w:bCs/>
          <w:sz w:val="24"/>
          <w:szCs w:val="24"/>
        </w:rPr>
        <w:t>4</w:t>
      </w:r>
      <w:r>
        <w:rPr>
          <w:rFonts w:hint="eastAsia"/>
          <w:bCs/>
          <w:sz w:val="24"/>
          <w:szCs w:val="24"/>
        </w:rPr>
        <w:t xml:space="preserve"> 考虑，有效库容约</w:t>
      </w:r>
      <w:r>
        <w:rPr>
          <w:bCs/>
          <w:sz w:val="24"/>
          <w:szCs w:val="24"/>
        </w:rPr>
        <w:t>18.8</w:t>
      </w:r>
      <w:r>
        <w:rPr>
          <w:rFonts w:hint="eastAsia"/>
          <w:bCs/>
          <w:sz w:val="24"/>
          <w:szCs w:val="24"/>
        </w:rPr>
        <w:t>万</w:t>
      </w:r>
      <w:r>
        <w:rPr>
          <w:bCs/>
          <w:sz w:val="24"/>
          <w:szCs w:val="24"/>
        </w:rPr>
        <w:t>m</w:t>
      </w:r>
      <w:r>
        <w:rPr>
          <w:bCs/>
          <w:sz w:val="24"/>
          <w:szCs w:val="24"/>
          <w:vertAlign w:val="superscript"/>
        </w:rPr>
        <w:t>3</w:t>
      </w:r>
      <w:r>
        <w:rPr>
          <w:rFonts w:hint="eastAsia"/>
          <w:bCs/>
          <w:sz w:val="24"/>
          <w:szCs w:val="24"/>
        </w:rPr>
        <w:t>，</w:t>
      </w:r>
      <w:r>
        <w:rPr>
          <w:bCs/>
          <w:sz w:val="24"/>
          <w:szCs w:val="24"/>
        </w:rPr>
        <w:t>故本项目设计库容可使用年限大于30年。</w:t>
      </w:r>
    </w:p>
    <w:p>
      <w:pPr>
        <w:pStyle w:val="61"/>
        <w:numPr>
          <w:ilvl w:val="1"/>
          <w:numId w:val="5"/>
        </w:numPr>
        <w:tabs>
          <w:tab w:val="left" w:pos="567"/>
          <w:tab w:val="clear" w:pos="432"/>
        </w:tabs>
        <w:spacing w:before="120" w:after="120"/>
        <w:ind w:left="0" w:firstLine="0"/>
        <w:rPr>
          <w:rFonts w:ascii="Times New Roman" w:hAnsi="Times New Roman"/>
        </w:rPr>
      </w:pPr>
      <w:bookmarkStart w:id="65" w:name="_Toc94101207"/>
      <w:r>
        <w:rPr>
          <w:rFonts w:hint="eastAsia" w:ascii="Times New Roman" w:hAnsi="Times New Roman"/>
        </w:rPr>
        <w:t>固化飞灰来源</w:t>
      </w:r>
      <w:r>
        <w:rPr>
          <w:rFonts w:ascii="Times New Roman" w:hAnsi="Times New Roman"/>
        </w:rPr>
        <w:t>及</w:t>
      </w:r>
      <w:r>
        <w:rPr>
          <w:rFonts w:hint="eastAsia" w:ascii="Times New Roman" w:hAnsi="Times New Roman"/>
        </w:rPr>
        <w:t>进场要求</w:t>
      </w:r>
      <w:bookmarkEnd w:id="65"/>
    </w:p>
    <w:p>
      <w:pPr>
        <w:pStyle w:val="62"/>
        <w:numPr>
          <w:ilvl w:val="2"/>
          <w:numId w:val="5"/>
        </w:numPr>
        <w:spacing w:before="120" w:after="120"/>
        <w:ind w:left="567" w:hanging="567"/>
        <w:rPr>
          <w:rFonts w:ascii="Times New Roman" w:hAnsi="Times New Roman"/>
        </w:rPr>
      </w:pPr>
      <w:r>
        <w:rPr>
          <w:rFonts w:hint="eastAsia" w:ascii="Times New Roman" w:hAnsi="Times New Roman"/>
        </w:rPr>
        <w:t>来源</w:t>
      </w:r>
    </w:p>
    <w:p>
      <w:pPr>
        <w:adjustRightInd w:val="0"/>
        <w:snapToGrid w:val="0"/>
        <w:spacing w:line="360" w:lineRule="auto"/>
        <w:ind w:firstLine="480" w:firstLineChars="200"/>
        <w:rPr>
          <w:sz w:val="24"/>
        </w:rPr>
      </w:pPr>
      <w:r>
        <w:rPr>
          <w:rFonts w:hint="eastAsia"/>
          <w:bCs/>
          <w:sz w:val="24"/>
        </w:rPr>
        <w:t>根据可研报告，本项目填埋处理的固化飞灰全部为围场满族蒙古族自治县静脉产业园生活垃圾焚烧发</w:t>
      </w:r>
      <w:r>
        <w:rPr>
          <w:bCs/>
          <w:sz w:val="24"/>
        </w:rPr>
        <w:t>项目产生的生活垃圾焚烧固化稳定化后的飞灰</w:t>
      </w:r>
      <w:r>
        <w:rPr>
          <w:rFonts w:hint="eastAsia"/>
          <w:bCs/>
          <w:sz w:val="24"/>
        </w:rPr>
        <w:t>和围场县在建的10座垃圾热解焚烧炉产生的固化后飞灰。</w:t>
      </w:r>
      <w:r>
        <w:rPr>
          <w:rFonts w:hint="eastAsia"/>
          <w:sz w:val="24"/>
        </w:rPr>
        <w:t>根据3</w:t>
      </w:r>
      <w:r>
        <w:rPr>
          <w:sz w:val="24"/>
        </w:rPr>
        <w:t>.1.4</w:t>
      </w:r>
      <w:r>
        <w:rPr>
          <w:rFonts w:hint="eastAsia"/>
          <w:sz w:val="24"/>
        </w:rPr>
        <w:t>章节计算，合计固化后飞灰产生量为18.48t/d（6160t/a）。</w:t>
      </w:r>
    </w:p>
    <w:p>
      <w:pPr>
        <w:pStyle w:val="62"/>
        <w:numPr>
          <w:ilvl w:val="2"/>
          <w:numId w:val="5"/>
        </w:numPr>
        <w:spacing w:before="120" w:after="120"/>
        <w:ind w:left="567" w:hanging="567"/>
        <w:rPr>
          <w:rFonts w:ascii="Times New Roman" w:hAnsi="Times New Roman"/>
        </w:rPr>
      </w:pPr>
      <w:r>
        <w:rPr>
          <w:rFonts w:hint="eastAsia" w:ascii="Times New Roman" w:hAnsi="Times New Roman"/>
        </w:rPr>
        <w:t>组分</w:t>
      </w:r>
    </w:p>
    <w:p>
      <w:pPr>
        <w:adjustRightInd w:val="0"/>
        <w:snapToGrid w:val="0"/>
        <w:spacing w:line="360" w:lineRule="auto"/>
        <w:ind w:firstLine="482" w:firstLineChars="200"/>
        <w:rPr>
          <w:b/>
          <w:bCs/>
          <w:sz w:val="24"/>
          <w:szCs w:val="24"/>
        </w:rPr>
      </w:pPr>
      <w:r>
        <w:rPr>
          <w:rFonts w:hint="eastAsia"/>
          <w:b/>
          <w:bCs/>
          <w:sz w:val="24"/>
          <w:szCs w:val="24"/>
        </w:rPr>
        <w:t>1、要求</w:t>
      </w:r>
    </w:p>
    <w:p>
      <w:pPr>
        <w:adjustRightInd w:val="0"/>
        <w:snapToGrid w:val="0"/>
        <w:spacing w:line="360" w:lineRule="auto"/>
        <w:ind w:firstLine="480" w:firstLineChars="200"/>
        <w:rPr>
          <w:sz w:val="24"/>
          <w:szCs w:val="24"/>
        </w:rPr>
      </w:pPr>
      <w:r>
        <w:rPr>
          <w:rFonts w:hint="eastAsia"/>
          <w:sz w:val="24"/>
          <w:szCs w:val="24"/>
        </w:rPr>
        <w:t>《建设项目环境影响评价分类管理名录（</w:t>
      </w:r>
      <w:r>
        <w:rPr>
          <w:sz w:val="24"/>
          <w:szCs w:val="24"/>
        </w:rPr>
        <w:t>2021</w:t>
      </w:r>
      <w:r>
        <w:rPr>
          <w:rFonts w:hint="eastAsia"/>
          <w:sz w:val="24"/>
          <w:szCs w:val="24"/>
        </w:rPr>
        <w:t>年版）》及《国家危险废物名录（</w:t>
      </w:r>
      <w:r>
        <w:rPr>
          <w:sz w:val="24"/>
          <w:szCs w:val="24"/>
        </w:rPr>
        <w:t>2021</w:t>
      </w:r>
      <w:r>
        <w:rPr>
          <w:rFonts w:hint="eastAsia"/>
          <w:sz w:val="24"/>
          <w:szCs w:val="24"/>
        </w:rPr>
        <w:t>年版）》规定：“生活垃圾焚烧飞灰满足《生活垃圾填埋场污染控制标准》（</w:t>
      </w:r>
      <w:r>
        <w:rPr>
          <w:sz w:val="24"/>
          <w:szCs w:val="24"/>
        </w:rPr>
        <w:t>GB16889-2008</w:t>
      </w:r>
      <w:r>
        <w:rPr>
          <w:rFonts w:hint="eastAsia"/>
          <w:sz w:val="24"/>
          <w:szCs w:val="24"/>
        </w:rPr>
        <w:t>）中</w:t>
      </w:r>
      <w:r>
        <w:rPr>
          <w:sz w:val="24"/>
          <w:szCs w:val="24"/>
        </w:rPr>
        <w:t>6.3</w:t>
      </w:r>
      <w:r>
        <w:rPr>
          <w:rFonts w:hint="eastAsia"/>
          <w:sz w:val="24"/>
          <w:szCs w:val="24"/>
        </w:rPr>
        <w:t>条要求，进入生活垃圾填埋场填埋时，填埋过程不按照危险废物管理”。</w:t>
      </w:r>
    </w:p>
    <w:p>
      <w:pPr>
        <w:adjustRightInd w:val="0"/>
        <w:snapToGrid w:val="0"/>
        <w:spacing w:line="360" w:lineRule="auto"/>
        <w:ind w:firstLine="480" w:firstLineChars="200"/>
        <w:rPr>
          <w:sz w:val="24"/>
          <w:szCs w:val="24"/>
        </w:rPr>
      </w:pPr>
      <w:r>
        <w:rPr>
          <w:rFonts w:hint="eastAsia"/>
          <w:sz w:val="24"/>
          <w:szCs w:val="24"/>
        </w:rPr>
        <w:t>根据《</w:t>
      </w:r>
      <w:r>
        <w:rPr>
          <w:rFonts w:hint="eastAsia"/>
          <w:bCs/>
          <w:sz w:val="24"/>
          <w:szCs w:val="24"/>
        </w:rPr>
        <w:t>围场满族蒙古族自治县静脉产业园生活垃圾焚烧发</w:t>
      </w:r>
      <w:r>
        <w:rPr>
          <w:bCs/>
          <w:sz w:val="24"/>
          <w:szCs w:val="24"/>
        </w:rPr>
        <w:t>项目</w:t>
      </w:r>
      <w:r>
        <w:rPr>
          <w:rFonts w:hint="eastAsia"/>
          <w:bCs/>
          <w:sz w:val="24"/>
          <w:szCs w:val="24"/>
        </w:rPr>
        <w:t>环评报告</w:t>
      </w:r>
      <w:r>
        <w:rPr>
          <w:rFonts w:hint="eastAsia"/>
          <w:sz w:val="24"/>
          <w:szCs w:val="24"/>
        </w:rPr>
        <w:t>》和《围场满族蒙古族自治县农村环境整治生活垃圾治理项目</w:t>
      </w:r>
      <w:r>
        <w:rPr>
          <w:rFonts w:hint="eastAsia"/>
          <w:bCs/>
          <w:sz w:val="24"/>
          <w:szCs w:val="24"/>
        </w:rPr>
        <w:t>环评报告</w:t>
      </w:r>
      <w:r>
        <w:rPr>
          <w:rFonts w:hint="eastAsia"/>
          <w:sz w:val="24"/>
          <w:szCs w:val="24"/>
        </w:rPr>
        <w:t>》</w:t>
      </w:r>
      <w:r>
        <w:rPr>
          <w:rFonts w:hint="eastAsia"/>
          <w:bCs/>
          <w:sz w:val="24"/>
          <w:szCs w:val="24"/>
        </w:rPr>
        <w:t>，项目</w:t>
      </w:r>
      <w:r>
        <w:rPr>
          <w:rFonts w:hint="eastAsia"/>
          <w:sz w:val="24"/>
          <w:szCs w:val="24"/>
        </w:rPr>
        <w:t>采用“水泥+螯合剂”稳定化处理工艺对飞灰进行固化，</w:t>
      </w:r>
      <w:r>
        <w:rPr>
          <w:bCs/>
          <w:sz w:val="24"/>
          <w:szCs w:val="24"/>
        </w:rPr>
        <w:t>固化稳定化后的飞灰为块状，主要包括：垃圾焚烧产生的烟尘；Ca(OH)</w:t>
      </w:r>
      <w:r>
        <w:rPr>
          <w:bCs/>
          <w:sz w:val="24"/>
          <w:szCs w:val="24"/>
          <w:vertAlign w:val="subscript"/>
        </w:rPr>
        <w:t xml:space="preserve">2 </w:t>
      </w:r>
      <w:r>
        <w:rPr>
          <w:bCs/>
          <w:sz w:val="24"/>
          <w:szCs w:val="24"/>
        </w:rPr>
        <w:t>同酸性气体反应产生的颗粒物，其中 CaCl</w:t>
      </w:r>
      <w:r>
        <w:rPr>
          <w:bCs/>
          <w:sz w:val="24"/>
          <w:szCs w:val="24"/>
          <w:vertAlign w:val="subscript"/>
        </w:rPr>
        <w:t>2</w:t>
      </w:r>
      <w:r>
        <w:rPr>
          <w:bCs/>
          <w:sz w:val="24"/>
          <w:szCs w:val="24"/>
        </w:rPr>
        <w:t>、CaCO</w:t>
      </w:r>
      <w:r>
        <w:rPr>
          <w:bCs/>
          <w:sz w:val="24"/>
          <w:szCs w:val="24"/>
          <w:vertAlign w:val="subscript"/>
        </w:rPr>
        <w:t>3</w:t>
      </w:r>
      <w:r>
        <w:rPr>
          <w:bCs/>
          <w:sz w:val="24"/>
          <w:szCs w:val="24"/>
        </w:rPr>
        <w:t xml:space="preserve"> 都是易吸潮发粘的成分；未完全反应而剩余的 Ca(OH)</w:t>
      </w:r>
      <w:r>
        <w:rPr>
          <w:bCs/>
          <w:sz w:val="24"/>
          <w:szCs w:val="24"/>
          <w:vertAlign w:val="subscript"/>
        </w:rPr>
        <w:t>2</w:t>
      </w:r>
      <w:r>
        <w:rPr>
          <w:bCs/>
          <w:sz w:val="24"/>
          <w:szCs w:val="24"/>
        </w:rPr>
        <w:t>；活性炭和其他杂质；水泥及螯合剂。</w:t>
      </w:r>
      <w:r>
        <w:rPr>
          <w:rFonts w:hint="eastAsia"/>
          <w:bCs/>
          <w:sz w:val="24"/>
          <w:szCs w:val="24"/>
        </w:rPr>
        <w:t>其</w:t>
      </w:r>
      <w:r>
        <w:rPr>
          <w:rFonts w:hint="eastAsia"/>
          <w:sz w:val="24"/>
          <w:szCs w:val="24"/>
        </w:rPr>
        <w:t>固化后飞灰满足</w:t>
      </w:r>
      <w:r>
        <w:rPr>
          <w:sz w:val="24"/>
          <w:szCs w:val="24"/>
        </w:rPr>
        <w:t>《生活垃圾填埋场污染控制标准》（GB16889-2008）</w:t>
      </w:r>
      <w:r>
        <w:rPr>
          <w:rFonts w:hint="eastAsia"/>
          <w:sz w:val="24"/>
          <w:szCs w:val="24"/>
        </w:rPr>
        <w:t>中填埋要求：</w:t>
      </w:r>
    </w:p>
    <w:p>
      <w:pPr>
        <w:adjustRightInd w:val="0"/>
        <w:snapToGrid w:val="0"/>
        <w:spacing w:line="360" w:lineRule="auto"/>
        <w:ind w:firstLine="480" w:firstLineChars="200"/>
        <w:rPr>
          <w:sz w:val="24"/>
          <w:szCs w:val="24"/>
        </w:rPr>
      </w:pPr>
      <w:r>
        <w:rPr>
          <w:rFonts w:hint="eastAsia" w:ascii="宋体" w:hAnsi="宋体" w:cs="宋体"/>
          <w:sz w:val="24"/>
          <w:szCs w:val="24"/>
        </w:rPr>
        <w:t>（1）</w:t>
      </w:r>
      <w:r>
        <w:rPr>
          <w:sz w:val="24"/>
          <w:szCs w:val="24"/>
        </w:rPr>
        <w:t>含水率小于 30%；</w:t>
      </w:r>
    </w:p>
    <w:p>
      <w:pPr>
        <w:pStyle w:val="76"/>
        <w:adjustRightInd w:val="0"/>
        <w:snapToGrid w:val="0"/>
        <w:spacing w:line="360" w:lineRule="auto"/>
        <w:ind w:firstLine="480"/>
        <w:rPr>
          <w:sz w:val="24"/>
          <w:szCs w:val="24"/>
        </w:rPr>
      </w:pPr>
      <w:r>
        <w:rPr>
          <w:rFonts w:hint="eastAsia"/>
          <w:sz w:val="24"/>
          <w:szCs w:val="24"/>
        </w:rPr>
        <w:t>（2）</w:t>
      </w:r>
      <w:r>
        <w:rPr>
          <w:sz w:val="24"/>
          <w:szCs w:val="24"/>
        </w:rPr>
        <w:t>二噁英含量低于 3μgTEQ/kg；</w:t>
      </w:r>
    </w:p>
    <w:p>
      <w:pPr>
        <w:pStyle w:val="76"/>
        <w:adjustRightInd w:val="0"/>
        <w:snapToGrid w:val="0"/>
        <w:spacing w:line="360" w:lineRule="auto"/>
        <w:ind w:firstLine="480"/>
        <w:rPr>
          <w:sz w:val="24"/>
          <w:szCs w:val="24"/>
        </w:rPr>
      </w:pPr>
      <w:r>
        <w:rPr>
          <w:rFonts w:hint="eastAsia"/>
          <w:sz w:val="24"/>
          <w:szCs w:val="24"/>
        </w:rPr>
        <w:t>（3）按照《固体废物 浸出毒性浸出方法醋酸缓冲溶液法》</w:t>
      </w:r>
      <w:r>
        <w:rPr>
          <w:sz w:val="24"/>
          <w:szCs w:val="24"/>
        </w:rPr>
        <w:t xml:space="preserve">HJ/T 300-2016 </w:t>
      </w:r>
      <w:r>
        <w:rPr>
          <w:rFonts w:hint="eastAsia"/>
          <w:sz w:val="24"/>
          <w:szCs w:val="24"/>
        </w:rPr>
        <w:t>制备的浸出液中危害成分浓度低于表</w:t>
      </w:r>
      <w:r>
        <w:rPr>
          <w:sz w:val="24"/>
          <w:szCs w:val="24"/>
        </w:rPr>
        <w:t xml:space="preserve">1 </w:t>
      </w:r>
      <w:r>
        <w:rPr>
          <w:rFonts w:hint="eastAsia"/>
          <w:sz w:val="24"/>
          <w:szCs w:val="24"/>
        </w:rPr>
        <w:t>规定的限值。</w:t>
      </w:r>
      <w:r>
        <w:rPr>
          <w:sz w:val="24"/>
          <w:szCs w:val="24"/>
        </w:rPr>
        <w:t>详见表 3.2-1。</w:t>
      </w:r>
    </w:p>
    <w:p>
      <w:pPr>
        <w:tabs>
          <w:tab w:val="left" w:pos="3810"/>
        </w:tabs>
        <w:spacing w:line="360" w:lineRule="auto"/>
        <w:ind w:left="720"/>
        <w:jc w:val="center"/>
        <w:rPr>
          <w:b/>
          <w:sz w:val="24"/>
          <w:szCs w:val="24"/>
        </w:rPr>
      </w:pPr>
      <w:r>
        <w:rPr>
          <w:rFonts w:hint="eastAsia"/>
          <w:b/>
          <w:sz w:val="24"/>
          <w:szCs w:val="24"/>
        </w:rPr>
        <w:t>表</w:t>
      </w:r>
      <w:r>
        <w:rPr>
          <w:b/>
          <w:sz w:val="24"/>
          <w:szCs w:val="24"/>
        </w:rPr>
        <w:t xml:space="preserve">3.2-1  </w:t>
      </w:r>
      <w:r>
        <w:rPr>
          <w:rFonts w:hint="eastAsia"/>
          <w:b/>
          <w:sz w:val="24"/>
          <w:szCs w:val="24"/>
        </w:rPr>
        <w:t>固化飞灰浸出液污染物浓度限值</w:t>
      </w:r>
    </w:p>
    <w:tbl>
      <w:tblPr>
        <w:tblStyle w:val="39"/>
        <w:tblW w:w="5125"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165"/>
        <w:gridCol w:w="2802"/>
        <w:gridCol w:w="457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94" w:hRule="atLeast"/>
        </w:trPr>
        <w:tc>
          <w:tcPr>
            <w:tcW w:w="682" w:type="pct"/>
          </w:tcPr>
          <w:p>
            <w:pPr>
              <w:adjustRightInd w:val="0"/>
              <w:snapToGrid w:val="0"/>
              <w:jc w:val="center"/>
              <w:rPr>
                <w:szCs w:val="21"/>
              </w:rPr>
            </w:pPr>
            <w:r>
              <w:rPr>
                <w:rFonts w:hint="eastAsia"/>
                <w:szCs w:val="21"/>
              </w:rPr>
              <w:t>序号</w:t>
            </w:r>
          </w:p>
        </w:tc>
        <w:tc>
          <w:tcPr>
            <w:tcW w:w="1640" w:type="pct"/>
          </w:tcPr>
          <w:p>
            <w:pPr>
              <w:adjustRightInd w:val="0"/>
              <w:snapToGrid w:val="0"/>
              <w:jc w:val="center"/>
              <w:rPr>
                <w:szCs w:val="21"/>
              </w:rPr>
            </w:pPr>
            <w:r>
              <w:rPr>
                <w:rFonts w:hint="eastAsia"/>
                <w:szCs w:val="21"/>
              </w:rPr>
              <w:t>污染物项目</w:t>
            </w:r>
          </w:p>
        </w:tc>
        <w:tc>
          <w:tcPr>
            <w:tcW w:w="2678" w:type="pct"/>
          </w:tcPr>
          <w:p>
            <w:pPr>
              <w:adjustRightInd w:val="0"/>
              <w:snapToGrid w:val="0"/>
              <w:jc w:val="center"/>
              <w:rPr>
                <w:szCs w:val="21"/>
              </w:rPr>
            </w:pPr>
            <w:r>
              <w:rPr>
                <w:rFonts w:hint="eastAsia"/>
                <w:szCs w:val="21"/>
              </w:rPr>
              <w:t>浓度限值（</w:t>
            </w:r>
            <w:r>
              <w:rPr>
                <w:szCs w:val="21"/>
              </w:rPr>
              <w:t>mg/L</w:t>
            </w:r>
            <w:r>
              <w:rPr>
                <w:rFonts w:hint="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1</w:t>
            </w:r>
          </w:p>
        </w:tc>
        <w:tc>
          <w:tcPr>
            <w:tcW w:w="1640" w:type="pct"/>
          </w:tcPr>
          <w:p>
            <w:pPr>
              <w:adjustRightInd w:val="0"/>
              <w:snapToGrid w:val="0"/>
              <w:jc w:val="center"/>
              <w:rPr>
                <w:szCs w:val="21"/>
              </w:rPr>
            </w:pPr>
            <w:r>
              <w:rPr>
                <w:rFonts w:hint="eastAsia"/>
                <w:szCs w:val="21"/>
              </w:rPr>
              <w:t>汞</w:t>
            </w:r>
          </w:p>
        </w:tc>
        <w:tc>
          <w:tcPr>
            <w:tcW w:w="2678" w:type="pct"/>
          </w:tcPr>
          <w:p>
            <w:pPr>
              <w:adjustRightInd w:val="0"/>
              <w:snapToGrid w:val="0"/>
              <w:jc w:val="center"/>
              <w:rPr>
                <w:szCs w:val="21"/>
              </w:rPr>
            </w:pPr>
            <w:r>
              <w:rPr>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2</w:t>
            </w:r>
          </w:p>
        </w:tc>
        <w:tc>
          <w:tcPr>
            <w:tcW w:w="1640" w:type="pct"/>
          </w:tcPr>
          <w:p>
            <w:pPr>
              <w:adjustRightInd w:val="0"/>
              <w:snapToGrid w:val="0"/>
              <w:jc w:val="center"/>
              <w:rPr>
                <w:szCs w:val="21"/>
              </w:rPr>
            </w:pPr>
            <w:r>
              <w:rPr>
                <w:rFonts w:hint="eastAsia"/>
                <w:szCs w:val="21"/>
              </w:rPr>
              <w:t>铜</w:t>
            </w:r>
          </w:p>
        </w:tc>
        <w:tc>
          <w:tcPr>
            <w:tcW w:w="2678" w:type="pct"/>
          </w:tcPr>
          <w:p>
            <w:pPr>
              <w:adjustRightInd w:val="0"/>
              <w:snapToGrid w:val="0"/>
              <w:jc w:val="center"/>
              <w:rPr>
                <w:szCs w:val="21"/>
              </w:rPr>
            </w:pPr>
            <w:r>
              <w:rPr>
                <w:szCs w:val="21"/>
              </w:rPr>
              <w:t>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94" w:hRule="atLeast"/>
        </w:trPr>
        <w:tc>
          <w:tcPr>
            <w:tcW w:w="682" w:type="pct"/>
          </w:tcPr>
          <w:p>
            <w:pPr>
              <w:adjustRightInd w:val="0"/>
              <w:snapToGrid w:val="0"/>
              <w:jc w:val="center"/>
              <w:rPr>
                <w:szCs w:val="21"/>
              </w:rPr>
            </w:pPr>
            <w:r>
              <w:rPr>
                <w:szCs w:val="21"/>
              </w:rPr>
              <w:t>3</w:t>
            </w:r>
          </w:p>
        </w:tc>
        <w:tc>
          <w:tcPr>
            <w:tcW w:w="1640" w:type="pct"/>
          </w:tcPr>
          <w:p>
            <w:pPr>
              <w:adjustRightInd w:val="0"/>
              <w:snapToGrid w:val="0"/>
              <w:jc w:val="center"/>
              <w:rPr>
                <w:szCs w:val="21"/>
              </w:rPr>
            </w:pPr>
            <w:r>
              <w:rPr>
                <w:rFonts w:hint="eastAsia"/>
                <w:szCs w:val="21"/>
              </w:rPr>
              <w:t>锌</w:t>
            </w:r>
          </w:p>
        </w:tc>
        <w:tc>
          <w:tcPr>
            <w:tcW w:w="2678" w:type="pct"/>
          </w:tcPr>
          <w:p>
            <w:pPr>
              <w:adjustRightInd w:val="0"/>
              <w:snapToGrid w:val="0"/>
              <w:jc w:val="center"/>
              <w:rPr>
                <w:szCs w:val="21"/>
              </w:rPr>
            </w:pPr>
            <w:r>
              <w:rPr>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4</w:t>
            </w:r>
          </w:p>
        </w:tc>
        <w:tc>
          <w:tcPr>
            <w:tcW w:w="1640" w:type="pct"/>
          </w:tcPr>
          <w:p>
            <w:pPr>
              <w:adjustRightInd w:val="0"/>
              <w:snapToGrid w:val="0"/>
              <w:jc w:val="center"/>
              <w:rPr>
                <w:szCs w:val="21"/>
              </w:rPr>
            </w:pPr>
            <w:r>
              <w:rPr>
                <w:rFonts w:hint="eastAsia"/>
                <w:szCs w:val="21"/>
              </w:rPr>
              <w:t>铅</w:t>
            </w:r>
          </w:p>
        </w:tc>
        <w:tc>
          <w:tcPr>
            <w:tcW w:w="2678" w:type="pct"/>
          </w:tcPr>
          <w:p>
            <w:pPr>
              <w:adjustRightInd w:val="0"/>
              <w:snapToGrid w:val="0"/>
              <w:jc w:val="center"/>
              <w:rPr>
                <w:szCs w:val="21"/>
              </w:rPr>
            </w:pPr>
            <w:r>
              <w:rPr>
                <w:szCs w:val="21"/>
              </w:rPr>
              <w:t>0.25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5</w:t>
            </w:r>
          </w:p>
        </w:tc>
        <w:tc>
          <w:tcPr>
            <w:tcW w:w="1640" w:type="pct"/>
          </w:tcPr>
          <w:p>
            <w:pPr>
              <w:adjustRightInd w:val="0"/>
              <w:snapToGrid w:val="0"/>
              <w:jc w:val="center"/>
              <w:rPr>
                <w:szCs w:val="21"/>
              </w:rPr>
            </w:pPr>
            <w:r>
              <w:rPr>
                <w:rFonts w:hint="eastAsia"/>
                <w:szCs w:val="21"/>
              </w:rPr>
              <w:t>镉</w:t>
            </w:r>
          </w:p>
        </w:tc>
        <w:tc>
          <w:tcPr>
            <w:tcW w:w="2678" w:type="pct"/>
          </w:tcPr>
          <w:p>
            <w:pPr>
              <w:adjustRightInd w:val="0"/>
              <w:snapToGrid w:val="0"/>
              <w:jc w:val="center"/>
              <w:rPr>
                <w:szCs w:val="21"/>
              </w:rPr>
            </w:pPr>
            <w:r>
              <w:rPr>
                <w:szCs w:val="21"/>
              </w:rPr>
              <w:t>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6</w:t>
            </w:r>
          </w:p>
        </w:tc>
        <w:tc>
          <w:tcPr>
            <w:tcW w:w="1640" w:type="pct"/>
          </w:tcPr>
          <w:p>
            <w:pPr>
              <w:adjustRightInd w:val="0"/>
              <w:snapToGrid w:val="0"/>
              <w:jc w:val="center"/>
              <w:rPr>
                <w:szCs w:val="21"/>
              </w:rPr>
            </w:pPr>
            <w:r>
              <w:rPr>
                <w:rFonts w:hint="eastAsia"/>
                <w:szCs w:val="21"/>
              </w:rPr>
              <w:t>铍</w:t>
            </w:r>
          </w:p>
        </w:tc>
        <w:tc>
          <w:tcPr>
            <w:tcW w:w="2678" w:type="pct"/>
          </w:tcPr>
          <w:p>
            <w:pPr>
              <w:adjustRightInd w:val="0"/>
              <w:snapToGrid w:val="0"/>
              <w:jc w:val="center"/>
              <w:rPr>
                <w:szCs w:val="21"/>
              </w:rPr>
            </w:pPr>
            <w:r>
              <w:rPr>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94" w:hRule="atLeast"/>
        </w:trPr>
        <w:tc>
          <w:tcPr>
            <w:tcW w:w="682" w:type="pct"/>
          </w:tcPr>
          <w:p>
            <w:pPr>
              <w:adjustRightInd w:val="0"/>
              <w:snapToGrid w:val="0"/>
              <w:jc w:val="center"/>
              <w:rPr>
                <w:szCs w:val="21"/>
              </w:rPr>
            </w:pPr>
            <w:r>
              <w:rPr>
                <w:szCs w:val="21"/>
              </w:rPr>
              <w:t>7</w:t>
            </w:r>
          </w:p>
        </w:tc>
        <w:tc>
          <w:tcPr>
            <w:tcW w:w="1640" w:type="pct"/>
          </w:tcPr>
          <w:p>
            <w:pPr>
              <w:adjustRightInd w:val="0"/>
              <w:snapToGrid w:val="0"/>
              <w:jc w:val="center"/>
              <w:rPr>
                <w:szCs w:val="21"/>
              </w:rPr>
            </w:pPr>
            <w:r>
              <w:rPr>
                <w:rFonts w:hint="eastAsia"/>
                <w:szCs w:val="21"/>
              </w:rPr>
              <w:t>钡</w:t>
            </w:r>
          </w:p>
        </w:tc>
        <w:tc>
          <w:tcPr>
            <w:tcW w:w="2678" w:type="pct"/>
          </w:tcPr>
          <w:p>
            <w:pPr>
              <w:adjustRightInd w:val="0"/>
              <w:snapToGrid w:val="0"/>
              <w:jc w:val="center"/>
              <w:rPr>
                <w:szCs w:val="21"/>
              </w:rPr>
            </w:pPr>
            <w:r>
              <w:rPr>
                <w:szCs w:val="21"/>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8</w:t>
            </w:r>
          </w:p>
        </w:tc>
        <w:tc>
          <w:tcPr>
            <w:tcW w:w="1640" w:type="pct"/>
          </w:tcPr>
          <w:p>
            <w:pPr>
              <w:adjustRightInd w:val="0"/>
              <w:snapToGrid w:val="0"/>
              <w:jc w:val="center"/>
              <w:rPr>
                <w:szCs w:val="21"/>
              </w:rPr>
            </w:pPr>
            <w:r>
              <w:rPr>
                <w:rFonts w:hint="eastAsia"/>
                <w:szCs w:val="21"/>
              </w:rPr>
              <w:t>镍</w:t>
            </w:r>
          </w:p>
        </w:tc>
        <w:tc>
          <w:tcPr>
            <w:tcW w:w="2678" w:type="pct"/>
          </w:tcPr>
          <w:p>
            <w:pPr>
              <w:adjustRightInd w:val="0"/>
              <w:snapToGrid w:val="0"/>
              <w:jc w:val="center"/>
              <w:rPr>
                <w:szCs w:val="21"/>
              </w:rPr>
            </w:pPr>
            <w:r>
              <w:rPr>
                <w:szCs w:val="21"/>
              </w:rPr>
              <w:t>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9</w:t>
            </w:r>
          </w:p>
        </w:tc>
        <w:tc>
          <w:tcPr>
            <w:tcW w:w="1640" w:type="pct"/>
          </w:tcPr>
          <w:p>
            <w:pPr>
              <w:adjustRightInd w:val="0"/>
              <w:snapToGrid w:val="0"/>
              <w:jc w:val="center"/>
              <w:rPr>
                <w:szCs w:val="21"/>
              </w:rPr>
            </w:pPr>
            <w:r>
              <w:rPr>
                <w:rFonts w:hint="eastAsia"/>
                <w:szCs w:val="21"/>
              </w:rPr>
              <w:t>砷</w:t>
            </w:r>
          </w:p>
        </w:tc>
        <w:tc>
          <w:tcPr>
            <w:tcW w:w="2678" w:type="pct"/>
          </w:tcPr>
          <w:p>
            <w:pPr>
              <w:adjustRightInd w:val="0"/>
              <w:snapToGrid w:val="0"/>
              <w:jc w:val="center"/>
              <w:rPr>
                <w:szCs w:val="21"/>
              </w:rPr>
            </w:pPr>
            <w:r>
              <w:rPr>
                <w:szCs w:val="21"/>
              </w:rPr>
              <w:t>0.3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07" w:hRule="atLeast"/>
        </w:trPr>
        <w:tc>
          <w:tcPr>
            <w:tcW w:w="682" w:type="pct"/>
          </w:tcPr>
          <w:p>
            <w:pPr>
              <w:adjustRightInd w:val="0"/>
              <w:snapToGrid w:val="0"/>
              <w:jc w:val="center"/>
              <w:rPr>
                <w:szCs w:val="21"/>
              </w:rPr>
            </w:pPr>
            <w:r>
              <w:rPr>
                <w:szCs w:val="21"/>
              </w:rPr>
              <w:t>10</w:t>
            </w:r>
          </w:p>
        </w:tc>
        <w:tc>
          <w:tcPr>
            <w:tcW w:w="1640" w:type="pct"/>
          </w:tcPr>
          <w:p>
            <w:pPr>
              <w:adjustRightInd w:val="0"/>
              <w:snapToGrid w:val="0"/>
              <w:jc w:val="center"/>
              <w:rPr>
                <w:szCs w:val="21"/>
              </w:rPr>
            </w:pPr>
            <w:r>
              <w:rPr>
                <w:rFonts w:hint="eastAsia"/>
                <w:szCs w:val="21"/>
              </w:rPr>
              <w:t>总铬</w:t>
            </w:r>
          </w:p>
        </w:tc>
        <w:tc>
          <w:tcPr>
            <w:tcW w:w="2678" w:type="pct"/>
          </w:tcPr>
          <w:p>
            <w:pPr>
              <w:adjustRightInd w:val="0"/>
              <w:snapToGrid w:val="0"/>
              <w:jc w:val="center"/>
              <w:rPr>
                <w:szCs w:val="21"/>
              </w:rPr>
            </w:pPr>
            <w:r>
              <w:rPr>
                <w:szCs w:val="21"/>
              </w:rPr>
              <w:t>4.5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94" w:hRule="atLeast"/>
        </w:trPr>
        <w:tc>
          <w:tcPr>
            <w:tcW w:w="682" w:type="pct"/>
          </w:tcPr>
          <w:p>
            <w:pPr>
              <w:adjustRightInd w:val="0"/>
              <w:snapToGrid w:val="0"/>
              <w:jc w:val="center"/>
              <w:rPr>
                <w:szCs w:val="21"/>
              </w:rPr>
            </w:pPr>
            <w:r>
              <w:rPr>
                <w:szCs w:val="21"/>
              </w:rPr>
              <w:t>11</w:t>
            </w:r>
          </w:p>
        </w:tc>
        <w:tc>
          <w:tcPr>
            <w:tcW w:w="1640" w:type="pct"/>
          </w:tcPr>
          <w:p>
            <w:pPr>
              <w:adjustRightInd w:val="0"/>
              <w:snapToGrid w:val="0"/>
              <w:jc w:val="center"/>
              <w:rPr>
                <w:szCs w:val="21"/>
              </w:rPr>
            </w:pPr>
            <w:r>
              <w:rPr>
                <w:rFonts w:hint="eastAsia"/>
                <w:szCs w:val="21"/>
              </w:rPr>
              <w:t>六价铬</w:t>
            </w:r>
          </w:p>
        </w:tc>
        <w:tc>
          <w:tcPr>
            <w:tcW w:w="2678" w:type="pct"/>
          </w:tcPr>
          <w:p>
            <w:pPr>
              <w:adjustRightInd w:val="0"/>
              <w:snapToGrid w:val="0"/>
              <w:jc w:val="center"/>
              <w:rPr>
                <w:szCs w:val="21"/>
              </w:rPr>
            </w:pPr>
            <w:r>
              <w:rPr>
                <w:szCs w:val="21"/>
              </w:rPr>
              <w:t>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42" w:hRule="atLeast"/>
        </w:trPr>
        <w:tc>
          <w:tcPr>
            <w:tcW w:w="682" w:type="pct"/>
          </w:tcPr>
          <w:p>
            <w:pPr>
              <w:adjustRightInd w:val="0"/>
              <w:snapToGrid w:val="0"/>
              <w:jc w:val="center"/>
              <w:rPr>
                <w:szCs w:val="21"/>
              </w:rPr>
            </w:pPr>
            <w:r>
              <w:rPr>
                <w:szCs w:val="21"/>
              </w:rPr>
              <w:t>12</w:t>
            </w:r>
          </w:p>
        </w:tc>
        <w:tc>
          <w:tcPr>
            <w:tcW w:w="1640" w:type="pct"/>
          </w:tcPr>
          <w:p>
            <w:pPr>
              <w:adjustRightInd w:val="0"/>
              <w:snapToGrid w:val="0"/>
              <w:jc w:val="center"/>
              <w:rPr>
                <w:szCs w:val="21"/>
              </w:rPr>
            </w:pPr>
            <w:r>
              <w:rPr>
                <w:rFonts w:hint="eastAsia"/>
                <w:szCs w:val="21"/>
              </w:rPr>
              <w:t>硒</w:t>
            </w:r>
          </w:p>
        </w:tc>
        <w:tc>
          <w:tcPr>
            <w:tcW w:w="2678" w:type="pct"/>
          </w:tcPr>
          <w:p>
            <w:pPr>
              <w:adjustRightInd w:val="0"/>
              <w:snapToGrid w:val="0"/>
              <w:jc w:val="center"/>
              <w:rPr>
                <w:szCs w:val="21"/>
              </w:rPr>
            </w:pPr>
            <w:r>
              <w:rPr>
                <w:szCs w:val="21"/>
              </w:rPr>
              <w:t>0.1</w:t>
            </w:r>
          </w:p>
        </w:tc>
      </w:tr>
    </w:tbl>
    <w:p>
      <w:pPr>
        <w:adjustRightInd w:val="0"/>
        <w:snapToGrid w:val="0"/>
        <w:spacing w:line="360" w:lineRule="auto"/>
        <w:ind w:firstLine="482" w:firstLineChars="200"/>
        <w:rPr>
          <w:rFonts w:asciiTheme="minorEastAsia" w:hAnsiTheme="minorEastAsia" w:eastAsiaTheme="minorEastAsia"/>
          <w:b/>
          <w:bCs/>
          <w:sz w:val="24"/>
          <w:szCs w:val="24"/>
        </w:rPr>
      </w:pPr>
      <w:bookmarkStart w:id="66" w:name="_Hlk94023371"/>
      <w:r>
        <w:rPr>
          <w:rFonts w:asciiTheme="minorEastAsia" w:hAnsiTheme="minorEastAsia" w:eastAsiaTheme="minorEastAsia"/>
          <w:b/>
          <w:bCs/>
          <w:sz w:val="24"/>
          <w:szCs w:val="24"/>
        </w:rPr>
        <w:t>2</w:t>
      </w:r>
      <w:r>
        <w:rPr>
          <w:rFonts w:hint="eastAsia" w:asciiTheme="minorEastAsia" w:hAnsiTheme="minorEastAsia" w:eastAsiaTheme="minorEastAsia"/>
          <w:b/>
          <w:bCs/>
          <w:sz w:val="24"/>
          <w:szCs w:val="24"/>
        </w:rPr>
        <w:t>、生活垃圾焚烧发电项目固化飞灰检测结果</w:t>
      </w:r>
    </w:p>
    <w:p>
      <w:pPr>
        <w:adjustRightInd w:val="0"/>
        <w:snapToGrid w:val="0"/>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根据</w:t>
      </w:r>
      <w:r>
        <w:rPr>
          <w:rFonts w:asciiTheme="minorEastAsia" w:hAnsiTheme="minorEastAsia" w:eastAsiaTheme="minorEastAsia"/>
          <w:sz w:val="24"/>
          <w:szCs w:val="24"/>
        </w:rPr>
        <w:t>生活垃圾焚烧发电项目</w:t>
      </w:r>
      <w:r>
        <w:rPr>
          <w:rFonts w:hint="eastAsia" w:asciiTheme="minorEastAsia" w:hAnsiTheme="minorEastAsia" w:eastAsiaTheme="minorEastAsia"/>
          <w:sz w:val="24"/>
          <w:szCs w:val="24"/>
        </w:rPr>
        <w:t>环境影响报告书，项目采用“水泥+螯合剂”进行稳定化处理工艺，与</w:t>
      </w:r>
      <w:r>
        <w:rPr>
          <w:rFonts w:asciiTheme="minorEastAsia" w:hAnsiTheme="minorEastAsia" w:eastAsiaTheme="minorEastAsia"/>
          <w:sz w:val="24"/>
          <w:szCs w:val="24"/>
        </w:rPr>
        <w:t>承德环能热电有限责任公司</w:t>
      </w:r>
      <w:r>
        <w:rPr>
          <w:rFonts w:hint="eastAsia" w:asciiTheme="minorEastAsia" w:hAnsiTheme="minorEastAsia" w:eastAsiaTheme="minorEastAsia"/>
          <w:sz w:val="24"/>
          <w:szCs w:val="24"/>
        </w:rPr>
        <w:t>采用工艺相同，参照《承德环能热电有限责任公司4#炉建设工程竣工环境保护验收报告》中于2</w:t>
      </w:r>
      <w:r>
        <w:rPr>
          <w:rFonts w:asciiTheme="minorEastAsia" w:hAnsiTheme="minorEastAsia" w:eastAsiaTheme="minorEastAsia"/>
          <w:sz w:val="24"/>
          <w:szCs w:val="24"/>
        </w:rPr>
        <w:t>021</w:t>
      </w:r>
      <w:r>
        <w:rPr>
          <w:rFonts w:hint="eastAsia" w:asciiTheme="minorEastAsia" w:hAnsiTheme="minorEastAsia" w:eastAsiaTheme="minorEastAsia"/>
          <w:sz w:val="24"/>
          <w:szCs w:val="24"/>
        </w:rPr>
        <w:t>年7月9</w:t>
      </w:r>
      <w:r>
        <w:rPr>
          <w:rFonts w:asciiTheme="minorEastAsia" w:hAnsiTheme="minorEastAsia" w:eastAsiaTheme="minorEastAsia"/>
          <w:sz w:val="24"/>
          <w:szCs w:val="24"/>
        </w:rPr>
        <w:t>-10</w:t>
      </w:r>
      <w:r>
        <w:rPr>
          <w:rFonts w:hint="eastAsia" w:asciiTheme="minorEastAsia" w:hAnsiTheme="minorEastAsia" w:eastAsiaTheme="minorEastAsia"/>
          <w:sz w:val="24"/>
          <w:szCs w:val="24"/>
        </w:rPr>
        <w:t>日的监测结果，具体见表3</w:t>
      </w:r>
      <w:r>
        <w:rPr>
          <w:rFonts w:asciiTheme="minorEastAsia" w:hAnsiTheme="minorEastAsia" w:eastAsiaTheme="minorEastAsia"/>
          <w:sz w:val="24"/>
          <w:szCs w:val="24"/>
        </w:rPr>
        <w:t>.2-2</w:t>
      </w:r>
      <w:r>
        <w:rPr>
          <w:rFonts w:hint="eastAsia" w:asciiTheme="minorEastAsia" w:hAnsiTheme="minorEastAsia" w:eastAsiaTheme="minorEastAsia"/>
          <w:sz w:val="24"/>
          <w:szCs w:val="24"/>
        </w:rPr>
        <w:t>。</w:t>
      </w:r>
    </w:p>
    <w:p>
      <w:pPr>
        <w:tabs>
          <w:tab w:val="left" w:pos="3810"/>
        </w:tabs>
        <w:spacing w:line="360" w:lineRule="auto"/>
        <w:ind w:left="720"/>
        <w:jc w:val="center"/>
        <w:rPr>
          <w:b/>
          <w:sz w:val="24"/>
          <w:szCs w:val="24"/>
        </w:rPr>
      </w:pPr>
      <w:r>
        <w:rPr>
          <w:b/>
          <w:sz w:val="24"/>
          <w:szCs w:val="24"/>
        </w:rPr>
        <w:t>表3.2-2飞灰浸出液检测结果表</w:t>
      </w:r>
    </w:p>
    <w:tbl>
      <w:tblPr>
        <w:tblStyle w:val="793"/>
        <w:tblW w:w="503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3"/>
        <w:gridCol w:w="842"/>
        <w:gridCol w:w="1535"/>
        <w:gridCol w:w="1535"/>
        <w:gridCol w:w="1535"/>
        <w:gridCol w:w="1114"/>
        <w:gridCol w:w="10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59" w:type="pct"/>
            <w:gridSpan w:val="2"/>
            <w:vAlign w:val="center"/>
          </w:tcPr>
          <w:p>
            <w:pPr>
              <w:adjustRightInd w:val="0"/>
              <w:snapToGrid w:val="0"/>
              <w:jc w:val="center"/>
              <w:rPr>
                <w:kern w:val="0"/>
                <w:szCs w:val="21"/>
              </w:rPr>
            </w:pPr>
            <w:r>
              <w:rPr>
                <w:kern w:val="0"/>
                <w:szCs w:val="21"/>
              </w:rPr>
              <w:t>采样时间</w:t>
            </w:r>
          </w:p>
        </w:tc>
        <w:tc>
          <w:tcPr>
            <w:tcW w:w="2625" w:type="pct"/>
            <w:gridSpan w:val="3"/>
            <w:vAlign w:val="center"/>
          </w:tcPr>
          <w:p>
            <w:pPr>
              <w:adjustRightInd w:val="0"/>
              <w:snapToGrid w:val="0"/>
              <w:jc w:val="center"/>
              <w:rPr>
                <w:szCs w:val="21"/>
              </w:rPr>
            </w:pPr>
            <w:r>
              <w:rPr>
                <w:szCs w:val="21"/>
              </w:rPr>
              <w:t>2021.07.09</w:t>
            </w:r>
          </w:p>
        </w:tc>
        <w:tc>
          <w:tcPr>
            <w:tcW w:w="664" w:type="pct"/>
            <w:vMerge w:val="restart"/>
            <w:vAlign w:val="center"/>
          </w:tcPr>
          <w:p>
            <w:pPr>
              <w:adjustRightInd w:val="0"/>
              <w:snapToGrid w:val="0"/>
              <w:jc w:val="center"/>
              <w:rPr>
                <w:szCs w:val="21"/>
              </w:rPr>
            </w:pPr>
            <w:r>
              <w:rPr>
                <w:szCs w:val="21"/>
              </w:rPr>
              <w:t>标准值</w:t>
            </w:r>
          </w:p>
        </w:tc>
        <w:tc>
          <w:tcPr>
            <w:tcW w:w="652" w:type="pct"/>
            <w:vMerge w:val="restart"/>
            <w:vAlign w:val="center"/>
          </w:tcPr>
          <w:p>
            <w:pPr>
              <w:adjustRightInd w:val="0"/>
              <w:snapToGrid w:val="0"/>
              <w:jc w:val="center"/>
              <w:rPr>
                <w:szCs w:val="21"/>
              </w:rPr>
            </w:pPr>
            <w:r>
              <w:rPr>
                <w:rFonts w:hint="eastAsia"/>
                <w:szCs w:val="21"/>
              </w:rPr>
              <w:t>是否</w:t>
            </w: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djustRightInd w:val="0"/>
              <w:snapToGrid w:val="0"/>
              <w:jc w:val="center"/>
              <w:rPr>
                <w:kern w:val="0"/>
                <w:szCs w:val="21"/>
              </w:rPr>
            </w:pPr>
            <w:r>
              <w:rPr>
                <w:kern w:val="0"/>
                <w:szCs w:val="21"/>
              </w:rPr>
              <w:t>检测</w:t>
            </w:r>
          </w:p>
          <w:p>
            <w:pPr>
              <w:adjustRightInd w:val="0"/>
              <w:snapToGrid w:val="0"/>
              <w:jc w:val="center"/>
              <w:rPr>
                <w:szCs w:val="21"/>
              </w:rPr>
            </w:pPr>
            <w:r>
              <w:rPr>
                <w:kern w:val="0"/>
                <w:szCs w:val="21"/>
              </w:rPr>
              <w:t>项目</w:t>
            </w:r>
          </w:p>
        </w:tc>
        <w:tc>
          <w:tcPr>
            <w:tcW w:w="506" w:type="pct"/>
            <w:vAlign w:val="center"/>
          </w:tcPr>
          <w:p>
            <w:pPr>
              <w:adjustRightInd w:val="0"/>
              <w:snapToGrid w:val="0"/>
              <w:jc w:val="center"/>
              <w:rPr>
                <w:szCs w:val="21"/>
              </w:rPr>
            </w:pPr>
            <w:r>
              <w:rPr>
                <w:kern w:val="0"/>
                <w:szCs w:val="21"/>
              </w:rPr>
              <w:t>单位</w:t>
            </w:r>
          </w:p>
        </w:tc>
        <w:tc>
          <w:tcPr>
            <w:tcW w:w="875" w:type="pct"/>
            <w:vAlign w:val="center"/>
          </w:tcPr>
          <w:p>
            <w:pPr>
              <w:adjustRightInd w:val="0"/>
              <w:snapToGrid w:val="0"/>
              <w:jc w:val="center"/>
              <w:rPr>
                <w:kern w:val="0"/>
                <w:szCs w:val="21"/>
              </w:rPr>
            </w:pPr>
            <w:r>
              <w:rPr>
                <w:kern w:val="0"/>
                <w:szCs w:val="21"/>
              </w:rPr>
              <w:t>飞灰固化车间采样口</w:t>
            </w:r>
          </w:p>
          <w:p>
            <w:pPr>
              <w:adjustRightInd w:val="0"/>
              <w:snapToGrid w:val="0"/>
              <w:jc w:val="center"/>
              <w:rPr>
                <w:szCs w:val="21"/>
              </w:rPr>
            </w:pPr>
            <w:r>
              <w:rPr>
                <w:kern w:val="0"/>
                <w:szCs w:val="21"/>
              </w:rPr>
              <w:t>2107135GF001</w:t>
            </w:r>
          </w:p>
        </w:tc>
        <w:tc>
          <w:tcPr>
            <w:tcW w:w="875" w:type="pct"/>
            <w:vAlign w:val="center"/>
          </w:tcPr>
          <w:p>
            <w:pPr>
              <w:adjustRightInd w:val="0"/>
              <w:snapToGrid w:val="0"/>
              <w:jc w:val="center"/>
              <w:rPr>
                <w:kern w:val="0"/>
                <w:szCs w:val="21"/>
              </w:rPr>
            </w:pPr>
            <w:r>
              <w:rPr>
                <w:kern w:val="0"/>
                <w:szCs w:val="21"/>
              </w:rPr>
              <w:t>飞灰固化车间采样口</w:t>
            </w:r>
          </w:p>
          <w:p>
            <w:pPr>
              <w:adjustRightInd w:val="0"/>
              <w:snapToGrid w:val="0"/>
              <w:jc w:val="center"/>
              <w:rPr>
                <w:kern w:val="0"/>
                <w:szCs w:val="21"/>
              </w:rPr>
            </w:pPr>
            <w:r>
              <w:rPr>
                <w:kern w:val="0"/>
                <w:szCs w:val="21"/>
              </w:rPr>
              <w:t>2107135GF002</w:t>
            </w:r>
          </w:p>
        </w:tc>
        <w:tc>
          <w:tcPr>
            <w:tcW w:w="875" w:type="pct"/>
            <w:vAlign w:val="center"/>
          </w:tcPr>
          <w:p>
            <w:pPr>
              <w:adjustRightInd w:val="0"/>
              <w:snapToGrid w:val="0"/>
              <w:jc w:val="center"/>
              <w:rPr>
                <w:kern w:val="0"/>
                <w:szCs w:val="21"/>
              </w:rPr>
            </w:pPr>
            <w:r>
              <w:rPr>
                <w:kern w:val="0"/>
                <w:szCs w:val="21"/>
              </w:rPr>
              <w:t>飞灰固化车间采样口</w:t>
            </w:r>
          </w:p>
          <w:p>
            <w:pPr>
              <w:adjustRightInd w:val="0"/>
              <w:snapToGrid w:val="0"/>
              <w:jc w:val="center"/>
              <w:rPr>
                <w:szCs w:val="21"/>
              </w:rPr>
            </w:pPr>
            <w:r>
              <w:rPr>
                <w:kern w:val="0"/>
                <w:szCs w:val="21"/>
              </w:rPr>
              <w:t>2107135GF003</w:t>
            </w:r>
          </w:p>
        </w:tc>
        <w:tc>
          <w:tcPr>
            <w:tcW w:w="664" w:type="pct"/>
            <w:vMerge w:val="continue"/>
            <w:vAlign w:val="center"/>
          </w:tcPr>
          <w:p>
            <w:pPr>
              <w:adjustRightInd w:val="0"/>
              <w:snapToGrid w:val="0"/>
              <w:jc w:val="center"/>
              <w:rPr>
                <w:kern w:val="0"/>
                <w:szCs w:val="21"/>
              </w:rPr>
            </w:pPr>
          </w:p>
        </w:tc>
        <w:tc>
          <w:tcPr>
            <w:tcW w:w="652"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汞</w:t>
            </w:r>
          </w:p>
        </w:tc>
        <w:tc>
          <w:tcPr>
            <w:tcW w:w="506" w:type="pct"/>
            <w:vAlign w:val="center"/>
          </w:tcPr>
          <w:p>
            <w:pPr>
              <w:autoSpaceDE w:val="0"/>
              <w:autoSpaceDN w:val="0"/>
              <w:adjustRightInd w:val="0"/>
              <w:snapToGrid w:val="0"/>
              <w:jc w:val="center"/>
              <w:rPr>
                <w:bCs/>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0.319</w:t>
            </w:r>
          </w:p>
        </w:tc>
        <w:tc>
          <w:tcPr>
            <w:tcW w:w="875" w:type="pct"/>
            <w:vAlign w:val="center"/>
          </w:tcPr>
          <w:p>
            <w:pPr>
              <w:adjustRightInd w:val="0"/>
              <w:snapToGrid w:val="0"/>
              <w:jc w:val="center"/>
              <w:rPr>
                <w:kern w:val="0"/>
                <w:szCs w:val="21"/>
              </w:rPr>
            </w:pPr>
            <w:r>
              <w:rPr>
                <w:kern w:val="0"/>
                <w:szCs w:val="21"/>
              </w:rPr>
              <w:t>0.344</w:t>
            </w:r>
          </w:p>
        </w:tc>
        <w:tc>
          <w:tcPr>
            <w:tcW w:w="875" w:type="pct"/>
            <w:vAlign w:val="center"/>
          </w:tcPr>
          <w:p>
            <w:pPr>
              <w:adjustRightInd w:val="0"/>
              <w:snapToGrid w:val="0"/>
              <w:jc w:val="center"/>
              <w:rPr>
                <w:kern w:val="0"/>
                <w:szCs w:val="21"/>
              </w:rPr>
            </w:pPr>
            <w:r>
              <w:rPr>
                <w:kern w:val="0"/>
                <w:szCs w:val="21"/>
              </w:rPr>
              <w:t>0.375</w:t>
            </w:r>
          </w:p>
        </w:tc>
        <w:tc>
          <w:tcPr>
            <w:tcW w:w="664" w:type="pct"/>
            <w:vAlign w:val="center"/>
          </w:tcPr>
          <w:p>
            <w:pPr>
              <w:adjustRightInd w:val="0"/>
              <w:snapToGrid w:val="0"/>
              <w:jc w:val="center"/>
              <w:rPr>
                <w:kern w:val="0"/>
                <w:szCs w:val="21"/>
              </w:rPr>
            </w:pPr>
            <w:r>
              <w:rPr>
                <w:kern w:val="0"/>
                <w:szCs w:val="21"/>
              </w:rPr>
              <w:t>50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kern w:val="0"/>
                <w:szCs w:val="21"/>
              </w:rPr>
            </w:pPr>
            <w:r>
              <w:rPr>
                <w:kern w:val="0"/>
                <w:szCs w:val="21"/>
              </w:rPr>
              <w:t>砷</w:t>
            </w:r>
          </w:p>
        </w:tc>
        <w:tc>
          <w:tcPr>
            <w:tcW w:w="506" w:type="pct"/>
            <w:vAlign w:val="center"/>
          </w:tcPr>
          <w:p>
            <w:pPr>
              <w:autoSpaceDE w:val="0"/>
              <w:autoSpaceDN w:val="0"/>
              <w:adjustRightInd w:val="0"/>
              <w:snapToGrid w:val="0"/>
              <w:jc w:val="center"/>
              <w:rPr>
                <w:bCs/>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0.894</w:t>
            </w:r>
          </w:p>
        </w:tc>
        <w:tc>
          <w:tcPr>
            <w:tcW w:w="875" w:type="pct"/>
            <w:vAlign w:val="center"/>
          </w:tcPr>
          <w:p>
            <w:pPr>
              <w:adjustRightInd w:val="0"/>
              <w:snapToGrid w:val="0"/>
              <w:jc w:val="center"/>
              <w:rPr>
                <w:kern w:val="0"/>
                <w:szCs w:val="21"/>
              </w:rPr>
            </w:pPr>
            <w:r>
              <w:rPr>
                <w:kern w:val="0"/>
                <w:szCs w:val="21"/>
              </w:rPr>
              <w:t>0.463</w:t>
            </w:r>
          </w:p>
        </w:tc>
        <w:tc>
          <w:tcPr>
            <w:tcW w:w="875" w:type="pct"/>
            <w:vAlign w:val="center"/>
          </w:tcPr>
          <w:p>
            <w:pPr>
              <w:adjustRightInd w:val="0"/>
              <w:snapToGrid w:val="0"/>
              <w:jc w:val="center"/>
              <w:rPr>
                <w:kern w:val="0"/>
                <w:szCs w:val="21"/>
              </w:rPr>
            </w:pPr>
            <w:r>
              <w:rPr>
                <w:kern w:val="0"/>
                <w:szCs w:val="21"/>
              </w:rPr>
              <w:t>0.450</w:t>
            </w:r>
          </w:p>
        </w:tc>
        <w:tc>
          <w:tcPr>
            <w:tcW w:w="664" w:type="pct"/>
            <w:vAlign w:val="center"/>
          </w:tcPr>
          <w:p>
            <w:pPr>
              <w:adjustRightInd w:val="0"/>
              <w:snapToGrid w:val="0"/>
              <w:jc w:val="center"/>
              <w:rPr>
                <w:kern w:val="0"/>
                <w:szCs w:val="21"/>
              </w:rPr>
            </w:pPr>
            <w:r>
              <w:rPr>
                <w:kern w:val="0"/>
                <w:szCs w:val="21"/>
              </w:rPr>
              <w:t>300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硒</w:t>
            </w:r>
          </w:p>
        </w:tc>
        <w:tc>
          <w:tcPr>
            <w:tcW w:w="506" w:type="pct"/>
            <w:vAlign w:val="center"/>
          </w:tcPr>
          <w:p>
            <w:pPr>
              <w:autoSpaceDE w:val="0"/>
              <w:autoSpaceDN w:val="0"/>
              <w:adjustRightInd w:val="0"/>
              <w:snapToGrid w:val="0"/>
              <w:jc w:val="center"/>
              <w:rPr>
                <w:bCs/>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0.634</w:t>
            </w:r>
          </w:p>
        </w:tc>
        <w:tc>
          <w:tcPr>
            <w:tcW w:w="875" w:type="pct"/>
            <w:vAlign w:val="center"/>
          </w:tcPr>
          <w:p>
            <w:pPr>
              <w:adjustRightInd w:val="0"/>
              <w:snapToGrid w:val="0"/>
              <w:jc w:val="center"/>
              <w:rPr>
                <w:kern w:val="0"/>
                <w:szCs w:val="21"/>
              </w:rPr>
            </w:pPr>
            <w:r>
              <w:rPr>
                <w:kern w:val="0"/>
                <w:szCs w:val="21"/>
              </w:rPr>
              <w:t>0.631</w:t>
            </w:r>
          </w:p>
        </w:tc>
        <w:tc>
          <w:tcPr>
            <w:tcW w:w="875" w:type="pct"/>
            <w:vAlign w:val="center"/>
          </w:tcPr>
          <w:p>
            <w:pPr>
              <w:adjustRightInd w:val="0"/>
              <w:snapToGrid w:val="0"/>
              <w:jc w:val="center"/>
              <w:rPr>
                <w:kern w:val="0"/>
                <w:szCs w:val="21"/>
              </w:rPr>
            </w:pPr>
            <w:r>
              <w:rPr>
                <w:kern w:val="0"/>
                <w:szCs w:val="21"/>
              </w:rPr>
              <w:t>0.744</w:t>
            </w:r>
          </w:p>
        </w:tc>
        <w:tc>
          <w:tcPr>
            <w:tcW w:w="664" w:type="pct"/>
            <w:vAlign w:val="center"/>
          </w:tcPr>
          <w:p>
            <w:pPr>
              <w:adjustRightInd w:val="0"/>
              <w:snapToGrid w:val="0"/>
              <w:jc w:val="center"/>
              <w:rPr>
                <w:kern w:val="0"/>
                <w:szCs w:val="21"/>
              </w:rPr>
            </w:pPr>
            <w:r>
              <w:rPr>
                <w:kern w:val="0"/>
                <w:szCs w:val="21"/>
              </w:rPr>
              <w:t>100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铜</w:t>
            </w:r>
          </w:p>
        </w:tc>
        <w:tc>
          <w:tcPr>
            <w:tcW w:w="506" w:type="pct"/>
            <w:vAlign w:val="center"/>
          </w:tcPr>
          <w:p>
            <w:pPr>
              <w:autoSpaceDE w:val="0"/>
              <w:autoSpaceDN w:val="0"/>
              <w:adjustRightInd w:val="0"/>
              <w:snapToGrid w:val="0"/>
              <w:jc w:val="center"/>
              <w:rPr>
                <w:bCs/>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＜0.02</w:t>
            </w:r>
          </w:p>
        </w:tc>
        <w:tc>
          <w:tcPr>
            <w:tcW w:w="875" w:type="pct"/>
            <w:vAlign w:val="center"/>
          </w:tcPr>
          <w:p>
            <w:pPr>
              <w:adjustRightInd w:val="0"/>
              <w:snapToGrid w:val="0"/>
              <w:jc w:val="center"/>
              <w:rPr>
                <w:kern w:val="0"/>
                <w:szCs w:val="21"/>
              </w:rPr>
            </w:pPr>
            <w:r>
              <w:rPr>
                <w:kern w:val="0"/>
                <w:szCs w:val="21"/>
              </w:rPr>
              <w:t>＜0.02</w:t>
            </w:r>
          </w:p>
        </w:tc>
        <w:tc>
          <w:tcPr>
            <w:tcW w:w="875" w:type="pct"/>
            <w:vAlign w:val="center"/>
          </w:tcPr>
          <w:p>
            <w:pPr>
              <w:adjustRightInd w:val="0"/>
              <w:snapToGrid w:val="0"/>
              <w:jc w:val="center"/>
              <w:rPr>
                <w:kern w:val="0"/>
                <w:szCs w:val="21"/>
              </w:rPr>
            </w:pPr>
            <w:r>
              <w:rPr>
                <w:kern w:val="0"/>
                <w:szCs w:val="21"/>
              </w:rPr>
              <w:t>＜0.02</w:t>
            </w:r>
          </w:p>
        </w:tc>
        <w:tc>
          <w:tcPr>
            <w:tcW w:w="664" w:type="pct"/>
            <w:vAlign w:val="center"/>
          </w:tcPr>
          <w:p>
            <w:pPr>
              <w:adjustRightInd w:val="0"/>
              <w:snapToGrid w:val="0"/>
              <w:jc w:val="center"/>
              <w:rPr>
                <w:kern w:val="0"/>
                <w:szCs w:val="21"/>
              </w:rPr>
            </w:pPr>
            <w:r>
              <w:rPr>
                <w:kern w:val="0"/>
                <w:szCs w:val="21"/>
              </w:rPr>
              <w:t>40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锌</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＜0.06</w:t>
            </w:r>
          </w:p>
        </w:tc>
        <w:tc>
          <w:tcPr>
            <w:tcW w:w="875" w:type="pct"/>
            <w:vAlign w:val="center"/>
          </w:tcPr>
          <w:p>
            <w:pPr>
              <w:adjustRightInd w:val="0"/>
              <w:snapToGrid w:val="0"/>
              <w:jc w:val="center"/>
              <w:rPr>
                <w:kern w:val="0"/>
                <w:szCs w:val="21"/>
              </w:rPr>
            </w:pPr>
            <w:r>
              <w:rPr>
                <w:kern w:val="0"/>
                <w:szCs w:val="21"/>
              </w:rPr>
              <w:t>＜0.06</w:t>
            </w:r>
          </w:p>
        </w:tc>
        <w:tc>
          <w:tcPr>
            <w:tcW w:w="875" w:type="pct"/>
            <w:vAlign w:val="center"/>
          </w:tcPr>
          <w:p>
            <w:pPr>
              <w:adjustRightInd w:val="0"/>
              <w:snapToGrid w:val="0"/>
              <w:jc w:val="center"/>
              <w:rPr>
                <w:kern w:val="0"/>
                <w:szCs w:val="21"/>
              </w:rPr>
            </w:pPr>
            <w:r>
              <w:rPr>
                <w:kern w:val="0"/>
                <w:szCs w:val="21"/>
              </w:rPr>
              <w:t>＜0.06</w:t>
            </w:r>
          </w:p>
        </w:tc>
        <w:tc>
          <w:tcPr>
            <w:tcW w:w="664" w:type="pct"/>
            <w:vAlign w:val="center"/>
          </w:tcPr>
          <w:p>
            <w:pPr>
              <w:adjustRightInd w:val="0"/>
              <w:snapToGrid w:val="0"/>
              <w:jc w:val="center"/>
              <w:rPr>
                <w:kern w:val="0"/>
                <w:szCs w:val="21"/>
              </w:rPr>
            </w:pPr>
            <w:r>
              <w:rPr>
                <w:kern w:val="0"/>
                <w:szCs w:val="21"/>
              </w:rPr>
              <w:t>100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铅</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＜4.2</w:t>
            </w:r>
          </w:p>
        </w:tc>
        <w:tc>
          <w:tcPr>
            <w:tcW w:w="875" w:type="pct"/>
            <w:vAlign w:val="center"/>
          </w:tcPr>
          <w:p>
            <w:pPr>
              <w:adjustRightInd w:val="0"/>
              <w:snapToGrid w:val="0"/>
              <w:jc w:val="center"/>
              <w:rPr>
                <w:kern w:val="0"/>
                <w:szCs w:val="21"/>
              </w:rPr>
            </w:pPr>
            <w:r>
              <w:rPr>
                <w:kern w:val="0"/>
                <w:szCs w:val="21"/>
              </w:rPr>
              <w:t>＜4.2</w:t>
            </w:r>
          </w:p>
        </w:tc>
        <w:tc>
          <w:tcPr>
            <w:tcW w:w="875" w:type="pct"/>
            <w:vAlign w:val="center"/>
          </w:tcPr>
          <w:p>
            <w:pPr>
              <w:adjustRightInd w:val="0"/>
              <w:snapToGrid w:val="0"/>
              <w:jc w:val="center"/>
              <w:rPr>
                <w:kern w:val="0"/>
                <w:szCs w:val="21"/>
              </w:rPr>
            </w:pPr>
            <w:r>
              <w:rPr>
                <w:kern w:val="0"/>
                <w:szCs w:val="21"/>
              </w:rPr>
              <w:t>＜4.2</w:t>
            </w:r>
          </w:p>
        </w:tc>
        <w:tc>
          <w:tcPr>
            <w:tcW w:w="664" w:type="pct"/>
            <w:vAlign w:val="center"/>
          </w:tcPr>
          <w:p>
            <w:pPr>
              <w:adjustRightInd w:val="0"/>
              <w:snapToGrid w:val="0"/>
              <w:jc w:val="center"/>
              <w:rPr>
                <w:kern w:val="0"/>
                <w:szCs w:val="21"/>
              </w:rPr>
            </w:pPr>
            <w:r>
              <w:rPr>
                <w:kern w:val="0"/>
                <w:szCs w:val="21"/>
              </w:rPr>
              <w:t>250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镉</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＜1.2</w:t>
            </w:r>
          </w:p>
        </w:tc>
        <w:tc>
          <w:tcPr>
            <w:tcW w:w="875" w:type="pct"/>
            <w:vAlign w:val="center"/>
          </w:tcPr>
          <w:p>
            <w:pPr>
              <w:adjustRightInd w:val="0"/>
              <w:snapToGrid w:val="0"/>
              <w:jc w:val="center"/>
              <w:rPr>
                <w:kern w:val="0"/>
                <w:szCs w:val="21"/>
              </w:rPr>
            </w:pPr>
            <w:r>
              <w:rPr>
                <w:kern w:val="0"/>
                <w:szCs w:val="21"/>
              </w:rPr>
              <w:t>＜1.2</w:t>
            </w:r>
          </w:p>
        </w:tc>
        <w:tc>
          <w:tcPr>
            <w:tcW w:w="875" w:type="pct"/>
            <w:vAlign w:val="center"/>
          </w:tcPr>
          <w:p>
            <w:pPr>
              <w:adjustRightInd w:val="0"/>
              <w:snapToGrid w:val="0"/>
              <w:jc w:val="center"/>
              <w:rPr>
                <w:kern w:val="0"/>
                <w:szCs w:val="21"/>
              </w:rPr>
            </w:pPr>
            <w:r>
              <w:rPr>
                <w:kern w:val="0"/>
                <w:szCs w:val="21"/>
              </w:rPr>
              <w:t>＜1.2</w:t>
            </w:r>
          </w:p>
        </w:tc>
        <w:tc>
          <w:tcPr>
            <w:tcW w:w="664" w:type="pct"/>
            <w:vAlign w:val="center"/>
          </w:tcPr>
          <w:p>
            <w:pPr>
              <w:adjustRightInd w:val="0"/>
              <w:snapToGrid w:val="0"/>
              <w:jc w:val="center"/>
              <w:rPr>
                <w:kern w:val="0"/>
                <w:szCs w:val="21"/>
              </w:rPr>
            </w:pPr>
            <w:r>
              <w:rPr>
                <w:kern w:val="0"/>
                <w:szCs w:val="21"/>
              </w:rPr>
              <w:t>150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铍</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＜0.7</w:t>
            </w:r>
          </w:p>
        </w:tc>
        <w:tc>
          <w:tcPr>
            <w:tcW w:w="875" w:type="pct"/>
            <w:vAlign w:val="center"/>
          </w:tcPr>
          <w:p>
            <w:pPr>
              <w:adjustRightInd w:val="0"/>
              <w:snapToGrid w:val="0"/>
              <w:jc w:val="center"/>
              <w:rPr>
                <w:kern w:val="0"/>
                <w:szCs w:val="21"/>
              </w:rPr>
            </w:pPr>
            <w:r>
              <w:rPr>
                <w:kern w:val="0"/>
                <w:szCs w:val="21"/>
              </w:rPr>
              <w:t>＜0.7</w:t>
            </w:r>
          </w:p>
        </w:tc>
        <w:tc>
          <w:tcPr>
            <w:tcW w:w="875" w:type="pct"/>
            <w:vAlign w:val="center"/>
          </w:tcPr>
          <w:p>
            <w:pPr>
              <w:adjustRightInd w:val="0"/>
              <w:snapToGrid w:val="0"/>
              <w:jc w:val="center"/>
              <w:rPr>
                <w:kern w:val="0"/>
                <w:szCs w:val="21"/>
              </w:rPr>
            </w:pPr>
            <w:r>
              <w:rPr>
                <w:kern w:val="0"/>
                <w:szCs w:val="21"/>
              </w:rPr>
              <w:t>＜0.7</w:t>
            </w:r>
          </w:p>
        </w:tc>
        <w:tc>
          <w:tcPr>
            <w:tcW w:w="664" w:type="pct"/>
            <w:vAlign w:val="center"/>
          </w:tcPr>
          <w:p>
            <w:pPr>
              <w:adjustRightInd w:val="0"/>
              <w:snapToGrid w:val="0"/>
              <w:jc w:val="center"/>
              <w:rPr>
                <w:kern w:val="0"/>
                <w:szCs w:val="21"/>
              </w:rPr>
            </w:pPr>
            <w:r>
              <w:rPr>
                <w:kern w:val="0"/>
                <w:szCs w:val="21"/>
              </w:rPr>
              <w:t>20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钡</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＜1.8</w:t>
            </w:r>
          </w:p>
        </w:tc>
        <w:tc>
          <w:tcPr>
            <w:tcW w:w="875" w:type="pct"/>
            <w:vAlign w:val="center"/>
          </w:tcPr>
          <w:p>
            <w:pPr>
              <w:adjustRightInd w:val="0"/>
              <w:snapToGrid w:val="0"/>
              <w:jc w:val="center"/>
              <w:rPr>
                <w:kern w:val="0"/>
                <w:szCs w:val="21"/>
              </w:rPr>
            </w:pPr>
            <w:r>
              <w:rPr>
                <w:kern w:val="0"/>
                <w:szCs w:val="21"/>
              </w:rPr>
              <w:t>＜1.8</w:t>
            </w:r>
          </w:p>
        </w:tc>
        <w:tc>
          <w:tcPr>
            <w:tcW w:w="875" w:type="pct"/>
            <w:vAlign w:val="center"/>
          </w:tcPr>
          <w:p>
            <w:pPr>
              <w:adjustRightInd w:val="0"/>
              <w:snapToGrid w:val="0"/>
              <w:jc w:val="center"/>
              <w:rPr>
                <w:kern w:val="0"/>
                <w:szCs w:val="21"/>
              </w:rPr>
            </w:pPr>
            <w:r>
              <w:rPr>
                <w:kern w:val="0"/>
                <w:szCs w:val="21"/>
              </w:rPr>
              <w:t>＜1.8</w:t>
            </w:r>
          </w:p>
        </w:tc>
        <w:tc>
          <w:tcPr>
            <w:tcW w:w="664" w:type="pct"/>
            <w:vAlign w:val="center"/>
          </w:tcPr>
          <w:p>
            <w:pPr>
              <w:adjustRightInd w:val="0"/>
              <w:snapToGrid w:val="0"/>
              <w:jc w:val="center"/>
              <w:rPr>
                <w:kern w:val="0"/>
                <w:szCs w:val="21"/>
              </w:rPr>
            </w:pPr>
            <w:r>
              <w:rPr>
                <w:kern w:val="0"/>
                <w:szCs w:val="21"/>
              </w:rPr>
              <w:t>25000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镍</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664" w:type="pct"/>
            <w:vAlign w:val="center"/>
          </w:tcPr>
          <w:p>
            <w:pPr>
              <w:adjustRightInd w:val="0"/>
              <w:snapToGrid w:val="0"/>
              <w:jc w:val="center"/>
              <w:rPr>
                <w:kern w:val="0"/>
                <w:szCs w:val="21"/>
              </w:rPr>
            </w:pPr>
            <w:r>
              <w:rPr>
                <w:kern w:val="0"/>
                <w:szCs w:val="21"/>
              </w:rPr>
              <w:t>0.5</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总铬</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664" w:type="pct"/>
            <w:vAlign w:val="center"/>
          </w:tcPr>
          <w:p>
            <w:pPr>
              <w:adjustRightInd w:val="0"/>
              <w:snapToGrid w:val="0"/>
              <w:jc w:val="center"/>
              <w:rPr>
                <w:kern w:val="0"/>
                <w:szCs w:val="21"/>
              </w:rPr>
            </w:pPr>
            <w:r>
              <w:rPr>
                <w:kern w:val="0"/>
                <w:szCs w:val="21"/>
              </w:rPr>
              <w:t>4.5</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tcBorders>
              <w:bottom w:val="single" w:color="auto" w:sz="12" w:space="0"/>
            </w:tcBorders>
            <w:vAlign w:val="center"/>
          </w:tcPr>
          <w:p>
            <w:pPr>
              <w:autoSpaceDE w:val="0"/>
              <w:autoSpaceDN w:val="0"/>
              <w:adjustRightInd w:val="0"/>
              <w:snapToGrid w:val="0"/>
              <w:jc w:val="center"/>
              <w:rPr>
                <w:bCs/>
                <w:szCs w:val="21"/>
              </w:rPr>
            </w:pPr>
            <w:r>
              <w:rPr>
                <w:bCs/>
                <w:szCs w:val="21"/>
              </w:rPr>
              <w:t>六价铬</w:t>
            </w:r>
          </w:p>
        </w:tc>
        <w:tc>
          <w:tcPr>
            <w:tcW w:w="506" w:type="pct"/>
            <w:tcBorders>
              <w:bottom w:val="single" w:color="auto" w:sz="12" w:space="0"/>
            </w:tcBorders>
            <w:vAlign w:val="center"/>
          </w:tcPr>
          <w:p>
            <w:pPr>
              <w:autoSpaceDE w:val="0"/>
              <w:autoSpaceDN w:val="0"/>
              <w:adjustRightInd w:val="0"/>
              <w:snapToGrid w:val="0"/>
              <w:jc w:val="center"/>
              <w:rPr>
                <w:bCs/>
                <w:kern w:val="0"/>
                <w:szCs w:val="21"/>
              </w:rPr>
            </w:pPr>
            <w:r>
              <w:rPr>
                <w:bCs/>
                <w:kern w:val="0"/>
                <w:szCs w:val="21"/>
              </w:rPr>
              <w:t>mg/L</w:t>
            </w:r>
          </w:p>
        </w:tc>
        <w:tc>
          <w:tcPr>
            <w:tcW w:w="875" w:type="pct"/>
            <w:tcBorders>
              <w:bottom w:val="single" w:color="auto" w:sz="12" w:space="0"/>
            </w:tcBorders>
            <w:vAlign w:val="center"/>
          </w:tcPr>
          <w:p>
            <w:pPr>
              <w:adjustRightInd w:val="0"/>
              <w:snapToGrid w:val="0"/>
              <w:jc w:val="center"/>
              <w:rPr>
                <w:kern w:val="0"/>
                <w:szCs w:val="21"/>
              </w:rPr>
            </w:pPr>
            <w:r>
              <w:rPr>
                <w:kern w:val="0"/>
                <w:szCs w:val="21"/>
              </w:rPr>
              <w:t>＜0.004</w:t>
            </w:r>
          </w:p>
        </w:tc>
        <w:tc>
          <w:tcPr>
            <w:tcW w:w="875" w:type="pct"/>
            <w:tcBorders>
              <w:bottom w:val="single" w:color="auto" w:sz="12" w:space="0"/>
            </w:tcBorders>
            <w:vAlign w:val="center"/>
          </w:tcPr>
          <w:p>
            <w:pPr>
              <w:adjustRightInd w:val="0"/>
              <w:snapToGrid w:val="0"/>
              <w:jc w:val="center"/>
              <w:rPr>
                <w:kern w:val="0"/>
                <w:szCs w:val="21"/>
              </w:rPr>
            </w:pPr>
            <w:r>
              <w:rPr>
                <w:kern w:val="0"/>
                <w:szCs w:val="21"/>
              </w:rPr>
              <w:t>＜0.004</w:t>
            </w:r>
          </w:p>
        </w:tc>
        <w:tc>
          <w:tcPr>
            <w:tcW w:w="875" w:type="pct"/>
            <w:tcBorders>
              <w:bottom w:val="single" w:color="auto" w:sz="12" w:space="0"/>
            </w:tcBorders>
            <w:vAlign w:val="center"/>
          </w:tcPr>
          <w:p>
            <w:pPr>
              <w:adjustRightInd w:val="0"/>
              <w:snapToGrid w:val="0"/>
              <w:jc w:val="center"/>
              <w:rPr>
                <w:kern w:val="0"/>
                <w:szCs w:val="21"/>
              </w:rPr>
            </w:pPr>
            <w:r>
              <w:rPr>
                <w:kern w:val="0"/>
                <w:szCs w:val="21"/>
              </w:rPr>
              <w:t>＜0.004</w:t>
            </w:r>
          </w:p>
        </w:tc>
        <w:tc>
          <w:tcPr>
            <w:tcW w:w="664" w:type="pct"/>
            <w:tcBorders>
              <w:bottom w:val="single" w:color="auto" w:sz="12" w:space="0"/>
            </w:tcBorders>
            <w:vAlign w:val="center"/>
          </w:tcPr>
          <w:p>
            <w:pPr>
              <w:adjustRightInd w:val="0"/>
              <w:snapToGrid w:val="0"/>
              <w:jc w:val="center"/>
              <w:rPr>
                <w:kern w:val="0"/>
                <w:szCs w:val="21"/>
              </w:rPr>
            </w:pPr>
            <w:r>
              <w:rPr>
                <w:kern w:val="0"/>
                <w:szCs w:val="21"/>
              </w:rPr>
              <w:t>1.5</w:t>
            </w:r>
          </w:p>
        </w:tc>
        <w:tc>
          <w:tcPr>
            <w:tcW w:w="652" w:type="pct"/>
            <w:tcBorders>
              <w:bottom w:val="single" w:color="auto" w:sz="12" w:space="0"/>
            </w:tcBorders>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59" w:type="pct"/>
            <w:gridSpan w:val="2"/>
            <w:tcBorders>
              <w:top w:val="single" w:color="auto" w:sz="12" w:space="0"/>
            </w:tcBorders>
            <w:vAlign w:val="center"/>
          </w:tcPr>
          <w:p>
            <w:pPr>
              <w:adjustRightInd w:val="0"/>
              <w:snapToGrid w:val="0"/>
              <w:jc w:val="center"/>
              <w:rPr>
                <w:kern w:val="0"/>
                <w:szCs w:val="21"/>
              </w:rPr>
            </w:pPr>
            <w:r>
              <w:rPr>
                <w:kern w:val="0"/>
                <w:szCs w:val="21"/>
              </w:rPr>
              <w:t>采样时间</w:t>
            </w:r>
          </w:p>
        </w:tc>
        <w:tc>
          <w:tcPr>
            <w:tcW w:w="2625" w:type="pct"/>
            <w:gridSpan w:val="3"/>
            <w:tcBorders>
              <w:top w:val="single" w:color="auto" w:sz="12" w:space="0"/>
            </w:tcBorders>
            <w:vAlign w:val="center"/>
          </w:tcPr>
          <w:p>
            <w:pPr>
              <w:adjustRightInd w:val="0"/>
              <w:snapToGrid w:val="0"/>
              <w:jc w:val="center"/>
              <w:rPr>
                <w:szCs w:val="21"/>
              </w:rPr>
            </w:pPr>
            <w:r>
              <w:rPr>
                <w:szCs w:val="21"/>
              </w:rPr>
              <w:t>2021.07.10</w:t>
            </w:r>
          </w:p>
        </w:tc>
        <w:tc>
          <w:tcPr>
            <w:tcW w:w="664" w:type="pct"/>
            <w:vMerge w:val="restart"/>
            <w:tcBorders>
              <w:top w:val="single" w:color="auto" w:sz="12" w:space="0"/>
            </w:tcBorders>
            <w:vAlign w:val="center"/>
          </w:tcPr>
          <w:p>
            <w:pPr>
              <w:adjustRightInd w:val="0"/>
              <w:snapToGrid w:val="0"/>
              <w:jc w:val="center"/>
              <w:rPr>
                <w:szCs w:val="21"/>
              </w:rPr>
            </w:pPr>
            <w:r>
              <w:rPr>
                <w:szCs w:val="21"/>
              </w:rPr>
              <w:t>标准值</w:t>
            </w:r>
          </w:p>
        </w:tc>
        <w:tc>
          <w:tcPr>
            <w:tcW w:w="652" w:type="pct"/>
            <w:vMerge w:val="restart"/>
            <w:tcBorders>
              <w:top w:val="single" w:color="auto" w:sz="12" w:space="0"/>
            </w:tcBorders>
            <w:vAlign w:val="center"/>
          </w:tcPr>
          <w:p>
            <w:pPr>
              <w:adjustRightInd w:val="0"/>
              <w:snapToGrid w:val="0"/>
              <w:jc w:val="center"/>
              <w:rPr>
                <w:szCs w:val="21"/>
              </w:rPr>
            </w:pPr>
            <w:r>
              <w:rPr>
                <w:rFonts w:hint="eastAsia"/>
                <w:szCs w:val="21"/>
              </w:rPr>
              <w:t>是否</w:t>
            </w: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djustRightInd w:val="0"/>
              <w:snapToGrid w:val="0"/>
              <w:jc w:val="center"/>
              <w:rPr>
                <w:kern w:val="0"/>
                <w:szCs w:val="21"/>
              </w:rPr>
            </w:pPr>
            <w:r>
              <w:rPr>
                <w:kern w:val="0"/>
                <w:szCs w:val="21"/>
              </w:rPr>
              <w:t>检测</w:t>
            </w:r>
          </w:p>
          <w:p>
            <w:pPr>
              <w:adjustRightInd w:val="0"/>
              <w:snapToGrid w:val="0"/>
              <w:jc w:val="center"/>
              <w:rPr>
                <w:szCs w:val="21"/>
              </w:rPr>
            </w:pPr>
            <w:r>
              <w:rPr>
                <w:kern w:val="0"/>
                <w:szCs w:val="21"/>
              </w:rPr>
              <w:t>项目</w:t>
            </w:r>
          </w:p>
        </w:tc>
        <w:tc>
          <w:tcPr>
            <w:tcW w:w="506" w:type="pct"/>
            <w:vAlign w:val="center"/>
          </w:tcPr>
          <w:p>
            <w:pPr>
              <w:adjustRightInd w:val="0"/>
              <w:snapToGrid w:val="0"/>
              <w:jc w:val="center"/>
              <w:rPr>
                <w:szCs w:val="21"/>
              </w:rPr>
            </w:pPr>
            <w:r>
              <w:rPr>
                <w:kern w:val="0"/>
                <w:szCs w:val="21"/>
              </w:rPr>
              <w:t>单位</w:t>
            </w:r>
          </w:p>
        </w:tc>
        <w:tc>
          <w:tcPr>
            <w:tcW w:w="875" w:type="pct"/>
            <w:vAlign w:val="center"/>
          </w:tcPr>
          <w:p>
            <w:pPr>
              <w:adjustRightInd w:val="0"/>
              <w:snapToGrid w:val="0"/>
              <w:jc w:val="center"/>
              <w:rPr>
                <w:kern w:val="0"/>
                <w:szCs w:val="21"/>
              </w:rPr>
            </w:pPr>
            <w:r>
              <w:rPr>
                <w:kern w:val="0"/>
                <w:szCs w:val="21"/>
              </w:rPr>
              <w:t>飞灰固化车间采样口</w:t>
            </w:r>
          </w:p>
          <w:p>
            <w:pPr>
              <w:adjustRightInd w:val="0"/>
              <w:snapToGrid w:val="0"/>
              <w:jc w:val="center"/>
              <w:rPr>
                <w:szCs w:val="21"/>
              </w:rPr>
            </w:pPr>
            <w:r>
              <w:rPr>
                <w:kern w:val="0"/>
                <w:szCs w:val="21"/>
              </w:rPr>
              <w:t>2107135GF004</w:t>
            </w:r>
          </w:p>
        </w:tc>
        <w:tc>
          <w:tcPr>
            <w:tcW w:w="875" w:type="pct"/>
            <w:vAlign w:val="center"/>
          </w:tcPr>
          <w:p>
            <w:pPr>
              <w:adjustRightInd w:val="0"/>
              <w:snapToGrid w:val="0"/>
              <w:jc w:val="center"/>
              <w:rPr>
                <w:kern w:val="0"/>
                <w:szCs w:val="21"/>
              </w:rPr>
            </w:pPr>
            <w:r>
              <w:rPr>
                <w:kern w:val="0"/>
                <w:szCs w:val="21"/>
              </w:rPr>
              <w:t>飞灰固化车间采样口</w:t>
            </w:r>
          </w:p>
          <w:p>
            <w:pPr>
              <w:adjustRightInd w:val="0"/>
              <w:snapToGrid w:val="0"/>
              <w:jc w:val="center"/>
              <w:rPr>
                <w:kern w:val="0"/>
                <w:szCs w:val="21"/>
              </w:rPr>
            </w:pPr>
            <w:r>
              <w:rPr>
                <w:kern w:val="0"/>
                <w:szCs w:val="21"/>
              </w:rPr>
              <w:t>2107135GF005</w:t>
            </w:r>
          </w:p>
        </w:tc>
        <w:tc>
          <w:tcPr>
            <w:tcW w:w="875" w:type="pct"/>
            <w:vAlign w:val="center"/>
          </w:tcPr>
          <w:p>
            <w:pPr>
              <w:adjustRightInd w:val="0"/>
              <w:snapToGrid w:val="0"/>
              <w:jc w:val="center"/>
              <w:rPr>
                <w:kern w:val="0"/>
                <w:szCs w:val="21"/>
              </w:rPr>
            </w:pPr>
            <w:r>
              <w:rPr>
                <w:kern w:val="0"/>
                <w:szCs w:val="21"/>
              </w:rPr>
              <w:t>飞灰固化车间采样口</w:t>
            </w:r>
          </w:p>
          <w:p>
            <w:pPr>
              <w:adjustRightInd w:val="0"/>
              <w:snapToGrid w:val="0"/>
              <w:jc w:val="center"/>
              <w:rPr>
                <w:szCs w:val="21"/>
              </w:rPr>
            </w:pPr>
            <w:r>
              <w:rPr>
                <w:kern w:val="0"/>
                <w:szCs w:val="21"/>
              </w:rPr>
              <w:t>2107135GF006</w:t>
            </w:r>
          </w:p>
        </w:tc>
        <w:tc>
          <w:tcPr>
            <w:tcW w:w="664" w:type="pct"/>
            <w:vMerge w:val="continue"/>
            <w:vAlign w:val="center"/>
          </w:tcPr>
          <w:p>
            <w:pPr>
              <w:adjustRightInd w:val="0"/>
              <w:snapToGrid w:val="0"/>
              <w:jc w:val="center"/>
              <w:rPr>
                <w:kern w:val="0"/>
                <w:szCs w:val="21"/>
              </w:rPr>
            </w:pPr>
          </w:p>
        </w:tc>
        <w:tc>
          <w:tcPr>
            <w:tcW w:w="652"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汞</w:t>
            </w:r>
          </w:p>
        </w:tc>
        <w:tc>
          <w:tcPr>
            <w:tcW w:w="506" w:type="pct"/>
            <w:vAlign w:val="center"/>
          </w:tcPr>
          <w:p>
            <w:pPr>
              <w:autoSpaceDE w:val="0"/>
              <w:autoSpaceDN w:val="0"/>
              <w:adjustRightInd w:val="0"/>
              <w:snapToGrid w:val="0"/>
              <w:jc w:val="center"/>
              <w:rPr>
                <w:bCs/>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0.369</w:t>
            </w:r>
          </w:p>
        </w:tc>
        <w:tc>
          <w:tcPr>
            <w:tcW w:w="875" w:type="pct"/>
            <w:vAlign w:val="center"/>
          </w:tcPr>
          <w:p>
            <w:pPr>
              <w:adjustRightInd w:val="0"/>
              <w:snapToGrid w:val="0"/>
              <w:jc w:val="center"/>
              <w:rPr>
                <w:kern w:val="0"/>
                <w:szCs w:val="21"/>
              </w:rPr>
            </w:pPr>
            <w:r>
              <w:rPr>
                <w:kern w:val="0"/>
                <w:szCs w:val="21"/>
              </w:rPr>
              <w:t>0.231</w:t>
            </w:r>
          </w:p>
        </w:tc>
        <w:tc>
          <w:tcPr>
            <w:tcW w:w="875" w:type="pct"/>
            <w:vAlign w:val="center"/>
          </w:tcPr>
          <w:p>
            <w:pPr>
              <w:adjustRightInd w:val="0"/>
              <w:snapToGrid w:val="0"/>
              <w:jc w:val="center"/>
              <w:rPr>
                <w:kern w:val="0"/>
                <w:szCs w:val="21"/>
              </w:rPr>
            </w:pPr>
            <w:r>
              <w:rPr>
                <w:kern w:val="0"/>
                <w:szCs w:val="21"/>
              </w:rPr>
              <w:t>0.381</w:t>
            </w:r>
          </w:p>
        </w:tc>
        <w:tc>
          <w:tcPr>
            <w:tcW w:w="664" w:type="pct"/>
            <w:vAlign w:val="center"/>
          </w:tcPr>
          <w:p>
            <w:pPr>
              <w:adjustRightInd w:val="0"/>
              <w:snapToGrid w:val="0"/>
              <w:jc w:val="center"/>
              <w:rPr>
                <w:kern w:val="0"/>
                <w:szCs w:val="21"/>
              </w:rPr>
            </w:pPr>
            <w:r>
              <w:rPr>
                <w:kern w:val="0"/>
                <w:szCs w:val="21"/>
              </w:rPr>
              <w:t>50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kern w:val="0"/>
                <w:szCs w:val="21"/>
              </w:rPr>
            </w:pPr>
            <w:r>
              <w:rPr>
                <w:kern w:val="0"/>
                <w:szCs w:val="21"/>
              </w:rPr>
              <w:t>砷</w:t>
            </w:r>
          </w:p>
        </w:tc>
        <w:tc>
          <w:tcPr>
            <w:tcW w:w="506" w:type="pct"/>
            <w:vAlign w:val="center"/>
          </w:tcPr>
          <w:p>
            <w:pPr>
              <w:autoSpaceDE w:val="0"/>
              <w:autoSpaceDN w:val="0"/>
              <w:adjustRightInd w:val="0"/>
              <w:snapToGrid w:val="0"/>
              <w:jc w:val="center"/>
              <w:rPr>
                <w:bCs/>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0.331</w:t>
            </w:r>
          </w:p>
        </w:tc>
        <w:tc>
          <w:tcPr>
            <w:tcW w:w="875" w:type="pct"/>
            <w:vAlign w:val="center"/>
          </w:tcPr>
          <w:p>
            <w:pPr>
              <w:adjustRightInd w:val="0"/>
              <w:snapToGrid w:val="0"/>
              <w:jc w:val="center"/>
              <w:rPr>
                <w:kern w:val="0"/>
                <w:szCs w:val="21"/>
              </w:rPr>
            </w:pPr>
            <w:r>
              <w:rPr>
                <w:kern w:val="0"/>
                <w:szCs w:val="21"/>
              </w:rPr>
              <w:t>0.363</w:t>
            </w:r>
          </w:p>
        </w:tc>
        <w:tc>
          <w:tcPr>
            <w:tcW w:w="875" w:type="pct"/>
            <w:vAlign w:val="center"/>
          </w:tcPr>
          <w:p>
            <w:pPr>
              <w:adjustRightInd w:val="0"/>
              <w:snapToGrid w:val="0"/>
              <w:jc w:val="center"/>
              <w:rPr>
                <w:kern w:val="0"/>
                <w:szCs w:val="21"/>
              </w:rPr>
            </w:pPr>
            <w:r>
              <w:rPr>
                <w:kern w:val="0"/>
                <w:szCs w:val="21"/>
              </w:rPr>
              <w:t>0.400</w:t>
            </w:r>
          </w:p>
        </w:tc>
        <w:tc>
          <w:tcPr>
            <w:tcW w:w="664" w:type="pct"/>
            <w:vAlign w:val="center"/>
          </w:tcPr>
          <w:p>
            <w:pPr>
              <w:adjustRightInd w:val="0"/>
              <w:snapToGrid w:val="0"/>
              <w:jc w:val="center"/>
              <w:rPr>
                <w:kern w:val="0"/>
                <w:szCs w:val="21"/>
              </w:rPr>
            </w:pPr>
            <w:r>
              <w:rPr>
                <w:kern w:val="0"/>
                <w:szCs w:val="21"/>
              </w:rPr>
              <w:t>300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硒</w:t>
            </w:r>
          </w:p>
        </w:tc>
        <w:tc>
          <w:tcPr>
            <w:tcW w:w="506" w:type="pct"/>
            <w:vAlign w:val="center"/>
          </w:tcPr>
          <w:p>
            <w:pPr>
              <w:autoSpaceDE w:val="0"/>
              <w:autoSpaceDN w:val="0"/>
              <w:adjustRightInd w:val="0"/>
              <w:snapToGrid w:val="0"/>
              <w:jc w:val="center"/>
              <w:rPr>
                <w:bCs/>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0.488</w:t>
            </w:r>
          </w:p>
        </w:tc>
        <w:tc>
          <w:tcPr>
            <w:tcW w:w="875" w:type="pct"/>
            <w:vAlign w:val="center"/>
          </w:tcPr>
          <w:p>
            <w:pPr>
              <w:adjustRightInd w:val="0"/>
              <w:snapToGrid w:val="0"/>
              <w:jc w:val="center"/>
              <w:rPr>
                <w:kern w:val="0"/>
                <w:szCs w:val="21"/>
              </w:rPr>
            </w:pPr>
            <w:r>
              <w:rPr>
                <w:kern w:val="0"/>
                <w:szCs w:val="21"/>
              </w:rPr>
              <w:t>0.819</w:t>
            </w:r>
          </w:p>
        </w:tc>
        <w:tc>
          <w:tcPr>
            <w:tcW w:w="875" w:type="pct"/>
            <w:vAlign w:val="center"/>
          </w:tcPr>
          <w:p>
            <w:pPr>
              <w:adjustRightInd w:val="0"/>
              <w:snapToGrid w:val="0"/>
              <w:jc w:val="center"/>
              <w:rPr>
                <w:kern w:val="0"/>
                <w:szCs w:val="21"/>
              </w:rPr>
            </w:pPr>
            <w:r>
              <w:rPr>
                <w:kern w:val="0"/>
                <w:szCs w:val="21"/>
              </w:rPr>
              <w:t>0.706</w:t>
            </w:r>
          </w:p>
        </w:tc>
        <w:tc>
          <w:tcPr>
            <w:tcW w:w="664" w:type="pct"/>
            <w:vAlign w:val="center"/>
          </w:tcPr>
          <w:p>
            <w:pPr>
              <w:adjustRightInd w:val="0"/>
              <w:snapToGrid w:val="0"/>
              <w:jc w:val="center"/>
              <w:rPr>
                <w:kern w:val="0"/>
                <w:szCs w:val="21"/>
              </w:rPr>
            </w:pPr>
            <w:r>
              <w:rPr>
                <w:kern w:val="0"/>
                <w:szCs w:val="21"/>
              </w:rPr>
              <w:t>100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铜</w:t>
            </w:r>
          </w:p>
        </w:tc>
        <w:tc>
          <w:tcPr>
            <w:tcW w:w="506" w:type="pct"/>
            <w:vAlign w:val="center"/>
          </w:tcPr>
          <w:p>
            <w:pPr>
              <w:autoSpaceDE w:val="0"/>
              <w:autoSpaceDN w:val="0"/>
              <w:adjustRightInd w:val="0"/>
              <w:snapToGrid w:val="0"/>
              <w:jc w:val="center"/>
              <w:rPr>
                <w:bCs/>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＜0.02</w:t>
            </w:r>
          </w:p>
        </w:tc>
        <w:tc>
          <w:tcPr>
            <w:tcW w:w="875" w:type="pct"/>
            <w:vAlign w:val="center"/>
          </w:tcPr>
          <w:p>
            <w:pPr>
              <w:adjustRightInd w:val="0"/>
              <w:snapToGrid w:val="0"/>
              <w:jc w:val="center"/>
              <w:rPr>
                <w:kern w:val="0"/>
                <w:szCs w:val="21"/>
              </w:rPr>
            </w:pPr>
            <w:r>
              <w:rPr>
                <w:kern w:val="0"/>
                <w:szCs w:val="21"/>
              </w:rPr>
              <w:t>＜0.02</w:t>
            </w:r>
          </w:p>
        </w:tc>
        <w:tc>
          <w:tcPr>
            <w:tcW w:w="875" w:type="pct"/>
            <w:vAlign w:val="center"/>
          </w:tcPr>
          <w:p>
            <w:pPr>
              <w:adjustRightInd w:val="0"/>
              <w:snapToGrid w:val="0"/>
              <w:jc w:val="center"/>
              <w:rPr>
                <w:kern w:val="0"/>
                <w:szCs w:val="21"/>
              </w:rPr>
            </w:pPr>
            <w:r>
              <w:rPr>
                <w:kern w:val="0"/>
                <w:szCs w:val="21"/>
              </w:rPr>
              <w:t>＜0.02</w:t>
            </w:r>
          </w:p>
        </w:tc>
        <w:tc>
          <w:tcPr>
            <w:tcW w:w="664" w:type="pct"/>
            <w:vAlign w:val="center"/>
          </w:tcPr>
          <w:p>
            <w:pPr>
              <w:adjustRightInd w:val="0"/>
              <w:snapToGrid w:val="0"/>
              <w:jc w:val="center"/>
              <w:rPr>
                <w:kern w:val="0"/>
                <w:szCs w:val="21"/>
              </w:rPr>
            </w:pPr>
            <w:r>
              <w:rPr>
                <w:kern w:val="0"/>
                <w:szCs w:val="21"/>
              </w:rPr>
              <w:t>40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锌</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＜0.06</w:t>
            </w:r>
          </w:p>
        </w:tc>
        <w:tc>
          <w:tcPr>
            <w:tcW w:w="875" w:type="pct"/>
            <w:vAlign w:val="center"/>
          </w:tcPr>
          <w:p>
            <w:pPr>
              <w:adjustRightInd w:val="0"/>
              <w:snapToGrid w:val="0"/>
              <w:jc w:val="center"/>
              <w:rPr>
                <w:kern w:val="0"/>
                <w:szCs w:val="21"/>
              </w:rPr>
            </w:pPr>
            <w:r>
              <w:rPr>
                <w:kern w:val="0"/>
                <w:szCs w:val="21"/>
              </w:rPr>
              <w:t>＜0.06</w:t>
            </w:r>
          </w:p>
        </w:tc>
        <w:tc>
          <w:tcPr>
            <w:tcW w:w="875" w:type="pct"/>
            <w:vAlign w:val="center"/>
          </w:tcPr>
          <w:p>
            <w:pPr>
              <w:adjustRightInd w:val="0"/>
              <w:snapToGrid w:val="0"/>
              <w:jc w:val="center"/>
              <w:rPr>
                <w:kern w:val="0"/>
                <w:szCs w:val="21"/>
              </w:rPr>
            </w:pPr>
            <w:r>
              <w:rPr>
                <w:kern w:val="0"/>
                <w:szCs w:val="21"/>
              </w:rPr>
              <w:t>＜0.06</w:t>
            </w:r>
          </w:p>
        </w:tc>
        <w:tc>
          <w:tcPr>
            <w:tcW w:w="664" w:type="pct"/>
            <w:vAlign w:val="center"/>
          </w:tcPr>
          <w:p>
            <w:pPr>
              <w:adjustRightInd w:val="0"/>
              <w:snapToGrid w:val="0"/>
              <w:jc w:val="center"/>
              <w:rPr>
                <w:kern w:val="0"/>
                <w:szCs w:val="21"/>
              </w:rPr>
            </w:pPr>
            <w:r>
              <w:rPr>
                <w:kern w:val="0"/>
                <w:szCs w:val="21"/>
              </w:rPr>
              <w:t>100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铅</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＜4.2</w:t>
            </w:r>
          </w:p>
        </w:tc>
        <w:tc>
          <w:tcPr>
            <w:tcW w:w="875" w:type="pct"/>
            <w:vAlign w:val="center"/>
          </w:tcPr>
          <w:p>
            <w:pPr>
              <w:adjustRightInd w:val="0"/>
              <w:snapToGrid w:val="0"/>
              <w:jc w:val="center"/>
              <w:rPr>
                <w:kern w:val="0"/>
                <w:szCs w:val="21"/>
              </w:rPr>
            </w:pPr>
            <w:r>
              <w:rPr>
                <w:kern w:val="0"/>
                <w:szCs w:val="21"/>
              </w:rPr>
              <w:t>＜4.2</w:t>
            </w:r>
          </w:p>
        </w:tc>
        <w:tc>
          <w:tcPr>
            <w:tcW w:w="875" w:type="pct"/>
            <w:vAlign w:val="center"/>
          </w:tcPr>
          <w:p>
            <w:pPr>
              <w:adjustRightInd w:val="0"/>
              <w:snapToGrid w:val="0"/>
              <w:jc w:val="center"/>
              <w:rPr>
                <w:kern w:val="0"/>
                <w:szCs w:val="21"/>
              </w:rPr>
            </w:pPr>
            <w:r>
              <w:rPr>
                <w:kern w:val="0"/>
                <w:szCs w:val="21"/>
              </w:rPr>
              <w:t>＜4.2</w:t>
            </w:r>
          </w:p>
        </w:tc>
        <w:tc>
          <w:tcPr>
            <w:tcW w:w="664" w:type="pct"/>
            <w:vAlign w:val="center"/>
          </w:tcPr>
          <w:p>
            <w:pPr>
              <w:adjustRightInd w:val="0"/>
              <w:snapToGrid w:val="0"/>
              <w:jc w:val="center"/>
              <w:rPr>
                <w:kern w:val="0"/>
                <w:szCs w:val="21"/>
              </w:rPr>
            </w:pPr>
            <w:r>
              <w:rPr>
                <w:kern w:val="0"/>
                <w:szCs w:val="21"/>
              </w:rPr>
              <w:t>250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镉</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＜1.2</w:t>
            </w:r>
          </w:p>
        </w:tc>
        <w:tc>
          <w:tcPr>
            <w:tcW w:w="875" w:type="pct"/>
            <w:vAlign w:val="center"/>
          </w:tcPr>
          <w:p>
            <w:pPr>
              <w:adjustRightInd w:val="0"/>
              <w:snapToGrid w:val="0"/>
              <w:jc w:val="center"/>
              <w:rPr>
                <w:kern w:val="0"/>
                <w:szCs w:val="21"/>
              </w:rPr>
            </w:pPr>
            <w:r>
              <w:rPr>
                <w:kern w:val="0"/>
                <w:szCs w:val="21"/>
              </w:rPr>
              <w:t>＜1.2</w:t>
            </w:r>
          </w:p>
        </w:tc>
        <w:tc>
          <w:tcPr>
            <w:tcW w:w="875" w:type="pct"/>
            <w:vAlign w:val="center"/>
          </w:tcPr>
          <w:p>
            <w:pPr>
              <w:adjustRightInd w:val="0"/>
              <w:snapToGrid w:val="0"/>
              <w:jc w:val="center"/>
              <w:rPr>
                <w:kern w:val="0"/>
                <w:szCs w:val="21"/>
              </w:rPr>
            </w:pPr>
            <w:r>
              <w:rPr>
                <w:kern w:val="0"/>
                <w:szCs w:val="21"/>
              </w:rPr>
              <w:t>＜1.2</w:t>
            </w:r>
          </w:p>
        </w:tc>
        <w:tc>
          <w:tcPr>
            <w:tcW w:w="664" w:type="pct"/>
            <w:vAlign w:val="center"/>
          </w:tcPr>
          <w:p>
            <w:pPr>
              <w:adjustRightInd w:val="0"/>
              <w:snapToGrid w:val="0"/>
              <w:jc w:val="center"/>
              <w:rPr>
                <w:kern w:val="0"/>
                <w:szCs w:val="21"/>
              </w:rPr>
            </w:pPr>
            <w:r>
              <w:rPr>
                <w:kern w:val="0"/>
                <w:szCs w:val="21"/>
              </w:rPr>
              <w:t>150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铍</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＜0.7</w:t>
            </w:r>
          </w:p>
        </w:tc>
        <w:tc>
          <w:tcPr>
            <w:tcW w:w="875" w:type="pct"/>
            <w:vAlign w:val="center"/>
          </w:tcPr>
          <w:p>
            <w:pPr>
              <w:adjustRightInd w:val="0"/>
              <w:snapToGrid w:val="0"/>
              <w:jc w:val="center"/>
              <w:rPr>
                <w:kern w:val="0"/>
                <w:szCs w:val="21"/>
              </w:rPr>
            </w:pPr>
            <w:r>
              <w:rPr>
                <w:kern w:val="0"/>
                <w:szCs w:val="21"/>
              </w:rPr>
              <w:t>＜0.7</w:t>
            </w:r>
          </w:p>
        </w:tc>
        <w:tc>
          <w:tcPr>
            <w:tcW w:w="875" w:type="pct"/>
            <w:vAlign w:val="center"/>
          </w:tcPr>
          <w:p>
            <w:pPr>
              <w:adjustRightInd w:val="0"/>
              <w:snapToGrid w:val="0"/>
              <w:jc w:val="center"/>
              <w:rPr>
                <w:kern w:val="0"/>
                <w:szCs w:val="21"/>
              </w:rPr>
            </w:pPr>
            <w:r>
              <w:rPr>
                <w:kern w:val="0"/>
                <w:szCs w:val="21"/>
              </w:rPr>
              <w:t>＜0.7</w:t>
            </w:r>
          </w:p>
        </w:tc>
        <w:tc>
          <w:tcPr>
            <w:tcW w:w="664" w:type="pct"/>
            <w:vAlign w:val="center"/>
          </w:tcPr>
          <w:p>
            <w:pPr>
              <w:adjustRightInd w:val="0"/>
              <w:snapToGrid w:val="0"/>
              <w:jc w:val="center"/>
              <w:rPr>
                <w:kern w:val="0"/>
                <w:szCs w:val="21"/>
              </w:rPr>
            </w:pPr>
            <w:r>
              <w:rPr>
                <w:kern w:val="0"/>
                <w:szCs w:val="21"/>
              </w:rPr>
              <w:t>20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钡</w:t>
            </w:r>
          </w:p>
        </w:tc>
        <w:tc>
          <w:tcPr>
            <w:tcW w:w="506" w:type="pct"/>
            <w:vAlign w:val="center"/>
          </w:tcPr>
          <w:p>
            <w:pPr>
              <w:autoSpaceDE w:val="0"/>
              <w:autoSpaceDN w:val="0"/>
              <w:adjustRightInd w:val="0"/>
              <w:snapToGrid w:val="0"/>
              <w:jc w:val="center"/>
              <w:rPr>
                <w:bCs/>
                <w:kern w:val="0"/>
                <w:szCs w:val="21"/>
              </w:rPr>
            </w:pPr>
            <w:r>
              <w:rPr>
                <w:bCs/>
                <w:kern w:val="0"/>
                <w:szCs w:val="21"/>
              </w:rPr>
              <w:t>μg/L</w:t>
            </w:r>
          </w:p>
        </w:tc>
        <w:tc>
          <w:tcPr>
            <w:tcW w:w="875" w:type="pct"/>
            <w:vAlign w:val="center"/>
          </w:tcPr>
          <w:p>
            <w:pPr>
              <w:adjustRightInd w:val="0"/>
              <w:snapToGrid w:val="0"/>
              <w:jc w:val="center"/>
              <w:rPr>
                <w:kern w:val="0"/>
                <w:szCs w:val="21"/>
              </w:rPr>
            </w:pPr>
            <w:r>
              <w:rPr>
                <w:kern w:val="0"/>
                <w:szCs w:val="21"/>
              </w:rPr>
              <w:t>＜1.8</w:t>
            </w:r>
          </w:p>
        </w:tc>
        <w:tc>
          <w:tcPr>
            <w:tcW w:w="875" w:type="pct"/>
            <w:vAlign w:val="center"/>
          </w:tcPr>
          <w:p>
            <w:pPr>
              <w:adjustRightInd w:val="0"/>
              <w:snapToGrid w:val="0"/>
              <w:jc w:val="center"/>
              <w:rPr>
                <w:kern w:val="0"/>
                <w:szCs w:val="21"/>
              </w:rPr>
            </w:pPr>
            <w:r>
              <w:rPr>
                <w:kern w:val="0"/>
                <w:szCs w:val="21"/>
              </w:rPr>
              <w:t>＜1.8</w:t>
            </w:r>
          </w:p>
        </w:tc>
        <w:tc>
          <w:tcPr>
            <w:tcW w:w="875" w:type="pct"/>
            <w:vAlign w:val="center"/>
          </w:tcPr>
          <w:p>
            <w:pPr>
              <w:adjustRightInd w:val="0"/>
              <w:snapToGrid w:val="0"/>
              <w:jc w:val="center"/>
              <w:rPr>
                <w:kern w:val="0"/>
                <w:szCs w:val="21"/>
              </w:rPr>
            </w:pPr>
            <w:r>
              <w:rPr>
                <w:kern w:val="0"/>
                <w:szCs w:val="21"/>
              </w:rPr>
              <w:t>＜1.8</w:t>
            </w:r>
          </w:p>
        </w:tc>
        <w:tc>
          <w:tcPr>
            <w:tcW w:w="664" w:type="pct"/>
            <w:vAlign w:val="center"/>
          </w:tcPr>
          <w:p>
            <w:pPr>
              <w:adjustRightInd w:val="0"/>
              <w:snapToGrid w:val="0"/>
              <w:jc w:val="center"/>
              <w:rPr>
                <w:kern w:val="0"/>
                <w:szCs w:val="21"/>
              </w:rPr>
            </w:pPr>
            <w:r>
              <w:rPr>
                <w:kern w:val="0"/>
                <w:szCs w:val="21"/>
              </w:rPr>
              <w:t>25000</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镍</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664" w:type="pct"/>
            <w:vAlign w:val="center"/>
          </w:tcPr>
          <w:p>
            <w:pPr>
              <w:adjustRightInd w:val="0"/>
              <w:snapToGrid w:val="0"/>
              <w:jc w:val="center"/>
              <w:rPr>
                <w:kern w:val="0"/>
                <w:szCs w:val="21"/>
              </w:rPr>
            </w:pPr>
            <w:r>
              <w:rPr>
                <w:kern w:val="0"/>
                <w:szCs w:val="21"/>
              </w:rPr>
              <w:t>0.5</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kern w:val="0"/>
                <w:szCs w:val="21"/>
              </w:rPr>
              <w:t>总铬</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875" w:type="pct"/>
            <w:vAlign w:val="center"/>
          </w:tcPr>
          <w:p>
            <w:pPr>
              <w:adjustRightInd w:val="0"/>
              <w:snapToGrid w:val="0"/>
              <w:jc w:val="center"/>
              <w:rPr>
                <w:kern w:val="0"/>
                <w:szCs w:val="21"/>
              </w:rPr>
            </w:pPr>
            <w:r>
              <w:rPr>
                <w:kern w:val="0"/>
                <w:szCs w:val="21"/>
              </w:rPr>
              <w:t>＜0.03</w:t>
            </w:r>
          </w:p>
        </w:tc>
        <w:tc>
          <w:tcPr>
            <w:tcW w:w="664" w:type="pct"/>
            <w:vAlign w:val="center"/>
          </w:tcPr>
          <w:p>
            <w:pPr>
              <w:adjustRightInd w:val="0"/>
              <w:snapToGrid w:val="0"/>
              <w:jc w:val="center"/>
              <w:rPr>
                <w:kern w:val="0"/>
                <w:szCs w:val="21"/>
              </w:rPr>
            </w:pPr>
            <w:r>
              <w:rPr>
                <w:kern w:val="0"/>
                <w:szCs w:val="21"/>
              </w:rPr>
              <w:t>4.5</w:t>
            </w:r>
          </w:p>
        </w:tc>
        <w:tc>
          <w:tcPr>
            <w:tcW w:w="652" w:type="pct"/>
          </w:tcPr>
          <w:p>
            <w:pPr>
              <w:adjustRightInd w:val="0"/>
              <w:snapToGrid w:val="0"/>
              <w:jc w:val="center"/>
              <w:rPr>
                <w:kern w:val="0"/>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53" w:type="pct"/>
            <w:vAlign w:val="center"/>
          </w:tcPr>
          <w:p>
            <w:pPr>
              <w:autoSpaceDE w:val="0"/>
              <w:autoSpaceDN w:val="0"/>
              <w:adjustRightInd w:val="0"/>
              <w:snapToGrid w:val="0"/>
              <w:jc w:val="center"/>
              <w:rPr>
                <w:bCs/>
                <w:szCs w:val="21"/>
              </w:rPr>
            </w:pPr>
            <w:r>
              <w:rPr>
                <w:bCs/>
                <w:szCs w:val="21"/>
              </w:rPr>
              <w:t>六价铬</w:t>
            </w:r>
          </w:p>
        </w:tc>
        <w:tc>
          <w:tcPr>
            <w:tcW w:w="506" w:type="pct"/>
            <w:vAlign w:val="center"/>
          </w:tcPr>
          <w:p>
            <w:pPr>
              <w:autoSpaceDE w:val="0"/>
              <w:autoSpaceDN w:val="0"/>
              <w:adjustRightInd w:val="0"/>
              <w:snapToGrid w:val="0"/>
              <w:jc w:val="center"/>
              <w:rPr>
                <w:bCs/>
                <w:kern w:val="0"/>
                <w:szCs w:val="21"/>
              </w:rPr>
            </w:pPr>
            <w:r>
              <w:rPr>
                <w:bCs/>
                <w:kern w:val="0"/>
                <w:szCs w:val="21"/>
              </w:rPr>
              <w:t>mg/L</w:t>
            </w:r>
          </w:p>
        </w:tc>
        <w:tc>
          <w:tcPr>
            <w:tcW w:w="875" w:type="pct"/>
            <w:vAlign w:val="center"/>
          </w:tcPr>
          <w:p>
            <w:pPr>
              <w:adjustRightInd w:val="0"/>
              <w:snapToGrid w:val="0"/>
              <w:jc w:val="center"/>
              <w:rPr>
                <w:kern w:val="0"/>
                <w:szCs w:val="21"/>
              </w:rPr>
            </w:pPr>
            <w:r>
              <w:rPr>
                <w:kern w:val="0"/>
                <w:szCs w:val="21"/>
              </w:rPr>
              <w:t>＜0.004</w:t>
            </w:r>
          </w:p>
        </w:tc>
        <w:tc>
          <w:tcPr>
            <w:tcW w:w="875" w:type="pct"/>
            <w:vAlign w:val="center"/>
          </w:tcPr>
          <w:p>
            <w:pPr>
              <w:adjustRightInd w:val="0"/>
              <w:snapToGrid w:val="0"/>
              <w:jc w:val="center"/>
              <w:rPr>
                <w:kern w:val="0"/>
                <w:szCs w:val="21"/>
              </w:rPr>
            </w:pPr>
            <w:r>
              <w:rPr>
                <w:kern w:val="0"/>
                <w:szCs w:val="21"/>
              </w:rPr>
              <w:t>＜0.004</w:t>
            </w:r>
          </w:p>
        </w:tc>
        <w:tc>
          <w:tcPr>
            <w:tcW w:w="875" w:type="pct"/>
            <w:vAlign w:val="center"/>
          </w:tcPr>
          <w:p>
            <w:pPr>
              <w:adjustRightInd w:val="0"/>
              <w:snapToGrid w:val="0"/>
              <w:jc w:val="center"/>
              <w:rPr>
                <w:kern w:val="0"/>
                <w:szCs w:val="21"/>
              </w:rPr>
            </w:pPr>
            <w:r>
              <w:rPr>
                <w:kern w:val="0"/>
                <w:szCs w:val="21"/>
              </w:rPr>
              <w:t>＜0.004</w:t>
            </w:r>
          </w:p>
        </w:tc>
        <w:tc>
          <w:tcPr>
            <w:tcW w:w="664" w:type="pct"/>
            <w:vAlign w:val="center"/>
          </w:tcPr>
          <w:p>
            <w:pPr>
              <w:adjustRightInd w:val="0"/>
              <w:snapToGrid w:val="0"/>
              <w:jc w:val="center"/>
              <w:rPr>
                <w:kern w:val="0"/>
                <w:szCs w:val="21"/>
              </w:rPr>
            </w:pPr>
            <w:r>
              <w:rPr>
                <w:kern w:val="0"/>
                <w:szCs w:val="21"/>
              </w:rPr>
              <w:t>1.5</w:t>
            </w:r>
          </w:p>
        </w:tc>
        <w:tc>
          <w:tcPr>
            <w:tcW w:w="652" w:type="pct"/>
          </w:tcPr>
          <w:p>
            <w:pPr>
              <w:adjustRightInd w:val="0"/>
              <w:snapToGrid w:val="0"/>
              <w:jc w:val="center"/>
              <w:rPr>
                <w:kern w:val="0"/>
                <w:szCs w:val="21"/>
              </w:rPr>
            </w:pPr>
            <w:r>
              <w:rPr>
                <w:szCs w:val="21"/>
              </w:rPr>
              <w:t>达标</w:t>
            </w:r>
          </w:p>
        </w:tc>
      </w:tr>
      <w:bookmarkEnd w:id="66"/>
    </w:tbl>
    <w:p>
      <w:pPr>
        <w:adjustRightInd w:val="0"/>
        <w:snapToGrid w:val="0"/>
        <w:spacing w:line="360" w:lineRule="auto"/>
        <w:ind w:firstLine="480" w:firstLineChars="200"/>
        <w:rPr>
          <w:sz w:val="24"/>
        </w:rPr>
      </w:pPr>
      <w:r>
        <w:rPr>
          <w:rFonts w:hint="eastAsia"/>
          <w:sz w:val="24"/>
        </w:rPr>
        <w:t>根据《国家危险废物名录》</w:t>
      </w:r>
      <w:r>
        <w:rPr>
          <w:sz w:val="24"/>
        </w:rPr>
        <w:t xml:space="preserve">(2016 </w:t>
      </w:r>
      <w:r>
        <w:rPr>
          <w:rFonts w:hint="eastAsia"/>
          <w:sz w:val="24"/>
        </w:rPr>
        <w:t>年</w:t>
      </w:r>
      <w:r>
        <w:rPr>
          <w:sz w:val="24"/>
        </w:rPr>
        <w:t>)</w:t>
      </w:r>
      <w:r>
        <w:rPr>
          <w:rFonts w:hint="eastAsia"/>
          <w:sz w:val="24"/>
        </w:rPr>
        <w:t>附录中的危险废物豁免管理清单，生活垃圾焚烧飞灰满足《生活垃圾填埋污染控制标准》</w:t>
      </w:r>
      <w:r>
        <w:rPr>
          <w:sz w:val="24"/>
        </w:rPr>
        <w:t>(GB16889-2008)</w:t>
      </w:r>
      <w:r>
        <w:rPr>
          <w:rFonts w:hint="eastAsia"/>
          <w:sz w:val="24"/>
        </w:rPr>
        <w:t>中</w:t>
      </w:r>
      <w:r>
        <w:rPr>
          <w:sz w:val="24"/>
        </w:rPr>
        <w:t xml:space="preserve">6.3 </w:t>
      </w:r>
      <w:r>
        <w:rPr>
          <w:rFonts w:hint="eastAsia"/>
          <w:sz w:val="24"/>
        </w:rPr>
        <w:t>条要求且进入生活垃圾填埋场填埋，填埋过程不按危险废物管理。</w:t>
      </w:r>
    </w:p>
    <w:p>
      <w:pPr>
        <w:adjustRightInd w:val="0"/>
        <w:snapToGrid w:val="0"/>
        <w:spacing w:line="360" w:lineRule="auto"/>
        <w:ind w:firstLine="480" w:firstLineChars="200"/>
        <w:rPr>
          <w:sz w:val="24"/>
        </w:rPr>
      </w:pPr>
      <w:r>
        <w:rPr>
          <w:sz w:val="24"/>
        </w:rPr>
        <w:t>由表</w:t>
      </w:r>
      <w:r>
        <w:rPr>
          <w:rFonts w:hint="eastAsia"/>
          <w:sz w:val="24"/>
        </w:rPr>
        <w:t>3</w:t>
      </w:r>
      <w:r>
        <w:rPr>
          <w:sz w:val="24"/>
        </w:rPr>
        <w:t>.2-2和表</w:t>
      </w:r>
      <w:r>
        <w:rPr>
          <w:rFonts w:hint="eastAsia"/>
          <w:sz w:val="24"/>
        </w:rPr>
        <w:t>3</w:t>
      </w:r>
      <w:r>
        <w:rPr>
          <w:sz w:val="24"/>
        </w:rPr>
        <w:t>.2-3可知，</w:t>
      </w:r>
      <w:r>
        <w:rPr>
          <w:rFonts w:hint="eastAsia"/>
          <w:sz w:val="24"/>
        </w:rPr>
        <w:t>固化后</w:t>
      </w:r>
      <w:r>
        <w:rPr>
          <w:sz w:val="24"/>
        </w:rPr>
        <w:t>飞灰</w:t>
      </w:r>
      <w:r>
        <w:rPr>
          <w:rFonts w:hint="eastAsia"/>
          <w:sz w:val="24"/>
        </w:rPr>
        <w:t>检测结果</w:t>
      </w:r>
      <w:r>
        <w:rPr>
          <w:sz w:val="24"/>
        </w:rPr>
        <w:t>满足《生活垃圾填埋场污染控制标准》（GB16889-2008）</w:t>
      </w:r>
      <w:r>
        <w:rPr>
          <w:rFonts w:hint="eastAsia"/>
          <w:sz w:val="24"/>
        </w:rPr>
        <w:t>标准要求，飞灰中</w:t>
      </w:r>
      <w:r>
        <w:rPr>
          <w:sz w:val="24"/>
        </w:rPr>
        <w:t>浸出液中各检测项目</w:t>
      </w:r>
      <w:r>
        <w:rPr>
          <w:rFonts w:hint="eastAsia"/>
          <w:sz w:val="24"/>
        </w:rPr>
        <w:t>均</w:t>
      </w:r>
      <w:r>
        <w:rPr>
          <w:sz w:val="24"/>
        </w:rPr>
        <w:t>满足《生活垃圾填埋场污染控制标准》（GB16889-2008）表1中的限值标准要求。</w:t>
      </w:r>
      <w:r>
        <w:rPr>
          <w:rFonts w:hint="eastAsia"/>
          <w:sz w:val="24"/>
        </w:rPr>
        <w:t>因此，本环评要求固化飞灰在进入该填埋场填埋之前浸出液检测指标应满足《生活垃圾填埋污染控制标准》</w:t>
      </w:r>
      <w:r>
        <w:rPr>
          <w:sz w:val="24"/>
        </w:rPr>
        <w:t>(GB16889-2008)</w:t>
      </w:r>
      <w:r>
        <w:rPr>
          <w:rFonts w:hint="eastAsia"/>
          <w:sz w:val="24"/>
        </w:rPr>
        <w:t>中</w:t>
      </w:r>
      <w:r>
        <w:rPr>
          <w:sz w:val="24"/>
        </w:rPr>
        <w:t xml:space="preserve">6.3 </w:t>
      </w:r>
      <w:r>
        <w:rPr>
          <w:rFonts w:hint="eastAsia"/>
          <w:sz w:val="24"/>
        </w:rPr>
        <w:t>条要求，合格后方能进入本填埋场填埋处置，填埋过程不按危险废物管理。</w:t>
      </w:r>
    </w:p>
    <w:p>
      <w:pPr>
        <w:adjustRightInd w:val="0"/>
        <w:snapToGrid w:val="0"/>
        <w:spacing w:line="360" w:lineRule="auto"/>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本项目不设置鉴别检验设施，</w:t>
      </w:r>
      <w:r>
        <w:rPr>
          <w:rFonts w:hint="eastAsia" w:asciiTheme="minorEastAsia" w:hAnsiTheme="minorEastAsia" w:eastAsiaTheme="minorEastAsia"/>
          <w:sz w:val="24"/>
          <w:szCs w:val="24"/>
        </w:rPr>
        <w:t>围场生活垃圾焚烧发电项目</w:t>
      </w:r>
      <w:r>
        <w:rPr>
          <w:rFonts w:asciiTheme="minorEastAsia" w:hAnsiTheme="minorEastAsia" w:eastAsiaTheme="minorEastAsia"/>
          <w:sz w:val="24"/>
          <w:szCs w:val="24"/>
        </w:rPr>
        <w:t>固化稳定化飞灰鉴别检验经由第三方有检测资质的单位检测并出具检测报告。</w:t>
      </w:r>
      <w:r>
        <w:rPr>
          <w:rFonts w:hint="eastAsia" w:asciiTheme="minorEastAsia" w:hAnsiTheme="minorEastAsia" w:eastAsiaTheme="minorEastAsia"/>
          <w:sz w:val="24"/>
          <w:szCs w:val="24"/>
        </w:rPr>
        <w:t>本环评要求进场填埋飞灰必须附带检测报告，证明固化后飞灰达到以上标准要求，无检测报告或检测不合格</w:t>
      </w:r>
      <w:r>
        <w:rPr>
          <w:rFonts w:asciiTheme="minorEastAsia" w:hAnsiTheme="minorEastAsia" w:eastAsiaTheme="minorEastAsia"/>
          <w:sz w:val="24"/>
          <w:szCs w:val="24"/>
        </w:rPr>
        <w:t>飞灰本项目不接收。</w:t>
      </w:r>
    </w:p>
    <w:p>
      <w:pPr>
        <w:pStyle w:val="62"/>
        <w:numPr>
          <w:ilvl w:val="2"/>
          <w:numId w:val="5"/>
        </w:numPr>
        <w:spacing w:before="120" w:after="120"/>
        <w:ind w:left="567" w:hanging="567"/>
        <w:rPr>
          <w:rFonts w:ascii="Times New Roman" w:hAnsi="Times New Roman"/>
        </w:rPr>
      </w:pPr>
      <w:r>
        <w:rPr>
          <w:rFonts w:ascii="Times New Roman" w:hAnsi="Times New Roman"/>
        </w:rPr>
        <w:t>收</w:t>
      </w:r>
      <w:r>
        <w:rPr>
          <w:rFonts w:hint="eastAsia" w:ascii="Times New Roman" w:hAnsi="Times New Roman"/>
        </w:rPr>
        <w:t>运方案</w:t>
      </w:r>
    </w:p>
    <w:p>
      <w:pPr>
        <w:pStyle w:val="87"/>
        <w:adjustRightInd w:val="0"/>
        <w:snapToGrid w:val="0"/>
      </w:pPr>
      <w:r>
        <w:rPr>
          <w:rFonts w:hint="eastAsia"/>
        </w:rPr>
        <w:t>围场县生活垃圾焚烧发电厂与本项目紧邻，固化飞灰经厂内道路直接入场，运输路程总长约2</w:t>
      </w:r>
      <w:r>
        <w:t>00m</w:t>
      </w:r>
      <w:r>
        <w:rPr>
          <w:rFonts w:hint="eastAsia"/>
        </w:rPr>
        <w:t>，运输沿线没有居民区、水源保护区等环境敏感目标。</w:t>
      </w:r>
    </w:p>
    <w:p>
      <w:pPr>
        <w:pStyle w:val="87"/>
        <w:adjustRightInd w:val="0"/>
        <w:snapToGrid w:val="0"/>
      </w:pPr>
      <w:r>
        <w:rPr>
          <w:rFonts w:hint="eastAsia"/>
        </w:rPr>
        <w:t>运输过程要求做到以下几点：</w:t>
      </w:r>
    </w:p>
    <w:p>
      <w:pPr>
        <w:pStyle w:val="87"/>
        <w:adjustRightInd w:val="0"/>
        <w:snapToGrid w:val="0"/>
        <w:rPr>
          <w:rFonts w:ascii="Times New Roman" w:hAnsi="Times New Roman" w:eastAsia="宋体" w:cs="Times New Roman"/>
        </w:rPr>
      </w:pPr>
      <w:r>
        <w:rPr>
          <w:rFonts w:ascii="Times New Roman" w:hAnsi="Times New Roman" w:eastAsia="宋体" w:cs="Times New Roman"/>
        </w:rPr>
        <w:t>(1)运输车辆要配备密闭防雨、防漏等措施，并实施专用车辆名录管理，统一编号，统一标志(标示危险废物图形)。</w:t>
      </w:r>
    </w:p>
    <w:p>
      <w:pPr>
        <w:pStyle w:val="87"/>
        <w:adjustRightInd w:val="0"/>
        <w:snapToGrid w:val="0"/>
        <w:rPr>
          <w:rFonts w:ascii="Times New Roman" w:hAnsi="Times New Roman" w:eastAsia="宋体" w:cs="Times New Roman"/>
        </w:rPr>
      </w:pPr>
      <w:r>
        <w:rPr>
          <w:rFonts w:ascii="Times New Roman" w:hAnsi="Times New Roman" w:eastAsia="宋体" w:cs="Times New Roman"/>
        </w:rPr>
        <w:t xml:space="preserve">(2)运输前应检查运输设备的稳定性、严密性，确保运输途中不泄漏和倾倒。 </w:t>
      </w:r>
    </w:p>
    <w:p>
      <w:pPr>
        <w:pStyle w:val="87"/>
        <w:adjustRightInd w:val="0"/>
        <w:snapToGrid w:val="0"/>
        <w:rPr>
          <w:rFonts w:ascii="Times New Roman" w:hAnsi="Times New Roman" w:eastAsia="宋体" w:cs="Times New Roman"/>
        </w:rPr>
      </w:pPr>
      <w:r>
        <w:rPr>
          <w:rFonts w:ascii="Times New Roman" w:hAnsi="Times New Roman" w:eastAsia="宋体" w:cs="Times New Roman"/>
        </w:rPr>
        <w:t>(3)装运的固化飞灰必须在其外包装的明显部位按规定粘贴《危险货物包装标志》(GB190-2001)规定的危险物资标记，包括标记的粘贴要正确、牢固。</w:t>
      </w:r>
    </w:p>
    <w:p>
      <w:pPr>
        <w:pStyle w:val="87"/>
        <w:adjustRightInd w:val="0"/>
        <w:snapToGrid w:val="0"/>
        <w:rPr>
          <w:rFonts w:ascii="Times New Roman" w:hAnsi="Times New Roman" w:eastAsia="宋体" w:cs="Times New Roman"/>
        </w:rPr>
      </w:pPr>
      <w:r>
        <w:rPr>
          <w:rFonts w:ascii="Times New Roman" w:hAnsi="Times New Roman" w:eastAsia="宋体" w:cs="Times New Roman"/>
        </w:rPr>
        <w:t>(4)运输车辆人员上岗前要进行从业人员专业培训，遵守生活垃圾焚烧发电厂厂区和本项目场区的安全操作管理规定，并按指定路线运输和规范管理。</w:t>
      </w:r>
    </w:p>
    <w:p>
      <w:pPr>
        <w:pStyle w:val="87"/>
        <w:adjustRightInd w:val="0"/>
        <w:snapToGrid w:val="0"/>
        <w:rPr>
          <w:rFonts w:ascii="Times New Roman" w:hAnsi="Times New Roman" w:eastAsia="宋体" w:cs="Times New Roman"/>
        </w:rPr>
      </w:pPr>
      <w:r>
        <w:rPr>
          <w:rFonts w:ascii="Times New Roman" w:hAnsi="Times New Roman" w:eastAsia="宋体" w:cs="Times New Roman"/>
        </w:rPr>
        <w:t>(5)严格按照《危险废物收集、贮存、运输技术规划》和《危险废物污染防治技术政策》等相关法规政策、技术规范的要求对固化飞灰进行收集和运输。</w:t>
      </w:r>
    </w:p>
    <w:p>
      <w:pPr>
        <w:pStyle w:val="61"/>
        <w:numPr>
          <w:ilvl w:val="1"/>
          <w:numId w:val="5"/>
        </w:numPr>
        <w:tabs>
          <w:tab w:val="left" w:pos="567"/>
          <w:tab w:val="clear" w:pos="432"/>
        </w:tabs>
        <w:spacing w:before="120" w:after="120"/>
        <w:ind w:left="0" w:firstLine="0"/>
        <w:rPr>
          <w:rFonts w:ascii="Times New Roman" w:hAnsi="Times New Roman"/>
        </w:rPr>
      </w:pPr>
      <w:bookmarkStart w:id="67" w:name="_Toc94101208"/>
      <w:bookmarkStart w:id="68" w:name="_Toc518025833"/>
      <w:r>
        <w:rPr>
          <w:rFonts w:hint="eastAsia" w:ascii="Times New Roman" w:hAnsi="Times New Roman"/>
        </w:rPr>
        <w:t>场址比选分析</w:t>
      </w:r>
      <w:bookmarkEnd w:id="67"/>
    </w:p>
    <w:p>
      <w:pPr>
        <w:pStyle w:val="62"/>
        <w:numPr>
          <w:ilvl w:val="2"/>
          <w:numId w:val="5"/>
        </w:numPr>
        <w:tabs>
          <w:tab w:val="left" w:pos="567"/>
          <w:tab w:val="clear" w:pos="1021"/>
        </w:tabs>
        <w:spacing w:before="120" w:after="120"/>
        <w:ind w:left="0" w:firstLine="0"/>
        <w:rPr>
          <w:rFonts w:ascii="Times New Roman" w:hAnsi="Times New Roman"/>
        </w:rPr>
      </w:pPr>
      <w:bookmarkStart w:id="69" w:name="_Hlk93930552"/>
      <w:r>
        <w:rPr>
          <w:rFonts w:hint="eastAsia" w:ascii="Times New Roman" w:hAnsi="Times New Roman"/>
        </w:rPr>
        <w:t>场址比选情况</w:t>
      </w:r>
    </w:p>
    <w:p>
      <w:pPr>
        <w:tabs>
          <w:tab w:val="left" w:pos="495"/>
          <w:tab w:val="left" w:pos="540"/>
        </w:tabs>
        <w:adjustRightInd w:val="0"/>
        <w:snapToGrid w:val="0"/>
        <w:spacing w:line="360" w:lineRule="auto"/>
        <w:ind w:firstLine="480" w:firstLineChars="200"/>
        <w:rPr>
          <w:sz w:val="24"/>
          <w:szCs w:val="24"/>
        </w:rPr>
      </w:pPr>
      <w:r>
        <w:rPr>
          <w:rFonts w:hint="eastAsia"/>
          <w:sz w:val="24"/>
          <w:szCs w:val="24"/>
        </w:rPr>
        <w:t>根据《生活垃圾卫生填埋处理技术规范》</w:t>
      </w:r>
      <w:r>
        <w:rPr>
          <w:sz w:val="24"/>
          <w:szCs w:val="24"/>
        </w:rPr>
        <w:t>(GB50869-2013)</w:t>
      </w:r>
      <w:r>
        <w:rPr>
          <w:rFonts w:hint="eastAsia"/>
          <w:sz w:val="24"/>
          <w:szCs w:val="24"/>
        </w:rPr>
        <w:t>、 《生活垃圾填埋场污染控制标准》</w:t>
      </w:r>
      <w:r>
        <w:rPr>
          <w:sz w:val="24"/>
          <w:szCs w:val="24"/>
        </w:rPr>
        <w:t>(GB16889-2008)</w:t>
      </w:r>
      <w:r>
        <w:rPr>
          <w:rFonts w:hint="eastAsia"/>
          <w:sz w:val="24"/>
          <w:szCs w:val="24"/>
        </w:rPr>
        <w:t>及《一般工业固体废物贮存和填埋污染控制标准》（GB18599-2020）Ⅱ类的选址要求，</w:t>
      </w:r>
      <w:r>
        <w:rPr>
          <w:sz w:val="24"/>
          <w:szCs w:val="24"/>
        </w:rPr>
        <w:t>本项目主管单位经多方选址探讨，按照避让文物保护区、避让地下采空区、避让矿藏和水源保护地，有适宜的沟壑、便利的交通、具备建设地质条件的原则，进行规划选址。</w:t>
      </w:r>
      <w:r>
        <w:rPr>
          <w:rFonts w:hint="eastAsia"/>
          <w:sz w:val="24"/>
          <w:szCs w:val="24"/>
        </w:rPr>
        <w:t>最终确定位于</w:t>
      </w:r>
      <w:r>
        <w:rPr>
          <w:rFonts w:hint="eastAsia"/>
          <w:bCs/>
          <w:sz w:val="24"/>
          <w:szCs w:val="24"/>
        </w:rPr>
        <w:t>河北省承德市围场满族蒙古族自治县龙头山镇龙头山村烟囱水大沟</w:t>
      </w:r>
      <w:r>
        <w:rPr>
          <w:rFonts w:hint="eastAsia"/>
          <w:sz w:val="24"/>
          <w:szCs w:val="24"/>
        </w:rPr>
        <w:t>的场址</w:t>
      </w:r>
      <w:r>
        <w:rPr>
          <w:rFonts w:hint="eastAsia"/>
          <w:bCs/>
          <w:sz w:val="24"/>
          <w:szCs w:val="24"/>
        </w:rPr>
        <w:t>。</w:t>
      </w:r>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建设规范符合性分析</w:t>
      </w:r>
    </w:p>
    <w:p>
      <w:pPr>
        <w:tabs>
          <w:tab w:val="left" w:pos="495"/>
          <w:tab w:val="left" w:pos="1260"/>
        </w:tabs>
        <w:adjustRightInd w:val="0"/>
        <w:snapToGrid w:val="0"/>
        <w:spacing w:line="360" w:lineRule="auto"/>
        <w:ind w:firstLine="480" w:firstLineChars="200"/>
        <w:rPr>
          <w:sz w:val="24"/>
          <w:szCs w:val="24"/>
        </w:rPr>
      </w:pPr>
      <w:r>
        <w:rPr>
          <w:rFonts w:hint="eastAsia"/>
          <w:sz w:val="24"/>
          <w:szCs w:val="24"/>
        </w:rPr>
        <w:t>根据本报告2</w:t>
      </w:r>
      <w:r>
        <w:rPr>
          <w:sz w:val="24"/>
          <w:szCs w:val="24"/>
        </w:rPr>
        <w:t>.9</w:t>
      </w:r>
      <w:r>
        <w:rPr>
          <w:rFonts w:hint="eastAsia"/>
          <w:sz w:val="24"/>
          <w:szCs w:val="24"/>
        </w:rPr>
        <w:t>章节对比分析，</w:t>
      </w:r>
      <w:r>
        <w:rPr>
          <w:sz w:val="24"/>
          <w:szCs w:val="24"/>
        </w:rPr>
        <w:t>本项目</w:t>
      </w:r>
      <w:r>
        <w:rPr>
          <w:rFonts w:hint="eastAsia"/>
          <w:sz w:val="24"/>
          <w:szCs w:val="24"/>
        </w:rPr>
        <w:t>选址</w:t>
      </w:r>
      <w:r>
        <w:rPr>
          <w:sz w:val="24"/>
          <w:szCs w:val="24"/>
        </w:rPr>
        <w:t>符合</w:t>
      </w:r>
      <w:r>
        <w:rPr>
          <w:rFonts w:hint="eastAsia"/>
          <w:sz w:val="24"/>
          <w:szCs w:val="24"/>
        </w:rPr>
        <w:t>《生活垃圾焚烧飞灰污染控制技术规范（试行）》（HJ1134-2020）、《生活垃圾填埋场污染控制标准》（</w:t>
      </w:r>
      <w:r>
        <w:rPr>
          <w:sz w:val="24"/>
          <w:szCs w:val="24"/>
        </w:rPr>
        <w:t>GB16889-2008</w:t>
      </w:r>
      <w:r>
        <w:rPr>
          <w:rFonts w:hint="eastAsia"/>
          <w:sz w:val="24"/>
          <w:szCs w:val="24"/>
        </w:rPr>
        <w:t>）、《生活垃圾卫生填埋处理技术规范》（</w:t>
      </w:r>
      <w:r>
        <w:rPr>
          <w:sz w:val="24"/>
          <w:szCs w:val="24"/>
        </w:rPr>
        <w:t>GB50869-2013</w:t>
      </w:r>
      <w:r>
        <w:rPr>
          <w:rFonts w:hint="eastAsia"/>
          <w:sz w:val="24"/>
          <w:szCs w:val="24"/>
        </w:rPr>
        <w:t>）、《一般工业固体废物贮存和填埋污染控制标准》（GB18599-2020）等相关技术规范选址要求。</w:t>
      </w:r>
    </w:p>
    <w:p>
      <w:pPr>
        <w:tabs>
          <w:tab w:val="left" w:pos="495"/>
          <w:tab w:val="left" w:pos="1260"/>
        </w:tabs>
        <w:adjustRightInd w:val="0"/>
        <w:snapToGrid w:val="0"/>
        <w:spacing w:line="360" w:lineRule="auto"/>
        <w:ind w:firstLine="480" w:firstLineChars="200"/>
        <w:rPr>
          <w:sz w:val="24"/>
          <w:szCs w:val="24"/>
        </w:rPr>
      </w:pPr>
      <w:r>
        <w:rPr>
          <w:rFonts w:hint="eastAsia"/>
          <w:sz w:val="24"/>
          <w:szCs w:val="24"/>
        </w:rPr>
        <w:t>根据本报告2</w:t>
      </w:r>
      <w:r>
        <w:rPr>
          <w:sz w:val="24"/>
          <w:szCs w:val="24"/>
        </w:rPr>
        <w:t>.7</w:t>
      </w:r>
      <w:r>
        <w:rPr>
          <w:rFonts w:hint="eastAsia"/>
          <w:sz w:val="24"/>
          <w:szCs w:val="24"/>
        </w:rPr>
        <w:t>章节对比分析，</w:t>
      </w:r>
      <w:r>
        <w:rPr>
          <w:sz w:val="24"/>
          <w:szCs w:val="24"/>
        </w:rPr>
        <w:t>本项目</w:t>
      </w:r>
      <w:r>
        <w:rPr>
          <w:rFonts w:hint="eastAsia"/>
          <w:sz w:val="24"/>
          <w:szCs w:val="24"/>
        </w:rPr>
        <w:t>选址不在围场满族蒙古族自治县城市规划区范围内，符合围场满族蒙古族自治县城乡总体规划、土地利用总体规划，符合“三线一单”生态环境分区管控规定。</w:t>
      </w:r>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平面布局合理性分析</w:t>
      </w:r>
    </w:p>
    <w:p>
      <w:pPr>
        <w:tabs>
          <w:tab w:val="left" w:pos="495"/>
        </w:tabs>
        <w:adjustRightInd w:val="0"/>
        <w:snapToGrid w:val="0"/>
        <w:spacing w:line="360" w:lineRule="auto"/>
        <w:ind w:firstLine="480" w:firstLineChars="200"/>
        <w:rPr>
          <w:sz w:val="24"/>
          <w:szCs w:val="24"/>
        </w:rPr>
      </w:pPr>
      <w:bookmarkStart w:id="70" w:name="_Hlk110352606"/>
      <w:r>
        <w:rPr>
          <w:rFonts w:hint="eastAsia"/>
          <w:sz w:val="24"/>
          <w:szCs w:val="24"/>
        </w:rPr>
        <w:t>根据项目用地布局情况，本项目分为填埋库区和管理区，其中管理区位于厂区西南侧，主要门房、地磅、休息区、渗滤液调节池、渗滤液处理站等。</w:t>
      </w:r>
    </w:p>
    <w:p>
      <w:pPr>
        <w:tabs>
          <w:tab w:val="left" w:pos="495"/>
        </w:tabs>
        <w:adjustRightInd w:val="0"/>
        <w:snapToGrid w:val="0"/>
        <w:spacing w:line="360" w:lineRule="auto"/>
        <w:ind w:firstLine="480" w:firstLineChars="200"/>
        <w:rPr>
          <w:sz w:val="24"/>
          <w:szCs w:val="24"/>
        </w:rPr>
      </w:pPr>
      <w:r>
        <w:rPr>
          <w:rFonts w:hint="eastAsia"/>
          <w:sz w:val="24"/>
          <w:szCs w:val="24"/>
        </w:rPr>
        <w:t>填埋库区位于厂区东部，车辆冲洗平台设置于场区道路出入口旁，相对独立。</w:t>
      </w:r>
    </w:p>
    <w:p>
      <w:pPr>
        <w:tabs>
          <w:tab w:val="left" w:pos="495"/>
        </w:tabs>
        <w:adjustRightInd w:val="0"/>
        <w:snapToGrid w:val="0"/>
        <w:spacing w:line="360" w:lineRule="auto"/>
        <w:ind w:firstLine="480" w:firstLineChars="200"/>
        <w:rPr>
          <w:sz w:val="24"/>
          <w:szCs w:val="24"/>
        </w:rPr>
      </w:pPr>
      <w:bookmarkStart w:id="71" w:name="_Hlk88058414"/>
      <w:r>
        <w:rPr>
          <w:rFonts w:hint="eastAsia"/>
          <w:sz w:val="24"/>
          <w:szCs w:val="24"/>
        </w:rPr>
        <w:t>进场道路：进场道路是由市政道路到填埋场场区的道路，全长约1公里。工程按照厂矿道路厂外四级路标准进行设计，道路标准横断面布置形式：0.5m土路肩+8m行车道+0.5m土路肩，直通向垃圾主坝，并在道路的终点设置的</w:t>
      </w:r>
      <w:r>
        <w:rPr>
          <w:sz w:val="24"/>
          <w:szCs w:val="24"/>
        </w:rPr>
        <w:t xml:space="preserve">160 </w:t>
      </w:r>
      <w:r>
        <w:rPr>
          <w:rFonts w:hint="eastAsia"/>
          <w:sz w:val="24"/>
          <w:szCs w:val="24"/>
        </w:rPr>
        <w:t>平米的回车平台。场内道路工程按照为4米、6米行车道建设。</w:t>
      </w:r>
    </w:p>
    <w:bookmarkEnd w:id="69"/>
    <w:bookmarkEnd w:id="71"/>
    <w:p>
      <w:pPr>
        <w:tabs>
          <w:tab w:val="left" w:pos="495"/>
        </w:tabs>
        <w:adjustRightInd w:val="0"/>
        <w:snapToGrid w:val="0"/>
        <w:spacing w:line="360" w:lineRule="auto"/>
        <w:ind w:firstLine="480" w:firstLineChars="200"/>
        <w:rPr>
          <w:sz w:val="24"/>
          <w:szCs w:val="24"/>
        </w:rPr>
      </w:pPr>
      <w:r>
        <w:rPr>
          <w:rFonts w:hint="eastAsia"/>
          <w:sz w:val="24"/>
          <w:szCs w:val="24"/>
        </w:rPr>
        <w:t>填埋场区位于项目地形的上游，有利于地表径流流出填埋场，填埋区渗滤液也可以通过地形自然流入调节池中。本项目周边</w:t>
      </w:r>
      <w:r>
        <w:rPr>
          <w:sz w:val="24"/>
          <w:szCs w:val="24"/>
        </w:rPr>
        <w:t xml:space="preserve">300m </w:t>
      </w:r>
      <w:r>
        <w:rPr>
          <w:rFonts w:hint="eastAsia"/>
          <w:sz w:val="24"/>
          <w:szCs w:val="24"/>
        </w:rPr>
        <w:t>范围内没有居民区等敏感目标，各功能区布局相对独立，总体布局合理。</w:t>
      </w:r>
    </w:p>
    <w:bookmarkEnd w:id="70"/>
    <w:p>
      <w:pPr>
        <w:tabs>
          <w:tab w:val="left" w:pos="495"/>
        </w:tabs>
        <w:adjustRightInd w:val="0"/>
        <w:snapToGrid w:val="0"/>
        <w:spacing w:line="360" w:lineRule="auto"/>
        <w:ind w:firstLine="480" w:firstLineChars="200"/>
        <w:rPr>
          <w:sz w:val="24"/>
        </w:rPr>
      </w:pPr>
      <w:r>
        <w:rPr>
          <w:rFonts w:hint="eastAsia"/>
          <w:sz w:val="24"/>
          <w:szCs w:val="24"/>
        </w:rPr>
        <w:t>项目总平面布置</w:t>
      </w:r>
      <w:r>
        <w:rPr>
          <w:sz w:val="24"/>
        </w:rPr>
        <w:t xml:space="preserve">详见附图。 </w:t>
      </w:r>
    </w:p>
    <w:p>
      <w:pPr>
        <w:pStyle w:val="61"/>
        <w:numPr>
          <w:ilvl w:val="1"/>
          <w:numId w:val="5"/>
        </w:numPr>
        <w:tabs>
          <w:tab w:val="left" w:pos="567"/>
          <w:tab w:val="clear" w:pos="432"/>
        </w:tabs>
        <w:spacing w:before="120" w:after="120"/>
        <w:ind w:left="0" w:firstLine="0"/>
        <w:rPr>
          <w:rFonts w:ascii="Times New Roman" w:hAnsi="Times New Roman"/>
        </w:rPr>
      </w:pPr>
      <w:bookmarkStart w:id="72" w:name="_Toc94101209"/>
      <w:r>
        <w:rPr>
          <w:rFonts w:ascii="Times New Roman" w:hAnsi="Times New Roman"/>
        </w:rPr>
        <w:t>主要原辅材料</w:t>
      </w:r>
      <w:bookmarkEnd w:id="72"/>
    </w:p>
    <w:p>
      <w:pPr>
        <w:pStyle w:val="87"/>
        <w:rPr>
          <w:rFonts w:ascii="Times New Roman" w:hAnsi="Times New Roman"/>
        </w:rPr>
      </w:pPr>
      <w:r>
        <w:rPr>
          <w:rFonts w:ascii="Times New Roman" w:hAnsi="Times New Roman"/>
        </w:rPr>
        <w:t>本项目主要原辅材料新增消耗见表3.4-1。项目原辅材料技术指标见表3.4-2至表3.4-4。</w:t>
      </w:r>
    </w:p>
    <w:p>
      <w:pPr>
        <w:adjustRightInd w:val="0"/>
        <w:snapToGrid w:val="0"/>
        <w:jc w:val="center"/>
        <w:rPr>
          <w:b/>
          <w:sz w:val="24"/>
        </w:rPr>
      </w:pPr>
      <w:r>
        <w:rPr>
          <w:b/>
          <w:sz w:val="24"/>
        </w:rPr>
        <w:t>表3.4-1本项目主要原辅材料消耗及能耗一览表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1"/>
        <w:gridCol w:w="2546"/>
        <w:gridCol w:w="939"/>
        <w:gridCol w:w="1418"/>
        <w:gridCol w:w="28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9" w:type="pct"/>
            <w:shd w:val="clear" w:color="auto" w:fill="auto"/>
            <w:vAlign w:val="center"/>
          </w:tcPr>
          <w:p>
            <w:pPr>
              <w:adjustRightInd w:val="0"/>
              <w:snapToGrid w:val="0"/>
              <w:jc w:val="center"/>
              <w:rPr>
                <w:b/>
                <w:bCs/>
                <w:kern w:val="0"/>
                <w:szCs w:val="21"/>
              </w:rPr>
            </w:pPr>
            <w:r>
              <w:rPr>
                <w:rFonts w:hint="eastAsia"/>
                <w:b/>
                <w:bCs/>
                <w:kern w:val="0"/>
                <w:szCs w:val="21"/>
              </w:rPr>
              <w:t>序号</w:t>
            </w:r>
          </w:p>
        </w:tc>
        <w:tc>
          <w:tcPr>
            <w:tcW w:w="1494" w:type="pct"/>
            <w:shd w:val="clear" w:color="auto" w:fill="auto"/>
            <w:vAlign w:val="center"/>
          </w:tcPr>
          <w:p>
            <w:pPr>
              <w:adjustRightInd w:val="0"/>
              <w:snapToGrid w:val="0"/>
              <w:jc w:val="center"/>
              <w:rPr>
                <w:b/>
                <w:bCs/>
                <w:kern w:val="0"/>
                <w:szCs w:val="21"/>
              </w:rPr>
            </w:pPr>
            <w:r>
              <w:rPr>
                <w:b/>
                <w:bCs/>
                <w:kern w:val="0"/>
                <w:szCs w:val="21"/>
              </w:rPr>
              <w:t>名称</w:t>
            </w:r>
          </w:p>
        </w:tc>
        <w:tc>
          <w:tcPr>
            <w:tcW w:w="551" w:type="pct"/>
          </w:tcPr>
          <w:p>
            <w:pPr>
              <w:adjustRightInd w:val="0"/>
              <w:snapToGrid w:val="0"/>
              <w:jc w:val="center"/>
              <w:rPr>
                <w:b/>
                <w:bCs/>
                <w:kern w:val="0"/>
                <w:szCs w:val="21"/>
              </w:rPr>
            </w:pPr>
            <w:r>
              <w:rPr>
                <w:rFonts w:hint="eastAsia"/>
                <w:b/>
                <w:bCs/>
                <w:kern w:val="0"/>
                <w:szCs w:val="21"/>
              </w:rPr>
              <w:t>单位</w:t>
            </w:r>
          </w:p>
        </w:tc>
        <w:tc>
          <w:tcPr>
            <w:tcW w:w="832" w:type="pct"/>
            <w:shd w:val="clear" w:color="auto" w:fill="auto"/>
            <w:vAlign w:val="center"/>
          </w:tcPr>
          <w:p>
            <w:pPr>
              <w:adjustRightInd w:val="0"/>
              <w:snapToGrid w:val="0"/>
              <w:jc w:val="center"/>
              <w:rPr>
                <w:b/>
                <w:bCs/>
                <w:kern w:val="0"/>
                <w:szCs w:val="21"/>
              </w:rPr>
            </w:pPr>
            <w:r>
              <w:rPr>
                <w:b/>
                <w:bCs/>
                <w:kern w:val="0"/>
                <w:szCs w:val="21"/>
              </w:rPr>
              <w:t>年总耗量</w:t>
            </w:r>
          </w:p>
        </w:tc>
        <w:tc>
          <w:tcPr>
            <w:tcW w:w="1694" w:type="pct"/>
            <w:shd w:val="clear" w:color="auto" w:fill="auto"/>
            <w:vAlign w:val="center"/>
          </w:tcPr>
          <w:p>
            <w:pPr>
              <w:adjustRightInd w:val="0"/>
              <w:snapToGrid w:val="0"/>
              <w:jc w:val="center"/>
              <w:rPr>
                <w:b/>
                <w:bCs/>
                <w:kern w:val="0"/>
                <w:szCs w:val="21"/>
              </w:rPr>
            </w:pPr>
            <w:r>
              <w:rPr>
                <w:rFonts w:hint="eastAsia"/>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9" w:type="pct"/>
          </w:tcPr>
          <w:p>
            <w:pPr>
              <w:adjustRightInd w:val="0"/>
              <w:snapToGrid w:val="0"/>
              <w:jc w:val="center"/>
              <w:rPr>
                <w:bCs/>
                <w:kern w:val="0"/>
                <w:szCs w:val="21"/>
              </w:rPr>
            </w:pPr>
            <w:r>
              <w:t>1</w:t>
            </w:r>
          </w:p>
        </w:tc>
        <w:tc>
          <w:tcPr>
            <w:tcW w:w="1494" w:type="pct"/>
          </w:tcPr>
          <w:p>
            <w:pPr>
              <w:adjustRightInd w:val="0"/>
              <w:snapToGrid w:val="0"/>
              <w:jc w:val="center"/>
              <w:rPr>
                <w:sz w:val="22"/>
                <w:szCs w:val="22"/>
              </w:rPr>
            </w:pPr>
            <w:r>
              <w:rPr>
                <w:rFonts w:ascii="宋体" w:hAnsi="宋体" w:cs="宋体"/>
                <w:spacing w:val="-1"/>
                <w:szCs w:val="21"/>
              </w:rPr>
              <w:t>作业机器燃油</w:t>
            </w:r>
          </w:p>
        </w:tc>
        <w:tc>
          <w:tcPr>
            <w:tcW w:w="551" w:type="pct"/>
          </w:tcPr>
          <w:p>
            <w:pPr>
              <w:adjustRightInd w:val="0"/>
              <w:snapToGrid w:val="0"/>
              <w:jc w:val="center"/>
              <w:rPr>
                <w:sz w:val="22"/>
                <w:szCs w:val="22"/>
              </w:rPr>
            </w:pPr>
            <w:r>
              <w:rPr>
                <w:spacing w:val="-4"/>
              </w:rPr>
              <w:t>t/a</w:t>
            </w:r>
          </w:p>
        </w:tc>
        <w:tc>
          <w:tcPr>
            <w:tcW w:w="832" w:type="pct"/>
          </w:tcPr>
          <w:p>
            <w:pPr>
              <w:adjustRightInd w:val="0"/>
              <w:snapToGrid w:val="0"/>
              <w:jc w:val="center"/>
              <w:rPr>
                <w:sz w:val="22"/>
                <w:szCs w:val="22"/>
              </w:rPr>
            </w:pPr>
            <w:r>
              <w:t>15</w:t>
            </w:r>
          </w:p>
        </w:tc>
        <w:tc>
          <w:tcPr>
            <w:tcW w:w="1694" w:type="pct"/>
          </w:tcPr>
          <w:p>
            <w:pPr>
              <w:adjustRightInd w:val="0"/>
              <w:snapToGrid w:val="0"/>
              <w:jc w:val="center"/>
              <w:rPr>
                <w:szCs w:val="21"/>
              </w:rPr>
            </w:pPr>
            <w:r>
              <w:rPr>
                <w:rFonts w:ascii="宋体" w:hAnsi="宋体" w:cs="宋体"/>
                <w:spacing w:val="-1"/>
                <w:szCs w:val="21"/>
              </w:rPr>
              <w:t>设备动力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9" w:type="pct"/>
          </w:tcPr>
          <w:p>
            <w:pPr>
              <w:adjustRightInd w:val="0"/>
              <w:snapToGrid w:val="0"/>
              <w:jc w:val="center"/>
              <w:rPr>
                <w:kern w:val="0"/>
                <w:szCs w:val="21"/>
              </w:rPr>
            </w:pPr>
            <w:r>
              <w:t>2</w:t>
            </w:r>
          </w:p>
        </w:tc>
        <w:tc>
          <w:tcPr>
            <w:tcW w:w="1494" w:type="pct"/>
          </w:tcPr>
          <w:p>
            <w:pPr>
              <w:adjustRightInd w:val="0"/>
              <w:snapToGrid w:val="0"/>
              <w:jc w:val="center"/>
              <w:rPr>
                <w:szCs w:val="21"/>
              </w:rPr>
            </w:pPr>
            <w:r>
              <w:rPr>
                <w:rFonts w:hint="eastAsia"/>
                <w:szCs w:val="21"/>
              </w:rPr>
              <w:t>新鲜水</w:t>
            </w:r>
          </w:p>
        </w:tc>
        <w:tc>
          <w:tcPr>
            <w:tcW w:w="551" w:type="pct"/>
          </w:tcPr>
          <w:p>
            <w:pPr>
              <w:adjustRightInd w:val="0"/>
              <w:snapToGrid w:val="0"/>
              <w:jc w:val="center"/>
              <w:rPr>
                <w:szCs w:val="21"/>
              </w:rPr>
            </w:pPr>
            <w:r>
              <w:rPr>
                <w:spacing w:val="-4"/>
              </w:rPr>
              <w:t>t/a</w:t>
            </w:r>
          </w:p>
        </w:tc>
        <w:tc>
          <w:tcPr>
            <w:tcW w:w="832" w:type="pct"/>
          </w:tcPr>
          <w:p>
            <w:pPr>
              <w:adjustRightInd w:val="0"/>
              <w:snapToGrid w:val="0"/>
              <w:jc w:val="center"/>
              <w:rPr>
                <w:szCs w:val="21"/>
              </w:rPr>
            </w:pPr>
            <w:r>
              <w:t>3433.9</w:t>
            </w:r>
          </w:p>
        </w:tc>
        <w:tc>
          <w:tcPr>
            <w:tcW w:w="1694" w:type="pct"/>
          </w:tcPr>
          <w:p>
            <w:pPr>
              <w:adjustRightInd w:val="0"/>
              <w:snapToGrid w:val="0"/>
              <w:jc w:val="center"/>
              <w:rPr>
                <w:szCs w:val="21"/>
              </w:rPr>
            </w:pPr>
            <w:r>
              <w:rPr>
                <w:rFonts w:ascii="宋体" w:hAnsi="宋体" w:cs="宋体"/>
                <w:spacing w:val="-2"/>
                <w:szCs w:val="21"/>
              </w:rPr>
              <w:t>生活用水、车辆冲洗用水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9" w:type="pct"/>
          </w:tcPr>
          <w:p>
            <w:pPr>
              <w:adjustRightInd w:val="0"/>
              <w:snapToGrid w:val="0"/>
              <w:jc w:val="center"/>
              <w:rPr>
                <w:kern w:val="0"/>
                <w:szCs w:val="21"/>
              </w:rPr>
            </w:pPr>
            <w:r>
              <w:t>3</w:t>
            </w:r>
          </w:p>
        </w:tc>
        <w:tc>
          <w:tcPr>
            <w:tcW w:w="1494" w:type="pct"/>
          </w:tcPr>
          <w:p>
            <w:pPr>
              <w:adjustRightInd w:val="0"/>
              <w:snapToGrid w:val="0"/>
              <w:jc w:val="center"/>
              <w:rPr>
                <w:szCs w:val="21"/>
              </w:rPr>
            </w:pPr>
            <w:r>
              <w:rPr>
                <w:rFonts w:ascii="宋体" w:hAnsi="宋体" w:cs="宋体"/>
                <w:szCs w:val="21"/>
              </w:rPr>
              <w:t>PAC</w:t>
            </w:r>
            <w:r>
              <w:rPr>
                <w:rFonts w:hint="eastAsia" w:ascii="宋体" w:hAnsi="宋体" w:cs="宋体"/>
                <w:szCs w:val="21"/>
              </w:rPr>
              <w:t>（混凝剂聚合氯化铝）</w:t>
            </w:r>
          </w:p>
        </w:tc>
        <w:tc>
          <w:tcPr>
            <w:tcW w:w="551" w:type="pct"/>
          </w:tcPr>
          <w:p>
            <w:pPr>
              <w:adjustRightInd w:val="0"/>
              <w:snapToGrid w:val="0"/>
              <w:jc w:val="center"/>
              <w:rPr>
                <w:szCs w:val="21"/>
              </w:rPr>
            </w:pPr>
            <w:r>
              <w:rPr>
                <w:spacing w:val="-4"/>
              </w:rPr>
              <w:t>t/a</w:t>
            </w:r>
          </w:p>
        </w:tc>
        <w:tc>
          <w:tcPr>
            <w:tcW w:w="832" w:type="pct"/>
          </w:tcPr>
          <w:p>
            <w:pPr>
              <w:adjustRightInd w:val="0"/>
              <w:snapToGrid w:val="0"/>
              <w:jc w:val="center"/>
              <w:rPr>
                <w:szCs w:val="21"/>
              </w:rPr>
            </w:pPr>
            <w:r>
              <w:t>1</w:t>
            </w:r>
          </w:p>
        </w:tc>
        <w:tc>
          <w:tcPr>
            <w:tcW w:w="1694" w:type="pct"/>
          </w:tcPr>
          <w:p>
            <w:pPr>
              <w:adjustRightInd w:val="0"/>
              <w:snapToGrid w:val="0"/>
              <w:jc w:val="center"/>
              <w:rPr>
                <w:szCs w:val="21"/>
              </w:rPr>
            </w:pPr>
            <w:r>
              <w:rPr>
                <w:rFonts w:ascii="宋体" w:hAnsi="宋体" w:cs="宋体"/>
                <w:spacing w:val="-1"/>
                <w:szCs w:val="21"/>
              </w:rPr>
              <w:t>污水处理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9" w:type="pct"/>
          </w:tcPr>
          <w:p>
            <w:pPr>
              <w:adjustRightInd w:val="0"/>
              <w:snapToGrid w:val="0"/>
              <w:jc w:val="center"/>
            </w:pPr>
            <w:r>
              <w:rPr>
                <w:rFonts w:hint="eastAsia"/>
              </w:rPr>
              <w:t>4</w:t>
            </w:r>
          </w:p>
        </w:tc>
        <w:tc>
          <w:tcPr>
            <w:tcW w:w="1494" w:type="pct"/>
          </w:tcPr>
          <w:p>
            <w:pPr>
              <w:adjustRightInd w:val="0"/>
              <w:snapToGrid w:val="0"/>
              <w:jc w:val="center"/>
              <w:rPr>
                <w:rFonts w:ascii="宋体" w:hAnsi="宋体" w:cs="宋体"/>
                <w:szCs w:val="21"/>
              </w:rPr>
            </w:pPr>
            <w:r>
              <w:rPr>
                <w:rFonts w:ascii="宋体" w:hAnsi="宋体" w:cs="宋体"/>
                <w:szCs w:val="21"/>
              </w:rPr>
              <w:t>PAM</w:t>
            </w:r>
            <w:r>
              <w:rPr>
                <w:rFonts w:hint="eastAsia" w:ascii="宋体" w:hAnsi="宋体" w:cs="宋体"/>
                <w:szCs w:val="21"/>
              </w:rPr>
              <w:t>（絮凝剂聚丙烯酰胺）</w:t>
            </w:r>
          </w:p>
        </w:tc>
        <w:tc>
          <w:tcPr>
            <w:tcW w:w="551" w:type="pct"/>
          </w:tcPr>
          <w:p>
            <w:pPr>
              <w:adjustRightInd w:val="0"/>
              <w:snapToGrid w:val="0"/>
              <w:jc w:val="center"/>
              <w:rPr>
                <w:spacing w:val="-4"/>
              </w:rPr>
            </w:pPr>
            <w:r>
              <w:rPr>
                <w:spacing w:val="-4"/>
              </w:rPr>
              <w:t>t/a</w:t>
            </w:r>
          </w:p>
        </w:tc>
        <w:tc>
          <w:tcPr>
            <w:tcW w:w="832" w:type="pct"/>
          </w:tcPr>
          <w:p>
            <w:pPr>
              <w:adjustRightInd w:val="0"/>
              <w:snapToGrid w:val="0"/>
              <w:jc w:val="center"/>
            </w:pPr>
            <w:r>
              <w:rPr>
                <w:rFonts w:hint="eastAsia"/>
              </w:rPr>
              <w:t>0</w:t>
            </w:r>
            <w:r>
              <w:t>.1</w:t>
            </w:r>
          </w:p>
        </w:tc>
        <w:tc>
          <w:tcPr>
            <w:tcW w:w="1694" w:type="pct"/>
          </w:tcPr>
          <w:p>
            <w:pPr>
              <w:adjustRightInd w:val="0"/>
              <w:snapToGrid w:val="0"/>
              <w:jc w:val="center"/>
              <w:rPr>
                <w:rFonts w:ascii="宋体" w:hAnsi="宋体" w:cs="宋体"/>
                <w:spacing w:val="-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9" w:type="pct"/>
          </w:tcPr>
          <w:p>
            <w:pPr>
              <w:adjustRightInd w:val="0"/>
              <w:snapToGrid w:val="0"/>
              <w:jc w:val="center"/>
              <w:rPr>
                <w:kern w:val="0"/>
                <w:szCs w:val="21"/>
              </w:rPr>
            </w:pPr>
            <w:r>
              <w:t>5</w:t>
            </w:r>
          </w:p>
        </w:tc>
        <w:tc>
          <w:tcPr>
            <w:tcW w:w="1494" w:type="pct"/>
          </w:tcPr>
          <w:p>
            <w:pPr>
              <w:adjustRightInd w:val="0"/>
              <w:snapToGrid w:val="0"/>
              <w:jc w:val="center"/>
              <w:rPr>
                <w:szCs w:val="21"/>
              </w:rPr>
            </w:pPr>
            <w:r>
              <w:rPr>
                <w:rFonts w:ascii="宋体" w:hAnsi="宋体" w:cs="宋体"/>
                <w:szCs w:val="21"/>
              </w:rPr>
              <w:t>电</w:t>
            </w:r>
          </w:p>
        </w:tc>
        <w:tc>
          <w:tcPr>
            <w:tcW w:w="551" w:type="pct"/>
          </w:tcPr>
          <w:p>
            <w:pPr>
              <w:adjustRightInd w:val="0"/>
              <w:snapToGrid w:val="0"/>
              <w:jc w:val="center"/>
              <w:rPr>
                <w:szCs w:val="21"/>
              </w:rPr>
            </w:pPr>
            <w:r>
              <w:rPr>
                <w:spacing w:val="-1"/>
              </w:rPr>
              <w:t>kWh/a</w:t>
            </w:r>
          </w:p>
        </w:tc>
        <w:tc>
          <w:tcPr>
            <w:tcW w:w="832" w:type="pct"/>
          </w:tcPr>
          <w:p>
            <w:pPr>
              <w:adjustRightInd w:val="0"/>
              <w:snapToGrid w:val="0"/>
              <w:jc w:val="center"/>
              <w:rPr>
                <w:szCs w:val="21"/>
              </w:rPr>
            </w:pPr>
            <w:r>
              <w:rPr>
                <w:rFonts w:eastAsia="Times New Roman"/>
                <w:szCs w:val="21"/>
              </w:rPr>
              <w:t xml:space="preserve">30 </w:t>
            </w:r>
            <w:r>
              <w:rPr>
                <w:rFonts w:ascii="宋体" w:hAnsi="宋体" w:cs="宋体"/>
                <w:szCs w:val="21"/>
              </w:rPr>
              <w:t>万</w:t>
            </w:r>
          </w:p>
        </w:tc>
        <w:tc>
          <w:tcPr>
            <w:tcW w:w="1694" w:type="pct"/>
          </w:tcPr>
          <w:p>
            <w:pPr>
              <w:autoSpaceDE w:val="0"/>
              <w:autoSpaceDN w:val="0"/>
              <w:adjustRightInd w:val="0"/>
              <w:snapToGrid w:val="0"/>
              <w:jc w:val="center"/>
              <w:rPr>
                <w:rFonts w:eastAsiaTheme="minorEastAsia"/>
                <w:szCs w:val="21"/>
              </w:rPr>
            </w:pPr>
          </w:p>
        </w:tc>
      </w:tr>
    </w:tbl>
    <w:p>
      <w:pPr>
        <w:pStyle w:val="61"/>
        <w:numPr>
          <w:ilvl w:val="1"/>
          <w:numId w:val="5"/>
        </w:numPr>
        <w:tabs>
          <w:tab w:val="left" w:pos="567"/>
          <w:tab w:val="clear" w:pos="432"/>
        </w:tabs>
        <w:spacing w:before="120" w:after="120"/>
        <w:ind w:left="0" w:firstLine="0"/>
        <w:rPr>
          <w:rFonts w:ascii="Times New Roman" w:hAnsi="Times New Roman"/>
        </w:rPr>
      </w:pPr>
      <w:bookmarkStart w:id="73" w:name="_Toc94101210"/>
      <w:r>
        <w:rPr>
          <w:rFonts w:hint="eastAsia" w:ascii="Times New Roman" w:hAnsi="Times New Roman"/>
        </w:rPr>
        <w:t>主要设备</w:t>
      </w:r>
      <w:bookmarkEnd w:id="73"/>
    </w:p>
    <w:p>
      <w:pPr>
        <w:pStyle w:val="87"/>
        <w:rPr>
          <w:rFonts w:ascii="Times New Roman" w:hAnsi="Times New Roman"/>
        </w:rPr>
      </w:pPr>
      <w:r>
        <w:rPr>
          <w:rFonts w:hint="eastAsia" w:ascii="Times New Roman" w:hAnsi="Times New Roman"/>
        </w:rPr>
        <w:t>本项目</w:t>
      </w:r>
      <w:r>
        <w:rPr>
          <w:rFonts w:ascii="Times New Roman" w:hAnsi="Times New Roman"/>
        </w:rPr>
        <w:t>主要设备见表</w:t>
      </w:r>
      <w:r>
        <w:rPr>
          <w:rFonts w:hint="eastAsia" w:ascii="Times New Roman" w:hAnsi="Times New Roman"/>
        </w:rPr>
        <w:t>3</w:t>
      </w:r>
      <w:r>
        <w:rPr>
          <w:rFonts w:ascii="Times New Roman" w:hAnsi="Times New Roman"/>
        </w:rPr>
        <w:t>.3-1。</w:t>
      </w:r>
    </w:p>
    <w:p>
      <w:pPr>
        <w:adjustRightInd w:val="0"/>
        <w:snapToGrid w:val="0"/>
        <w:jc w:val="center"/>
      </w:pPr>
      <w:r>
        <w:rPr>
          <w:b/>
          <w:sz w:val="24"/>
        </w:rPr>
        <w:t>表 3.5-1</w:t>
      </w:r>
      <w:r>
        <w:rPr>
          <w:b/>
          <w:sz w:val="24"/>
        </w:rPr>
        <w:tab/>
      </w:r>
      <w:r>
        <w:rPr>
          <w:rFonts w:hint="eastAsia"/>
          <w:b/>
          <w:sz w:val="24"/>
        </w:rPr>
        <w:t>主要</w:t>
      </w:r>
      <w:r>
        <w:rPr>
          <w:b/>
          <w:sz w:val="24"/>
        </w:rPr>
        <w:t>设备一览表</w:t>
      </w:r>
    </w:p>
    <w:tbl>
      <w:tblPr>
        <w:tblStyle w:val="3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9"/>
        <w:gridCol w:w="2157"/>
        <w:gridCol w:w="2611"/>
        <w:gridCol w:w="1022"/>
        <w:gridCol w:w="1022"/>
        <w:gridCol w:w="11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left"/>
              <w:rPr>
                <w:rFonts w:ascii="宋体" w:hAnsi="宋体"/>
                <w:kern w:val="0"/>
                <w:szCs w:val="21"/>
              </w:rPr>
            </w:pPr>
            <w:r>
              <w:rPr>
                <w:rFonts w:hint="eastAsia" w:ascii="宋体" w:hAnsi="宋体"/>
                <w:kern w:val="0"/>
                <w:szCs w:val="21"/>
              </w:rPr>
              <w:t>序号</w:t>
            </w:r>
          </w:p>
        </w:tc>
        <w:tc>
          <w:tcPr>
            <w:tcW w:w="2157" w:type="dxa"/>
            <w:vAlign w:val="center"/>
          </w:tcPr>
          <w:p>
            <w:pPr>
              <w:jc w:val="center"/>
              <w:rPr>
                <w:rFonts w:ascii="宋体" w:hAnsi="宋体"/>
                <w:kern w:val="0"/>
                <w:szCs w:val="21"/>
              </w:rPr>
            </w:pPr>
            <w:r>
              <w:rPr>
                <w:rFonts w:hint="eastAsia" w:ascii="宋体" w:hAnsi="宋体"/>
                <w:kern w:val="0"/>
                <w:szCs w:val="21"/>
              </w:rPr>
              <w:t>设备名称</w:t>
            </w:r>
          </w:p>
        </w:tc>
        <w:tc>
          <w:tcPr>
            <w:tcW w:w="2611" w:type="dxa"/>
            <w:vAlign w:val="center"/>
          </w:tcPr>
          <w:p>
            <w:pPr>
              <w:jc w:val="left"/>
              <w:rPr>
                <w:rFonts w:ascii="宋体" w:hAnsi="宋体"/>
                <w:kern w:val="0"/>
                <w:szCs w:val="21"/>
              </w:rPr>
            </w:pPr>
            <w:r>
              <w:rPr>
                <w:rFonts w:hint="eastAsia" w:ascii="宋体" w:hAnsi="宋体"/>
                <w:kern w:val="0"/>
                <w:szCs w:val="21"/>
              </w:rPr>
              <w:t>型号规格及技术能力</w:t>
            </w:r>
          </w:p>
        </w:tc>
        <w:tc>
          <w:tcPr>
            <w:tcW w:w="1022" w:type="dxa"/>
            <w:vAlign w:val="center"/>
          </w:tcPr>
          <w:p>
            <w:pPr>
              <w:jc w:val="left"/>
              <w:rPr>
                <w:rFonts w:ascii="宋体" w:hAnsi="宋体"/>
                <w:kern w:val="0"/>
                <w:szCs w:val="21"/>
              </w:rPr>
            </w:pPr>
            <w:r>
              <w:rPr>
                <w:rFonts w:hint="eastAsia" w:ascii="宋体" w:hAnsi="宋体"/>
                <w:kern w:val="0"/>
                <w:szCs w:val="21"/>
              </w:rPr>
              <w:t>单位</w:t>
            </w:r>
          </w:p>
        </w:tc>
        <w:tc>
          <w:tcPr>
            <w:tcW w:w="1022" w:type="dxa"/>
            <w:vAlign w:val="center"/>
          </w:tcPr>
          <w:p>
            <w:pPr>
              <w:jc w:val="left"/>
              <w:rPr>
                <w:rFonts w:ascii="宋体" w:hAnsi="宋体"/>
                <w:kern w:val="0"/>
                <w:szCs w:val="21"/>
              </w:rPr>
            </w:pPr>
            <w:r>
              <w:rPr>
                <w:rFonts w:hint="eastAsia" w:ascii="宋体" w:hAnsi="宋体"/>
                <w:kern w:val="0"/>
                <w:szCs w:val="21"/>
              </w:rPr>
              <w:t>数量</w:t>
            </w:r>
          </w:p>
        </w:tc>
        <w:tc>
          <w:tcPr>
            <w:tcW w:w="1135" w:type="dxa"/>
            <w:vAlign w:val="center"/>
          </w:tcPr>
          <w:p>
            <w:pPr>
              <w:jc w:val="left"/>
              <w:rPr>
                <w:rFonts w:ascii="宋体" w:hAnsi="宋体"/>
                <w:kern w:val="0"/>
                <w:szCs w:val="21"/>
              </w:rPr>
            </w:pPr>
            <w:r>
              <w:rPr>
                <w:rFonts w:hint="eastAsia" w:ascii="宋体" w:hAnsi="宋体"/>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1</w:t>
            </w:r>
          </w:p>
        </w:tc>
        <w:tc>
          <w:tcPr>
            <w:tcW w:w="2157" w:type="dxa"/>
            <w:vAlign w:val="center"/>
          </w:tcPr>
          <w:p>
            <w:pPr>
              <w:jc w:val="center"/>
              <w:rPr>
                <w:rFonts w:ascii="宋体" w:hAnsi="宋体"/>
                <w:kern w:val="0"/>
                <w:szCs w:val="21"/>
              </w:rPr>
            </w:pPr>
            <w:r>
              <w:rPr>
                <w:rFonts w:hint="eastAsia" w:ascii="宋体" w:hAnsi="宋体"/>
                <w:kern w:val="0"/>
                <w:szCs w:val="21"/>
              </w:rPr>
              <w:t>电子磅</w:t>
            </w:r>
          </w:p>
        </w:tc>
        <w:tc>
          <w:tcPr>
            <w:tcW w:w="2611" w:type="dxa"/>
            <w:vAlign w:val="center"/>
          </w:tcPr>
          <w:p>
            <w:pPr>
              <w:jc w:val="center"/>
              <w:rPr>
                <w:rFonts w:ascii="宋体" w:hAnsi="宋体"/>
                <w:kern w:val="0"/>
                <w:szCs w:val="21"/>
              </w:rPr>
            </w:pPr>
            <w:r>
              <w:rPr>
                <w:rFonts w:ascii="宋体" w:hAnsi="宋体"/>
                <w:kern w:val="0"/>
                <w:szCs w:val="21"/>
              </w:rPr>
              <w:t>scs-</w:t>
            </w:r>
            <w:r>
              <w:rPr>
                <w:rFonts w:hint="eastAsia" w:ascii="宋体" w:hAnsi="宋体"/>
                <w:kern w:val="0"/>
                <w:szCs w:val="21"/>
              </w:rPr>
              <w:t>（</w:t>
            </w:r>
            <w:r>
              <w:rPr>
                <w:rFonts w:ascii="宋体" w:hAnsi="宋体"/>
                <w:kern w:val="0"/>
                <w:szCs w:val="21"/>
              </w:rPr>
              <w:t>30-60</w:t>
            </w:r>
            <w:r>
              <w:rPr>
                <w:rFonts w:hint="eastAsia" w:ascii="宋体" w:hAnsi="宋体"/>
                <w:kern w:val="0"/>
                <w:szCs w:val="21"/>
              </w:rPr>
              <w:t>）</w:t>
            </w:r>
          </w:p>
        </w:tc>
        <w:tc>
          <w:tcPr>
            <w:tcW w:w="1022" w:type="dxa"/>
            <w:vAlign w:val="center"/>
          </w:tcPr>
          <w:p>
            <w:pPr>
              <w:jc w:val="center"/>
              <w:rPr>
                <w:rFonts w:ascii="宋体" w:hAnsi="宋体"/>
                <w:kern w:val="0"/>
                <w:szCs w:val="21"/>
              </w:rPr>
            </w:pPr>
            <w:r>
              <w:rPr>
                <w:rFonts w:hint="eastAsia" w:ascii="宋体" w:hAnsi="宋体"/>
                <w:kern w:val="0"/>
                <w:szCs w:val="21"/>
              </w:rPr>
              <w:t>台</w:t>
            </w:r>
          </w:p>
        </w:tc>
        <w:tc>
          <w:tcPr>
            <w:tcW w:w="1022" w:type="dxa"/>
            <w:vAlign w:val="center"/>
          </w:tcPr>
          <w:p>
            <w:pPr>
              <w:jc w:val="center"/>
              <w:rPr>
                <w:rFonts w:ascii="宋体" w:hAnsi="宋体"/>
                <w:kern w:val="0"/>
                <w:szCs w:val="21"/>
              </w:rPr>
            </w:pPr>
            <w:r>
              <w:rPr>
                <w:rFonts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2</w:t>
            </w:r>
          </w:p>
        </w:tc>
        <w:tc>
          <w:tcPr>
            <w:tcW w:w="2157" w:type="dxa"/>
            <w:vAlign w:val="center"/>
          </w:tcPr>
          <w:p>
            <w:pPr>
              <w:jc w:val="center"/>
              <w:rPr>
                <w:rFonts w:ascii="宋体" w:hAnsi="宋体"/>
                <w:kern w:val="0"/>
                <w:szCs w:val="21"/>
              </w:rPr>
            </w:pPr>
            <w:r>
              <w:rPr>
                <w:rFonts w:hint="eastAsia" w:ascii="宋体" w:hAnsi="宋体"/>
                <w:kern w:val="0"/>
                <w:szCs w:val="21"/>
              </w:rPr>
              <w:t>履带式推土机</w:t>
            </w:r>
          </w:p>
        </w:tc>
        <w:tc>
          <w:tcPr>
            <w:tcW w:w="2611" w:type="dxa"/>
            <w:vAlign w:val="center"/>
          </w:tcPr>
          <w:p>
            <w:pPr>
              <w:jc w:val="center"/>
              <w:rPr>
                <w:rFonts w:ascii="宋体" w:hAnsi="宋体"/>
                <w:kern w:val="0"/>
                <w:szCs w:val="21"/>
              </w:rPr>
            </w:pPr>
            <w:r>
              <w:rPr>
                <w:rFonts w:ascii="宋体" w:hAnsi="宋体"/>
                <w:kern w:val="0"/>
                <w:szCs w:val="21"/>
              </w:rPr>
              <w:t>TS165HW</w:t>
            </w:r>
          </w:p>
        </w:tc>
        <w:tc>
          <w:tcPr>
            <w:tcW w:w="1022" w:type="dxa"/>
            <w:vAlign w:val="center"/>
          </w:tcPr>
          <w:p>
            <w:pPr>
              <w:jc w:val="center"/>
              <w:rPr>
                <w:rFonts w:ascii="宋体" w:hAnsi="宋体"/>
                <w:kern w:val="0"/>
                <w:szCs w:val="21"/>
              </w:rPr>
            </w:pPr>
            <w:r>
              <w:rPr>
                <w:rFonts w:hint="eastAsia" w:ascii="宋体" w:hAnsi="宋体"/>
                <w:kern w:val="0"/>
                <w:szCs w:val="21"/>
              </w:rPr>
              <w:t>台</w:t>
            </w:r>
          </w:p>
        </w:tc>
        <w:tc>
          <w:tcPr>
            <w:tcW w:w="1022" w:type="dxa"/>
            <w:vAlign w:val="center"/>
          </w:tcPr>
          <w:p>
            <w:pPr>
              <w:jc w:val="center"/>
              <w:rPr>
                <w:rFonts w:ascii="宋体" w:hAnsi="宋体"/>
                <w:kern w:val="0"/>
                <w:szCs w:val="21"/>
              </w:rPr>
            </w:pPr>
            <w:r>
              <w:rPr>
                <w:rFonts w:hint="eastAsia"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3</w:t>
            </w:r>
          </w:p>
        </w:tc>
        <w:tc>
          <w:tcPr>
            <w:tcW w:w="2157" w:type="dxa"/>
            <w:vAlign w:val="center"/>
          </w:tcPr>
          <w:p>
            <w:pPr>
              <w:jc w:val="center"/>
              <w:rPr>
                <w:rFonts w:ascii="宋体" w:hAnsi="宋体"/>
                <w:kern w:val="0"/>
                <w:szCs w:val="21"/>
              </w:rPr>
            </w:pPr>
            <w:r>
              <w:rPr>
                <w:rFonts w:hint="eastAsia" w:ascii="宋体" w:hAnsi="宋体"/>
                <w:kern w:val="0"/>
                <w:szCs w:val="21"/>
              </w:rPr>
              <w:t>压实机</w:t>
            </w:r>
          </w:p>
        </w:tc>
        <w:tc>
          <w:tcPr>
            <w:tcW w:w="2611" w:type="dxa"/>
            <w:vAlign w:val="center"/>
          </w:tcPr>
          <w:p>
            <w:pPr>
              <w:jc w:val="center"/>
              <w:rPr>
                <w:rFonts w:ascii="宋体" w:hAnsi="宋体"/>
                <w:kern w:val="0"/>
                <w:szCs w:val="21"/>
              </w:rPr>
            </w:pPr>
            <w:r>
              <w:rPr>
                <w:rFonts w:ascii="宋体" w:hAnsi="宋体"/>
                <w:kern w:val="0"/>
                <w:szCs w:val="21"/>
              </w:rPr>
              <w:t>XL262J</w:t>
            </w:r>
          </w:p>
        </w:tc>
        <w:tc>
          <w:tcPr>
            <w:tcW w:w="1022" w:type="dxa"/>
            <w:vAlign w:val="center"/>
          </w:tcPr>
          <w:p>
            <w:pPr>
              <w:jc w:val="center"/>
              <w:rPr>
                <w:rFonts w:ascii="宋体" w:hAnsi="宋体"/>
                <w:kern w:val="0"/>
                <w:szCs w:val="21"/>
              </w:rPr>
            </w:pPr>
            <w:r>
              <w:rPr>
                <w:rFonts w:hint="eastAsia" w:ascii="宋体" w:hAnsi="宋体"/>
                <w:kern w:val="0"/>
                <w:szCs w:val="21"/>
              </w:rPr>
              <w:t>台</w:t>
            </w:r>
          </w:p>
        </w:tc>
        <w:tc>
          <w:tcPr>
            <w:tcW w:w="1022" w:type="dxa"/>
            <w:vAlign w:val="center"/>
          </w:tcPr>
          <w:p>
            <w:pPr>
              <w:jc w:val="center"/>
              <w:rPr>
                <w:rFonts w:ascii="宋体" w:hAnsi="宋体"/>
                <w:kern w:val="0"/>
                <w:szCs w:val="21"/>
              </w:rPr>
            </w:pPr>
            <w:r>
              <w:rPr>
                <w:rFonts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4</w:t>
            </w:r>
          </w:p>
        </w:tc>
        <w:tc>
          <w:tcPr>
            <w:tcW w:w="2157" w:type="dxa"/>
            <w:vAlign w:val="center"/>
          </w:tcPr>
          <w:p>
            <w:pPr>
              <w:jc w:val="center"/>
              <w:rPr>
                <w:rFonts w:ascii="宋体" w:hAnsi="宋体"/>
                <w:kern w:val="0"/>
                <w:szCs w:val="21"/>
              </w:rPr>
            </w:pPr>
            <w:r>
              <w:rPr>
                <w:rFonts w:hint="eastAsia" w:ascii="宋体" w:hAnsi="宋体"/>
                <w:kern w:val="0"/>
                <w:szCs w:val="21"/>
              </w:rPr>
              <w:t>装载机</w:t>
            </w:r>
          </w:p>
        </w:tc>
        <w:tc>
          <w:tcPr>
            <w:tcW w:w="2611" w:type="dxa"/>
            <w:vAlign w:val="center"/>
          </w:tcPr>
          <w:p>
            <w:pPr>
              <w:jc w:val="center"/>
              <w:rPr>
                <w:rFonts w:ascii="宋体" w:hAnsi="宋体"/>
                <w:kern w:val="0"/>
                <w:szCs w:val="21"/>
              </w:rPr>
            </w:pPr>
            <w:r>
              <w:rPr>
                <w:rFonts w:ascii="宋体" w:hAnsi="宋体"/>
                <w:kern w:val="0"/>
                <w:szCs w:val="21"/>
              </w:rPr>
              <w:t>LW300K</w:t>
            </w:r>
          </w:p>
        </w:tc>
        <w:tc>
          <w:tcPr>
            <w:tcW w:w="1022" w:type="dxa"/>
            <w:vAlign w:val="center"/>
          </w:tcPr>
          <w:p>
            <w:pPr>
              <w:jc w:val="center"/>
              <w:rPr>
                <w:rFonts w:ascii="宋体" w:hAnsi="宋体"/>
                <w:kern w:val="0"/>
                <w:szCs w:val="21"/>
              </w:rPr>
            </w:pPr>
            <w:r>
              <w:rPr>
                <w:rFonts w:hint="eastAsia" w:ascii="宋体" w:hAnsi="宋体"/>
                <w:kern w:val="0"/>
                <w:szCs w:val="21"/>
              </w:rPr>
              <w:t>辆</w:t>
            </w:r>
          </w:p>
        </w:tc>
        <w:tc>
          <w:tcPr>
            <w:tcW w:w="1022" w:type="dxa"/>
            <w:vAlign w:val="center"/>
          </w:tcPr>
          <w:p>
            <w:pPr>
              <w:jc w:val="center"/>
              <w:rPr>
                <w:rFonts w:ascii="宋体" w:hAnsi="宋体"/>
                <w:kern w:val="0"/>
                <w:szCs w:val="21"/>
              </w:rPr>
            </w:pPr>
            <w:r>
              <w:rPr>
                <w:rFonts w:hint="eastAsia"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5</w:t>
            </w:r>
          </w:p>
        </w:tc>
        <w:tc>
          <w:tcPr>
            <w:tcW w:w="2157" w:type="dxa"/>
            <w:vAlign w:val="center"/>
          </w:tcPr>
          <w:p>
            <w:pPr>
              <w:jc w:val="center"/>
              <w:rPr>
                <w:rFonts w:ascii="宋体" w:hAnsi="宋体"/>
                <w:kern w:val="0"/>
                <w:szCs w:val="21"/>
              </w:rPr>
            </w:pPr>
            <w:r>
              <w:rPr>
                <w:rFonts w:hint="eastAsia" w:ascii="宋体" w:hAnsi="宋体"/>
                <w:kern w:val="0"/>
                <w:szCs w:val="21"/>
              </w:rPr>
              <w:t>挖掘机</w:t>
            </w:r>
          </w:p>
        </w:tc>
        <w:tc>
          <w:tcPr>
            <w:tcW w:w="2611" w:type="dxa"/>
            <w:vAlign w:val="center"/>
          </w:tcPr>
          <w:p>
            <w:pPr>
              <w:jc w:val="center"/>
              <w:rPr>
                <w:rFonts w:ascii="宋体" w:hAnsi="宋体"/>
                <w:kern w:val="0"/>
                <w:szCs w:val="21"/>
              </w:rPr>
            </w:pPr>
            <w:r>
              <w:rPr>
                <w:rFonts w:ascii="宋体" w:hAnsi="宋体"/>
                <w:kern w:val="0"/>
                <w:szCs w:val="21"/>
              </w:rPr>
              <w:t>XE230C</w:t>
            </w:r>
          </w:p>
        </w:tc>
        <w:tc>
          <w:tcPr>
            <w:tcW w:w="1022" w:type="dxa"/>
            <w:vAlign w:val="center"/>
          </w:tcPr>
          <w:p>
            <w:pPr>
              <w:jc w:val="center"/>
              <w:rPr>
                <w:rFonts w:ascii="宋体" w:hAnsi="宋体"/>
                <w:kern w:val="0"/>
                <w:szCs w:val="21"/>
              </w:rPr>
            </w:pPr>
            <w:r>
              <w:rPr>
                <w:rFonts w:hint="eastAsia" w:ascii="宋体" w:hAnsi="宋体"/>
                <w:kern w:val="0"/>
                <w:szCs w:val="21"/>
              </w:rPr>
              <w:t>辆</w:t>
            </w:r>
          </w:p>
        </w:tc>
        <w:tc>
          <w:tcPr>
            <w:tcW w:w="1022" w:type="dxa"/>
            <w:vAlign w:val="center"/>
          </w:tcPr>
          <w:p>
            <w:pPr>
              <w:jc w:val="center"/>
              <w:rPr>
                <w:rFonts w:ascii="宋体" w:hAnsi="宋体"/>
                <w:kern w:val="0"/>
                <w:szCs w:val="21"/>
              </w:rPr>
            </w:pPr>
            <w:r>
              <w:rPr>
                <w:rFonts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6</w:t>
            </w:r>
          </w:p>
        </w:tc>
        <w:tc>
          <w:tcPr>
            <w:tcW w:w="2157" w:type="dxa"/>
            <w:vAlign w:val="center"/>
          </w:tcPr>
          <w:p>
            <w:pPr>
              <w:jc w:val="center"/>
              <w:rPr>
                <w:rFonts w:ascii="宋体" w:hAnsi="宋体"/>
                <w:kern w:val="0"/>
                <w:szCs w:val="21"/>
              </w:rPr>
            </w:pPr>
            <w:r>
              <w:rPr>
                <w:rFonts w:hint="eastAsia" w:ascii="宋体" w:hAnsi="宋体"/>
                <w:kern w:val="0"/>
                <w:szCs w:val="21"/>
              </w:rPr>
              <w:t>自卸汽车</w:t>
            </w:r>
          </w:p>
        </w:tc>
        <w:tc>
          <w:tcPr>
            <w:tcW w:w="2611" w:type="dxa"/>
            <w:vAlign w:val="center"/>
          </w:tcPr>
          <w:p>
            <w:pPr>
              <w:jc w:val="center"/>
              <w:rPr>
                <w:rFonts w:ascii="宋体" w:hAnsi="宋体"/>
                <w:kern w:val="0"/>
                <w:szCs w:val="21"/>
              </w:rPr>
            </w:pPr>
            <w:r>
              <w:rPr>
                <w:rFonts w:ascii="宋体" w:hAnsi="宋体"/>
                <w:kern w:val="0"/>
                <w:szCs w:val="21"/>
              </w:rPr>
              <w:t>10T</w:t>
            </w:r>
          </w:p>
        </w:tc>
        <w:tc>
          <w:tcPr>
            <w:tcW w:w="1022" w:type="dxa"/>
            <w:vAlign w:val="center"/>
          </w:tcPr>
          <w:p>
            <w:pPr>
              <w:jc w:val="center"/>
              <w:rPr>
                <w:rFonts w:ascii="宋体" w:hAnsi="宋体"/>
                <w:kern w:val="0"/>
                <w:szCs w:val="21"/>
              </w:rPr>
            </w:pPr>
            <w:r>
              <w:rPr>
                <w:rFonts w:hint="eastAsia" w:ascii="宋体" w:hAnsi="宋体"/>
                <w:kern w:val="0"/>
                <w:szCs w:val="21"/>
              </w:rPr>
              <w:t>辆</w:t>
            </w:r>
          </w:p>
        </w:tc>
        <w:tc>
          <w:tcPr>
            <w:tcW w:w="1022" w:type="dxa"/>
            <w:vAlign w:val="center"/>
          </w:tcPr>
          <w:p>
            <w:pPr>
              <w:jc w:val="center"/>
              <w:rPr>
                <w:rFonts w:ascii="宋体" w:hAnsi="宋体"/>
                <w:kern w:val="0"/>
                <w:szCs w:val="21"/>
              </w:rPr>
            </w:pPr>
            <w:r>
              <w:rPr>
                <w:rFonts w:hint="eastAsia"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ascii="宋体" w:hAnsi="宋体"/>
                <w:kern w:val="0"/>
                <w:szCs w:val="21"/>
              </w:rPr>
              <w:t>7</w:t>
            </w:r>
          </w:p>
        </w:tc>
        <w:tc>
          <w:tcPr>
            <w:tcW w:w="2157" w:type="dxa"/>
            <w:vAlign w:val="center"/>
          </w:tcPr>
          <w:p>
            <w:pPr>
              <w:jc w:val="center"/>
              <w:rPr>
                <w:rFonts w:ascii="宋体" w:hAnsi="宋体"/>
                <w:kern w:val="0"/>
                <w:szCs w:val="21"/>
              </w:rPr>
            </w:pPr>
            <w:r>
              <w:rPr>
                <w:rFonts w:hint="eastAsia" w:ascii="宋体" w:hAnsi="宋体"/>
                <w:kern w:val="0"/>
                <w:szCs w:val="21"/>
              </w:rPr>
              <w:t>洒水多用车</w:t>
            </w:r>
          </w:p>
        </w:tc>
        <w:tc>
          <w:tcPr>
            <w:tcW w:w="2611" w:type="dxa"/>
            <w:vAlign w:val="center"/>
          </w:tcPr>
          <w:p>
            <w:pPr>
              <w:jc w:val="center"/>
              <w:rPr>
                <w:rFonts w:ascii="宋体" w:hAnsi="宋体"/>
                <w:kern w:val="0"/>
                <w:szCs w:val="21"/>
              </w:rPr>
            </w:pPr>
            <w:r>
              <w:rPr>
                <w:rFonts w:ascii="宋体" w:hAnsi="宋体"/>
                <w:kern w:val="0"/>
                <w:szCs w:val="21"/>
              </w:rPr>
              <w:t>5m</w:t>
            </w:r>
            <w:r>
              <w:rPr>
                <w:rFonts w:ascii="宋体" w:hAnsi="宋体"/>
                <w:kern w:val="0"/>
                <w:szCs w:val="21"/>
                <w:vertAlign w:val="superscript"/>
              </w:rPr>
              <w:t>3</w:t>
            </w:r>
          </w:p>
        </w:tc>
        <w:tc>
          <w:tcPr>
            <w:tcW w:w="1022" w:type="dxa"/>
            <w:vAlign w:val="center"/>
          </w:tcPr>
          <w:p>
            <w:pPr>
              <w:jc w:val="center"/>
              <w:rPr>
                <w:rFonts w:ascii="宋体" w:hAnsi="宋体"/>
                <w:kern w:val="0"/>
                <w:szCs w:val="21"/>
              </w:rPr>
            </w:pPr>
            <w:r>
              <w:rPr>
                <w:rFonts w:hint="eastAsia" w:ascii="宋体" w:hAnsi="宋体"/>
                <w:kern w:val="0"/>
                <w:szCs w:val="21"/>
              </w:rPr>
              <w:t>辆</w:t>
            </w:r>
          </w:p>
        </w:tc>
        <w:tc>
          <w:tcPr>
            <w:tcW w:w="1022" w:type="dxa"/>
            <w:vAlign w:val="center"/>
          </w:tcPr>
          <w:p>
            <w:pPr>
              <w:jc w:val="center"/>
              <w:rPr>
                <w:rFonts w:ascii="宋体" w:hAnsi="宋体"/>
                <w:kern w:val="0"/>
                <w:szCs w:val="21"/>
              </w:rPr>
            </w:pPr>
            <w:r>
              <w:rPr>
                <w:rFonts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hint="eastAsia" w:ascii="宋体" w:hAnsi="宋体"/>
                <w:kern w:val="0"/>
                <w:szCs w:val="21"/>
              </w:rPr>
              <w:t>8</w:t>
            </w:r>
          </w:p>
        </w:tc>
        <w:tc>
          <w:tcPr>
            <w:tcW w:w="2157" w:type="dxa"/>
            <w:vAlign w:val="center"/>
          </w:tcPr>
          <w:p>
            <w:pPr>
              <w:jc w:val="center"/>
              <w:rPr>
                <w:rFonts w:ascii="宋体" w:hAnsi="宋体"/>
                <w:kern w:val="0"/>
                <w:szCs w:val="21"/>
              </w:rPr>
            </w:pPr>
            <w:r>
              <w:rPr>
                <w:rFonts w:hint="eastAsia" w:ascii="宋体" w:hAnsi="宋体"/>
                <w:kern w:val="0"/>
                <w:szCs w:val="21"/>
              </w:rPr>
              <w:t>一体化处理设备</w:t>
            </w:r>
          </w:p>
        </w:tc>
        <w:tc>
          <w:tcPr>
            <w:tcW w:w="2611" w:type="dxa"/>
            <w:vAlign w:val="center"/>
          </w:tcPr>
          <w:p>
            <w:pPr>
              <w:jc w:val="center"/>
              <w:rPr>
                <w:rFonts w:ascii="宋体" w:hAnsi="宋体"/>
                <w:kern w:val="0"/>
                <w:szCs w:val="21"/>
              </w:rPr>
            </w:pPr>
            <w:r>
              <w:rPr>
                <w:rFonts w:hint="eastAsia" w:ascii="宋体" w:hAnsi="宋体"/>
                <w:kern w:val="0"/>
                <w:szCs w:val="21"/>
              </w:rPr>
              <w:t>Q=</w:t>
            </w:r>
            <w:r>
              <w:rPr>
                <w:rFonts w:ascii="宋体" w:hAnsi="宋体"/>
                <w:kern w:val="0"/>
                <w:szCs w:val="21"/>
              </w:rPr>
              <w:t>30</w:t>
            </w:r>
            <w:r>
              <w:rPr>
                <w:rFonts w:hint="eastAsia" w:ascii="宋体" w:hAnsi="宋体"/>
                <w:kern w:val="0"/>
                <w:szCs w:val="21"/>
              </w:rPr>
              <w:t>m³/</w:t>
            </w:r>
            <w:r>
              <w:rPr>
                <w:rFonts w:ascii="宋体" w:hAnsi="宋体"/>
                <w:kern w:val="0"/>
                <w:szCs w:val="21"/>
              </w:rPr>
              <w:t>d</w:t>
            </w:r>
            <w:r>
              <w:rPr>
                <w:rFonts w:hint="eastAsia" w:ascii="宋体" w:hAnsi="宋体"/>
                <w:kern w:val="0"/>
                <w:szCs w:val="21"/>
              </w:rPr>
              <w:t>，N=</w:t>
            </w:r>
            <w:r>
              <w:rPr>
                <w:rFonts w:ascii="宋体" w:hAnsi="宋体"/>
                <w:kern w:val="0"/>
                <w:szCs w:val="21"/>
              </w:rPr>
              <w:t>40</w:t>
            </w:r>
            <w:r>
              <w:rPr>
                <w:rFonts w:hint="eastAsia" w:ascii="宋体" w:hAnsi="宋体"/>
                <w:kern w:val="0"/>
                <w:szCs w:val="21"/>
              </w:rPr>
              <w:t>kw</w:t>
            </w:r>
          </w:p>
        </w:tc>
        <w:tc>
          <w:tcPr>
            <w:tcW w:w="1022" w:type="dxa"/>
            <w:vAlign w:val="center"/>
          </w:tcPr>
          <w:p>
            <w:pPr>
              <w:jc w:val="center"/>
              <w:rPr>
                <w:rFonts w:ascii="宋体" w:hAnsi="宋体"/>
                <w:kern w:val="0"/>
                <w:szCs w:val="21"/>
              </w:rPr>
            </w:pPr>
            <w:r>
              <w:rPr>
                <w:rFonts w:hint="eastAsia" w:ascii="宋体" w:hAnsi="宋体"/>
                <w:kern w:val="0"/>
                <w:szCs w:val="21"/>
              </w:rPr>
              <w:t>座</w:t>
            </w:r>
          </w:p>
        </w:tc>
        <w:tc>
          <w:tcPr>
            <w:tcW w:w="1022" w:type="dxa"/>
            <w:vAlign w:val="center"/>
          </w:tcPr>
          <w:p>
            <w:pPr>
              <w:jc w:val="center"/>
              <w:rPr>
                <w:rFonts w:ascii="宋体" w:hAnsi="宋体"/>
                <w:kern w:val="0"/>
                <w:szCs w:val="21"/>
              </w:rPr>
            </w:pPr>
            <w:r>
              <w:rPr>
                <w:rFonts w:ascii="宋体" w:hAnsi="宋体"/>
                <w:kern w:val="0"/>
                <w:szCs w:val="21"/>
              </w:rPr>
              <w:t>1</w:t>
            </w:r>
          </w:p>
        </w:tc>
        <w:tc>
          <w:tcPr>
            <w:tcW w:w="1135" w:type="dxa"/>
            <w:vAlign w:val="center"/>
          </w:tcPr>
          <w:p>
            <w:pPr>
              <w:jc w:val="center"/>
              <w:rPr>
                <w:rFonts w:ascii="宋体" w:hAnsi="宋体"/>
                <w:kern w:val="0"/>
                <w:szCs w:val="21"/>
              </w:rPr>
            </w:pPr>
            <w:r>
              <w:rPr>
                <w:rFonts w:hint="eastAsia" w:ascii="宋体" w:hAnsi="宋体"/>
                <w:kern w:val="0"/>
                <w:szCs w:val="21"/>
              </w:rPr>
              <w:t>自带围护结构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hint="eastAsia" w:ascii="宋体" w:hAnsi="宋体"/>
                <w:kern w:val="0"/>
                <w:szCs w:val="21"/>
              </w:rPr>
              <w:t>9</w:t>
            </w:r>
          </w:p>
        </w:tc>
        <w:tc>
          <w:tcPr>
            <w:tcW w:w="2157" w:type="dxa"/>
            <w:vAlign w:val="center"/>
          </w:tcPr>
          <w:p>
            <w:pPr>
              <w:jc w:val="center"/>
              <w:rPr>
                <w:rFonts w:ascii="宋体" w:hAnsi="宋体"/>
                <w:kern w:val="0"/>
                <w:szCs w:val="21"/>
              </w:rPr>
            </w:pPr>
            <w:r>
              <w:rPr>
                <w:rFonts w:hint="eastAsia" w:ascii="宋体" w:hAnsi="宋体"/>
                <w:kern w:val="0"/>
                <w:szCs w:val="21"/>
              </w:rPr>
              <w:t>调节池</w:t>
            </w:r>
          </w:p>
        </w:tc>
        <w:tc>
          <w:tcPr>
            <w:tcW w:w="2611" w:type="dxa"/>
            <w:vAlign w:val="center"/>
          </w:tcPr>
          <w:p>
            <w:pPr>
              <w:jc w:val="center"/>
              <w:rPr>
                <w:rFonts w:ascii="宋体" w:hAnsi="宋体"/>
                <w:kern w:val="0"/>
                <w:szCs w:val="21"/>
              </w:rPr>
            </w:pPr>
            <w:r>
              <w:rPr>
                <w:rFonts w:hint="eastAsia" w:ascii="宋体" w:hAnsi="宋体"/>
                <w:kern w:val="0"/>
                <w:szCs w:val="21"/>
              </w:rPr>
              <w:t>V</w:t>
            </w:r>
            <w:r>
              <w:rPr>
                <w:rFonts w:ascii="宋体" w:hAnsi="宋体"/>
                <w:kern w:val="0"/>
                <w:szCs w:val="21"/>
              </w:rPr>
              <w:t>=3000m</w:t>
            </w:r>
            <w:r>
              <w:rPr>
                <w:rFonts w:ascii="宋体" w:hAnsi="宋体"/>
                <w:kern w:val="0"/>
                <w:szCs w:val="21"/>
                <w:vertAlign w:val="superscript"/>
              </w:rPr>
              <w:t>3</w:t>
            </w:r>
            <w:r>
              <w:rPr>
                <w:rFonts w:hint="eastAsia" w:ascii="宋体" w:hAnsi="宋体"/>
                <w:kern w:val="0"/>
                <w:szCs w:val="21"/>
              </w:rPr>
              <w:t>,2</w:t>
            </w:r>
            <w:r>
              <w:rPr>
                <w:rFonts w:ascii="宋体" w:hAnsi="宋体"/>
                <w:kern w:val="0"/>
                <w:szCs w:val="21"/>
              </w:rPr>
              <w:t>0m*30m*5m</w:t>
            </w:r>
          </w:p>
        </w:tc>
        <w:tc>
          <w:tcPr>
            <w:tcW w:w="1022" w:type="dxa"/>
            <w:vAlign w:val="center"/>
          </w:tcPr>
          <w:p>
            <w:pPr>
              <w:jc w:val="center"/>
              <w:rPr>
                <w:rFonts w:ascii="宋体" w:hAnsi="宋体"/>
                <w:kern w:val="0"/>
                <w:szCs w:val="21"/>
              </w:rPr>
            </w:pPr>
            <w:r>
              <w:rPr>
                <w:rFonts w:hint="eastAsia" w:ascii="宋体" w:hAnsi="宋体"/>
                <w:kern w:val="0"/>
                <w:szCs w:val="21"/>
              </w:rPr>
              <w:t>座</w:t>
            </w:r>
          </w:p>
        </w:tc>
        <w:tc>
          <w:tcPr>
            <w:tcW w:w="1022" w:type="dxa"/>
            <w:vAlign w:val="center"/>
          </w:tcPr>
          <w:p>
            <w:pPr>
              <w:jc w:val="center"/>
              <w:rPr>
                <w:rFonts w:ascii="宋体" w:hAnsi="宋体"/>
                <w:kern w:val="0"/>
                <w:szCs w:val="21"/>
              </w:rPr>
            </w:pPr>
            <w:r>
              <w:rPr>
                <w:rFonts w:ascii="宋体" w:hAnsi="宋体"/>
                <w:kern w:val="0"/>
                <w:szCs w:val="21"/>
              </w:rPr>
              <w:t>1</w:t>
            </w:r>
          </w:p>
        </w:tc>
        <w:tc>
          <w:tcPr>
            <w:tcW w:w="1135" w:type="dxa"/>
            <w:vAlign w:val="center"/>
          </w:tcPr>
          <w:p>
            <w:pPr>
              <w:jc w:val="center"/>
              <w:rPr>
                <w:rFonts w:ascii="宋体" w:hAnsi="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hint="eastAsia" w:ascii="宋体" w:hAnsi="宋体"/>
                <w:kern w:val="0"/>
                <w:szCs w:val="21"/>
              </w:rPr>
              <w:t>10</w:t>
            </w:r>
          </w:p>
        </w:tc>
        <w:tc>
          <w:tcPr>
            <w:tcW w:w="2157" w:type="dxa"/>
            <w:vAlign w:val="center"/>
          </w:tcPr>
          <w:p>
            <w:pPr>
              <w:jc w:val="center"/>
              <w:rPr>
                <w:rFonts w:ascii="宋体" w:hAnsi="宋体"/>
                <w:kern w:val="0"/>
                <w:szCs w:val="21"/>
              </w:rPr>
            </w:pPr>
            <w:r>
              <w:rPr>
                <w:rFonts w:hint="eastAsia" w:ascii="宋体" w:hAnsi="宋体"/>
                <w:kern w:val="0"/>
                <w:szCs w:val="21"/>
              </w:rPr>
              <w:t>潜水泵</w:t>
            </w:r>
          </w:p>
        </w:tc>
        <w:tc>
          <w:tcPr>
            <w:tcW w:w="2611" w:type="dxa"/>
            <w:vAlign w:val="center"/>
          </w:tcPr>
          <w:p>
            <w:pPr>
              <w:jc w:val="center"/>
              <w:rPr>
                <w:rFonts w:ascii="宋体" w:hAnsi="宋体"/>
                <w:kern w:val="0"/>
                <w:szCs w:val="21"/>
              </w:rPr>
            </w:pPr>
            <w:r>
              <w:rPr>
                <w:rFonts w:hint="eastAsia" w:ascii="宋体" w:hAnsi="宋体"/>
                <w:kern w:val="0"/>
                <w:szCs w:val="21"/>
              </w:rPr>
              <w:t>Q=</w:t>
            </w:r>
            <w:r>
              <w:rPr>
                <w:rFonts w:ascii="宋体" w:hAnsi="宋体"/>
                <w:kern w:val="0"/>
                <w:szCs w:val="21"/>
              </w:rPr>
              <w:t>4.2</w:t>
            </w:r>
            <w:r>
              <w:rPr>
                <w:rFonts w:hint="eastAsia" w:ascii="宋体" w:hAnsi="宋体"/>
                <w:kern w:val="0"/>
                <w:szCs w:val="21"/>
              </w:rPr>
              <w:t>m</w:t>
            </w:r>
            <w:r>
              <w:rPr>
                <w:rFonts w:hint="eastAsia" w:ascii="宋体" w:hAnsi="宋体"/>
                <w:kern w:val="0"/>
                <w:szCs w:val="21"/>
                <w:vertAlign w:val="superscript"/>
              </w:rPr>
              <w:t>3</w:t>
            </w:r>
            <w:r>
              <w:rPr>
                <w:rFonts w:hint="eastAsia" w:ascii="宋体" w:hAnsi="宋体"/>
                <w:kern w:val="0"/>
                <w:szCs w:val="21"/>
              </w:rPr>
              <w:t>/h，H=</w:t>
            </w:r>
            <w:r>
              <w:rPr>
                <w:rFonts w:ascii="宋体" w:hAnsi="宋体"/>
                <w:kern w:val="0"/>
                <w:szCs w:val="21"/>
              </w:rPr>
              <w:t>20</w:t>
            </w:r>
            <w:r>
              <w:rPr>
                <w:rFonts w:hint="eastAsia" w:ascii="宋体" w:hAnsi="宋体"/>
                <w:kern w:val="0"/>
                <w:szCs w:val="21"/>
              </w:rPr>
              <w:t>m，N=</w:t>
            </w:r>
            <w:r>
              <w:rPr>
                <w:rFonts w:ascii="宋体" w:hAnsi="宋体"/>
                <w:kern w:val="0"/>
                <w:szCs w:val="21"/>
              </w:rPr>
              <w:t>3</w:t>
            </w:r>
            <w:r>
              <w:rPr>
                <w:rFonts w:hint="eastAsia" w:ascii="宋体" w:hAnsi="宋体"/>
                <w:kern w:val="0"/>
                <w:szCs w:val="21"/>
              </w:rPr>
              <w:t>KW</w:t>
            </w:r>
          </w:p>
        </w:tc>
        <w:tc>
          <w:tcPr>
            <w:tcW w:w="1022" w:type="dxa"/>
            <w:vAlign w:val="center"/>
          </w:tcPr>
          <w:p>
            <w:pPr>
              <w:jc w:val="center"/>
              <w:rPr>
                <w:rFonts w:ascii="宋体" w:hAnsi="宋体"/>
                <w:kern w:val="0"/>
                <w:szCs w:val="21"/>
              </w:rPr>
            </w:pPr>
            <w:r>
              <w:rPr>
                <w:rFonts w:hint="eastAsia" w:ascii="宋体" w:hAnsi="宋体"/>
                <w:kern w:val="0"/>
                <w:szCs w:val="21"/>
              </w:rPr>
              <w:t>台</w:t>
            </w:r>
          </w:p>
        </w:tc>
        <w:tc>
          <w:tcPr>
            <w:tcW w:w="1022" w:type="dxa"/>
            <w:vAlign w:val="center"/>
          </w:tcPr>
          <w:p>
            <w:pPr>
              <w:jc w:val="center"/>
              <w:rPr>
                <w:rFonts w:ascii="宋体" w:hAnsi="宋体"/>
                <w:kern w:val="0"/>
                <w:szCs w:val="21"/>
              </w:rPr>
            </w:pPr>
            <w:r>
              <w:rPr>
                <w:rFonts w:ascii="宋体" w:hAnsi="宋体"/>
                <w:kern w:val="0"/>
                <w:szCs w:val="21"/>
              </w:rPr>
              <w:t>2</w:t>
            </w:r>
          </w:p>
        </w:tc>
        <w:tc>
          <w:tcPr>
            <w:tcW w:w="1135" w:type="dxa"/>
            <w:vAlign w:val="center"/>
          </w:tcPr>
          <w:p>
            <w:pPr>
              <w:jc w:val="center"/>
              <w:rPr>
                <w:rFonts w:ascii="宋体" w:hAnsi="宋体"/>
                <w:kern w:val="0"/>
                <w:szCs w:val="21"/>
              </w:rPr>
            </w:pPr>
            <w:r>
              <w:rPr>
                <w:rFonts w:hint="eastAsia" w:ascii="宋体" w:hAnsi="宋体"/>
                <w:kern w:val="0"/>
                <w:szCs w:val="21"/>
              </w:rPr>
              <w:t>1用1备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9" w:type="dxa"/>
            <w:vAlign w:val="center"/>
          </w:tcPr>
          <w:p>
            <w:pPr>
              <w:jc w:val="center"/>
              <w:rPr>
                <w:rFonts w:ascii="宋体" w:hAnsi="宋体"/>
                <w:kern w:val="0"/>
                <w:szCs w:val="21"/>
              </w:rPr>
            </w:pPr>
            <w:r>
              <w:rPr>
                <w:rFonts w:hint="eastAsia" w:ascii="宋体" w:hAnsi="宋体"/>
                <w:kern w:val="0"/>
                <w:szCs w:val="21"/>
              </w:rPr>
              <w:t>11</w:t>
            </w:r>
          </w:p>
        </w:tc>
        <w:tc>
          <w:tcPr>
            <w:tcW w:w="2157" w:type="dxa"/>
            <w:vAlign w:val="center"/>
          </w:tcPr>
          <w:p>
            <w:pPr>
              <w:jc w:val="center"/>
              <w:rPr>
                <w:rFonts w:ascii="宋体" w:hAnsi="宋体"/>
                <w:kern w:val="0"/>
                <w:szCs w:val="21"/>
              </w:rPr>
            </w:pPr>
            <w:r>
              <w:rPr>
                <w:rFonts w:hint="eastAsia" w:ascii="宋体" w:hAnsi="宋体"/>
                <w:kern w:val="0"/>
                <w:szCs w:val="21"/>
              </w:rPr>
              <w:t>潜水泵</w:t>
            </w:r>
          </w:p>
        </w:tc>
        <w:tc>
          <w:tcPr>
            <w:tcW w:w="2611" w:type="dxa"/>
            <w:vAlign w:val="center"/>
          </w:tcPr>
          <w:p>
            <w:pPr>
              <w:jc w:val="center"/>
              <w:rPr>
                <w:rFonts w:ascii="宋体" w:hAnsi="宋体"/>
                <w:kern w:val="0"/>
                <w:szCs w:val="21"/>
              </w:rPr>
            </w:pPr>
            <w:r>
              <w:rPr>
                <w:rFonts w:hint="eastAsia" w:ascii="宋体" w:hAnsi="宋体"/>
                <w:kern w:val="0"/>
                <w:szCs w:val="21"/>
              </w:rPr>
              <w:t>Q=2.1m</w:t>
            </w:r>
            <w:r>
              <w:rPr>
                <w:rFonts w:hint="eastAsia" w:ascii="宋体" w:hAnsi="宋体"/>
                <w:kern w:val="0"/>
                <w:szCs w:val="21"/>
                <w:vertAlign w:val="superscript"/>
              </w:rPr>
              <w:t>3</w:t>
            </w:r>
            <w:r>
              <w:rPr>
                <w:rFonts w:hint="eastAsia" w:ascii="宋体" w:hAnsi="宋体"/>
                <w:kern w:val="0"/>
                <w:szCs w:val="21"/>
              </w:rPr>
              <w:t>/h，H=10m，N=0.75KW</w:t>
            </w:r>
          </w:p>
        </w:tc>
        <w:tc>
          <w:tcPr>
            <w:tcW w:w="1022" w:type="dxa"/>
            <w:vAlign w:val="center"/>
          </w:tcPr>
          <w:p>
            <w:pPr>
              <w:jc w:val="center"/>
              <w:rPr>
                <w:rFonts w:ascii="宋体" w:hAnsi="宋体"/>
                <w:kern w:val="0"/>
                <w:szCs w:val="21"/>
              </w:rPr>
            </w:pPr>
            <w:r>
              <w:rPr>
                <w:rFonts w:hint="eastAsia" w:ascii="宋体" w:hAnsi="宋体"/>
                <w:kern w:val="0"/>
                <w:szCs w:val="21"/>
              </w:rPr>
              <w:t>台</w:t>
            </w:r>
          </w:p>
        </w:tc>
        <w:tc>
          <w:tcPr>
            <w:tcW w:w="1022" w:type="dxa"/>
            <w:vAlign w:val="center"/>
          </w:tcPr>
          <w:p>
            <w:pPr>
              <w:jc w:val="center"/>
              <w:rPr>
                <w:rFonts w:ascii="宋体" w:hAnsi="宋体"/>
                <w:kern w:val="0"/>
                <w:szCs w:val="21"/>
              </w:rPr>
            </w:pPr>
            <w:r>
              <w:rPr>
                <w:rFonts w:ascii="宋体" w:hAnsi="宋体"/>
                <w:kern w:val="0"/>
                <w:szCs w:val="21"/>
              </w:rPr>
              <w:t>2</w:t>
            </w:r>
          </w:p>
        </w:tc>
        <w:tc>
          <w:tcPr>
            <w:tcW w:w="1135" w:type="dxa"/>
            <w:vAlign w:val="center"/>
          </w:tcPr>
          <w:p>
            <w:pPr>
              <w:jc w:val="center"/>
              <w:rPr>
                <w:rFonts w:ascii="宋体" w:hAnsi="宋体"/>
                <w:kern w:val="0"/>
                <w:szCs w:val="21"/>
              </w:rPr>
            </w:pPr>
            <w:r>
              <w:rPr>
                <w:rFonts w:hint="eastAsia" w:ascii="宋体" w:hAnsi="宋体"/>
                <w:kern w:val="0"/>
                <w:szCs w:val="21"/>
              </w:rPr>
              <w:t>1用1备</w:t>
            </w:r>
          </w:p>
        </w:tc>
      </w:tr>
    </w:tbl>
    <w:p>
      <w:pPr>
        <w:pStyle w:val="61"/>
        <w:numPr>
          <w:ilvl w:val="1"/>
          <w:numId w:val="5"/>
        </w:numPr>
        <w:tabs>
          <w:tab w:val="clear" w:pos="432"/>
        </w:tabs>
        <w:spacing w:before="120" w:after="120"/>
        <w:ind w:left="567" w:hanging="567"/>
        <w:rPr>
          <w:rFonts w:ascii="Times New Roman" w:hAnsi="Times New Roman"/>
        </w:rPr>
      </w:pPr>
      <w:bookmarkStart w:id="74" w:name="_Toc94101211"/>
      <w:r>
        <w:rPr>
          <w:rFonts w:ascii="Times New Roman" w:hAnsi="Times New Roman"/>
        </w:rPr>
        <w:t>公用工程</w:t>
      </w:r>
      <w:bookmarkEnd w:id="74"/>
    </w:p>
    <w:p>
      <w:pPr>
        <w:pStyle w:val="62"/>
        <w:numPr>
          <w:ilvl w:val="2"/>
          <w:numId w:val="5"/>
        </w:numPr>
        <w:tabs>
          <w:tab w:val="left" w:pos="567"/>
        </w:tabs>
        <w:spacing w:before="120" w:after="120"/>
        <w:ind w:left="0" w:firstLine="0"/>
        <w:rPr>
          <w:rFonts w:ascii="Times New Roman" w:hAnsi="Times New Roman"/>
        </w:rPr>
      </w:pPr>
      <w:r>
        <w:rPr>
          <w:rFonts w:ascii="Times New Roman" w:hAnsi="Times New Roman"/>
        </w:rPr>
        <w:t>给</w:t>
      </w:r>
      <w:r>
        <w:rPr>
          <w:rFonts w:hint="eastAsia" w:ascii="Times New Roman" w:hAnsi="Times New Roman"/>
        </w:rPr>
        <w:t>排</w:t>
      </w:r>
      <w:r>
        <w:rPr>
          <w:rFonts w:ascii="Times New Roman" w:hAnsi="Times New Roman"/>
        </w:rPr>
        <w:t>水</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给水</w:t>
      </w:r>
    </w:p>
    <w:p>
      <w:pPr>
        <w:tabs>
          <w:tab w:val="left" w:pos="495"/>
        </w:tabs>
        <w:adjustRightInd w:val="0"/>
        <w:snapToGrid w:val="0"/>
        <w:spacing w:line="360" w:lineRule="auto"/>
        <w:ind w:firstLine="480" w:firstLineChars="200"/>
        <w:rPr>
          <w:sz w:val="24"/>
          <w:szCs w:val="24"/>
        </w:rPr>
      </w:pPr>
      <w:r>
        <w:rPr>
          <w:rFonts w:hint="eastAsia"/>
          <w:sz w:val="24"/>
          <w:szCs w:val="24"/>
        </w:rPr>
        <w:t>拟建项目用水主要包括生活用水、绿化及道路喷洒用水、车辆冲洗水、填埋区喷洒用水等，其中，生活用水供水水源为自来水，由自来水管网接至厂区。</w:t>
      </w:r>
    </w:p>
    <w:p>
      <w:pPr>
        <w:tabs>
          <w:tab w:val="left" w:pos="495"/>
        </w:tabs>
        <w:adjustRightInd w:val="0"/>
        <w:snapToGrid w:val="0"/>
        <w:spacing w:line="360" w:lineRule="auto"/>
        <w:ind w:firstLine="480" w:firstLineChars="200"/>
        <w:rPr>
          <w:sz w:val="24"/>
          <w:szCs w:val="24"/>
        </w:rPr>
      </w:pPr>
      <w:r>
        <w:rPr>
          <w:rFonts w:hint="eastAsia"/>
          <w:sz w:val="24"/>
          <w:szCs w:val="24"/>
        </w:rPr>
        <w:t>绿化及道路喷洒用水、车辆冲洗水和填埋区降尘用水均使用紧邻的围场生活垃圾焚烧发电项目处理合格的中水。</w:t>
      </w:r>
    </w:p>
    <w:p>
      <w:pPr>
        <w:tabs>
          <w:tab w:val="left" w:pos="495"/>
        </w:tabs>
        <w:adjustRightInd w:val="0"/>
        <w:snapToGrid w:val="0"/>
        <w:spacing w:line="360" w:lineRule="auto"/>
        <w:ind w:firstLine="480" w:firstLineChars="200"/>
        <w:rPr>
          <w:sz w:val="24"/>
          <w:szCs w:val="24"/>
        </w:rPr>
      </w:pPr>
      <w:r>
        <w:rPr>
          <w:rFonts w:hint="eastAsia"/>
          <w:sz w:val="24"/>
          <w:szCs w:val="24"/>
        </w:rPr>
        <w:t>（1）生活用水</w:t>
      </w:r>
    </w:p>
    <w:p>
      <w:pPr>
        <w:tabs>
          <w:tab w:val="left" w:pos="495"/>
        </w:tabs>
        <w:adjustRightInd w:val="0"/>
        <w:snapToGrid w:val="0"/>
        <w:spacing w:line="360" w:lineRule="auto"/>
        <w:ind w:firstLine="480" w:firstLineChars="200"/>
        <w:rPr>
          <w:sz w:val="24"/>
          <w:szCs w:val="24"/>
        </w:rPr>
      </w:pPr>
      <w:r>
        <w:rPr>
          <w:rFonts w:hint="eastAsia"/>
          <w:sz w:val="24"/>
          <w:szCs w:val="24"/>
        </w:rPr>
        <w:t>本项目劳动定员为</w:t>
      </w:r>
      <w:r>
        <w:rPr>
          <w:sz w:val="24"/>
          <w:szCs w:val="24"/>
        </w:rPr>
        <w:t>12</w:t>
      </w:r>
      <w:r>
        <w:rPr>
          <w:rFonts w:hint="eastAsia"/>
          <w:sz w:val="24"/>
          <w:szCs w:val="24"/>
        </w:rPr>
        <w:t>人，厂内不设食堂（依托紧邻的围场生活垃圾焚烧发电项目食堂），生活用水量按</w:t>
      </w:r>
      <w:r>
        <w:rPr>
          <w:sz w:val="24"/>
          <w:szCs w:val="24"/>
        </w:rPr>
        <w:t>80L/</w:t>
      </w:r>
      <w:r>
        <w:rPr>
          <w:rFonts w:hint="eastAsia"/>
          <w:sz w:val="24"/>
          <w:szCs w:val="24"/>
        </w:rPr>
        <w:t>人</w:t>
      </w:r>
      <w:r>
        <w:rPr>
          <w:sz w:val="24"/>
          <w:szCs w:val="24"/>
        </w:rPr>
        <w:t xml:space="preserve">·d </w:t>
      </w:r>
      <w:r>
        <w:rPr>
          <w:rFonts w:hint="eastAsia"/>
          <w:sz w:val="24"/>
          <w:szCs w:val="24"/>
        </w:rPr>
        <w:t>计，则项目生活用水量合计为0</w:t>
      </w:r>
      <w:r>
        <w:rPr>
          <w:sz w:val="24"/>
          <w:szCs w:val="24"/>
        </w:rPr>
        <w:t>.96m</w:t>
      </w:r>
      <w:r>
        <w:rPr>
          <w:sz w:val="24"/>
          <w:szCs w:val="24"/>
          <w:vertAlign w:val="superscript"/>
        </w:rPr>
        <w:t>3</w:t>
      </w:r>
      <w:r>
        <w:rPr>
          <w:sz w:val="24"/>
          <w:szCs w:val="24"/>
        </w:rPr>
        <w:t>/d</w:t>
      </w:r>
      <w:r>
        <w:rPr>
          <w:rFonts w:hint="eastAsia"/>
          <w:sz w:val="24"/>
          <w:szCs w:val="24"/>
        </w:rPr>
        <w:t>（</w:t>
      </w:r>
      <w:r>
        <w:rPr>
          <w:sz w:val="24"/>
          <w:szCs w:val="24"/>
        </w:rPr>
        <w:t>350.4m</w:t>
      </w:r>
      <w:r>
        <w:rPr>
          <w:sz w:val="24"/>
          <w:szCs w:val="24"/>
          <w:vertAlign w:val="superscript"/>
        </w:rPr>
        <w:t>3</w:t>
      </w:r>
      <w:r>
        <w:rPr>
          <w:sz w:val="24"/>
          <w:szCs w:val="24"/>
        </w:rPr>
        <w:t>/a</w:t>
      </w:r>
      <w:r>
        <w:rPr>
          <w:rFonts w:hint="eastAsia"/>
          <w:sz w:val="24"/>
          <w:szCs w:val="24"/>
        </w:rPr>
        <w:t>）。</w:t>
      </w:r>
    </w:p>
    <w:p>
      <w:pPr>
        <w:tabs>
          <w:tab w:val="left" w:pos="495"/>
        </w:tabs>
        <w:adjustRightInd w:val="0"/>
        <w:snapToGrid w:val="0"/>
        <w:spacing w:line="360" w:lineRule="auto"/>
        <w:ind w:firstLine="480" w:firstLineChars="200"/>
        <w:rPr>
          <w:sz w:val="24"/>
          <w:szCs w:val="24"/>
        </w:rPr>
      </w:pPr>
      <w:r>
        <w:rPr>
          <w:rFonts w:hint="eastAsia"/>
          <w:sz w:val="24"/>
          <w:szCs w:val="24"/>
        </w:rPr>
        <w:t>（2）车辆冲洗用水</w:t>
      </w:r>
    </w:p>
    <w:p>
      <w:pPr>
        <w:tabs>
          <w:tab w:val="left" w:pos="495"/>
        </w:tabs>
        <w:adjustRightInd w:val="0"/>
        <w:snapToGrid w:val="0"/>
        <w:spacing w:line="360" w:lineRule="auto"/>
        <w:ind w:firstLine="480" w:firstLineChars="200"/>
        <w:rPr>
          <w:sz w:val="24"/>
          <w:szCs w:val="24"/>
        </w:rPr>
      </w:pPr>
      <w:r>
        <w:rPr>
          <w:rFonts w:hint="eastAsia"/>
          <w:sz w:val="24"/>
          <w:szCs w:val="24"/>
        </w:rPr>
        <w:t>根据项目可行性研究报告，拟建工程车辆冲洗水量约为</w:t>
      </w:r>
      <w:r>
        <w:rPr>
          <w:sz w:val="24"/>
          <w:szCs w:val="24"/>
        </w:rPr>
        <w:t>1m</w:t>
      </w:r>
      <w:r>
        <w:rPr>
          <w:sz w:val="24"/>
          <w:szCs w:val="24"/>
          <w:vertAlign w:val="superscript"/>
        </w:rPr>
        <w:t>3</w:t>
      </w:r>
      <w:r>
        <w:rPr>
          <w:sz w:val="24"/>
          <w:szCs w:val="24"/>
        </w:rPr>
        <w:t>/d</w:t>
      </w:r>
      <w:r>
        <w:rPr>
          <w:rFonts w:hint="eastAsia"/>
          <w:sz w:val="24"/>
          <w:szCs w:val="24"/>
        </w:rPr>
        <w:t>（</w:t>
      </w:r>
      <w:r>
        <w:rPr>
          <w:sz w:val="24"/>
          <w:szCs w:val="24"/>
        </w:rPr>
        <w:t>365m</w:t>
      </w:r>
      <w:r>
        <w:rPr>
          <w:sz w:val="24"/>
          <w:szCs w:val="24"/>
          <w:vertAlign w:val="superscript"/>
        </w:rPr>
        <w:t>3</w:t>
      </w:r>
      <w:r>
        <w:rPr>
          <w:sz w:val="24"/>
          <w:szCs w:val="24"/>
        </w:rPr>
        <w:t>/a</w:t>
      </w:r>
      <w:r>
        <w:rPr>
          <w:rFonts w:hint="eastAsia"/>
          <w:sz w:val="24"/>
          <w:szCs w:val="24"/>
        </w:rPr>
        <w:t>）</w:t>
      </w:r>
    </w:p>
    <w:p>
      <w:pPr>
        <w:tabs>
          <w:tab w:val="left" w:pos="495"/>
        </w:tabs>
        <w:adjustRightInd w:val="0"/>
        <w:snapToGrid w:val="0"/>
        <w:spacing w:line="360" w:lineRule="auto"/>
        <w:ind w:firstLine="480" w:firstLineChars="200"/>
        <w:rPr>
          <w:sz w:val="24"/>
          <w:szCs w:val="24"/>
        </w:rPr>
      </w:pPr>
      <w:r>
        <w:rPr>
          <w:rFonts w:hint="eastAsia"/>
          <w:sz w:val="24"/>
          <w:szCs w:val="24"/>
        </w:rPr>
        <w:t>（</w:t>
      </w:r>
      <w:r>
        <w:rPr>
          <w:sz w:val="24"/>
          <w:szCs w:val="24"/>
        </w:rPr>
        <w:t>3</w:t>
      </w:r>
      <w:r>
        <w:rPr>
          <w:rFonts w:hint="eastAsia"/>
          <w:sz w:val="24"/>
          <w:szCs w:val="24"/>
        </w:rPr>
        <w:t>）绿化及道路喷洒用水</w:t>
      </w:r>
    </w:p>
    <w:p>
      <w:pPr>
        <w:tabs>
          <w:tab w:val="left" w:pos="495"/>
        </w:tabs>
        <w:adjustRightInd w:val="0"/>
        <w:snapToGrid w:val="0"/>
        <w:spacing w:line="360" w:lineRule="auto"/>
        <w:ind w:firstLine="480" w:firstLineChars="200"/>
        <w:rPr>
          <w:sz w:val="24"/>
          <w:szCs w:val="24"/>
        </w:rPr>
      </w:pPr>
      <w:r>
        <w:rPr>
          <w:rFonts w:hint="eastAsia"/>
          <w:sz w:val="24"/>
          <w:szCs w:val="24"/>
        </w:rPr>
        <w:t>厂区绿地面积和道路面积约为</w:t>
      </w:r>
      <w:r>
        <w:rPr>
          <w:sz w:val="24"/>
          <w:szCs w:val="24"/>
        </w:rPr>
        <w:t>4500m</w:t>
      </w:r>
      <w:r>
        <w:rPr>
          <w:sz w:val="24"/>
          <w:szCs w:val="24"/>
          <w:vertAlign w:val="superscript"/>
        </w:rPr>
        <w:t>2</w:t>
      </w:r>
      <w:r>
        <w:rPr>
          <w:rFonts w:hint="eastAsia"/>
          <w:sz w:val="24"/>
          <w:szCs w:val="24"/>
        </w:rPr>
        <w:t>。绿化及道路喷洒定额按</w:t>
      </w:r>
      <w:r>
        <w:rPr>
          <w:sz w:val="24"/>
          <w:szCs w:val="24"/>
        </w:rPr>
        <w:t>1.0L/ m</w:t>
      </w:r>
      <w:r>
        <w:rPr>
          <w:sz w:val="24"/>
          <w:szCs w:val="24"/>
          <w:vertAlign w:val="superscript"/>
        </w:rPr>
        <w:t>2</w:t>
      </w:r>
      <w:r>
        <w:rPr>
          <w:sz w:val="24"/>
          <w:szCs w:val="24"/>
        </w:rPr>
        <w:t>·d</w:t>
      </w:r>
      <w:r>
        <w:rPr>
          <w:rFonts w:hint="eastAsia"/>
          <w:sz w:val="24"/>
          <w:szCs w:val="24"/>
        </w:rPr>
        <w:t>，则本项目绿化及道路喷洒用水量为</w:t>
      </w:r>
      <w:r>
        <w:rPr>
          <w:sz w:val="24"/>
          <w:szCs w:val="24"/>
        </w:rPr>
        <w:t>4.5m</w:t>
      </w:r>
      <w:r>
        <w:rPr>
          <w:sz w:val="24"/>
          <w:szCs w:val="24"/>
          <w:vertAlign w:val="superscript"/>
        </w:rPr>
        <w:t>3</w:t>
      </w:r>
      <w:r>
        <w:rPr>
          <w:sz w:val="24"/>
          <w:szCs w:val="24"/>
        </w:rPr>
        <w:t>/d</w:t>
      </w:r>
      <w:r>
        <w:rPr>
          <w:rFonts w:hint="eastAsia"/>
          <w:sz w:val="24"/>
          <w:szCs w:val="24"/>
        </w:rPr>
        <w:t>。</w:t>
      </w:r>
    </w:p>
    <w:p>
      <w:pPr>
        <w:tabs>
          <w:tab w:val="left" w:pos="495"/>
        </w:tabs>
        <w:adjustRightInd w:val="0"/>
        <w:snapToGrid w:val="0"/>
        <w:spacing w:line="360" w:lineRule="auto"/>
        <w:ind w:firstLine="480" w:firstLineChars="200"/>
        <w:rPr>
          <w:sz w:val="24"/>
          <w:szCs w:val="24"/>
        </w:rPr>
      </w:pPr>
      <w:r>
        <w:rPr>
          <w:rFonts w:hint="eastAsia"/>
          <w:sz w:val="24"/>
          <w:szCs w:val="24"/>
        </w:rPr>
        <w:t>（</w:t>
      </w:r>
      <w:r>
        <w:rPr>
          <w:sz w:val="24"/>
          <w:szCs w:val="24"/>
        </w:rPr>
        <w:t>5</w:t>
      </w:r>
      <w:r>
        <w:rPr>
          <w:rFonts w:hint="eastAsia"/>
          <w:sz w:val="24"/>
          <w:szCs w:val="24"/>
        </w:rPr>
        <w:t>）库区洒水抑尘用水</w:t>
      </w:r>
    </w:p>
    <w:p>
      <w:pPr>
        <w:tabs>
          <w:tab w:val="left" w:pos="495"/>
        </w:tabs>
        <w:adjustRightInd w:val="0"/>
        <w:snapToGrid w:val="0"/>
        <w:spacing w:line="360" w:lineRule="auto"/>
        <w:ind w:firstLine="480" w:firstLineChars="200"/>
        <w:rPr>
          <w:sz w:val="24"/>
          <w:szCs w:val="24"/>
        </w:rPr>
      </w:pPr>
      <w:r>
        <w:rPr>
          <w:rFonts w:hint="eastAsia"/>
          <w:sz w:val="24"/>
          <w:szCs w:val="24"/>
        </w:rPr>
        <w:t>为减少填埋库区固化飞灰卸车及填埋过程中产生的扬尘及车辆行驶扬尘，本项目洒水抑尘装置，根据可研单位提供资料，库区抑尘用水量约为</w:t>
      </w:r>
      <w:r>
        <w:rPr>
          <w:sz w:val="24"/>
          <w:szCs w:val="24"/>
        </w:rPr>
        <w:t>2m</w:t>
      </w:r>
      <w:r>
        <w:rPr>
          <w:sz w:val="24"/>
          <w:szCs w:val="24"/>
          <w:vertAlign w:val="superscript"/>
        </w:rPr>
        <w:t>3</w:t>
      </w:r>
      <w:r>
        <w:rPr>
          <w:sz w:val="24"/>
          <w:szCs w:val="24"/>
        </w:rPr>
        <w:t>/d</w:t>
      </w:r>
      <w:r>
        <w:rPr>
          <w:rFonts w:hint="eastAsia"/>
          <w:sz w:val="24"/>
          <w:szCs w:val="24"/>
        </w:rPr>
        <w:t>。</w:t>
      </w:r>
    </w:p>
    <w:p>
      <w:pPr>
        <w:pStyle w:val="2"/>
      </w:pPr>
    </w:p>
    <w:p>
      <w:pPr>
        <w:pStyle w:val="5"/>
      </w:pPr>
    </w:p>
    <w:p>
      <w:pPr>
        <w:adjustRightInd w:val="0"/>
        <w:snapToGrid w:val="0"/>
        <w:jc w:val="center"/>
        <w:rPr>
          <w:b/>
          <w:sz w:val="24"/>
        </w:rPr>
      </w:pPr>
      <w:r>
        <w:rPr>
          <w:rFonts w:hint="eastAsia"/>
          <w:b/>
          <w:sz w:val="24"/>
        </w:rPr>
        <w:t>表</w:t>
      </w:r>
      <w:r>
        <w:rPr>
          <w:b/>
          <w:sz w:val="24"/>
        </w:rPr>
        <w:t xml:space="preserve">3.6-1 </w:t>
      </w:r>
      <w:r>
        <w:rPr>
          <w:rFonts w:hint="eastAsia"/>
          <w:b/>
          <w:sz w:val="24"/>
        </w:rPr>
        <w:t>本项目用水量表</w:t>
      </w:r>
      <w:r>
        <w:rPr>
          <w:b/>
          <w:sz w:val="24"/>
        </w:rPr>
        <w:t xml:space="preserve">           </w:t>
      </w:r>
    </w:p>
    <w:tbl>
      <w:tblPr>
        <w:tblStyle w:val="39"/>
        <w:tblW w:w="8386"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63"/>
        <w:gridCol w:w="3616"/>
        <w:gridCol w:w="1913"/>
        <w:gridCol w:w="189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3" w:hRule="exact"/>
          <w:jc w:val="center"/>
        </w:trPr>
        <w:tc>
          <w:tcPr>
            <w:tcW w:w="963" w:type="dxa"/>
          </w:tcPr>
          <w:p>
            <w:pPr>
              <w:jc w:val="center"/>
            </w:pPr>
            <w:r>
              <w:rPr>
                <w:rFonts w:hint="eastAsia"/>
              </w:rPr>
              <w:t>编号</w:t>
            </w:r>
          </w:p>
        </w:tc>
        <w:tc>
          <w:tcPr>
            <w:tcW w:w="3616" w:type="dxa"/>
          </w:tcPr>
          <w:p>
            <w:pPr>
              <w:jc w:val="center"/>
            </w:pPr>
            <w:r>
              <w:rPr>
                <w:rFonts w:hint="eastAsia"/>
              </w:rPr>
              <w:t>给水点</w:t>
            </w:r>
          </w:p>
        </w:tc>
        <w:tc>
          <w:tcPr>
            <w:tcW w:w="1913" w:type="dxa"/>
          </w:tcPr>
          <w:p>
            <w:pPr>
              <w:jc w:val="center"/>
            </w:pPr>
            <w:r>
              <w:rPr>
                <w:rFonts w:hint="eastAsia"/>
              </w:rPr>
              <w:t>用水量（</w:t>
            </w:r>
            <w:r>
              <w:rPr>
                <w:b/>
                <w:sz w:val="24"/>
              </w:rPr>
              <w:t>m³/d</w:t>
            </w:r>
            <w:r>
              <w:rPr>
                <w:rFonts w:hint="eastAsia"/>
              </w:rPr>
              <w:t>）</w:t>
            </w:r>
          </w:p>
        </w:tc>
        <w:tc>
          <w:tcPr>
            <w:tcW w:w="1894" w:type="dxa"/>
          </w:tcPr>
          <w:p>
            <w:pPr>
              <w:jc w:val="center"/>
            </w:pPr>
            <w:r>
              <w:rPr>
                <w:rFonts w:hint="eastAsia"/>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1" w:hRule="exact"/>
          <w:jc w:val="center"/>
        </w:trPr>
        <w:tc>
          <w:tcPr>
            <w:tcW w:w="963" w:type="dxa"/>
          </w:tcPr>
          <w:p>
            <w:pPr>
              <w:jc w:val="center"/>
            </w:pPr>
            <w:r>
              <w:t>1</w:t>
            </w:r>
          </w:p>
        </w:tc>
        <w:tc>
          <w:tcPr>
            <w:tcW w:w="3616" w:type="dxa"/>
          </w:tcPr>
          <w:p>
            <w:pPr>
              <w:jc w:val="center"/>
            </w:pPr>
            <w:r>
              <w:rPr>
                <w:rFonts w:hint="eastAsia"/>
              </w:rPr>
              <w:t>生活用水</w:t>
            </w:r>
          </w:p>
        </w:tc>
        <w:tc>
          <w:tcPr>
            <w:tcW w:w="1913" w:type="dxa"/>
          </w:tcPr>
          <w:p>
            <w:pPr>
              <w:jc w:val="center"/>
            </w:pPr>
            <w:r>
              <w:t>0.96</w:t>
            </w:r>
          </w:p>
        </w:tc>
        <w:tc>
          <w:tcPr>
            <w:tcW w:w="1894" w:type="dxa"/>
          </w:tcPr>
          <w:p>
            <w:pPr>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1" w:hRule="exact"/>
          <w:jc w:val="center"/>
        </w:trPr>
        <w:tc>
          <w:tcPr>
            <w:tcW w:w="963" w:type="dxa"/>
          </w:tcPr>
          <w:p>
            <w:pPr>
              <w:jc w:val="center"/>
            </w:pPr>
          </w:p>
        </w:tc>
        <w:tc>
          <w:tcPr>
            <w:tcW w:w="3616" w:type="dxa"/>
          </w:tcPr>
          <w:p>
            <w:pPr>
              <w:jc w:val="center"/>
            </w:pPr>
            <w:r>
              <w:rPr>
                <w:rFonts w:hint="eastAsia"/>
              </w:rPr>
              <w:t>车辆冲洗水</w:t>
            </w:r>
          </w:p>
        </w:tc>
        <w:tc>
          <w:tcPr>
            <w:tcW w:w="1913" w:type="dxa"/>
          </w:tcPr>
          <w:p>
            <w:pPr>
              <w:jc w:val="center"/>
            </w:pPr>
            <w:r>
              <w:t>1</w:t>
            </w:r>
          </w:p>
        </w:tc>
        <w:tc>
          <w:tcPr>
            <w:tcW w:w="1894" w:type="dxa"/>
          </w:tcPr>
          <w:p>
            <w:pPr>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3" w:hRule="exact"/>
          <w:jc w:val="center"/>
        </w:trPr>
        <w:tc>
          <w:tcPr>
            <w:tcW w:w="963" w:type="dxa"/>
          </w:tcPr>
          <w:p>
            <w:pPr>
              <w:jc w:val="center"/>
            </w:pPr>
            <w:r>
              <w:t>2</w:t>
            </w:r>
          </w:p>
        </w:tc>
        <w:tc>
          <w:tcPr>
            <w:tcW w:w="3616" w:type="dxa"/>
          </w:tcPr>
          <w:p>
            <w:pPr>
              <w:jc w:val="center"/>
            </w:pPr>
            <w:r>
              <w:rPr>
                <w:rFonts w:hint="eastAsia"/>
              </w:rPr>
              <w:t>绿化浇灌用水</w:t>
            </w:r>
          </w:p>
        </w:tc>
        <w:tc>
          <w:tcPr>
            <w:tcW w:w="1913" w:type="dxa"/>
          </w:tcPr>
          <w:p>
            <w:pPr>
              <w:jc w:val="center"/>
            </w:pPr>
            <w:r>
              <w:t>4.5</w:t>
            </w:r>
          </w:p>
        </w:tc>
        <w:tc>
          <w:tcPr>
            <w:tcW w:w="1894" w:type="dxa"/>
          </w:tcPr>
          <w:p>
            <w:pPr>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3" w:hRule="exact"/>
          <w:jc w:val="center"/>
        </w:trPr>
        <w:tc>
          <w:tcPr>
            <w:tcW w:w="963" w:type="dxa"/>
          </w:tcPr>
          <w:p>
            <w:pPr>
              <w:jc w:val="center"/>
            </w:pPr>
            <w:r>
              <w:t>3</w:t>
            </w:r>
          </w:p>
        </w:tc>
        <w:tc>
          <w:tcPr>
            <w:tcW w:w="3616" w:type="dxa"/>
          </w:tcPr>
          <w:p>
            <w:pPr>
              <w:jc w:val="center"/>
            </w:pPr>
            <w:r>
              <w:rPr>
                <w:rFonts w:hint="eastAsia"/>
              </w:rPr>
              <w:t>库区抑尘</w:t>
            </w:r>
          </w:p>
        </w:tc>
        <w:tc>
          <w:tcPr>
            <w:tcW w:w="1913" w:type="dxa"/>
          </w:tcPr>
          <w:p>
            <w:pPr>
              <w:jc w:val="center"/>
            </w:pPr>
            <w:r>
              <w:t>2</w:t>
            </w:r>
          </w:p>
        </w:tc>
        <w:tc>
          <w:tcPr>
            <w:tcW w:w="1894" w:type="dxa"/>
          </w:tcPr>
          <w:p>
            <w:pPr>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1" w:hRule="exact"/>
          <w:jc w:val="center"/>
        </w:trPr>
        <w:tc>
          <w:tcPr>
            <w:tcW w:w="963" w:type="dxa"/>
          </w:tcPr>
          <w:p>
            <w:pPr>
              <w:jc w:val="center"/>
            </w:pPr>
            <w:r>
              <w:t>4</w:t>
            </w:r>
          </w:p>
        </w:tc>
        <w:tc>
          <w:tcPr>
            <w:tcW w:w="3616" w:type="dxa"/>
          </w:tcPr>
          <w:p>
            <w:pPr>
              <w:jc w:val="center"/>
            </w:pPr>
            <w:r>
              <w:rPr>
                <w:rFonts w:hint="eastAsia"/>
              </w:rPr>
              <w:t>未预见水量</w:t>
            </w:r>
          </w:p>
        </w:tc>
        <w:tc>
          <w:tcPr>
            <w:tcW w:w="1913" w:type="dxa"/>
          </w:tcPr>
          <w:p>
            <w:pPr>
              <w:jc w:val="center"/>
            </w:pPr>
            <w:r>
              <w:rPr>
                <w:rFonts w:hint="eastAsia"/>
              </w:rPr>
              <w:t>0</w:t>
            </w:r>
            <w:r>
              <w:t>.946</w:t>
            </w:r>
          </w:p>
        </w:tc>
        <w:tc>
          <w:tcPr>
            <w:tcW w:w="1894" w:type="dxa"/>
          </w:tcPr>
          <w:p>
            <w:pPr>
              <w:jc w:val="center"/>
            </w:pPr>
            <w:r>
              <w:rPr>
                <w:rFonts w:hint="eastAsia"/>
              </w:rPr>
              <w:t>用水量的</w:t>
            </w:r>
            <w:r>
              <w:t xml:space="preserve"> 10%</w:t>
            </w:r>
            <w:r>
              <w:rPr>
                <w:rFonts w:hint="eastAsia"/>
              </w:rPr>
              <w:t>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83" w:hRule="exact"/>
          <w:jc w:val="center"/>
        </w:trPr>
        <w:tc>
          <w:tcPr>
            <w:tcW w:w="963" w:type="dxa"/>
          </w:tcPr>
          <w:p>
            <w:pPr>
              <w:jc w:val="center"/>
            </w:pPr>
            <w:r>
              <w:rPr>
                <w:rFonts w:hint="eastAsia"/>
              </w:rPr>
              <w:t>5</w:t>
            </w:r>
          </w:p>
        </w:tc>
        <w:tc>
          <w:tcPr>
            <w:tcW w:w="3616" w:type="dxa"/>
          </w:tcPr>
          <w:p>
            <w:pPr>
              <w:jc w:val="center"/>
            </w:pPr>
            <w:r>
              <w:rPr>
                <w:rFonts w:hint="eastAsia"/>
              </w:rPr>
              <w:t>合</w:t>
            </w:r>
            <w:r>
              <w:t xml:space="preserve"> </w:t>
            </w:r>
            <w:r>
              <w:rPr>
                <w:rFonts w:hint="eastAsia"/>
              </w:rPr>
              <w:t>计</w:t>
            </w:r>
          </w:p>
        </w:tc>
        <w:tc>
          <w:tcPr>
            <w:tcW w:w="1913" w:type="dxa"/>
          </w:tcPr>
          <w:p>
            <w:pPr>
              <w:jc w:val="center"/>
            </w:pPr>
            <w:r>
              <w:t>10.406</w:t>
            </w:r>
          </w:p>
        </w:tc>
        <w:tc>
          <w:tcPr>
            <w:tcW w:w="1894" w:type="dxa"/>
          </w:tcPr>
          <w:p>
            <w:pPr>
              <w:jc w:val="center"/>
            </w:pPr>
          </w:p>
        </w:tc>
      </w:tr>
    </w:tbl>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排水</w:t>
      </w:r>
    </w:p>
    <w:p>
      <w:pPr>
        <w:pStyle w:val="76"/>
        <w:numPr>
          <w:ilvl w:val="0"/>
          <w:numId w:val="7"/>
        </w:numPr>
        <w:tabs>
          <w:tab w:val="left" w:pos="495"/>
        </w:tabs>
        <w:adjustRightInd w:val="0"/>
        <w:snapToGrid w:val="0"/>
        <w:spacing w:line="360" w:lineRule="auto"/>
        <w:ind w:firstLineChars="0"/>
        <w:rPr>
          <w:sz w:val="24"/>
          <w:szCs w:val="24"/>
        </w:rPr>
      </w:pPr>
      <w:r>
        <w:rPr>
          <w:rFonts w:hint="eastAsia"/>
          <w:sz w:val="24"/>
          <w:szCs w:val="24"/>
        </w:rPr>
        <w:t>库区渗滤液</w:t>
      </w:r>
    </w:p>
    <w:p>
      <w:pPr>
        <w:tabs>
          <w:tab w:val="left" w:pos="495"/>
        </w:tabs>
        <w:adjustRightInd w:val="0"/>
        <w:snapToGrid w:val="0"/>
        <w:spacing w:line="360" w:lineRule="auto"/>
        <w:ind w:firstLine="480" w:firstLineChars="200"/>
        <w:rPr>
          <w:sz w:val="24"/>
          <w:szCs w:val="24"/>
        </w:rPr>
      </w:pPr>
      <w:r>
        <w:rPr>
          <w:rFonts w:hint="eastAsia"/>
          <w:sz w:val="24"/>
          <w:szCs w:val="24"/>
        </w:rPr>
        <w:t>根据工程分析中计算，库区渗滤液产生量为</w:t>
      </w:r>
      <w:r>
        <w:rPr>
          <w:kern w:val="10"/>
          <w:sz w:val="24"/>
        </w:rPr>
        <w:t xml:space="preserve">19.06 </w:t>
      </w:r>
      <w:r>
        <w:rPr>
          <w:sz w:val="24"/>
          <w:szCs w:val="24"/>
        </w:rPr>
        <w:t>m</w:t>
      </w:r>
      <w:r>
        <w:rPr>
          <w:sz w:val="24"/>
          <w:szCs w:val="24"/>
          <w:vertAlign w:val="superscript"/>
        </w:rPr>
        <w:t>3</w:t>
      </w:r>
      <w:r>
        <w:rPr>
          <w:sz w:val="24"/>
          <w:szCs w:val="24"/>
        </w:rPr>
        <w:t>/d</w:t>
      </w:r>
      <w:r>
        <w:rPr>
          <w:rFonts w:hint="eastAsia"/>
          <w:sz w:val="24"/>
          <w:szCs w:val="24"/>
        </w:rPr>
        <w:t>，经收集系统收集后，排入渗滤液处理站调节池。</w:t>
      </w:r>
    </w:p>
    <w:p>
      <w:pPr>
        <w:tabs>
          <w:tab w:val="left" w:pos="495"/>
        </w:tabs>
        <w:adjustRightInd w:val="0"/>
        <w:snapToGrid w:val="0"/>
        <w:spacing w:line="360" w:lineRule="auto"/>
        <w:ind w:firstLine="480" w:firstLineChars="200"/>
        <w:rPr>
          <w:sz w:val="24"/>
          <w:szCs w:val="24"/>
        </w:rPr>
      </w:pPr>
      <w:r>
        <w:rPr>
          <w:sz w:val="24"/>
          <w:szCs w:val="24"/>
        </w:rPr>
        <w:t>2</w:t>
      </w:r>
      <w:r>
        <w:rPr>
          <w:rFonts w:hint="eastAsia"/>
          <w:sz w:val="24"/>
          <w:szCs w:val="24"/>
        </w:rPr>
        <w:t>、车辆冲洗废水</w:t>
      </w:r>
    </w:p>
    <w:p>
      <w:pPr>
        <w:tabs>
          <w:tab w:val="left" w:pos="495"/>
        </w:tabs>
        <w:adjustRightInd w:val="0"/>
        <w:snapToGrid w:val="0"/>
        <w:spacing w:line="360" w:lineRule="auto"/>
        <w:ind w:firstLine="480" w:firstLineChars="200"/>
        <w:rPr>
          <w:sz w:val="24"/>
          <w:szCs w:val="24"/>
        </w:rPr>
      </w:pPr>
      <w:r>
        <w:rPr>
          <w:rFonts w:hint="eastAsia"/>
          <w:sz w:val="24"/>
          <w:szCs w:val="24"/>
        </w:rPr>
        <w:t>本项目车辆冲洗用水量约1</w:t>
      </w:r>
      <w:r>
        <w:rPr>
          <w:sz w:val="24"/>
          <w:szCs w:val="24"/>
        </w:rPr>
        <w:t>m</w:t>
      </w:r>
      <w:r>
        <w:rPr>
          <w:sz w:val="24"/>
          <w:szCs w:val="24"/>
          <w:vertAlign w:val="superscript"/>
        </w:rPr>
        <w:t>3</w:t>
      </w:r>
      <w:r>
        <w:rPr>
          <w:sz w:val="24"/>
          <w:szCs w:val="24"/>
        </w:rPr>
        <w:t>/d</w:t>
      </w:r>
      <w:r>
        <w:rPr>
          <w:rFonts w:hint="eastAsia"/>
          <w:sz w:val="24"/>
          <w:szCs w:val="24"/>
        </w:rPr>
        <w:t>，废水产生量按照</w:t>
      </w:r>
      <w:r>
        <w:rPr>
          <w:sz w:val="24"/>
          <w:szCs w:val="24"/>
        </w:rPr>
        <w:t>90%</w:t>
      </w:r>
      <w:r>
        <w:rPr>
          <w:rFonts w:hint="eastAsia"/>
          <w:sz w:val="24"/>
          <w:szCs w:val="24"/>
        </w:rPr>
        <w:t>计，废水量约0</w:t>
      </w:r>
      <w:r>
        <w:rPr>
          <w:sz w:val="24"/>
          <w:szCs w:val="24"/>
        </w:rPr>
        <w:t>.9m</w:t>
      </w:r>
      <w:r>
        <w:rPr>
          <w:sz w:val="24"/>
          <w:szCs w:val="24"/>
          <w:vertAlign w:val="superscript"/>
        </w:rPr>
        <w:t>3</w:t>
      </w:r>
      <w:r>
        <w:rPr>
          <w:sz w:val="24"/>
          <w:szCs w:val="24"/>
        </w:rPr>
        <w:t>/d</w:t>
      </w:r>
      <w:r>
        <w:rPr>
          <w:rFonts w:hint="eastAsia"/>
          <w:sz w:val="24"/>
          <w:szCs w:val="24"/>
        </w:rPr>
        <w:t>，车辆冲洗废水排入渗滤液处理站调节池。</w:t>
      </w:r>
    </w:p>
    <w:p>
      <w:pPr>
        <w:tabs>
          <w:tab w:val="left" w:pos="495"/>
        </w:tabs>
        <w:adjustRightInd w:val="0"/>
        <w:snapToGrid w:val="0"/>
        <w:spacing w:line="360" w:lineRule="auto"/>
        <w:ind w:firstLine="480" w:firstLineChars="200"/>
        <w:rPr>
          <w:sz w:val="24"/>
          <w:szCs w:val="24"/>
        </w:rPr>
      </w:pPr>
      <w:r>
        <w:rPr>
          <w:sz w:val="24"/>
          <w:szCs w:val="24"/>
        </w:rPr>
        <w:t>3</w:t>
      </w:r>
      <w:r>
        <w:rPr>
          <w:rFonts w:hint="eastAsia"/>
          <w:sz w:val="24"/>
          <w:szCs w:val="24"/>
        </w:rPr>
        <w:t>、生活污水</w:t>
      </w:r>
    </w:p>
    <w:p>
      <w:pPr>
        <w:tabs>
          <w:tab w:val="left" w:pos="495"/>
        </w:tabs>
        <w:adjustRightInd w:val="0"/>
        <w:snapToGrid w:val="0"/>
        <w:spacing w:line="360" w:lineRule="auto"/>
        <w:ind w:firstLine="480" w:firstLineChars="200"/>
        <w:rPr>
          <w:sz w:val="24"/>
          <w:szCs w:val="24"/>
        </w:rPr>
      </w:pPr>
      <w:r>
        <w:rPr>
          <w:rFonts w:hint="eastAsia"/>
          <w:sz w:val="24"/>
          <w:szCs w:val="24"/>
        </w:rPr>
        <w:t>项目共有</w:t>
      </w:r>
      <w:r>
        <w:rPr>
          <w:sz w:val="24"/>
          <w:szCs w:val="24"/>
        </w:rPr>
        <w:t>12</w:t>
      </w:r>
      <w:r>
        <w:rPr>
          <w:rFonts w:hint="eastAsia"/>
          <w:sz w:val="24"/>
          <w:szCs w:val="24"/>
        </w:rPr>
        <w:t>个工作人员，生活用水量约</w:t>
      </w:r>
      <w:r>
        <w:rPr>
          <w:sz w:val="24"/>
          <w:szCs w:val="24"/>
        </w:rPr>
        <w:t>0.96t/d</w:t>
      </w:r>
      <w:r>
        <w:rPr>
          <w:rFonts w:hint="eastAsia"/>
          <w:sz w:val="24"/>
          <w:szCs w:val="24"/>
        </w:rPr>
        <w:t>，排水量按</w:t>
      </w:r>
      <w:r>
        <w:rPr>
          <w:sz w:val="24"/>
          <w:szCs w:val="24"/>
        </w:rPr>
        <w:t>80%</w:t>
      </w:r>
      <w:r>
        <w:rPr>
          <w:rFonts w:hint="eastAsia"/>
          <w:sz w:val="24"/>
          <w:szCs w:val="24"/>
        </w:rPr>
        <w:t>计，则排放量约</w:t>
      </w:r>
      <w:r>
        <w:rPr>
          <w:sz w:val="24"/>
          <w:szCs w:val="24"/>
        </w:rPr>
        <w:t>0.77t/d</w:t>
      </w:r>
      <w:r>
        <w:rPr>
          <w:rFonts w:hint="eastAsia"/>
          <w:sz w:val="24"/>
          <w:szCs w:val="24"/>
        </w:rPr>
        <w:t>。</w:t>
      </w:r>
    </w:p>
    <w:p>
      <w:pPr>
        <w:tabs>
          <w:tab w:val="left" w:pos="495"/>
        </w:tabs>
        <w:adjustRightInd w:val="0"/>
        <w:snapToGrid w:val="0"/>
        <w:spacing w:line="360" w:lineRule="auto"/>
        <w:ind w:firstLine="480" w:firstLineChars="200"/>
        <w:rPr>
          <w:sz w:val="24"/>
          <w:szCs w:val="24"/>
        </w:rPr>
      </w:pPr>
      <w:r>
        <w:rPr>
          <w:sz w:val="24"/>
          <w:szCs w:val="24"/>
        </w:rPr>
        <w:t>4</w:t>
      </w:r>
      <w:r>
        <w:rPr>
          <w:rFonts w:hint="eastAsia"/>
          <w:sz w:val="24"/>
          <w:szCs w:val="24"/>
        </w:rPr>
        <w:t>、初期雨水</w:t>
      </w:r>
    </w:p>
    <w:p>
      <w:pPr>
        <w:tabs>
          <w:tab w:val="left" w:pos="495"/>
        </w:tabs>
        <w:adjustRightInd w:val="0"/>
        <w:snapToGrid w:val="0"/>
        <w:spacing w:line="360" w:lineRule="auto"/>
        <w:ind w:firstLine="480" w:firstLineChars="200"/>
        <w:rPr>
          <w:sz w:val="24"/>
          <w:szCs w:val="24"/>
        </w:rPr>
      </w:pPr>
      <w:r>
        <w:rPr>
          <w:rFonts w:hint="eastAsia"/>
          <w:sz w:val="24"/>
          <w:szCs w:val="24"/>
        </w:rPr>
        <w:t>项目排水体制采用雨污分流制。厂内运输道路的降雨开始前</w:t>
      </w:r>
      <w:r>
        <w:rPr>
          <w:sz w:val="24"/>
          <w:szCs w:val="24"/>
        </w:rPr>
        <w:t xml:space="preserve">15 </w:t>
      </w:r>
      <w:r>
        <w:rPr>
          <w:rFonts w:hint="eastAsia"/>
          <w:sz w:val="24"/>
          <w:szCs w:val="24"/>
        </w:rPr>
        <w:t>分钟初期雨水集中收集后送至渗滤液处理站调节池，降雨开始开始</w:t>
      </w:r>
      <w:r>
        <w:rPr>
          <w:sz w:val="24"/>
          <w:szCs w:val="24"/>
        </w:rPr>
        <w:t xml:space="preserve">15 </w:t>
      </w:r>
      <w:r>
        <w:rPr>
          <w:rFonts w:hint="eastAsia"/>
          <w:sz w:val="24"/>
          <w:szCs w:val="24"/>
        </w:rPr>
        <w:t>分钟后雨水可切换溢流排入厂区雨水管。根据工程分析中计算，</w:t>
      </w:r>
      <w:bookmarkStart w:id="75" w:name="_Hlk111213249"/>
      <w:r>
        <w:rPr>
          <w:kern w:val="0"/>
          <w:sz w:val="24"/>
          <w:szCs w:val="24"/>
        </w:rPr>
        <w:t>最大初期雨水需收集量约为106.2</w:t>
      </w:r>
      <w:r>
        <w:rPr>
          <w:kern w:val="0"/>
          <w:sz w:val="24"/>
          <w:szCs w:val="24"/>
          <w:lang w:val="da-DK"/>
        </w:rPr>
        <w:t>m</w:t>
      </w:r>
      <w:r>
        <w:rPr>
          <w:kern w:val="0"/>
          <w:sz w:val="24"/>
          <w:szCs w:val="24"/>
          <w:vertAlign w:val="superscript"/>
          <w:lang w:val="da-DK"/>
        </w:rPr>
        <w:t>3</w:t>
      </w:r>
    </w:p>
    <w:bookmarkEnd w:id="75"/>
    <w:p>
      <w:pPr>
        <w:tabs>
          <w:tab w:val="left" w:pos="495"/>
        </w:tabs>
        <w:adjustRightInd w:val="0"/>
        <w:snapToGrid w:val="0"/>
        <w:spacing w:line="360" w:lineRule="auto"/>
        <w:ind w:firstLine="480" w:firstLineChars="200"/>
        <w:rPr>
          <w:sz w:val="24"/>
          <w:szCs w:val="24"/>
        </w:rPr>
      </w:pPr>
      <w:r>
        <w:rPr>
          <w:rFonts w:hint="eastAsia"/>
          <w:sz w:val="24"/>
          <w:szCs w:val="24"/>
        </w:rPr>
        <w:t>本项目营运期水平衡见表</w:t>
      </w:r>
      <w:r>
        <w:rPr>
          <w:sz w:val="24"/>
          <w:szCs w:val="24"/>
        </w:rPr>
        <w:t>3.6-2</w:t>
      </w:r>
      <w:r>
        <w:rPr>
          <w:rFonts w:hint="eastAsia"/>
          <w:sz w:val="24"/>
          <w:szCs w:val="24"/>
        </w:rPr>
        <w:t>。</w:t>
      </w:r>
    </w:p>
    <w:p>
      <w:pPr>
        <w:adjustRightInd w:val="0"/>
        <w:snapToGrid w:val="0"/>
        <w:jc w:val="center"/>
        <w:rPr>
          <w:b/>
          <w:sz w:val="24"/>
        </w:rPr>
      </w:pPr>
      <w:r>
        <w:rPr>
          <w:rFonts w:hint="eastAsia"/>
          <w:b/>
          <w:sz w:val="24"/>
        </w:rPr>
        <w:t xml:space="preserve"> </w:t>
      </w:r>
      <w:r>
        <w:rPr>
          <w:b/>
          <w:sz w:val="24"/>
        </w:rPr>
        <w:t xml:space="preserve">                 </w:t>
      </w:r>
      <w:r>
        <w:rPr>
          <w:rFonts w:hint="eastAsia"/>
          <w:b/>
          <w:sz w:val="24"/>
        </w:rPr>
        <w:t>表</w:t>
      </w:r>
      <w:r>
        <w:rPr>
          <w:b/>
          <w:sz w:val="24"/>
        </w:rPr>
        <w:t xml:space="preserve">3.6-2 </w:t>
      </w:r>
      <w:r>
        <w:rPr>
          <w:rFonts w:hint="eastAsia"/>
          <w:b/>
          <w:sz w:val="24"/>
        </w:rPr>
        <w:t xml:space="preserve">营运期水平衡一览表 </w:t>
      </w:r>
      <w:r>
        <w:rPr>
          <w:b/>
          <w:sz w:val="24"/>
        </w:rPr>
        <w:t xml:space="preserve">          </w:t>
      </w:r>
      <w:r>
        <w:rPr>
          <w:rFonts w:hint="eastAsia"/>
          <w:b/>
          <w:szCs w:val="21"/>
        </w:rPr>
        <w:t>单位：</w:t>
      </w:r>
      <w:r>
        <w:rPr>
          <w:b/>
          <w:szCs w:val="21"/>
        </w:rPr>
        <w:t>m</w:t>
      </w:r>
      <w:r>
        <w:rPr>
          <w:b/>
          <w:szCs w:val="21"/>
          <w:vertAlign w:val="superscript"/>
        </w:rPr>
        <w:t>3</w:t>
      </w:r>
      <w:r>
        <w:rPr>
          <w:b/>
          <w:szCs w:val="21"/>
        </w:rPr>
        <w:t>/d</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26"/>
        <w:gridCol w:w="3300"/>
        <w:gridCol w:w="1899"/>
        <w:gridCol w:w="18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Cs w:val="21"/>
              </w:rPr>
            </w:pPr>
            <w:r>
              <w:rPr>
                <w:b/>
                <w:bCs/>
                <w:kern w:val="0"/>
                <w:szCs w:val="21"/>
              </w:rPr>
              <w:t>序号</w:t>
            </w:r>
          </w:p>
        </w:tc>
        <w:tc>
          <w:tcPr>
            <w:tcW w:w="1936" w:type="pct"/>
          </w:tcPr>
          <w:p>
            <w:pPr>
              <w:jc w:val="center"/>
              <w:rPr>
                <w:kern w:val="0"/>
                <w:szCs w:val="21"/>
              </w:rPr>
            </w:pPr>
            <w:r>
              <w:rPr>
                <w:b/>
                <w:bCs/>
                <w:kern w:val="0"/>
                <w:szCs w:val="21"/>
              </w:rPr>
              <w:t>用水项目</w:t>
            </w:r>
          </w:p>
        </w:tc>
        <w:tc>
          <w:tcPr>
            <w:tcW w:w="1114" w:type="pct"/>
          </w:tcPr>
          <w:p>
            <w:pPr>
              <w:jc w:val="center"/>
              <w:rPr>
                <w:kern w:val="0"/>
                <w:szCs w:val="21"/>
              </w:rPr>
            </w:pPr>
            <w:r>
              <w:rPr>
                <w:b/>
                <w:bCs/>
                <w:kern w:val="0"/>
                <w:szCs w:val="21"/>
              </w:rPr>
              <w:t>用水量</w:t>
            </w:r>
          </w:p>
        </w:tc>
        <w:tc>
          <w:tcPr>
            <w:tcW w:w="1113" w:type="pct"/>
          </w:tcPr>
          <w:p>
            <w:pPr>
              <w:jc w:val="center"/>
              <w:rPr>
                <w:kern w:val="0"/>
                <w:szCs w:val="21"/>
              </w:rPr>
            </w:pPr>
            <w:r>
              <w:rPr>
                <w:b/>
                <w:bCs/>
                <w:kern w:val="0"/>
                <w:szCs w:val="21"/>
              </w:rPr>
              <w:t>排水量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Cs w:val="21"/>
              </w:rPr>
            </w:pPr>
            <w:r>
              <w:rPr>
                <w:kern w:val="0"/>
                <w:szCs w:val="21"/>
              </w:rPr>
              <w:t>1</w:t>
            </w:r>
          </w:p>
        </w:tc>
        <w:tc>
          <w:tcPr>
            <w:tcW w:w="1936" w:type="pct"/>
          </w:tcPr>
          <w:p>
            <w:pPr>
              <w:jc w:val="center"/>
              <w:rPr>
                <w:kern w:val="0"/>
                <w:szCs w:val="21"/>
              </w:rPr>
            </w:pPr>
            <w:r>
              <w:rPr>
                <w:kern w:val="0"/>
                <w:szCs w:val="21"/>
              </w:rPr>
              <w:t>生活用水</w:t>
            </w:r>
          </w:p>
        </w:tc>
        <w:tc>
          <w:tcPr>
            <w:tcW w:w="1114" w:type="pct"/>
          </w:tcPr>
          <w:p>
            <w:pPr>
              <w:jc w:val="center"/>
              <w:rPr>
                <w:kern w:val="0"/>
                <w:szCs w:val="21"/>
              </w:rPr>
            </w:pPr>
            <w:r>
              <w:rPr>
                <w:kern w:val="0"/>
                <w:szCs w:val="21"/>
              </w:rPr>
              <w:t>0.96</w:t>
            </w:r>
          </w:p>
        </w:tc>
        <w:tc>
          <w:tcPr>
            <w:tcW w:w="1113" w:type="pct"/>
          </w:tcPr>
          <w:p>
            <w:pPr>
              <w:jc w:val="center"/>
              <w:rPr>
                <w:kern w:val="0"/>
                <w:szCs w:val="21"/>
              </w:rPr>
            </w:pPr>
            <w:r>
              <w:rPr>
                <w:kern w:val="0"/>
                <w:szCs w:val="21"/>
              </w:rPr>
              <w:t>0.77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Cs w:val="21"/>
              </w:rPr>
            </w:pPr>
            <w:r>
              <w:rPr>
                <w:kern w:val="0"/>
                <w:szCs w:val="21"/>
              </w:rPr>
              <w:t>2</w:t>
            </w:r>
          </w:p>
        </w:tc>
        <w:tc>
          <w:tcPr>
            <w:tcW w:w="1936" w:type="pct"/>
          </w:tcPr>
          <w:p>
            <w:pPr>
              <w:jc w:val="center"/>
              <w:rPr>
                <w:kern w:val="0"/>
                <w:szCs w:val="21"/>
              </w:rPr>
            </w:pPr>
            <w:r>
              <w:rPr>
                <w:kern w:val="0"/>
                <w:szCs w:val="21"/>
              </w:rPr>
              <w:t>车辆冲洗水</w:t>
            </w:r>
          </w:p>
        </w:tc>
        <w:tc>
          <w:tcPr>
            <w:tcW w:w="1114" w:type="pct"/>
          </w:tcPr>
          <w:p>
            <w:pPr>
              <w:jc w:val="center"/>
              <w:rPr>
                <w:kern w:val="0"/>
                <w:szCs w:val="21"/>
              </w:rPr>
            </w:pPr>
            <w:r>
              <w:rPr>
                <w:kern w:val="0"/>
                <w:szCs w:val="21"/>
              </w:rPr>
              <w:t>1</w:t>
            </w:r>
          </w:p>
        </w:tc>
        <w:tc>
          <w:tcPr>
            <w:tcW w:w="1113" w:type="pct"/>
          </w:tcPr>
          <w:p>
            <w:pPr>
              <w:jc w:val="center"/>
              <w:rPr>
                <w:kern w:val="0"/>
                <w:szCs w:val="21"/>
              </w:rPr>
            </w:pPr>
            <w:r>
              <w:rPr>
                <w:kern w:val="0"/>
                <w:szCs w:val="21"/>
              </w:rPr>
              <w:t>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Cs w:val="21"/>
              </w:rPr>
            </w:pPr>
            <w:r>
              <w:rPr>
                <w:kern w:val="0"/>
                <w:szCs w:val="21"/>
              </w:rPr>
              <w:t>3</w:t>
            </w:r>
          </w:p>
        </w:tc>
        <w:tc>
          <w:tcPr>
            <w:tcW w:w="1936" w:type="pct"/>
          </w:tcPr>
          <w:p>
            <w:pPr>
              <w:jc w:val="center"/>
              <w:rPr>
                <w:kern w:val="0"/>
                <w:szCs w:val="21"/>
              </w:rPr>
            </w:pPr>
            <w:r>
              <w:rPr>
                <w:kern w:val="0"/>
                <w:szCs w:val="21"/>
              </w:rPr>
              <w:t>绿化浇灌用水</w:t>
            </w:r>
          </w:p>
        </w:tc>
        <w:tc>
          <w:tcPr>
            <w:tcW w:w="1114" w:type="pct"/>
          </w:tcPr>
          <w:p>
            <w:pPr>
              <w:jc w:val="center"/>
              <w:rPr>
                <w:kern w:val="0"/>
                <w:szCs w:val="21"/>
              </w:rPr>
            </w:pPr>
            <w:r>
              <w:rPr>
                <w:kern w:val="0"/>
                <w:szCs w:val="21"/>
              </w:rPr>
              <w:t>4.5</w:t>
            </w:r>
          </w:p>
        </w:tc>
        <w:tc>
          <w:tcPr>
            <w:tcW w:w="1113" w:type="pct"/>
          </w:tcPr>
          <w:p>
            <w:pPr>
              <w:jc w:val="center"/>
              <w:rPr>
                <w:kern w:val="0"/>
                <w:szCs w:val="21"/>
              </w:rPr>
            </w:pP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Cs w:val="21"/>
              </w:rPr>
            </w:pPr>
            <w:r>
              <w:rPr>
                <w:kern w:val="0"/>
                <w:szCs w:val="21"/>
              </w:rPr>
              <w:t>4</w:t>
            </w:r>
          </w:p>
        </w:tc>
        <w:tc>
          <w:tcPr>
            <w:tcW w:w="1936" w:type="pct"/>
          </w:tcPr>
          <w:p>
            <w:pPr>
              <w:jc w:val="center"/>
              <w:rPr>
                <w:spacing w:val="-1"/>
                <w:kern w:val="0"/>
                <w:szCs w:val="21"/>
              </w:rPr>
            </w:pPr>
            <w:r>
              <w:rPr>
                <w:kern w:val="0"/>
                <w:szCs w:val="21"/>
              </w:rPr>
              <w:t>库区抑尘</w:t>
            </w:r>
          </w:p>
        </w:tc>
        <w:tc>
          <w:tcPr>
            <w:tcW w:w="1114" w:type="pct"/>
          </w:tcPr>
          <w:p>
            <w:pPr>
              <w:jc w:val="center"/>
              <w:rPr>
                <w:kern w:val="0"/>
                <w:szCs w:val="21"/>
              </w:rPr>
            </w:pPr>
            <w:r>
              <w:rPr>
                <w:kern w:val="0"/>
                <w:szCs w:val="21"/>
              </w:rPr>
              <w:t>3</w:t>
            </w:r>
          </w:p>
        </w:tc>
        <w:tc>
          <w:tcPr>
            <w:tcW w:w="1113" w:type="pct"/>
          </w:tcPr>
          <w:p>
            <w:pPr>
              <w:jc w:val="center"/>
              <w:rPr>
                <w:kern w:val="0"/>
                <w:szCs w:val="21"/>
              </w:rPr>
            </w:pP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Cs w:val="21"/>
              </w:rPr>
            </w:pPr>
            <w:r>
              <w:rPr>
                <w:kern w:val="0"/>
                <w:szCs w:val="21"/>
              </w:rPr>
              <w:t>5</w:t>
            </w:r>
          </w:p>
        </w:tc>
        <w:tc>
          <w:tcPr>
            <w:tcW w:w="1936" w:type="pct"/>
          </w:tcPr>
          <w:p>
            <w:pPr>
              <w:jc w:val="center"/>
              <w:rPr>
                <w:kern w:val="0"/>
                <w:szCs w:val="21"/>
              </w:rPr>
            </w:pPr>
            <w:r>
              <w:rPr>
                <w:rFonts w:hint="eastAsia"/>
                <w:kern w:val="0"/>
                <w:sz w:val="20"/>
                <w:szCs w:val="21"/>
              </w:rPr>
              <w:t>渗滤液</w:t>
            </w:r>
          </w:p>
        </w:tc>
        <w:tc>
          <w:tcPr>
            <w:tcW w:w="1114" w:type="pct"/>
          </w:tcPr>
          <w:p>
            <w:pPr>
              <w:jc w:val="center"/>
              <w:rPr>
                <w:kern w:val="0"/>
                <w:szCs w:val="21"/>
              </w:rPr>
            </w:pPr>
            <w:r>
              <w:rPr>
                <w:kern w:val="0"/>
                <w:sz w:val="20"/>
                <w:szCs w:val="21"/>
              </w:rPr>
              <w:t>0</w:t>
            </w:r>
          </w:p>
        </w:tc>
        <w:tc>
          <w:tcPr>
            <w:tcW w:w="1113" w:type="pct"/>
          </w:tcPr>
          <w:p>
            <w:pPr>
              <w:jc w:val="center"/>
              <w:rPr>
                <w:kern w:val="0"/>
                <w:szCs w:val="21"/>
              </w:rPr>
            </w:pPr>
            <w:r>
              <w:rPr>
                <w:kern w:val="0"/>
                <w:sz w:val="20"/>
                <w:szCs w:val="21"/>
              </w:rPr>
              <w:t>19.06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 w:val="20"/>
                <w:szCs w:val="21"/>
              </w:rPr>
            </w:pPr>
            <w:r>
              <w:rPr>
                <w:rFonts w:hint="eastAsia"/>
                <w:kern w:val="0"/>
                <w:sz w:val="20"/>
                <w:szCs w:val="21"/>
              </w:rPr>
              <w:t>6</w:t>
            </w:r>
          </w:p>
        </w:tc>
        <w:tc>
          <w:tcPr>
            <w:tcW w:w="1936" w:type="pct"/>
          </w:tcPr>
          <w:p>
            <w:pPr>
              <w:jc w:val="center"/>
              <w:rPr>
                <w:kern w:val="0"/>
                <w:sz w:val="20"/>
                <w:szCs w:val="21"/>
              </w:rPr>
            </w:pPr>
            <w:r>
              <w:rPr>
                <w:rFonts w:hint="eastAsia"/>
                <w:kern w:val="0"/>
                <w:sz w:val="20"/>
              </w:rPr>
              <w:t>未预见水量</w:t>
            </w:r>
          </w:p>
        </w:tc>
        <w:tc>
          <w:tcPr>
            <w:tcW w:w="1114" w:type="pct"/>
          </w:tcPr>
          <w:p>
            <w:pPr>
              <w:jc w:val="center"/>
              <w:rPr>
                <w:kern w:val="0"/>
                <w:sz w:val="20"/>
                <w:szCs w:val="21"/>
              </w:rPr>
            </w:pPr>
            <w:r>
              <w:rPr>
                <w:rFonts w:hint="eastAsia"/>
                <w:kern w:val="0"/>
                <w:sz w:val="20"/>
                <w:szCs w:val="21"/>
              </w:rPr>
              <w:t>0</w:t>
            </w:r>
            <w:r>
              <w:rPr>
                <w:kern w:val="0"/>
                <w:sz w:val="20"/>
                <w:szCs w:val="21"/>
              </w:rPr>
              <w:t>.946</w:t>
            </w:r>
          </w:p>
        </w:tc>
        <w:tc>
          <w:tcPr>
            <w:tcW w:w="1113" w:type="pct"/>
          </w:tcPr>
          <w:p>
            <w:pPr>
              <w:jc w:val="center"/>
              <w:rPr>
                <w:kern w:val="0"/>
                <w:sz w:val="20"/>
                <w:szCs w:val="21"/>
              </w:rPr>
            </w:pPr>
            <w:r>
              <w:rPr>
                <w:rFonts w:hint="eastAsia"/>
                <w:kern w:val="0"/>
                <w:sz w:val="2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37" w:type="pct"/>
          </w:tcPr>
          <w:p>
            <w:pPr>
              <w:jc w:val="center"/>
              <w:rPr>
                <w:kern w:val="0"/>
                <w:sz w:val="20"/>
                <w:szCs w:val="21"/>
              </w:rPr>
            </w:pPr>
            <w:r>
              <w:rPr>
                <w:rFonts w:hint="eastAsia"/>
                <w:kern w:val="0"/>
                <w:sz w:val="20"/>
                <w:szCs w:val="21"/>
              </w:rPr>
              <w:t>7</w:t>
            </w:r>
          </w:p>
        </w:tc>
        <w:tc>
          <w:tcPr>
            <w:tcW w:w="1936" w:type="pct"/>
          </w:tcPr>
          <w:p>
            <w:pPr>
              <w:jc w:val="center"/>
              <w:rPr>
                <w:kern w:val="0"/>
                <w:sz w:val="20"/>
                <w:szCs w:val="21"/>
              </w:rPr>
            </w:pPr>
            <w:r>
              <w:rPr>
                <w:kern w:val="0"/>
                <w:szCs w:val="21"/>
              </w:rPr>
              <w:t>合计</w:t>
            </w:r>
          </w:p>
        </w:tc>
        <w:tc>
          <w:tcPr>
            <w:tcW w:w="1114" w:type="pct"/>
          </w:tcPr>
          <w:p>
            <w:pPr>
              <w:jc w:val="center"/>
              <w:rPr>
                <w:kern w:val="0"/>
                <w:sz w:val="20"/>
                <w:szCs w:val="21"/>
              </w:rPr>
            </w:pPr>
            <w:r>
              <w:rPr>
                <w:kern w:val="0"/>
                <w:szCs w:val="21"/>
              </w:rPr>
              <w:t>10.406</w:t>
            </w:r>
          </w:p>
        </w:tc>
        <w:tc>
          <w:tcPr>
            <w:tcW w:w="1113" w:type="pct"/>
          </w:tcPr>
          <w:p>
            <w:pPr>
              <w:jc w:val="center"/>
              <w:rPr>
                <w:kern w:val="0"/>
                <w:sz w:val="20"/>
                <w:szCs w:val="21"/>
              </w:rPr>
            </w:pPr>
            <w:r>
              <w:rPr>
                <w:rFonts w:hint="eastAsia"/>
                <w:kern w:val="0"/>
                <w:sz w:val="20"/>
                <w:szCs w:val="21"/>
              </w:rPr>
              <w:t>20.73</w:t>
            </w:r>
          </w:p>
        </w:tc>
      </w:tr>
    </w:tbl>
    <w:p>
      <w:pPr>
        <w:pStyle w:val="62"/>
        <w:numPr>
          <w:ilvl w:val="2"/>
          <w:numId w:val="5"/>
        </w:numPr>
        <w:tabs>
          <w:tab w:val="left" w:pos="567"/>
        </w:tabs>
        <w:spacing w:before="120" w:after="120"/>
        <w:ind w:left="0" w:firstLine="0"/>
        <w:rPr>
          <w:rFonts w:ascii="Times New Roman" w:hAnsi="Times New Roman"/>
        </w:rPr>
      </w:pPr>
      <w:r>
        <w:rPr>
          <w:rFonts w:hint="eastAsia" w:ascii="Times New Roman" w:hAnsi="Times New Roman"/>
        </w:rPr>
        <w:t>供电</w:t>
      </w:r>
    </w:p>
    <w:p>
      <w:pPr>
        <w:tabs>
          <w:tab w:val="left" w:pos="495"/>
        </w:tabs>
        <w:adjustRightInd w:val="0"/>
        <w:snapToGrid w:val="0"/>
        <w:spacing w:line="360" w:lineRule="auto"/>
        <w:ind w:firstLine="480" w:firstLineChars="200"/>
        <w:rPr>
          <w:sz w:val="24"/>
          <w:szCs w:val="24"/>
        </w:rPr>
      </w:pPr>
      <w:r>
        <w:rPr>
          <w:rFonts w:hint="eastAsia" w:ascii="宋体" w:cs="宋体"/>
          <w:kern w:val="0"/>
          <w:sz w:val="24"/>
          <w:szCs w:val="24"/>
        </w:rPr>
        <w:t>本项目依托生活垃圾焚烧发电项目专线电源供电。</w:t>
      </w:r>
    </w:p>
    <w:p>
      <w:pPr>
        <w:pStyle w:val="62"/>
        <w:numPr>
          <w:ilvl w:val="2"/>
          <w:numId w:val="5"/>
        </w:numPr>
        <w:tabs>
          <w:tab w:val="left" w:pos="567"/>
        </w:tabs>
        <w:spacing w:before="120" w:after="120"/>
        <w:ind w:left="0" w:firstLine="0"/>
        <w:rPr>
          <w:rFonts w:ascii="Times New Roman" w:hAnsi="Times New Roman"/>
        </w:rPr>
      </w:pPr>
      <w:r>
        <w:rPr>
          <w:rFonts w:hint="eastAsia" w:ascii="Times New Roman" w:hAnsi="Times New Roman"/>
        </w:rPr>
        <w:t>进场道路</w:t>
      </w:r>
    </w:p>
    <w:p>
      <w:pPr>
        <w:tabs>
          <w:tab w:val="left" w:pos="495"/>
        </w:tabs>
        <w:adjustRightInd w:val="0"/>
        <w:snapToGrid w:val="0"/>
        <w:spacing w:line="360" w:lineRule="auto"/>
        <w:ind w:firstLine="480" w:firstLineChars="200"/>
        <w:rPr>
          <w:sz w:val="24"/>
          <w:szCs w:val="24"/>
        </w:rPr>
      </w:pPr>
      <w:r>
        <w:rPr>
          <w:rFonts w:hint="eastAsia"/>
          <w:sz w:val="24"/>
          <w:szCs w:val="24"/>
        </w:rPr>
        <w:t>进场道路是由市政道路到填埋场场区的道路，全长约1公里。工程按照厂矿道路厂外四级路标准进行设计，道路标准横断面布置形式：0.5m土路肩+8m行车道+0.5m土路肩，直通向垃圾主坝，并在道路的终点设置的</w:t>
      </w:r>
      <w:r>
        <w:rPr>
          <w:sz w:val="24"/>
          <w:szCs w:val="24"/>
        </w:rPr>
        <w:t>160</w:t>
      </w:r>
      <w:r>
        <w:rPr>
          <w:rFonts w:hint="eastAsia"/>
          <w:sz w:val="24"/>
          <w:szCs w:val="24"/>
        </w:rPr>
        <w:t>m</w:t>
      </w:r>
      <w:r>
        <w:rPr>
          <w:sz w:val="24"/>
          <w:szCs w:val="24"/>
          <w:vertAlign w:val="superscript"/>
        </w:rPr>
        <w:t>2</w:t>
      </w:r>
      <w:r>
        <w:rPr>
          <w:rFonts w:hint="eastAsia"/>
          <w:sz w:val="24"/>
          <w:szCs w:val="24"/>
        </w:rPr>
        <w:t>的回车平台。场内道路工程按照为4m、6m行车道建设，长度约1km。</w:t>
      </w:r>
    </w:p>
    <w:p>
      <w:pPr>
        <w:pStyle w:val="61"/>
        <w:numPr>
          <w:ilvl w:val="1"/>
          <w:numId w:val="5"/>
        </w:numPr>
        <w:tabs>
          <w:tab w:val="left" w:pos="567"/>
          <w:tab w:val="clear" w:pos="432"/>
        </w:tabs>
        <w:spacing w:before="120" w:after="120"/>
        <w:ind w:left="0" w:firstLine="0"/>
        <w:rPr>
          <w:rFonts w:ascii="Times New Roman" w:hAnsi="Times New Roman"/>
        </w:rPr>
      </w:pPr>
      <w:bookmarkStart w:id="76" w:name="_Toc94101212"/>
      <w:r>
        <w:rPr>
          <w:rFonts w:ascii="Times New Roman" w:hAnsi="Times New Roman"/>
        </w:rPr>
        <w:t>填埋库</w:t>
      </w:r>
      <w:r>
        <w:rPr>
          <w:rFonts w:hint="eastAsia" w:ascii="Times New Roman" w:hAnsi="Times New Roman"/>
        </w:rPr>
        <w:t>建设方案</w:t>
      </w:r>
      <w:bookmarkEnd w:id="76"/>
    </w:p>
    <w:p>
      <w:pPr>
        <w:tabs>
          <w:tab w:val="left" w:pos="495"/>
        </w:tabs>
        <w:adjustRightInd w:val="0"/>
        <w:snapToGrid w:val="0"/>
        <w:spacing w:line="360" w:lineRule="auto"/>
        <w:ind w:firstLine="480" w:firstLineChars="200"/>
        <w:rPr>
          <w:bCs/>
          <w:kern w:val="0"/>
          <w:sz w:val="24"/>
          <w:szCs w:val="24"/>
        </w:rPr>
      </w:pPr>
      <w:r>
        <w:rPr>
          <w:rFonts w:hint="eastAsia"/>
          <w:bCs/>
          <w:kern w:val="0"/>
          <w:sz w:val="24"/>
          <w:szCs w:val="24"/>
        </w:rPr>
        <w:t>本项目属沟谷型填埋场，建设内容主要包括坝体工程、场底整平工程、填埋库区防渗工程、地下水导排工程、渗滤液导排工程、防洪工程、渗滤液处理工程和封场覆盖工程等。</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bookmarkStart w:id="77" w:name="_Hlk78470692"/>
      <w:bookmarkStart w:id="78" w:name="_Hlk78449571"/>
      <w:bookmarkStart w:id="79" w:name="_Hlk78450037"/>
      <w:r>
        <w:rPr>
          <w:b/>
          <w:bCs/>
          <w:snapToGrid w:val="0"/>
          <w:sz w:val="28"/>
          <w:szCs w:val="28"/>
        </w:rPr>
        <w:t>坝</w:t>
      </w:r>
      <w:r>
        <w:rPr>
          <w:rFonts w:hint="eastAsia"/>
          <w:b/>
          <w:bCs/>
          <w:snapToGrid w:val="0"/>
          <w:sz w:val="28"/>
          <w:szCs w:val="28"/>
        </w:rPr>
        <w:t>体</w:t>
      </w:r>
      <w:r>
        <w:rPr>
          <w:b/>
          <w:bCs/>
          <w:snapToGrid w:val="0"/>
          <w:sz w:val="28"/>
          <w:szCs w:val="28"/>
        </w:rPr>
        <w:t>工程</w:t>
      </w:r>
    </w:p>
    <w:p>
      <w:pPr>
        <w:adjustRightInd w:val="0"/>
        <w:snapToGrid w:val="0"/>
        <w:spacing w:line="360" w:lineRule="auto"/>
        <w:ind w:firstLine="480" w:firstLineChars="200"/>
        <w:rPr>
          <w:sz w:val="24"/>
          <w:szCs w:val="24"/>
        </w:rPr>
      </w:pPr>
      <w:r>
        <w:rPr>
          <w:rFonts w:hint="eastAsia"/>
          <w:sz w:val="24"/>
          <w:szCs w:val="24"/>
        </w:rPr>
        <w:t>根据《围场满族蒙古族自治县静脉产业园飞灰填埋场项目可行性研究报告》，为了保证固废填埋体的稳定，根据实际地形及库容要求，本项目需要在填埋区北侧设置一道垃圾坝，由于现场地形地势起伏较大，为了节省空间满足填埋场库容要求，于填埋场其它方向设置钢筋混凝土挡墙。</w:t>
      </w:r>
    </w:p>
    <w:p>
      <w:pPr>
        <w:adjustRightInd w:val="0"/>
        <w:snapToGrid w:val="0"/>
        <w:spacing w:line="360" w:lineRule="auto"/>
        <w:ind w:firstLine="480" w:firstLineChars="200"/>
        <w:rPr>
          <w:sz w:val="24"/>
          <w:szCs w:val="24"/>
        </w:rPr>
      </w:pPr>
      <w:r>
        <w:rPr>
          <w:sz w:val="24"/>
          <w:szCs w:val="24"/>
        </w:rPr>
        <w:t>飞灰固化物填埋区北侧设置一道垃圾挡坝，坝体为碾压式土石坝，坝顶标高定位970.000，坝顶宽度4.0m，最大坝高13m，坝长约88.43m。坝体两侧均为1：2放坡、敷设防渗系统并以袋装砂土作为保护层。</w:t>
      </w:r>
    </w:p>
    <w:p>
      <w:pPr>
        <w:adjustRightInd w:val="0"/>
        <w:snapToGrid w:val="0"/>
        <w:spacing w:line="360" w:lineRule="auto"/>
        <w:ind w:firstLine="480" w:firstLineChars="200"/>
        <w:rPr>
          <w:sz w:val="24"/>
          <w:szCs w:val="24"/>
        </w:rPr>
      </w:pPr>
      <w:r>
        <w:rPr>
          <w:rFonts w:hint="eastAsia"/>
          <w:sz w:val="24"/>
          <w:szCs w:val="24"/>
        </w:rPr>
        <w:t>现场地形地势起伏较大，为了节省空间满足填埋场库容要求，于填埋场北部、南部、西南部设置钢筋混凝土挡墙。挡墙总长度约</w:t>
      </w:r>
      <w:r>
        <w:rPr>
          <w:sz w:val="24"/>
          <w:szCs w:val="24"/>
        </w:rPr>
        <w:t>274</w:t>
      </w:r>
      <w:r>
        <w:rPr>
          <w:rFonts w:hint="eastAsia"/>
          <w:sz w:val="24"/>
          <w:szCs w:val="24"/>
        </w:rPr>
        <w:t>m，最高约1</w:t>
      </w:r>
      <w:r>
        <w:rPr>
          <w:sz w:val="24"/>
          <w:szCs w:val="24"/>
        </w:rPr>
        <w:t>0</w:t>
      </w:r>
      <w:r>
        <w:rPr>
          <w:rFonts w:hint="eastAsia"/>
          <w:sz w:val="24"/>
          <w:szCs w:val="24"/>
        </w:rPr>
        <w:t>m。</w:t>
      </w:r>
    </w:p>
    <w:p>
      <w:pPr>
        <w:adjustRightInd w:val="0"/>
        <w:snapToGrid w:val="0"/>
        <w:spacing w:line="360" w:lineRule="auto"/>
        <w:ind w:firstLine="480" w:firstLineChars="200"/>
        <w:rPr>
          <w:sz w:val="24"/>
          <w:szCs w:val="24"/>
        </w:rPr>
      </w:pPr>
      <w:r>
        <w:rPr>
          <w:rFonts w:hint="eastAsia"/>
          <w:sz w:val="24"/>
          <w:szCs w:val="24"/>
        </w:rPr>
        <w:t>挡土墙采用悬臂式挡土墙、扶壁式挡土墙，混凝土</w:t>
      </w:r>
      <w:r>
        <w:rPr>
          <w:sz w:val="24"/>
          <w:szCs w:val="24"/>
        </w:rPr>
        <w:t>强度等级为C30</w:t>
      </w:r>
      <w:r>
        <w:rPr>
          <w:rFonts w:hint="eastAsia"/>
          <w:sz w:val="24"/>
          <w:szCs w:val="24"/>
        </w:rPr>
        <w:t>，</w:t>
      </w:r>
      <w:r>
        <w:rPr>
          <w:sz w:val="24"/>
          <w:szCs w:val="24"/>
        </w:rPr>
        <w:t>钢筋</w:t>
      </w:r>
      <w:r>
        <w:rPr>
          <w:rFonts w:hint="eastAsia"/>
          <w:sz w:val="24"/>
          <w:szCs w:val="24"/>
        </w:rPr>
        <w:t>采用</w:t>
      </w:r>
      <w:r>
        <w:rPr>
          <w:sz w:val="24"/>
          <w:szCs w:val="24"/>
        </w:rPr>
        <w:t>HRB</w:t>
      </w:r>
      <w:r>
        <w:rPr>
          <w:rFonts w:hint="eastAsia"/>
          <w:sz w:val="24"/>
          <w:szCs w:val="24"/>
        </w:rPr>
        <w:t>400</w:t>
      </w:r>
      <w:r>
        <w:rPr>
          <w:sz w:val="24"/>
          <w:szCs w:val="24"/>
        </w:rPr>
        <w:t>级钢</w:t>
      </w:r>
      <w:r>
        <w:rPr>
          <w:rFonts w:hint="eastAsia"/>
          <w:sz w:val="24"/>
          <w:szCs w:val="24"/>
        </w:rPr>
        <w:t>。挡土墙墙顶宽、墙底宽根据墙高不同而有所不同。挡土墙基础采用墙下条形基础。挡土墙按地下埋深2.5米，基础以岩石为持力层计算。挡土墙每间隔10~15m设置一道变形缝（或伸缩缝）。当墙身高度不一，墙后荷载变化较大或地基条件较差时，应采用较小的变形缝分隔。</w:t>
      </w:r>
    </w:p>
    <w:p>
      <w:pPr>
        <w:adjustRightInd w:val="0"/>
        <w:snapToGrid w:val="0"/>
        <w:spacing w:line="360" w:lineRule="auto"/>
        <w:ind w:firstLine="480" w:firstLineChars="200"/>
        <w:rPr>
          <w:sz w:val="24"/>
          <w:szCs w:val="24"/>
        </w:rPr>
      </w:pPr>
      <w:r>
        <w:rPr>
          <w:rFonts w:hint="eastAsia"/>
          <w:sz w:val="24"/>
          <w:szCs w:val="24"/>
        </w:rPr>
        <w:t>本项目确保填埋场稳定的工程措施如下：</w:t>
      </w:r>
    </w:p>
    <w:p>
      <w:pPr>
        <w:adjustRightInd w:val="0"/>
        <w:snapToGrid w:val="0"/>
        <w:spacing w:line="360" w:lineRule="auto"/>
        <w:ind w:firstLine="480" w:firstLineChars="200"/>
        <w:rPr>
          <w:sz w:val="24"/>
          <w:szCs w:val="24"/>
        </w:rPr>
      </w:pPr>
      <w:r>
        <w:rPr>
          <w:rFonts w:hint="eastAsia"/>
          <w:sz w:val="24"/>
          <w:szCs w:val="24"/>
        </w:rPr>
        <w:t>（</w:t>
      </w:r>
      <w:r>
        <w:rPr>
          <w:sz w:val="24"/>
          <w:szCs w:val="24"/>
        </w:rPr>
        <w:t>1</w:t>
      </w:r>
      <w:r>
        <w:rPr>
          <w:rFonts w:hint="eastAsia"/>
          <w:sz w:val="24"/>
          <w:szCs w:val="24"/>
        </w:rPr>
        <w:t>）避免边坡破坏的工程措施</w:t>
      </w:r>
    </w:p>
    <w:p>
      <w:pPr>
        <w:adjustRightInd w:val="0"/>
        <w:snapToGrid w:val="0"/>
        <w:spacing w:line="360" w:lineRule="auto"/>
        <w:ind w:firstLine="480" w:firstLineChars="200"/>
        <w:rPr>
          <w:sz w:val="24"/>
          <w:szCs w:val="24"/>
        </w:rPr>
      </w:pPr>
      <w:r>
        <w:rPr>
          <w:rFonts w:hint="eastAsia"/>
          <w:sz w:val="24"/>
          <w:szCs w:val="24"/>
        </w:rPr>
        <w:t>根据场地水文地质初步勘察报告，本填埋场场地整体属不稳定场地。当原地貌因施工而改变，临空面加大或上部加载将对土体产生滑动。设计考虑以不大于</w:t>
      </w:r>
      <w:r>
        <w:rPr>
          <w:sz w:val="24"/>
          <w:szCs w:val="24"/>
        </w:rPr>
        <w:t>1</w:t>
      </w:r>
      <w:r>
        <w:rPr>
          <w:rFonts w:hint="eastAsia"/>
          <w:sz w:val="24"/>
          <w:szCs w:val="24"/>
        </w:rPr>
        <w:t>：3坡度值控制库区边坡坡度，为确保边坡稳定采用</w:t>
      </w:r>
      <w:r>
        <w:rPr>
          <w:sz w:val="24"/>
          <w:szCs w:val="24"/>
        </w:rPr>
        <w:t>1</w:t>
      </w:r>
      <w:r>
        <w:rPr>
          <w:rFonts w:hint="eastAsia"/>
          <w:sz w:val="24"/>
          <w:szCs w:val="24"/>
        </w:rPr>
        <w:t>米厚粘土分层碾压夯实。</w:t>
      </w:r>
    </w:p>
    <w:p>
      <w:pPr>
        <w:adjustRightInd w:val="0"/>
        <w:snapToGrid w:val="0"/>
        <w:spacing w:line="360" w:lineRule="auto"/>
        <w:ind w:firstLine="480" w:firstLineChars="200"/>
        <w:rPr>
          <w:sz w:val="24"/>
          <w:szCs w:val="24"/>
        </w:rPr>
      </w:pPr>
      <w:r>
        <w:rPr>
          <w:rFonts w:hint="eastAsia"/>
          <w:sz w:val="24"/>
          <w:szCs w:val="24"/>
        </w:rPr>
        <w:t>（</w:t>
      </w:r>
      <w:r>
        <w:rPr>
          <w:sz w:val="24"/>
          <w:szCs w:val="24"/>
        </w:rPr>
        <w:t>2</w:t>
      </w:r>
      <w:r>
        <w:rPr>
          <w:rFonts w:hint="eastAsia"/>
          <w:sz w:val="24"/>
          <w:szCs w:val="24"/>
        </w:rPr>
        <w:t>）避免堆体沿衬垫系统破坏的工程措施</w:t>
      </w:r>
    </w:p>
    <w:p>
      <w:pPr>
        <w:adjustRightInd w:val="0"/>
        <w:snapToGrid w:val="0"/>
        <w:spacing w:line="360" w:lineRule="auto"/>
        <w:ind w:firstLine="480" w:firstLineChars="200"/>
        <w:rPr>
          <w:sz w:val="24"/>
          <w:szCs w:val="24"/>
        </w:rPr>
      </w:pPr>
      <w:r>
        <w:rPr>
          <w:rFonts w:hint="eastAsia"/>
          <w:sz w:val="24"/>
          <w:szCs w:val="24"/>
        </w:rPr>
        <w:t>本填埋场为山谷型填埋场，通过库底以及利用四面边坡形成填埋库区避免发生这种破坏。</w:t>
      </w:r>
    </w:p>
    <w:p>
      <w:pPr>
        <w:adjustRightInd w:val="0"/>
        <w:snapToGrid w:val="0"/>
        <w:spacing w:line="360" w:lineRule="auto"/>
        <w:ind w:firstLine="480" w:firstLineChars="200"/>
        <w:rPr>
          <w:sz w:val="24"/>
          <w:szCs w:val="24"/>
        </w:rPr>
      </w:pPr>
      <w:r>
        <w:rPr>
          <w:rFonts w:hint="eastAsia"/>
          <w:sz w:val="24"/>
          <w:szCs w:val="24"/>
        </w:rPr>
        <w:t>（</w:t>
      </w:r>
      <w:r>
        <w:rPr>
          <w:sz w:val="24"/>
          <w:szCs w:val="24"/>
        </w:rPr>
        <w:t>3</w:t>
      </w:r>
      <w:r>
        <w:rPr>
          <w:rFonts w:hint="eastAsia"/>
          <w:sz w:val="24"/>
          <w:szCs w:val="24"/>
        </w:rPr>
        <w:t>）避免封场和覆盖层破坏的工程措施</w:t>
      </w:r>
    </w:p>
    <w:p>
      <w:pPr>
        <w:adjustRightInd w:val="0"/>
        <w:snapToGrid w:val="0"/>
        <w:spacing w:line="360" w:lineRule="auto"/>
        <w:ind w:firstLine="480" w:firstLineChars="200"/>
        <w:rPr>
          <w:sz w:val="24"/>
          <w:szCs w:val="24"/>
        </w:rPr>
      </w:pPr>
      <w:r>
        <w:rPr>
          <w:rFonts w:hint="eastAsia"/>
          <w:sz w:val="24"/>
          <w:szCs w:val="24"/>
        </w:rPr>
        <w:t>本设计参考《生活垃圾卫生填埋技术规范》，将堆体的边坡值严格控制在</w:t>
      </w:r>
      <w:r>
        <w:rPr>
          <w:sz w:val="24"/>
          <w:szCs w:val="24"/>
        </w:rPr>
        <w:t>1:3</w:t>
      </w:r>
      <w:r>
        <w:rPr>
          <w:rFonts w:hint="eastAsia"/>
          <w:sz w:val="24"/>
          <w:szCs w:val="24"/>
        </w:rPr>
        <w:t>以内。堆体外边坡每升高5</w:t>
      </w:r>
      <w:r>
        <w:rPr>
          <w:sz w:val="24"/>
          <w:szCs w:val="24"/>
        </w:rPr>
        <w:t>m</w:t>
      </w:r>
      <w:r>
        <w:rPr>
          <w:rFonts w:hint="eastAsia"/>
          <w:sz w:val="24"/>
          <w:szCs w:val="24"/>
        </w:rPr>
        <w:t>设置一条</w:t>
      </w:r>
      <w:r>
        <w:rPr>
          <w:sz w:val="24"/>
          <w:szCs w:val="24"/>
        </w:rPr>
        <w:t>3m</w:t>
      </w:r>
      <w:r>
        <w:rPr>
          <w:rFonts w:hint="eastAsia"/>
          <w:sz w:val="24"/>
          <w:szCs w:val="24"/>
        </w:rPr>
        <w:t>宽平台。</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场底整平工程</w:t>
      </w:r>
    </w:p>
    <w:p>
      <w:pPr>
        <w:adjustRightInd w:val="0"/>
        <w:snapToGrid w:val="0"/>
        <w:spacing w:line="360" w:lineRule="auto"/>
        <w:ind w:firstLine="480" w:firstLineChars="200"/>
        <w:rPr>
          <w:sz w:val="24"/>
          <w:szCs w:val="24"/>
        </w:rPr>
      </w:pPr>
      <w:r>
        <w:rPr>
          <w:rFonts w:hint="eastAsia"/>
          <w:sz w:val="24"/>
          <w:szCs w:val="24"/>
        </w:rPr>
        <w:t>根据可研报告，</w:t>
      </w:r>
      <w:r>
        <w:rPr>
          <w:sz w:val="24"/>
          <w:szCs w:val="24"/>
        </w:rPr>
        <w:t>本</w:t>
      </w:r>
      <w:r>
        <w:rPr>
          <w:rFonts w:hint="eastAsia"/>
          <w:sz w:val="24"/>
          <w:szCs w:val="24"/>
        </w:rPr>
        <w:t>项目</w:t>
      </w:r>
      <w:r>
        <w:rPr>
          <w:sz w:val="24"/>
          <w:szCs w:val="24"/>
        </w:rPr>
        <w:t>填埋场属于山谷型填埋场，场址为一山谷。根据场区的防渗要求，需要进行竖向整平和横向整平</w:t>
      </w:r>
      <w:r>
        <w:rPr>
          <w:rFonts w:hint="eastAsia"/>
          <w:sz w:val="24"/>
          <w:szCs w:val="24"/>
        </w:rPr>
        <w:t>。</w:t>
      </w:r>
      <w:r>
        <w:rPr>
          <w:sz w:val="24"/>
          <w:szCs w:val="24"/>
        </w:rPr>
        <w:t>竖向整平是考虑到场区防渗处理需要建设锚固平台，以有利于膜的铺设</w:t>
      </w:r>
      <w:r>
        <w:rPr>
          <w:rFonts w:hint="eastAsia"/>
          <w:sz w:val="24"/>
          <w:szCs w:val="24"/>
        </w:rPr>
        <w:t>；</w:t>
      </w:r>
      <w:r>
        <w:rPr>
          <w:sz w:val="24"/>
          <w:szCs w:val="24"/>
        </w:rPr>
        <w:t>横向整平是为了便于地下水的收集导排、</w:t>
      </w:r>
      <w:r>
        <w:rPr>
          <w:rFonts w:hint="eastAsia"/>
          <w:sz w:val="24"/>
          <w:szCs w:val="24"/>
        </w:rPr>
        <w:t>渗滤液</w:t>
      </w:r>
      <w:r>
        <w:rPr>
          <w:sz w:val="24"/>
          <w:szCs w:val="24"/>
        </w:rPr>
        <w:t>的收集导排以及填埋区内部雨水的收集导排，根据</w:t>
      </w:r>
      <w:r>
        <w:rPr>
          <w:rFonts w:hint="eastAsia"/>
          <w:sz w:val="24"/>
          <w:szCs w:val="24"/>
        </w:rPr>
        <w:t>该</w:t>
      </w:r>
      <w:r>
        <w:rPr>
          <w:sz w:val="24"/>
          <w:szCs w:val="24"/>
        </w:rPr>
        <w:t>填埋场的实际地形，对场底部要进行进一步的整平，以用来满足填埋工艺的需要。</w:t>
      </w:r>
    </w:p>
    <w:p>
      <w:pPr>
        <w:adjustRightInd w:val="0"/>
        <w:snapToGrid w:val="0"/>
        <w:spacing w:line="360" w:lineRule="auto"/>
        <w:ind w:firstLine="480" w:firstLineChars="200"/>
        <w:rPr>
          <w:sz w:val="24"/>
          <w:szCs w:val="24"/>
        </w:rPr>
      </w:pPr>
      <w:r>
        <w:rPr>
          <w:sz w:val="24"/>
          <w:szCs w:val="24"/>
        </w:rPr>
        <w:t>以导渗主盲沟为控制轴线，向导渗主盲沟两侧整平，整平坡度</w:t>
      </w:r>
      <w:r>
        <w:rPr>
          <w:rFonts w:hint="eastAsia"/>
          <w:sz w:val="24"/>
          <w:szCs w:val="24"/>
        </w:rPr>
        <w:t>大于</w:t>
      </w:r>
      <w:r>
        <w:rPr>
          <w:sz w:val="24"/>
          <w:szCs w:val="24"/>
        </w:rPr>
        <w:t>2.0%，形成填埋场场底后，</w:t>
      </w:r>
      <w:r>
        <w:rPr>
          <w:rFonts w:hint="eastAsia"/>
          <w:sz w:val="24"/>
          <w:szCs w:val="24"/>
        </w:rPr>
        <w:t>在</w:t>
      </w:r>
      <w:r>
        <w:rPr>
          <w:sz w:val="24"/>
          <w:szCs w:val="24"/>
        </w:rPr>
        <w:t>填埋区内再设置导渗盲沟。整个场地整平设计主要包括三个部分：场地清理、场地开挖和场地土方回填。场地平整最后要求形成土建构建面，以有利于防渗系统的铺设。</w:t>
      </w:r>
    </w:p>
    <w:p>
      <w:pPr>
        <w:adjustRightInd w:val="0"/>
        <w:snapToGrid w:val="0"/>
        <w:spacing w:line="360" w:lineRule="auto"/>
        <w:ind w:firstLine="480" w:firstLineChars="200"/>
        <w:rPr>
          <w:sz w:val="24"/>
          <w:szCs w:val="24"/>
        </w:rPr>
      </w:pPr>
      <w:r>
        <w:rPr>
          <w:sz w:val="24"/>
          <w:szCs w:val="24"/>
        </w:rPr>
        <w:t>场地清理：主要是清除表皮土，清除树木、杂草、腐殖土、淤泥等有害杂质。</w:t>
      </w:r>
    </w:p>
    <w:p>
      <w:pPr>
        <w:adjustRightInd w:val="0"/>
        <w:snapToGrid w:val="0"/>
        <w:spacing w:line="360" w:lineRule="auto"/>
        <w:ind w:firstLine="480" w:firstLineChars="200"/>
        <w:rPr>
          <w:bCs/>
          <w:sz w:val="24"/>
          <w:szCs w:val="24"/>
        </w:rPr>
      </w:pPr>
      <w:r>
        <w:rPr>
          <w:bCs/>
          <w:sz w:val="24"/>
          <w:szCs w:val="24"/>
        </w:rPr>
        <w:t>场地开挖：要求挖方范围内的树木、杂草、腐殖土、石块等全部清除；挖方边坡坡度控制在1：2，不得超挖。</w:t>
      </w:r>
    </w:p>
    <w:p>
      <w:pPr>
        <w:adjustRightInd w:val="0"/>
        <w:snapToGrid w:val="0"/>
        <w:spacing w:line="360" w:lineRule="auto"/>
        <w:ind w:firstLine="480" w:firstLineChars="200"/>
        <w:rPr>
          <w:bCs/>
          <w:sz w:val="24"/>
          <w:szCs w:val="24"/>
        </w:rPr>
      </w:pPr>
      <w:r>
        <w:rPr>
          <w:bCs/>
          <w:sz w:val="24"/>
          <w:szCs w:val="24"/>
        </w:rPr>
        <w:t>土方回填：要求填方基底不得有树木、杂草、腐殖土、淤泥等有害杂质；填埋基底无积水，有地下水的地方应得到有效处理；填土土质和含水量必须符合设计要求；填埋应按规定分层回填夯实，压实度要达到93%以上。</w:t>
      </w:r>
    </w:p>
    <w:p>
      <w:pPr>
        <w:adjustRightInd w:val="0"/>
        <w:snapToGrid w:val="0"/>
        <w:spacing w:line="360" w:lineRule="auto"/>
        <w:ind w:firstLine="480" w:firstLineChars="200"/>
        <w:rPr>
          <w:sz w:val="24"/>
          <w:szCs w:val="24"/>
        </w:rPr>
      </w:pPr>
      <w:r>
        <w:rPr>
          <w:sz w:val="24"/>
          <w:szCs w:val="24"/>
        </w:rPr>
        <w:t>土建构建面：构建面平整、坚实、无裂缝、无松土；基底表面无积水、垂直深度25cm内无石块、树根及其它任何有害的杂物；坡面稳定，</w:t>
      </w:r>
      <w:r>
        <w:rPr>
          <w:rFonts w:hint="eastAsia"/>
          <w:sz w:val="24"/>
          <w:szCs w:val="24"/>
        </w:rPr>
        <w:t>过渡</w:t>
      </w:r>
      <w:r>
        <w:rPr>
          <w:sz w:val="24"/>
          <w:szCs w:val="24"/>
        </w:rPr>
        <w:t>平缓</w:t>
      </w:r>
      <w:r>
        <w:rPr>
          <w:rFonts w:hint="eastAsia"/>
          <w:sz w:val="24"/>
          <w:szCs w:val="24"/>
        </w:rPr>
        <w:t>。</w:t>
      </w:r>
    </w:p>
    <w:p>
      <w:pPr>
        <w:adjustRightInd w:val="0"/>
        <w:snapToGrid w:val="0"/>
        <w:spacing w:line="360" w:lineRule="auto"/>
        <w:ind w:firstLine="480" w:firstLineChars="200"/>
        <w:rPr>
          <w:sz w:val="24"/>
          <w:szCs w:val="24"/>
        </w:rPr>
      </w:pPr>
      <w:r>
        <w:rPr>
          <w:rFonts w:hint="eastAsia"/>
          <w:sz w:val="24"/>
          <w:szCs w:val="24"/>
        </w:rPr>
        <w:t>根据库区平台构建方式和清基方案，本项目总计挖方49606.49m³，总计填方46957.45m³，产生弃方2649.04m³，本项目多余填土可运至附近场地堆土区暂存，用于后期飞灰填埋作业覆土或筑路。</w:t>
      </w:r>
    </w:p>
    <w:bookmarkEnd w:id="68"/>
    <w:bookmarkEnd w:id="77"/>
    <w:bookmarkEnd w:id="78"/>
    <w:bookmarkEnd w:id="79"/>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场区防渗工程</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防渗方式</w:t>
      </w:r>
    </w:p>
    <w:p>
      <w:pPr>
        <w:adjustRightInd w:val="0"/>
        <w:snapToGrid w:val="0"/>
        <w:spacing w:line="360" w:lineRule="auto"/>
        <w:ind w:firstLine="482" w:firstLineChars="200"/>
        <w:rPr>
          <w:sz w:val="24"/>
          <w:szCs w:val="21"/>
        </w:rPr>
      </w:pPr>
      <w:r>
        <w:rPr>
          <w:b/>
          <w:bCs/>
          <w:sz w:val="24"/>
          <w:szCs w:val="21"/>
        </w:rPr>
        <w:t xml:space="preserve"> </w:t>
      </w:r>
      <w:r>
        <w:rPr>
          <w:sz w:val="24"/>
          <w:szCs w:val="21"/>
        </w:rPr>
        <w:t>填埋场的渗滤液污染是填埋场出现的主要环境问题之一。因此，必须采取安全、稳妥的防渗工程措施，将填埋库区内的垃圾体与外界隔离，防止渗滤液的外泄污染地下水、地表水及周围土壤，同时阻止场外地表水、地下水进入填埋区，有利于渗滤液收集和导出。防渗系统是垃圾卫生填埋场工程的关键核心部分，是关系到填埋场设计成败的关键。</w:t>
      </w:r>
    </w:p>
    <w:p>
      <w:pPr>
        <w:adjustRightInd w:val="0"/>
        <w:snapToGrid w:val="0"/>
        <w:spacing w:line="360" w:lineRule="auto"/>
        <w:ind w:firstLine="480" w:firstLineChars="200"/>
        <w:rPr>
          <w:sz w:val="24"/>
          <w:szCs w:val="21"/>
        </w:rPr>
      </w:pPr>
      <w:r>
        <w:rPr>
          <w:sz w:val="24"/>
          <w:szCs w:val="21"/>
        </w:rPr>
        <w:t>《生活垃圾卫生填埋处理技术规范》（GB50869-2013）规定，“填埋场必须进行防渗处理，防止对地下水和地表水的污染，同时还应防止地下水进入填埋场。天然基础层的饱和渗透系数应≤10</w:t>
      </w:r>
      <w:r>
        <w:rPr>
          <w:sz w:val="24"/>
          <w:szCs w:val="21"/>
          <w:vertAlign w:val="superscript"/>
        </w:rPr>
        <w:t>-7</w:t>
      </w:r>
      <w:r>
        <w:rPr>
          <w:sz w:val="24"/>
          <w:szCs w:val="21"/>
        </w:rPr>
        <w:t>cm/s，且场底及四壁衬里厚度不小于 2m 时，可采用天然粘土类衬里结构。</w:t>
      </w:r>
    </w:p>
    <w:p>
      <w:pPr>
        <w:adjustRightInd w:val="0"/>
        <w:snapToGrid w:val="0"/>
        <w:spacing w:line="360" w:lineRule="auto"/>
        <w:ind w:firstLine="480" w:firstLineChars="200"/>
        <w:rPr>
          <w:sz w:val="24"/>
          <w:szCs w:val="21"/>
        </w:rPr>
      </w:pPr>
      <w:r>
        <w:rPr>
          <w:sz w:val="24"/>
          <w:szCs w:val="21"/>
        </w:rPr>
        <w:t>目前，通常采用人工防渗措施的主要有水平防渗和垂直防渗：水平防渗是在填埋场的场底及侧边铺设人工防渗材料或天然防渗材料，防止填埋场渗滤液污染地下水和填埋场气体无控释放，同时也阻止周围地下水流入填埋场内；垂直防渗是指防渗层竖向布置，防止垃圾渗滤液向四周横向渗透污染地下水。对于特殊的地质构造，填埋场防渗处理一般要考虑采用水平防渗和垂直防渗两种方式相结合，但是根据现场情况，也可以只采用一种防渗方式就可以满足防渗要求。</w:t>
      </w:r>
    </w:p>
    <w:p>
      <w:pPr>
        <w:adjustRightInd w:val="0"/>
        <w:snapToGrid w:val="0"/>
        <w:spacing w:line="360" w:lineRule="auto"/>
        <w:ind w:firstLine="480" w:firstLineChars="200"/>
        <w:rPr>
          <w:sz w:val="24"/>
          <w:szCs w:val="21"/>
        </w:rPr>
      </w:pPr>
      <w:r>
        <w:rPr>
          <w:rFonts w:hint="eastAsia"/>
          <w:sz w:val="24"/>
          <w:szCs w:val="21"/>
        </w:rPr>
        <w:t>根据本项目可研，</w:t>
      </w:r>
      <w:r>
        <w:rPr>
          <w:sz w:val="24"/>
          <w:szCs w:val="21"/>
        </w:rPr>
        <w:t>拟建场地稳定地下水对库区经</w:t>
      </w:r>
      <w:r>
        <w:rPr>
          <w:rFonts w:hint="eastAsia"/>
          <w:sz w:val="24"/>
          <w:szCs w:val="21"/>
        </w:rPr>
        <w:t>场地平整后</w:t>
      </w:r>
      <w:r>
        <w:rPr>
          <w:sz w:val="24"/>
          <w:szCs w:val="21"/>
        </w:rPr>
        <w:t>土工膜的铺设几乎无影响，因此对填埋库区只做水平防渗系统，不做垂直防渗系统。</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防渗方案</w:t>
      </w:r>
    </w:p>
    <w:p>
      <w:pPr>
        <w:adjustRightInd w:val="0"/>
        <w:snapToGrid w:val="0"/>
        <w:spacing w:line="360" w:lineRule="auto"/>
        <w:ind w:firstLine="482" w:firstLineChars="200"/>
        <w:rPr>
          <w:sz w:val="24"/>
          <w:szCs w:val="21"/>
        </w:rPr>
      </w:pPr>
      <w:r>
        <w:rPr>
          <w:b/>
          <w:bCs/>
          <w:sz w:val="24"/>
          <w:szCs w:val="21"/>
        </w:rPr>
        <w:t xml:space="preserve"> </w:t>
      </w:r>
      <w:r>
        <w:rPr>
          <w:sz w:val="24"/>
          <w:szCs w:val="21"/>
        </w:rPr>
        <w:t>水平防渗的衬层系统通常从填埋飞灰底部向下可依次包括隔离层、排水层（包括渗滤液收集系统）、保护层和防渗层等。根据以上几种功能的不同方式的组合</w:t>
      </w:r>
      <w:r>
        <w:rPr>
          <w:rFonts w:hint="eastAsia"/>
          <w:sz w:val="24"/>
          <w:szCs w:val="21"/>
        </w:rPr>
        <w:t>，</w:t>
      </w:r>
      <w:r>
        <w:rPr>
          <w:sz w:val="24"/>
          <w:szCs w:val="21"/>
        </w:rPr>
        <w:t>水平防渗的衬层系统可以分为单层衬层系统、复合衬层系统、双层衬层系统、多层衬层系统。</w:t>
      </w:r>
    </w:p>
    <w:p>
      <w:pPr>
        <w:adjustRightInd w:val="0"/>
        <w:snapToGrid w:val="0"/>
        <w:spacing w:line="360" w:lineRule="auto"/>
        <w:ind w:firstLine="480" w:firstLineChars="200"/>
        <w:rPr>
          <w:sz w:val="24"/>
          <w:szCs w:val="21"/>
        </w:rPr>
      </w:pPr>
      <w:r>
        <w:rPr>
          <w:sz w:val="24"/>
          <w:szCs w:val="21"/>
        </w:rPr>
        <w:t>《生活垃圾卫生填埋处理技术规范》（GB50869-2013）规定：特殊地质及环境要求较高的地区，比如生活垃圾焚烧飞灰和医疗废物焚烧残渣经处理后的最终处置填埋场的独立填埋库区，应采用双层衬里防渗结构。</w:t>
      </w:r>
    </w:p>
    <w:p>
      <w:pPr>
        <w:adjustRightInd w:val="0"/>
        <w:snapToGrid w:val="0"/>
        <w:spacing w:line="360" w:lineRule="auto"/>
        <w:ind w:firstLine="480" w:firstLineChars="200"/>
        <w:rPr>
          <w:sz w:val="24"/>
          <w:szCs w:val="21"/>
        </w:rPr>
      </w:pPr>
      <w:r>
        <w:rPr>
          <w:sz w:val="24"/>
          <w:szCs w:val="21"/>
        </w:rPr>
        <w:t>《生活垃圾填埋场污染控制标准》（GB16889-2008）第 5.6 条规定：如果天然基础层饱和渗透系数不小于1.0</w:t>
      </w:r>
      <w:r>
        <w:rPr>
          <w:rFonts w:hint="eastAsia"/>
          <w:sz w:val="24"/>
          <w:szCs w:val="21"/>
        </w:rPr>
        <w:t>×</w:t>
      </w:r>
      <w:r>
        <w:rPr>
          <w:sz w:val="24"/>
          <w:szCs w:val="21"/>
        </w:rPr>
        <w:t>10</w:t>
      </w:r>
      <w:r>
        <w:rPr>
          <w:sz w:val="24"/>
          <w:szCs w:val="21"/>
          <w:vertAlign w:val="superscript"/>
        </w:rPr>
        <w:t>-5</w:t>
      </w:r>
      <w:r>
        <w:rPr>
          <w:sz w:val="24"/>
          <w:szCs w:val="21"/>
        </w:rPr>
        <w:t>cm/s，或者天然基础层厚度小于2m，应采用双层人工合成材料防渗衬层。下层人工合成材料防衬层厚度应不小于 0.75m，且其被压实后的饱和渗透系数小于1.0</w:t>
      </w:r>
      <w:r>
        <w:rPr>
          <w:rFonts w:hint="eastAsia"/>
          <w:sz w:val="24"/>
          <w:szCs w:val="21"/>
        </w:rPr>
        <w:t>×</w:t>
      </w:r>
      <w:r>
        <w:rPr>
          <w:sz w:val="24"/>
          <w:szCs w:val="21"/>
        </w:rPr>
        <w:t>10</w:t>
      </w:r>
      <w:r>
        <w:rPr>
          <w:sz w:val="24"/>
          <w:szCs w:val="21"/>
          <w:vertAlign w:val="superscript"/>
        </w:rPr>
        <w:t>-7</w:t>
      </w:r>
      <w:r>
        <w:rPr>
          <w:sz w:val="24"/>
          <w:szCs w:val="21"/>
        </w:rPr>
        <w:t>cm/s 的天然粘土衬层，或具有同等以上隔水效力的其他材料衬层；两层人工合成材衬之间应布设导水层及渗漏检测层。</w:t>
      </w:r>
    </w:p>
    <w:p>
      <w:pPr>
        <w:adjustRightInd w:val="0"/>
        <w:snapToGrid w:val="0"/>
        <w:spacing w:line="360" w:lineRule="auto"/>
        <w:ind w:firstLine="480" w:firstLineChars="200"/>
        <w:rPr>
          <w:sz w:val="24"/>
          <w:szCs w:val="21"/>
        </w:rPr>
      </w:pPr>
      <w:r>
        <w:rPr>
          <w:sz w:val="24"/>
          <w:szCs w:val="21"/>
        </w:rPr>
        <w:t>考虑填埋场地质条件（地基渗透系数大于1.0</w:t>
      </w:r>
      <w:r>
        <w:rPr>
          <w:rFonts w:hint="eastAsia"/>
          <w:sz w:val="24"/>
          <w:szCs w:val="21"/>
        </w:rPr>
        <w:t>×</w:t>
      </w:r>
      <w:r>
        <w:rPr>
          <w:sz w:val="24"/>
          <w:szCs w:val="21"/>
        </w:rPr>
        <w:t>10</w:t>
      </w:r>
      <w:r>
        <w:rPr>
          <w:sz w:val="24"/>
          <w:szCs w:val="21"/>
          <w:vertAlign w:val="superscript"/>
        </w:rPr>
        <w:t>-5</w:t>
      </w:r>
      <w:r>
        <w:rPr>
          <w:sz w:val="24"/>
          <w:szCs w:val="21"/>
        </w:rPr>
        <w:t>cm/s）和环境要求，本项目防渗方案为</w:t>
      </w:r>
      <w:bookmarkStart w:id="80" w:name="_Hlk94257723"/>
      <w:r>
        <w:rPr>
          <w:sz w:val="24"/>
          <w:szCs w:val="21"/>
        </w:rPr>
        <w:t>采用</w:t>
      </w:r>
      <w:r>
        <w:rPr>
          <w:rFonts w:hint="eastAsia"/>
          <w:sz w:val="24"/>
          <w:szCs w:val="21"/>
        </w:rPr>
        <w:t>双人工复合衬层的防渗层结构</w:t>
      </w:r>
      <w:bookmarkEnd w:id="80"/>
      <w:r>
        <w:rPr>
          <w:rFonts w:hint="eastAsia"/>
          <w:sz w:val="24"/>
          <w:szCs w:val="21"/>
        </w:rPr>
        <w:t>。</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防渗材料</w:t>
      </w:r>
    </w:p>
    <w:p>
      <w:pPr>
        <w:adjustRightInd w:val="0"/>
        <w:snapToGrid w:val="0"/>
        <w:spacing w:line="360" w:lineRule="auto"/>
        <w:ind w:firstLine="480" w:firstLineChars="200"/>
        <w:rPr>
          <w:rFonts w:ascii="Cambria Math" w:hAnsi="Cambria Math" w:cs="Cambria Math"/>
          <w:bCs/>
          <w:sz w:val="24"/>
          <w:szCs w:val="21"/>
        </w:rPr>
      </w:pPr>
      <w:r>
        <w:rPr>
          <w:rFonts w:hint="eastAsia" w:ascii="Cambria Math" w:hAnsi="Cambria Math" w:cs="Cambria Math"/>
          <w:sz w:val="24"/>
          <w:szCs w:val="21"/>
        </w:rPr>
        <w:t>根据可研，</w:t>
      </w:r>
      <w:r>
        <w:rPr>
          <w:rFonts w:ascii="Cambria Math" w:hAnsi="Cambria Math" w:cs="Cambria Math"/>
          <w:bCs/>
          <w:sz w:val="24"/>
          <w:szCs w:val="21"/>
        </w:rPr>
        <w:t>本</w:t>
      </w:r>
      <w:r>
        <w:rPr>
          <w:rFonts w:hint="eastAsia" w:ascii="Cambria Math" w:hAnsi="Cambria Math" w:cs="Cambria Math"/>
          <w:bCs/>
          <w:sz w:val="24"/>
          <w:szCs w:val="21"/>
        </w:rPr>
        <w:t>项目</w:t>
      </w:r>
      <w:r>
        <w:rPr>
          <w:rFonts w:ascii="Cambria Math" w:hAnsi="Cambria Math" w:cs="Cambria Math"/>
          <w:bCs/>
          <w:sz w:val="24"/>
          <w:szCs w:val="21"/>
        </w:rPr>
        <w:t>填埋场采用土工膜进行水平防渗。土工膜采用高密度聚乙烯（HDPE），防渗方案采用</w:t>
      </w:r>
      <w:r>
        <w:rPr>
          <w:rFonts w:hint="eastAsia" w:ascii="Cambria Math" w:hAnsi="Cambria Math" w:cs="Cambria Math"/>
          <w:bCs/>
          <w:sz w:val="24"/>
          <w:szCs w:val="21"/>
        </w:rPr>
        <w:t>1.5mm和2.0mm两种规格双</w:t>
      </w:r>
      <w:r>
        <w:rPr>
          <w:rFonts w:ascii="Cambria Math" w:hAnsi="Cambria Math" w:cs="Cambria Math"/>
          <w:bCs/>
          <w:sz w:val="24"/>
          <w:szCs w:val="21"/>
        </w:rPr>
        <w:t>层</w:t>
      </w:r>
      <w:r>
        <w:rPr>
          <w:rFonts w:hint="eastAsia" w:ascii="Cambria Math" w:hAnsi="Cambria Math" w:cs="Cambria Math"/>
          <w:bCs/>
          <w:sz w:val="24"/>
          <w:szCs w:val="21"/>
        </w:rPr>
        <w:t>HDPE膜</w:t>
      </w:r>
      <w:r>
        <w:rPr>
          <w:rFonts w:ascii="Cambria Math" w:hAnsi="Cambria Math" w:cs="Cambria Math"/>
          <w:bCs/>
          <w:sz w:val="24"/>
          <w:szCs w:val="21"/>
        </w:rPr>
        <w:t>防渗系统</w:t>
      </w:r>
      <w:r>
        <w:rPr>
          <w:rFonts w:hint="eastAsia" w:ascii="Cambria Math" w:hAnsi="Cambria Math" w:cs="Cambria Math"/>
          <w:bCs/>
          <w:sz w:val="24"/>
          <w:szCs w:val="21"/>
        </w:rPr>
        <w:t>，其中2.0mm的HDPE膜作为主防渗材料。</w:t>
      </w:r>
      <w:r>
        <w:rPr>
          <w:rFonts w:ascii="Cambria Math" w:hAnsi="Cambria Math" w:cs="Cambria Math"/>
          <w:bCs/>
          <w:sz w:val="24"/>
          <w:szCs w:val="21"/>
        </w:rPr>
        <w:t xml:space="preserve"> </w:t>
      </w:r>
    </w:p>
    <w:p>
      <w:pPr>
        <w:adjustRightInd w:val="0"/>
        <w:snapToGrid w:val="0"/>
        <w:spacing w:line="360" w:lineRule="auto"/>
        <w:ind w:firstLine="480" w:firstLineChars="200"/>
        <w:rPr>
          <w:sz w:val="24"/>
          <w:szCs w:val="21"/>
        </w:rPr>
      </w:pPr>
      <w:r>
        <w:rPr>
          <w:sz w:val="24"/>
          <w:szCs w:val="21"/>
        </w:rPr>
        <w:t>HDPE 膜是目前填埋场使用最广泛的人工防渗材料，其厚度有 1.0mm、1.25mm、1.5mm、2.0mm、2.5mm 等几种。这是一种高性能防渗材料，能随一定的拉力伸长变形，适应地基不均匀沉降，具有较好的抗微生物侵蚀和抗化学腐蚀性能。对外界环境中的温度、湿度及紫外线的影响适应性强，使用寿命可达 50 年左右。它具有如下特点：</w:t>
      </w:r>
    </w:p>
    <w:p>
      <w:pPr>
        <w:adjustRightInd w:val="0"/>
        <w:snapToGrid w:val="0"/>
        <w:spacing w:line="360" w:lineRule="auto"/>
        <w:ind w:firstLine="480" w:firstLineChars="200"/>
        <w:rPr>
          <w:sz w:val="24"/>
          <w:szCs w:val="21"/>
        </w:rPr>
      </w:pPr>
      <w:r>
        <w:rPr>
          <w:rFonts w:hint="eastAsia"/>
          <w:sz w:val="24"/>
          <w:szCs w:val="21"/>
        </w:rPr>
        <w:t>（1）</w:t>
      </w:r>
      <w:r>
        <w:rPr>
          <w:sz w:val="24"/>
          <w:szCs w:val="21"/>
        </w:rPr>
        <w:t>低渗透性：HDPE 膜具有很强的防渗性能，渗透系数不大于 10-12cm/s，远远高于规范所要求的标准。</w:t>
      </w:r>
    </w:p>
    <w:p>
      <w:pPr>
        <w:adjustRightInd w:val="0"/>
        <w:snapToGrid w:val="0"/>
        <w:spacing w:line="360" w:lineRule="auto"/>
        <w:ind w:firstLine="480" w:firstLineChars="200"/>
        <w:rPr>
          <w:sz w:val="24"/>
          <w:szCs w:val="21"/>
        </w:rPr>
      </w:pPr>
      <w:r>
        <w:rPr>
          <w:rFonts w:hint="eastAsia"/>
          <w:sz w:val="24"/>
          <w:szCs w:val="21"/>
        </w:rPr>
        <w:t>（2）</w:t>
      </w:r>
      <w:r>
        <w:rPr>
          <w:sz w:val="24"/>
          <w:szCs w:val="21"/>
        </w:rPr>
        <w:t>化学稳定性好：HDPE 膜相对于其他土工膜来讲，具有优良的化学稳定性，一般填埋库区所产生的垃圾渗滤液及其他物质不会对其构成腐蚀性破坏。</w:t>
      </w:r>
    </w:p>
    <w:p>
      <w:pPr>
        <w:adjustRightInd w:val="0"/>
        <w:snapToGrid w:val="0"/>
        <w:spacing w:line="360" w:lineRule="auto"/>
        <w:ind w:firstLine="480" w:firstLineChars="200"/>
        <w:rPr>
          <w:sz w:val="24"/>
          <w:szCs w:val="21"/>
        </w:rPr>
      </w:pPr>
      <w:r>
        <w:rPr>
          <w:rFonts w:hint="eastAsia"/>
          <w:sz w:val="24"/>
          <w:szCs w:val="21"/>
        </w:rPr>
        <w:t>（3）</w:t>
      </w:r>
      <w:r>
        <w:rPr>
          <w:sz w:val="24"/>
          <w:szCs w:val="21"/>
        </w:rPr>
        <w:t>抗紫外线能力强：HDPE 膜的抗紫外线老化能力强，添加的碳黑加强了其抗紫外线，抗臭氧的能力。另外，在 HDPE 膜的生产过程中不允许添加增塑剂，它可以较长时间暴露在阳光下，不会引起增塑剂的挥发。</w:t>
      </w:r>
    </w:p>
    <w:p>
      <w:pPr>
        <w:adjustRightInd w:val="0"/>
        <w:snapToGrid w:val="0"/>
        <w:spacing w:line="360" w:lineRule="auto"/>
        <w:ind w:firstLine="480" w:firstLineChars="200"/>
        <w:rPr>
          <w:sz w:val="24"/>
          <w:szCs w:val="21"/>
        </w:rPr>
      </w:pPr>
      <w:r>
        <w:rPr>
          <w:rFonts w:hint="eastAsia"/>
          <w:sz w:val="24"/>
          <w:szCs w:val="21"/>
        </w:rPr>
        <w:t>（4）</w:t>
      </w:r>
      <w:r>
        <w:rPr>
          <w:sz w:val="24"/>
          <w:szCs w:val="21"/>
        </w:rPr>
        <w:t>机械强度高：HDPE 膜弹性好，屈服延展率为 13%，当延展率超过700%时，才可能发生断裂。</w:t>
      </w:r>
    </w:p>
    <w:p>
      <w:pPr>
        <w:adjustRightInd w:val="0"/>
        <w:snapToGrid w:val="0"/>
        <w:spacing w:line="360" w:lineRule="auto"/>
        <w:ind w:firstLine="480" w:firstLineChars="200"/>
        <w:rPr>
          <w:sz w:val="24"/>
          <w:szCs w:val="21"/>
        </w:rPr>
      </w:pPr>
      <w:r>
        <w:rPr>
          <w:rFonts w:hint="eastAsia"/>
          <w:sz w:val="24"/>
          <w:szCs w:val="21"/>
        </w:rPr>
        <w:t>（5）</w:t>
      </w:r>
      <w:r>
        <w:rPr>
          <w:sz w:val="24"/>
          <w:szCs w:val="21"/>
        </w:rPr>
        <w:t>技术成熟：目前，HDPE 膜生产工艺己成熟化，并且已经有了完善配套的焊接方法，技术成熟，便于施工。</w:t>
      </w:r>
    </w:p>
    <w:p>
      <w:pPr>
        <w:adjustRightInd w:val="0"/>
        <w:snapToGrid w:val="0"/>
        <w:spacing w:line="360" w:lineRule="auto"/>
        <w:ind w:firstLine="480" w:firstLineChars="200"/>
        <w:rPr>
          <w:sz w:val="24"/>
          <w:szCs w:val="21"/>
        </w:rPr>
      </w:pPr>
      <w:r>
        <w:rPr>
          <w:rFonts w:hint="eastAsia"/>
          <w:sz w:val="24"/>
          <w:szCs w:val="21"/>
        </w:rPr>
        <w:t>（6）</w:t>
      </w:r>
      <w:r>
        <w:rPr>
          <w:sz w:val="24"/>
          <w:szCs w:val="21"/>
        </w:rPr>
        <w:t>经济性能强：HDPE 膜的性能价格能够适应我国国情和各地区的经济水平。</w:t>
      </w:r>
    </w:p>
    <w:p>
      <w:pPr>
        <w:adjustRightInd w:val="0"/>
        <w:snapToGrid w:val="0"/>
        <w:spacing w:line="360" w:lineRule="auto"/>
        <w:ind w:firstLine="480" w:firstLineChars="200"/>
        <w:rPr>
          <w:sz w:val="24"/>
          <w:szCs w:val="21"/>
        </w:rPr>
      </w:pPr>
      <w:r>
        <w:rPr>
          <w:rFonts w:hint="eastAsia"/>
          <w:sz w:val="24"/>
          <w:szCs w:val="21"/>
        </w:rPr>
        <w:t>综上所述，</w:t>
      </w:r>
      <w:r>
        <w:rPr>
          <w:sz w:val="24"/>
          <w:szCs w:val="21"/>
        </w:rPr>
        <w:t>结合国内外已有填埋场工程经验及本项目场址的情况，本项目采用 HDPE 膜作为主防渗层。</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防渗结构层</w:t>
      </w:r>
    </w:p>
    <w:p>
      <w:pPr>
        <w:adjustRightInd w:val="0"/>
        <w:snapToGrid w:val="0"/>
        <w:spacing w:line="360" w:lineRule="auto"/>
        <w:ind w:firstLine="480" w:firstLineChars="200"/>
        <w:rPr>
          <w:rFonts w:eastAsiaTheme="minorEastAsia"/>
          <w:sz w:val="24"/>
          <w:szCs w:val="21"/>
        </w:rPr>
      </w:pPr>
      <w:r>
        <w:rPr>
          <w:rFonts w:eastAsiaTheme="minorEastAsia"/>
          <w:sz w:val="24"/>
          <w:szCs w:val="21"/>
        </w:rPr>
        <w:t>根据可研，本项目填埋场采用双层人工合成材料防渗衬层，防渗结构主要</w:t>
      </w:r>
      <w:r>
        <w:rPr>
          <w:rFonts w:hint="eastAsia" w:eastAsiaTheme="minorEastAsia"/>
          <w:sz w:val="24"/>
          <w:szCs w:val="21"/>
        </w:rPr>
        <w:t>由</w:t>
      </w:r>
      <w:r>
        <w:rPr>
          <w:rFonts w:eastAsiaTheme="minorEastAsia"/>
          <w:bCs/>
          <w:sz w:val="24"/>
          <w:szCs w:val="21"/>
        </w:rPr>
        <w:t>基础层、膜下保护层、</w:t>
      </w:r>
      <w:r>
        <w:rPr>
          <w:rFonts w:hint="eastAsia" w:eastAsiaTheme="minorEastAsia"/>
          <w:bCs/>
          <w:sz w:val="24"/>
          <w:szCs w:val="21"/>
        </w:rPr>
        <w:t>防渗</w:t>
      </w:r>
      <w:r>
        <w:rPr>
          <w:rFonts w:eastAsiaTheme="minorEastAsia"/>
          <w:bCs/>
          <w:sz w:val="24"/>
          <w:szCs w:val="21"/>
        </w:rPr>
        <w:t>膜、</w:t>
      </w:r>
      <w:r>
        <w:rPr>
          <w:rFonts w:hint="eastAsia" w:eastAsiaTheme="minorEastAsia"/>
          <w:bCs/>
          <w:sz w:val="24"/>
          <w:szCs w:val="21"/>
        </w:rPr>
        <w:t>渗漏检测层、</w:t>
      </w:r>
      <w:r>
        <w:rPr>
          <w:rFonts w:eastAsiaTheme="minorEastAsia"/>
          <w:bCs/>
          <w:sz w:val="24"/>
          <w:szCs w:val="21"/>
        </w:rPr>
        <w:t>膜上保护层、</w:t>
      </w:r>
      <w:r>
        <w:rPr>
          <w:rFonts w:hint="eastAsia" w:eastAsiaTheme="minorEastAsia"/>
          <w:bCs/>
          <w:sz w:val="24"/>
          <w:szCs w:val="21"/>
        </w:rPr>
        <w:t>渗滤液</w:t>
      </w:r>
      <w:r>
        <w:rPr>
          <w:rFonts w:eastAsiaTheme="minorEastAsia"/>
          <w:bCs/>
          <w:sz w:val="24"/>
          <w:szCs w:val="21"/>
        </w:rPr>
        <w:t>导流层、土工织物层等组成</w:t>
      </w:r>
      <w:r>
        <w:rPr>
          <w:rFonts w:eastAsiaTheme="minorEastAsia"/>
          <w:sz w:val="24"/>
          <w:szCs w:val="21"/>
        </w:rPr>
        <w:t>：</w:t>
      </w:r>
    </w:p>
    <w:p>
      <w:pPr>
        <w:adjustRightInd w:val="0"/>
        <w:snapToGrid w:val="0"/>
        <w:spacing w:line="360" w:lineRule="auto"/>
        <w:ind w:firstLine="482" w:firstLineChars="200"/>
        <w:rPr>
          <w:rFonts w:eastAsiaTheme="minorEastAsia"/>
          <w:b/>
          <w:sz w:val="24"/>
          <w:szCs w:val="21"/>
        </w:rPr>
      </w:pPr>
      <w:r>
        <w:rPr>
          <w:rFonts w:hint="eastAsia" w:eastAsiaTheme="minorEastAsia"/>
          <w:b/>
          <w:sz w:val="24"/>
          <w:szCs w:val="21"/>
        </w:rPr>
        <w:t>（</w:t>
      </w:r>
      <w:r>
        <w:rPr>
          <w:rFonts w:eastAsiaTheme="minorEastAsia"/>
          <w:b/>
          <w:sz w:val="24"/>
          <w:szCs w:val="21"/>
        </w:rPr>
        <w:t>1）基础层</w:t>
      </w:r>
    </w:p>
    <w:p>
      <w:pPr>
        <w:adjustRightInd w:val="0"/>
        <w:snapToGrid w:val="0"/>
        <w:spacing w:line="360" w:lineRule="auto"/>
        <w:ind w:firstLine="480" w:firstLineChars="200"/>
        <w:rPr>
          <w:rFonts w:eastAsiaTheme="minorEastAsia"/>
          <w:sz w:val="24"/>
          <w:szCs w:val="21"/>
        </w:rPr>
      </w:pPr>
      <w:r>
        <w:rPr>
          <w:rFonts w:eastAsiaTheme="minorEastAsia"/>
          <w:sz w:val="24"/>
          <w:szCs w:val="21"/>
        </w:rPr>
        <w:t>为防止因</w:t>
      </w:r>
      <w:r>
        <w:rPr>
          <w:rFonts w:hint="eastAsia" w:eastAsiaTheme="minorEastAsia"/>
          <w:sz w:val="24"/>
          <w:szCs w:val="21"/>
        </w:rPr>
        <w:t>固化飞灰</w:t>
      </w:r>
      <w:r>
        <w:rPr>
          <w:rFonts w:eastAsiaTheme="minorEastAsia"/>
          <w:sz w:val="24"/>
          <w:szCs w:val="21"/>
        </w:rPr>
        <w:t>堆积后产生的地基不均匀沉降而使基层失稳或损坏防渗层，在施工防渗系统前，必须对填埋库区的底部和边坡进行处理，使之形成具有承载填埋体负荷的基础层。</w:t>
      </w:r>
    </w:p>
    <w:p>
      <w:pPr>
        <w:adjustRightInd w:val="0"/>
        <w:snapToGrid w:val="0"/>
        <w:spacing w:line="360" w:lineRule="auto"/>
        <w:ind w:firstLine="480" w:firstLineChars="200"/>
        <w:rPr>
          <w:rFonts w:eastAsiaTheme="minorEastAsia"/>
          <w:sz w:val="24"/>
          <w:szCs w:val="21"/>
        </w:rPr>
      </w:pPr>
      <w:r>
        <w:rPr>
          <w:rFonts w:eastAsiaTheme="minorEastAsia"/>
          <w:sz w:val="24"/>
          <w:szCs w:val="21"/>
        </w:rPr>
        <w:t>库区底部的处理：清除所有植被及表层耕植土，并使底部形成横向、纵向≥2%的整体坡度，以满足库区地下水导排系统和</w:t>
      </w:r>
      <w:r>
        <w:rPr>
          <w:rFonts w:hint="eastAsia" w:eastAsiaTheme="minorEastAsia"/>
          <w:sz w:val="24"/>
          <w:szCs w:val="21"/>
        </w:rPr>
        <w:t>渗滤液</w:t>
      </w:r>
      <w:r>
        <w:rPr>
          <w:rFonts w:eastAsiaTheme="minorEastAsia"/>
          <w:sz w:val="24"/>
          <w:szCs w:val="21"/>
        </w:rPr>
        <w:t>收集系统的布设要求；同时，还要求对基础层进行压实，压实度不小于93%。</w:t>
      </w:r>
    </w:p>
    <w:p>
      <w:pPr>
        <w:adjustRightInd w:val="0"/>
        <w:snapToGrid w:val="0"/>
        <w:spacing w:line="360" w:lineRule="auto"/>
        <w:ind w:firstLine="480" w:firstLineChars="200"/>
        <w:rPr>
          <w:rFonts w:eastAsiaTheme="minorEastAsia"/>
          <w:sz w:val="24"/>
          <w:szCs w:val="21"/>
        </w:rPr>
      </w:pPr>
      <w:r>
        <w:rPr>
          <w:rFonts w:eastAsiaTheme="minorEastAsia"/>
          <w:sz w:val="24"/>
          <w:szCs w:val="21"/>
        </w:rPr>
        <w:t>库区边坡的处理：清除所有植被，并使边坡形成相对整体坡度；平整边坡宜小于1</w:t>
      </w:r>
      <w:r>
        <w:rPr>
          <w:rFonts w:hint="eastAsia" w:ascii="宋体" w:hAnsi="宋体" w:cs="宋体"/>
          <w:sz w:val="24"/>
          <w:szCs w:val="21"/>
        </w:rPr>
        <w:t>∶</w:t>
      </w:r>
      <w:r>
        <w:rPr>
          <w:rFonts w:eastAsiaTheme="minorEastAsia"/>
          <w:sz w:val="24"/>
          <w:szCs w:val="21"/>
        </w:rPr>
        <w:t xml:space="preserve">2，部分低洼处采用原土回填夯实，夯实密实度不小于90%。 </w:t>
      </w:r>
    </w:p>
    <w:p>
      <w:pPr>
        <w:adjustRightInd w:val="0"/>
        <w:snapToGrid w:val="0"/>
        <w:spacing w:line="360" w:lineRule="auto"/>
        <w:ind w:firstLine="482" w:firstLineChars="200"/>
        <w:rPr>
          <w:rFonts w:eastAsiaTheme="minorEastAsia"/>
          <w:b/>
          <w:bCs/>
          <w:sz w:val="24"/>
          <w:szCs w:val="21"/>
        </w:rPr>
      </w:pPr>
      <w:r>
        <w:rPr>
          <w:rFonts w:hint="eastAsia" w:eastAsiaTheme="minorEastAsia"/>
          <w:b/>
          <w:bCs/>
          <w:sz w:val="24"/>
          <w:szCs w:val="21"/>
        </w:rPr>
        <w:t>（2）</w:t>
      </w:r>
      <w:r>
        <w:rPr>
          <w:rFonts w:eastAsiaTheme="minorEastAsia"/>
          <w:b/>
          <w:bCs/>
          <w:sz w:val="24"/>
          <w:szCs w:val="21"/>
        </w:rPr>
        <w:t>膜下保护层</w:t>
      </w:r>
    </w:p>
    <w:p>
      <w:pPr>
        <w:adjustRightInd w:val="0"/>
        <w:snapToGrid w:val="0"/>
        <w:spacing w:line="360" w:lineRule="auto"/>
        <w:ind w:firstLine="480" w:firstLineChars="200"/>
        <w:rPr>
          <w:rFonts w:eastAsiaTheme="minorEastAsia"/>
          <w:sz w:val="24"/>
          <w:szCs w:val="21"/>
        </w:rPr>
      </w:pPr>
      <w:r>
        <w:rPr>
          <w:rFonts w:hint="eastAsia" w:eastAsiaTheme="minorEastAsia"/>
          <w:sz w:val="24"/>
          <w:szCs w:val="21"/>
        </w:rPr>
        <w:t>根据《危险废物填埋污染控制标准》（GB18598-2019）规定，双人工复合衬层中的黏土衬层，主衬层的黏土衬层厚度为0.3m，次衬层的黏土衬层厚度为0.5m，其被压实、人工改性等措施后的饱和透系数小于1.0×10</w:t>
      </w:r>
      <w:r>
        <w:rPr>
          <w:rFonts w:hint="eastAsia" w:eastAsiaTheme="minorEastAsia"/>
          <w:sz w:val="24"/>
          <w:szCs w:val="21"/>
          <w:vertAlign w:val="superscript"/>
        </w:rPr>
        <w:t>-7</w:t>
      </w:r>
      <w:r>
        <w:rPr>
          <w:rFonts w:hint="eastAsia" w:eastAsiaTheme="minorEastAsia"/>
          <w:sz w:val="24"/>
          <w:szCs w:val="21"/>
        </w:rPr>
        <w:t>cm/s。</w:t>
      </w:r>
    </w:p>
    <w:p>
      <w:pPr>
        <w:adjustRightInd w:val="0"/>
        <w:snapToGrid w:val="0"/>
        <w:spacing w:line="360" w:lineRule="auto"/>
        <w:ind w:firstLine="480" w:firstLineChars="200"/>
        <w:rPr>
          <w:rFonts w:eastAsiaTheme="minorEastAsia"/>
          <w:sz w:val="24"/>
          <w:szCs w:val="21"/>
        </w:rPr>
      </w:pPr>
      <w:r>
        <w:rPr>
          <w:rFonts w:eastAsiaTheme="minorEastAsia"/>
          <w:sz w:val="24"/>
          <w:szCs w:val="21"/>
        </w:rPr>
        <w:t>粘土衬层施工过程应充分考虑压实度与含水率对其饱和渗透系数的影响,满足下列条件:</w:t>
      </w:r>
    </w:p>
    <w:p>
      <w:pPr>
        <w:adjustRightInd w:val="0"/>
        <w:snapToGrid w:val="0"/>
        <w:spacing w:line="360" w:lineRule="auto"/>
        <w:ind w:firstLine="480" w:firstLineChars="200"/>
        <w:rPr>
          <w:rFonts w:eastAsiaTheme="minorEastAsia"/>
          <w:sz w:val="24"/>
          <w:szCs w:val="21"/>
        </w:rPr>
      </w:pPr>
      <w:r>
        <w:rPr>
          <w:rFonts w:eastAsiaTheme="minorEastAsia"/>
          <w:sz w:val="24"/>
          <w:szCs w:val="21"/>
        </w:rPr>
        <w:t>a)每平方米粘土层高度差不得大于2cm</w:t>
      </w:r>
      <w:r>
        <w:rPr>
          <w:rFonts w:hint="eastAsia" w:eastAsiaTheme="minorEastAsia"/>
          <w:sz w:val="24"/>
          <w:szCs w:val="21"/>
        </w:rPr>
        <w:t>；</w:t>
      </w:r>
    </w:p>
    <w:p>
      <w:pPr>
        <w:adjustRightInd w:val="0"/>
        <w:snapToGrid w:val="0"/>
        <w:spacing w:line="360" w:lineRule="auto"/>
        <w:ind w:firstLine="480" w:firstLineChars="200"/>
        <w:rPr>
          <w:rFonts w:eastAsiaTheme="minorEastAsia"/>
          <w:sz w:val="24"/>
          <w:szCs w:val="21"/>
        </w:rPr>
      </w:pPr>
      <w:r>
        <w:rPr>
          <w:rFonts w:eastAsiaTheme="minorEastAsia"/>
          <w:sz w:val="24"/>
          <w:szCs w:val="21"/>
        </w:rPr>
        <w:t>b)土的细粒含量(粒径小于0.075mm)应大于20%,塑性指数应大于10%,不应含有粒径大于5mm的尖锐颗粒物</w:t>
      </w:r>
      <w:r>
        <w:rPr>
          <w:rFonts w:hint="eastAsia" w:eastAsiaTheme="minorEastAsia"/>
          <w:sz w:val="24"/>
          <w:szCs w:val="21"/>
        </w:rPr>
        <w:t>；</w:t>
      </w:r>
    </w:p>
    <w:p>
      <w:pPr>
        <w:adjustRightInd w:val="0"/>
        <w:snapToGrid w:val="0"/>
        <w:spacing w:line="360" w:lineRule="auto"/>
        <w:ind w:firstLine="480" w:firstLineChars="200"/>
        <w:rPr>
          <w:rFonts w:eastAsiaTheme="minorEastAsia"/>
          <w:sz w:val="24"/>
          <w:szCs w:val="21"/>
        </w:rPr>
      </w:pPr>
      <w:r>
        <w:rPr>
          <w:rFonts w:eastAsiaTheme="minorEastAsia"/>
          <w:sz w:val="24"/>
          <w:szCs w:val="21"/>
        </w:rPr>
        <w:t>c)粘土衬层的施工不应对渗滤液收集和导排系统、人工合成材料衬层、渗漏检测层造成破坏</w:t>
      </w:r>
      <w:r>
        <w:rPr>
          <w:rFonts w:hint="eastAsia" w:eastAsiaTheme="minorEastAsia"/>
          <w:sz w:val="24"/>
          <w:szCs w:val="21"/>
        </w:rPr>
        <w:t>。</w:t>
      </w:r>
    </w:p>
    <w:p>
      <w:pPr>
        <w:adjustRightInd w:val="0"/>
        <w:snapToGrid w:val="0"/>
        <w:spacing w:line="360" w:lineRule="auto"/>
        <w:ind w:firstLine="482" w:firstLineChars="200"/>
        <w:rPr>
          <w:rFonts w:eastAsiaTheme="minorEastAsia"/>
          <w:b/>
          <w:bCs/>
          <w:sz w:val="24"/>
          <w:szCs w:val="21"/>
        </w:rPr>
      </w:pPr>
      <w:r>
        <w:rPr>
          <w:rFonts w:hint="eastAsia" w:eastAsiaTheme="minorEastAsia"/>
          <w:b/>
          <w:bCs/>
          <w:sz w:val="24"/>
          <w:szCs w:val="21"/>
        </w:rPr>
        <w:t>（</w:t>
      </w:r>
      <w:r>
        <w:rPr>
          <w:rFonts w:eastAsiaTheme="minorEastAsia"/>
          <w:b/>
          <w:bCs/>
          <w:sz w:val="24"/>
          <w:szCs w:val="21"/>
        </w:rPr>
        <w:t>3）</w:t>
      </w:r>
      <w:r>
        <w:rPr>
          <w:rFonts w:hint="eastAsia" w:eastAsiaTheme="minorEastAsia"/>
          <w:b/>
          <w:bCs/>
          <w:sz w:val="24"/>
          <w:szCs w:val="21"/>
        </w:rPr>
        <w:t>防渗</w:t>
      </w:r>
      <w:r>
        <w:rPr>
          <w:rFonts w:eastAsiaTheme="minorEastAsia"/>
          <w:b/>
          <w:bCs/>
          <w:sz w:val="24"/>
          <w:szCs w:val="21"/>
        </w:rPr>
        <w:t>膜</w:t>
      </w:r>
    </w:p>
    <w:p>
      <w:pPr>
        <w:adjustRightInd w:val="0"/>
        <w:snapToGrid w:val="0"/>
        <w:spacing w:line="360" w:lineRule="auto"/>
        <w:ind w:firstLine="480" w:firstLineChars="200"/>
        <w:rPr>
          <w:rFonts w:eastAsiaTheme="minorEastAsia"/>
          <w:sz w:val="24"/>
          <w:szCs w:val="21"/>
        </w:rPr>
      </w:pPr>
      <w:r>
        <w:rPr>
          <w:rFonts w:hint="eastAsia" w:eastAsiaTheme="minorEastAsia"/>
          <w:sz w:val="24"/>
          <w:szCs w:val="21"/>
        </w:rPr>
        <w:t>本工程采用双人工复合衬层作为防渗膜。</w:t>
      </w:r>
      <w:r>
        <w:rPr>
          <w:rFonts w:eastAsiaTheme="minorEastAsia"/>
          <w:sz w:val="24"/>
          <w:szCs w:val="21"/>
        </w:rPr>
        <w:t>选用</w:t>
      </w:r>
      <w:r>
        <w:rPr>
          <w:rFonts w:hint="eastAsia" w:eastAsiaTheme="minorEastAsia"/>
          <w:sz w:val="24"/>
          <w:szCs w:val="21"/>
        </w:rPr>
        <w:t>2.0</w:t>
      </w:r>
      <w:r>
        <w:rPr>
          <w:rFonts w:eastAsiaTheme="minorEastAsia"/>
          <w:sz w:val="24"/>
          <w:szCs w:val="21"/>
        </w:rPr>
        <w:t>mm</w:t>
      </w:r>
      <w:r>
        <w:rPr>
          <w:rFonts w:hint="eastAsia" w:eastAsiaTheme="minorEastAsia"/>
          <w:sz w:val="24"/>
          <w:szCs w:val="21"/>
        </w:rPr>
        <w:t>+1.5mm</w:t>
      </w:r>
      <w:r>
        <w:rPr>
          <w:rFonts w:eastAsiaTheme="minorEastAsia"/>
          <w:sz w:val="24"/>
          <w:szCs w:val="21"/>
        </w:rPr>
        <w:t>厚HDPE膜</w:t>
      </w:r>
      <w:r>
        <w:rPr>
          <w:rFonts w:hint="eastAsia" w:eastAsiaTheme="minorEastAsia"/>
          <w:sz w:val="24"/>
          <w:szCs w:val="21"/>
        </w:rPr>
        <w:t>，材料应满足CJ/T 234规定的技术标准要求。</w:t>
      </w:r>
      <w:r>
        <w:rPr>
          <w:rFonts w:eastAsiaTheme="minorEastAsia"/>
          <w:sz w:val="24"/>
          <w:szCs w:val="21"/>
        </w:rPr>
        <w:t>考虑渗漏现象90%是由土工膜的焊接处发生，为减少焊缝数量，选用</w:t>
      </w:r>
      <w:r>
        <w:rPr>
          <w:rFonts w:hint="eastAsia" w:eastAsiaTheme="minorEastAsia"/>
          <w:sz w:val="24"/>
          <w:szCs w:val="21"/>
        </w:rPr>
        <w:t>7.5</w:t>
      </w:r>
      <w:r>
        <w:rPr>
          <w:rFonts w:eastAsiaTheme="minorEastAsia"/>
          <w:sz w:val="24"/>
          <w:szCs w:val="21"/>
        </w:rPr>
        <w:t>米宽幅的HDPE膜；整个场底比较平整，HDPE膜发生滑动的可能性较小，可选择光面的HDPE膜，边坡则选用糙面HDPE膜。</w:t>
      </w:r>
    </w:p>
    <w:p>
      <w:pPr>
        <w:adjustRightInd w:val="0"/>
        <w:snapToGrid w:val="0"/>
        <w:spacing w:line="360" w:lineRule="auto"/>
        <w:ind w:firstLine="480" w:firstLineChars="200"/>
        <w:rPr>
          <w:rFonts w:eastAsiaTheme="minorEastAsia"/>
          <w:sz w:val="24"/>
          <w:szCs w:val="21"/>
        </w:rPr>
      </w:pPr>
      <w:r>
        <w:rPr>
          <w:rFonts w:hint="eastAsia" w:eastAsiaTheme="minorEastAsia"/>
          <w:sz w:val="24"/>
          <w:szCs w:val="21"/>
        </w:rPr>
        <w:t>因此，</w:t>
      </w:r>
      <w:r>
        <w:rPr>
          <w:rFonts w:eastAsiaTheme="minorEastAsia"/>
          <w:sz w:val="24"/>
          <w:szCs w:val="21"/>
        </w:rPr>
        <w:t>本</w:t>
      </w:r>
      <w:r>
        <w:rPr>
          <w:rFonts w:hint="eastAsia" w:eastAsiaTheme="minorEastAsia"/>
          <w:sz w:val="24"/>
          <w:szCs w:val="21"/>
        </w:rPr>
        <w:t>项目</w:t>
      </w:r>
      <w:r>
        <w:rPr>
          <w:rFonts w:eastAsiaTheme="minorEastAsia"/>
          <w:sz w:val="24"/>
          <w:szCs w:val="21"/>
        </w:rPr>
        <w:t>场底防渗结构全部采用</w:t>
      </w:r>
      <w:r>
        <w:rPr>
          <w:rFonts w:hint="eastAsia" w:eastAsiaTheme="minorEastAsia"/>
          <w:sz w:val="24"/>
          <w:szCs w:val="21"/>
        </w:rPr>
        <w:t>7.5</w:t>
      </w:r>
      <w:r>
        <w:rPr>
          <w:rFonts w:eastAsiaTheme="minorEastAsia"/>
          <w:sz w:val="24"/>
          <w:szCs w:val="21"/>
        </w:rPr>
        <w:t>米宽幅、</w:t>
      </w:r>
      <w:r>
        <w:rPr>
          <w:rFonts w:hint="eastAsia" w:eastAsiaTheme="minorEastAsia"/>
          <w:sz w:val="24"/>
          <w:szCs w:val="21"/>
        </w:rPr>
        <w:t>2.0</w:t>
      </w:r>
      <w:r>
        <w:rPr>
          <w:rFonts w:eastAsiaTheme="minorEastAsia"/>
          <w:sz w:val="24"/>
          <w:szCs w:val="21"/>
        </w:rPr>
        <w:t>mm</w:t>
      </w:r>
      <w:r>
        <w:rPr>
          <w:rFonts w:hint="eastAsia" w:eastAsiaTheme="minorEastAsia"/>
          <w:sz w:val="24"/>
          <w:szCs w:val="21"/>
        </w:rPr>
        <w:t>+1.5mm</w:t>
      </w:r>
      <w:r>
        <w:rPr>
          <w:rFonts w:eastAsiaTheme="minorEastAsia"/>
          <w:sz w:val="24"/>
          <w:szCs w:val="21"/>
        </w:rPr>
        <w:t>厚的光面HDPE膜；边坡防渗结构全部采用</w:t>
      </w:r>
      <w:r>
        <w:rPr>
          <w:rFonts w:hint="eastAsia" w:eastAsiaTheme="minorEastAsia"/>
          <w:sz w:val="24"/>
          <w:szCs w:val="21"/>
        </w:rPr>
        <w:t>7.5</w:t>
      </w:r>
      <w:r>
        <w:rPr>
          <w:rFonts w:eastAsiaTheme="minorEastAsia"/>
          <w:sz w:val="24"/>
          <w:szCs w:val="21"/>
        </w:rPr>
        <w:t>米宽幅、</w:t>
      </w:r>
      <w:r>
        <w:rPr>
          <w:rFonts w:hint="eastAsia" w:eastAsiaTheme="minorEastAsia"/>
          <w:sz w:val="24"/>
          <w:szCs w:val="21"/>
        </w:rPr>
        <w:t>2.0</w:t>
      </w:r>
      <w:r>
        <w:rPr>
          <w:rFonts w:eastAsiaTheme="minorEastAsia"/>
          <w:sz w:val="24"/>
          <w:szCs w:val="21"/>
        </w:rPr>
        <w:t>mm</w:t>
      </w:r>
      <w:r>
        <w:rPr>
          <w:rFonts w:hint="eastAsia" w:eastAsiaTheme="minorEastAsia"/>
          <w:sz w:val="24"/>
          <w:szCs w:val="21"/>
        </w:rPr>
        <w:t>+1.5mm</w:t>
      </w:r>
      <w:r>
        <w:rPr>
          <w:rFonts w:eastAsiaTheme="minorEastAsia"/>
          <w:sz w:val="24"/>
          <w:szCs w:val="21"/>
        </w:rPr>
        <w:t>厚的糙面HDPE膜</w:t>
      </w:r>
      <w:r>
        <w:rPr>
          <w:rFonts w:hint="eastAsia" w:eastAsiaTheme="minorEastAsia"/>
          <w:sz w:val="24"/>
          <w:szCs w:val="21"/>
        </w:rPr>
        <w:t>，实际施工中如果遇到变坡面复杂多变情况,可适当采用窄幅</w:t>
      </w:r>
      <w:r>
        <w:rPr>
          <w:rFonts w:eastAsiaTheme="minorEastAsia"/>
          <w:sz w:val="24"/>
          <w:szCs w:val="21"/>
        </w:rPr>
        <w:t>HDPE膜。</w:t>
      </w:r>
    </w:p>
    <w:p>
      <w:pPr>
        <w:adjustRightInd w:val="0"/>
        <w:snapToGrid w:val="0"/>
        <w:spacing w:line="360" w:lineRule="auto"/>
        <w:ind w:left="480"/>
        <w:rPr>
          <w:rFonts w:eastAsiaTheme="minorEastAsia"/>
          <w:b/>
          <w:bCs/>
          <w:sz w:val="24"/>
          <w:szCs w:val="21"/>
        </w:rPr>
      </w:pPr>
      <w:r>
        <w:rPr>
          <w:rFonts w:hint="eastAsia" w:eastAsiaTheme="minorEastAsia"/>
          <w:b/>
          <w:bCs/>
          <w:sz w:val="24"/>
          <w:szCs w:val="21"/>
        </w:rPr>
        <w:t>（4）渗漏检测层</w:t>
      </w:r>
    </w:p>
    <w:p>
      <w:pPr>
        <w:adjustRightInd w:val="0"/>
        <w:snapToGrid w:val="0"/>
        <w:spacing w:line="360" w:lineRule="auto"/>
        <w:ind w:firstLine="480" w:firstLineChars="200"/>
        <w:rPr>
          <w:rFonts w:eastAsiaTheme="minorEastAsia"/>
          <w:sz w:val="24"/>
          <w:szCs w:val="21"/>
        </w:rPr>
      </w:pPr>
      <w:r>
        <w:rPr>
          <w:rFonts w:hint="eastAsia" w:eastAsiaTheme="minorEastAsia"/>
          <w:sz w:val="24"/>
          <w:szCs w:val="21"/>
        </w:rPr>
        <w:t>两层人工复合衬层之间，设置渗透检测层，检测层采用卵石，厚度0.3m。它包括双人工复合衬层之间的导排介质、集排水管道和集水井，并应分区设置。检测层渗透系数应大于0.1cm/s。</w:t>
      </w:r>
    </w:p>
    <w:p>
      <w:pPr>
        <w:adjustRightInd w:val="0"/>
        <w:snapToGrid w:val="0"/>
        <w:spacing w:line="360" w:lineRule="auto"/>
        <w:ind w:firstLine="482" w:firstLineChars="200"/>
        <w:rPr>
          <w:rFonts w:eastAsiaTheme="minorEastAsia"/>
          <w:b/>
          <w:bCs/>
          <w:sz w:val="24"/>
          <w:szCs w:val="21"/>
        </w:rPr>
      </w:pPr>
      <w:r>
        <w:rPr>
          <w:rFonts w:hint="eastAsia" w:eastAsiaTheme="minorEastAsia"/>
          <w:b/>
          <w:bCs/>
          <w:sz w:val="24"/>
          <w:szCs w:val="21"/>
        </w:rPr>
        <w:t>（5）</w:t>
      </w:r>
      <w:r>
        <w:rPr>
          <w:rFonts w:eastAsiaTheme="minorEastAsia"/>
          <w:b/>
          <w:bCs/>
          <w:sz w:val="24"/>
          <w:szCs w:val="21"/>
        </w:rPr>
        <w:t>膜上保护层</w:t>
      </w:r>
    </w:p>
    <w:p>
      <w:pPr>
        <w:adjustRightInd w:val="0"/>
        <w:snapToGrid w:val="0"/>
        <w:spacing w:line="360" w:lineRule="auto"/>
        <w:ind w:firstLine="480" w:firstLineChars="200"/>
        <w:rPr>
          <w:rFonts w:eastAsiaTheme="minorEastAsia"/>
          <w:sz w:val="24"/>
          <w:szCs w:val="21"/>
        </w:rPr>
      </w:pPr>
      <w:r>
        <w:rPr>
          <w:rFonts w:eastAsiaTheme="minorEastAsia"/>
          <w:sz w:val="24"/>
          <w:szCs w:val="21"/>
        </w:rPr>
        <w:t>一般采用具备较高抗穿刺能力的土工布做膜上保护层，参考设计规范拟采用一层600g/m</w:t>
      </w:r>
      <w:r>
        <w:rPr>
          <w:rFonts w:eastAsiaTheme="minorEastAsia"/>
          <w:sz w:val="24"/>
          <w:szCs w:val="21"/>
          <w:vertAlign w:val="superscript"/>
        </w:rPr>
        <w:t>2</w:t>
      </w:r>
      <w:r>
        <w:rPr>
          <w:rFonts w:eastAsiaTheme="minorEastAsia"/>
          <w:sz w:val="24"/>
          <w:szCs w:val="21"/>
        </w:rPr>
        <w:t>的</w:t>
      </w:r>
      <w:r>
        <w:rPr>
          <w:rFonts w:hint="eastAsia" w:eastAsiaTheme="minorEastAsia"/>
          <w:sz w:val="24"/>
          <w:szCs w:val="21"/>
        </w:rPr>
        <w:t>非织造</w:t>
      </w:r>
      <w:r>
        <w:rPr>
          <w:rFonts w:eastAsiaTheme="minorEastAsia"/>
          <w:sz w:val="24"/>
          <w:szCs w:val="21"/>
        </w:rPr>
        <w:t>土工布。</w:t>
      </w:r>
    </w:p>
    <w:p>
      <w:pPr>
        <w:adjustRightInd w:val="0"/>
        <w:snapToGrid w:val="0"/>
        <w:spacing w:line="360" w:lineRule="auto"/>
        <w:ind w:firstLine="482" w:firstLineChars="200"/>
        <w:rPr>
          <w:rFonts w:eastAsiaTheme="minorEastAsia"/>
          <w:b/>
          <w:bCs/>
          <w:sz w:val="24"/>
          <w:szCs w:val="21"/>
        </w:rPr>
      </w:pPr>
      <w:r>
        <w:rPr>
          <w:rFonts w:hint="eastAsia" w:eastAsiaTheme="minorEastAsia"/>
          <w:b/>
          <w:bCs/>
          <w:sz w:val="24"/>
          <w:szCs w:val="21"/>
        </w:rPr>
        <w:t>（6）渗滤液</w:t>
      </w:r>
      <w:r>
        <w:rPr>
          <w:rFonts w:eastAsiaTheme="minorEastAsia"/>
          <w:b/>
          <w:bCs/>
          <w:sz w:val="24"/>
          <w:szCs w:val="21"/>
        </w:rPr>
        <w:t>导</w:t>
      </w:r>
      <w:r>
        <w:rPr>
          <w:rFonts w:hint="eastAsia" w:eastAsiaTheme="minorEastAsia"/>
          <w:b/>
          <w:bCs/>
          <w:sz w:val="24"/>
          <w:szCs w:val="21"/>
        </w:rPr>
        <w:t>排</w:t>
      </w:r>
      <w:r>
        <w:rPr>
          <w:rFonts w:eastAsiaTheme="minorEastAsia"/>
          <w:b/>
          <w:bCs/>
          <w:sz w:val="24"/>
          <w:szCs w:val="21"/>
        </w:rPr>
        <w:t>层</w:t>
      </w:r>
    </w:p>
    <w:p>
      <w:pPr>
        <w:adjustRightInd w:val="0"/>
        <w:snapToGrid w:val="0"/>
        <w:spacing w:line="360" w:lineRule="auto"/>
        <w:ind w:firstLine="480" w:firstLineChars="200"/>
        <w:rPr>
          <w:rFonts w:eastAsiaTheme="minorEastAsia"/>
          <w:sz w:val="24"/>
          <w:szCs w:val="21"/>
        </w:rPr>
      </w:pPr>
      <w:r>
        <w:rPr>
          <w:rFonts w:eastAsiaTheme="minorEastAsia"/>
          <w:sz w:val="24"/>
          <w:szCs w:val="21"/>
        </w:rPr>
        <w:t>在场底铺设一层40cm厚的</w:t>
      </w:r>
      <w:r>
        <w:rPr>
          <w:rFonts w:hint="eastAsia" w:eastAsiaTheme="minorEastAsia"/>
          <w:sz w:val="24"/>
          <w:szCs w:val="21"/>
        </w:rPr>
        <w:t>卵</w:t>
      </w:r>
      <w:r>
        <w:rPr>
          <w:rFonts w:eastAsiaTheme="minorEastAsia"/>
          <w:sz w:val="24"/>
          <w:szCs w:val="21"/>
        </w:rPr>
        <w:t>石，粒径在30~60mm</w:t>
      </w:r>
      <w:r>
        <w:rPr>
          <w:rFonts w:hint="eastAsia" w:eastAsiaTheme="minorEastAsia"/>
          <w:sz w:val="24"/>
          <w:szCs w:val="21"/>
        </w:rPr>
        <w:t>，卵石的初始渗透系数应不小于0.1cm/s,碳酸钙含量应不大于5%</w:t>
      </w:r>
      <w:r>
        <w:rPr>
          <w:rFonts w:eastAsiaTheme="minorEastAsia"/>
          <w:sz w:val="24"/>
          <w:szCs w:val="21"/>
        </w:rPr>
        <w:t>。</w:t>
      </w:r>
      <w:r>
        <w:rPr>
          <w:rFonts w:hint="eastAsia" w:eastAsiaTheme="minorEastAsia"/>
          <w:sz w:val="24"/>
          <w:szCs w:val="21"/>
        </w:rPr>
        <w:t>滤液导排层的坡度不宜小于2%。设置导排管道和集水井，滤液导排管出口设置端头并等反冲洗装置，定期冲洗管道，维持管通畅。</w:t>
      </w:r>
    </w:p>
    <w:p>
      <w:pPr>
        <w:adjustRightInd w:val="0"/>
        <w:snapToGrid w:val="0"/>
        <w:spacing w:line="360" w:lineRule="auto"/>
        <w:ind w:firstLine="482" w:firstLineChars="200"/>
        <w:rPr>
          <w:rFonts w:eastAsiaTheme="minorEastAsia"/>
          <w:b/>
          <w:bCs/>
          <w:sz w:val="24"/>
          <w:szCs w:val="21"/>
        </w:rPr>
      </w:pPr>
      <w:r>
        <w:rPr>
          <w:rFonts w:hint="eastAsia" w:eastAsiaTheme="minorEastAsia"/>
          <w:b/>
          <w:bCs/>
          <w:sz w:val="24"/>
          <w:szCs w:val="21"/>
        </w:rPr>
        <w:t>（7）反滤层</w:t>
      </w:r>
    </w:p>
    <w:p>
      <w:pPr>
        <w:adjustRightInd w:val="0"/>
        <w:snapToGrid w:val="0"/>
        <w:spacing w:line="360" w:lineRule="auto"/>
        <w:ind w:firstLine="480" w:firstLineChars="200"/>
        <w:rPr>
          <w:rFonts w:eastAsiaTheme="minorEastAsia"/>
          <w:sz w:val="24"/>
          <w:szCs w:val="21"/>
        </w:rPr>
      </w:pPr>
      <w:r>
        <w:rPr>
          <w:rFonts w:eastAsiaTheme="minorEastAsia"/>
          <w:sz w:val="24"/>
          <w:szCs w:val="21"/>
        </w:rPr>
        <w:t>为防止</w:t>
      </w:r>
      <w:r>
        <w:rPr>
          <w:rFonts w:hint="eastAsia" w:eastAsiaTheme="minorEastAsia"/>
          <w:sz w:val="24"/>
          <w:szCs w:val="21"/>
        </w:rPr>
        <w:t>渗滤液</w:t>
      </w:r>
      <w:r>
        <w:rPr>
          <w:rFonts w:eastAsiaTheme="minorEastAsia"/>
          <w:sz w:val="24"/>
          <w:szCs w:val="21"/>
        </w:rPr>
        <w:t>发生</w:t>
      </w:r>
      <w:r>
        <w:rPr>
          <w:rFonts w:hint="eastAsia" w:eastAsiaTheme="minorEastAsia"/>
          <w:sz w:val="24"/>
          <w:szCs w:val="21"/>
        </w:rPr>
        <w:t>淤</w:t>
      </w:r>
      <w:r>
        <w:rPr>
          <w:rFonts w:eastAsiaTheme="minorEastAsia"/>
          <w:sz w:val="24"/>
          <w:szCs w:val="21"/>
        </w:rPr>
        <w:t>堵，在</w:t>
      </w:r>
      <w:r>
        <w:rPr>
          <w:rFonts w:hint="eastAsia" w:eastAsiaTheme="minorEastAsia"/>
          <w:sz w:val="24"/>
          <w:szCs w:val="21"/>
        </w:rPr>
        <w:t>渗滤液</w:t>
      </w:r>
      <w:r>
        <w:rPr>
          <w:rFonts w:eastAsiaTheme="minorEastAsia"/>
          <w:sz w:val="24"/>
          <w:szCs w:val="21"/>
        </w:rPr>
        <w:t>导流层上铺设一层土工</w:t>
      </w:r>
      <w:r>
        <w:rPr>
          <w:rFonts w:hint="eastAsia" w:eastAsiaTheme="minorEastAsia"/>
          <w:sz w:val="24"/>
          <w:szCs w:val="21"/>
        </w:rPr>
        <w:t>布</w:t>
      </w:r>
      <w:r>
        <w:rPr>
          <w:rFonts w:eastAsiaTheme="minorEastAsia"/>
          <w:sz w:val="24"/>
          <w:szCs w:val="21"/>
        </w:rPr>
        <w:t>做</w:t>
      </w:r>
      <w:r>
        <w:rPr>
          <w:rFonts w:hint="eastAsia" w:eastAsiaTheme="minorEastAsia"/>
          <w:sz w:val="24"/>
          <w:szCs w:val="21"/>
        </w:rPr>
        <w:t>反</w:t>
      </w:r>
      <w:r>
        <w:rPr>
          <w:rFonts w:eastAsiaTheme="minorEastAsia"/>
          <w:sz w:val="24"/>
          <w:szCs w:val="21"/>
        </w:rPr>
        <w:t>滤层，选用一层</w:t>
      </w:r>
      <w:r>
        <w:rPr>
          <w:rFonts w:hint="eastAsia" w:eastAsiaTheme="minorEastAsia"/>
          <w:sz w:val="24"/>
          <w:szCs w:val="21"/>
        </w:rPr>
        <w:t>2</w:t>
      </w:r>
      <w:r>
        <w:rPr>
          <w:rFonts w:eastAsiaTheme="minorEastAsia"/>
          <w:sz w:val="24"/>
          <w:szCs w:val="21"/>
        </w:rPr>
        <w:t>00g/m</w:t>
      </w:r>
      <w:r>
        <w:rPr>
          <w:rFonts w:eastAsiaTheme="minorEastAsia"/>
          <w:sz w:val="24"/>
          <w:szCs w:val="21"/>
          <w:vertAlign w:val="superscript"/>
        </w:rPr>
        <w:t>2</w:t>
      </w:r>
      <w:r>
        <w:rPr>
          <w:rFonts w:eastAsiaTheme="minorEastAsia"/>
          <w:sz w:val="24"/>
          <w:szCs w:val="21"/>
        </w:rPr>
        <w:t>土工布。</w:t>
      </w:r>
    </w:p>
    <w:p>
      <w:pPr>
        <w:adjustRightInd w:val="0"/>
        <w:snapToGrid w:val="0"/>
        <w:spacing w:line="360" w:lineRule="auto"/>
        <w:ind w:firstLine="480" w:firstLineChars="200"/>
        <w:rPr>
          <w:sz w:val="24"/>
          <w:szCs w:val="21"/>
        </w:rPr>
      </w:pPr>
      <w:r>
        <w:rPr>
          <w:rFonts w:hint="eastAsia"/>
          <w:sz w:val="24"/>
          <w:szCs w:val="21"/>
        </w:rPr>
        <w:t>本项目库区</w:t>
      </w:r>
      <w:r>
        <w:rPr>
          <w:sz w:val="24"/>
          <w:szCs w:val="21"/>
        </w:rPr>
        <w:t>底部与边坡防渗层结构见表 3.7-5。</w:t>
      </w:r>
    </w:p>
    <w:p>
      <w:pPr>
        <w:adjustRightInd w:val="0"/>
        <w:snapToGrid w:val="0"/>
        <w:jc w:val="center"/>
        <w:rPr>
          <w:sz w:val="24"/>
          <w:szCs w:val="21"/>
        </w:rPr>
      </w:pPr>
      <w:r>
        <w:rPr>
          <w:sz w:val="24"/>
          <w:szCs w:val="21"/>
        </w:rPr>
        <w:t>表 3.7-5</w:t>
      </w:r>
      <w:r>
        <w:rPr>
          <w:sz w:val="24"/>
          <w:szCs w:val="21"/>
        </w:rPr>
        <w:tab/>
      </w:r>
      <w:r>
        <w:rPr>
          <w:rFonts w:hint="eastAsia"/>
          <w:sz w:val="24"/>
          <w:szCs w:val="21"/>
        </w:rPr>
        <w:t>本项目</w:t>
      </w:r>
      <w:r>
        <w:rPr>
          <w:sz w:val="24"/>
          <w:szCs w:val="21"/>
        </w:rPr>
        <w:t>填埋场防渗结构层</w:t>
      </w:r>
    </w:p>
    <w:tbl>
      <w:tblPr>
        <w:tblStyle w:val="6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289"/>
        <w:gridCol w:w="2552"/>
        <w:gridCol w:w="850"/>
        <w:gridCol w:w="2549"/>
        <w:gridCol w:w="109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jc w:val="center"/>
        </w:trPr>
        <w:tc>
          <w:tcPr>
            <w:tcW w:w="773" w:type="pct"/>
            <w:vMerge w:val="restart"/>
            <w:vAlign w:val="center"/>
          </w:tcPr>
          <w:p>
            <w:pPr>
              <w:adjustRightInd w:val="0"/>
              <w:snapToGrid w:val="0"/>
              <w:jc w:val="center"/>
              <w:rPr>
                <w:kern w:val="0"/>
                <w:szCs w:val="21"/>
                <w:lang w:eastAsia="en-US"/>
              </w:rPr>
            </w:pPr>
            <w:r>
              <w:rPr>
                <w:kern w:val="0"/>
                <w:szCs w:val="21"/>
                <w:lang w:eastAsia="en-US"/>
              </w:rPr>
              <w:t>项目</w:t>
            </w:r>
          </w:p>
        </w:tc>
        <w:tc>
          <w:tcPr>
            <w:tcW w:w="2041" w:type="pct"/>
            <w:gridSpan w:val="2"/>
            <w:tcBorders>
              <w:right w:val="single" w:color="auto" w:sz="12" w:space="0"/>
            </w:tcBorders>
            <w:vAlign w:val="center"/>
          </w:tcPr>
          <w:p>
            <w:pPr>
              <w:adjustRightInd w:val="0"/>
              <w:snapToGrid w:val="0"/>
              <w:jc w:val="center"/>
              <w:rPr>
                <w:kern w:val="0"/>
                <w:szCs w:val="21"/>
                <w:lang w:eastAsia="en-US"/>
              </w:rPr>
            </w:pPr>
            <w:r>
              <w:rPr>
                <w:kern w:val="0"/>
                <w:szCs w:val="21"/>
                <w:lang w:eastAsia="en-US"/>
              </w:rPr>
              <w:t>库底防渗</w:t>
            </w:r>
          </w:p>
        </w:tc>
        <w:tc>
          <w:tcPr>
            <w:tcW w:w="2186" w:type="pct"/>
            <w:gridSpan w:val="2"/>
            <w:tcBorders>
              <w:left w:val="single" w:color="auto" w:sz="12" w:space="0"/>
            </w:tcBorders>
            <w:vAlign w:val="center"/>
          </w:tcPr>
          <w:p>
            <w:pPr>
              <w:adjustRightInd w:val="0"/>
              <w:snapToGrid w:val="0"/>
              <w:jc w:val="center"/>
              <w:rPr>
                <w:kern w:val="0"/>
                <w:szCs w:val="21"/>
                <w:lang w:eastAsia="en-US"/>
              </w:rPr>
            </w:pPr>
            <w:r>
              <w:rPr>
                <w:kern w:val="0"/>
                <w:szCs w:val="21"/>
                <w:lang w:eastAsia="en-US"/>
              </w:rPr>
              <w:t>边坡防渗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Merge w:val="continue"/>
            <w:vAlign w:val="center"/>
          </w:tcPr>
          <w:p>
            <w:pPr>
              <w:adjustRightInd w:val="0"/>
              <w:snapToGrid w:val="0"/>
              <w:jc w:val="center"/>
              <w:rPr>
                <w:kern w:val="0"/>
                <w:szCs w:val="21"/>
                <w:lang w:eastAsia="en-US"/>
              </w:rPr>
            </w:pPr>
          </w:p>
        </w:tc>
        <w:tc>
          <w:tcPr>
            <w:tcW w:w="1531" w:type="pct"/>
            <w:vAlign w:val="center"/>
          </w:tcPr>
          <w:p>
            <w:pPr>
              <w:adjustRightInd w:val="0"/>
              <w:snapToGrid w:val="0"/>
              <w:jc w:val="center"/>
              <w:rPr>
                <w:kern w:val="0"/>
                <w:szCs w:val="21"/>
                <w:lang w:eastAsia="en-US"/>
              </w:rPr>
            </w:pPr>
            <w:r>
              <w:rPr>
                <w:rFonts w:hint="eastAsia"/>
                <w:kern w:val="0"/>
                <w:szCs w:val="21"/>
                <w:lang w:eastAsia="en-US"/>
              </w:rPr>
              <w:t>材料</w:t>
            </w:r>
          </w:p>
        </w:tc>
        <w:tc>
          <w:tcPr>
            <w:tcW w:w="510" w:type="pct"/>
            <w:tcBorders>
              <w:right w:val="single" w:color="auto" w:sz="12" w:space="0"/>
            </w:tcBorders>
            <w:vAlign w:val="center"/>
          </w:tcPr>
          <w:p>
            <w:pPr>
              <w:adjustRightInd w:val="0"/>
              <w:snapToGrid w:val="0"/>
              <w:jc w:val="center"/>
              <w:rPr>
                <w:kern w:val="0"/>
                <w:szCs w:val="21"/>
                <w:lang w:eastAsia="en-US"/>
              </w:rPr>
            </w:pPr>
            <w:r>
              <w:rPr>
                <w:rFonts w:hint="eastAsia"/>
                <w:kern w:val="0"/>
                <w:szCs w:val="21"/>
                <w:lang w:eastAsia="en-US"/>
              </w:rPr>
              <w:t>厚度</w:t>
            </w:r>
          </w:p>
        </w:tc>
        <w:tc>
          <w:tcPr>
            <w:tcW w:w="1529" w:type="pct"/>
            <w:tcBorders>
              <w:left w:val="single" w:color="auto" w:sz="12" w:space="0"/>
            </w:tcBorders>
            <w:vAlign w:val="center"/>
          </w:tcPr>
          <w:p>
            <w:pPr>
              <w:adjustRightInd w:val="0"/>
              <w:snapToGrid w:val="0"/>
              <w:jc w:val="center"/>
              <w:rPr>
                <w:kern w:val="0"/>
                <w:szCs w:val="21"/>
                <w:lang w:eastAsia="en-US"/>
              </w:rPr>
            </w:pPr>
            <w:r>
              <w:rPr>
                <w:rFonts w:hint="eastAsia"/>
                <w:kern w:val="0"/>
                <w:szCs w:val="21"/>
                <w:lang w:eastAsia="en-US"/>
              </w:rPr>
              <w:t>材料</w:t>
            </w:r>
          </w:p>
        </w:tc>
        <w:tc>
          <w:tcPr>
            <w:tcW w:w="656" w:type="pct"/>
            <w:vAlign w:val="center"/>
          </w:tcPr>
          <w:p>
            <w:pPr>
              <w:adjustRightInd w:val="0"/>
              <w:snapToGrid w:val="0"/>
              <w:jc w:val="center"/>
              <w:rPr>
                <w:kern w:val="0"/>
                <w:szCs w:val="21"/>
                <w:lang w:eastAsia="en-US"/>
              </w:rPr>
            </w:pPr>
            <w:r>
              <w:rPr>
                <w:rFonts w:hint="eastAsia"/>
                <w:kern w:val="0"/>
                <w:szCs w:val="21"/>
                <w:lang w:eastAsia="en-US"/>
              </w:rPr>
              <w:t>厚度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kern w:val="0"/>
                <w:szCs w:val="21"/>
                <w:lang w:eastAsia="en-US"/>
              </w:rPr>
            </w:pPr>
            <w:r>
              <w:rPr>
                <w:rFonts w:hint="eastAsia"/>
                <w:bCs/>
                <w:kern w:val="0"/>
                <w:szCs w:val="21"/>
                <w:lang w:eastAsia="en-US"/>
              </w:rPr>
              <w:t>反滤层</w:t>
            </w:r>
          </w:p>
        </w:tc>
        <w:tc>
          <w:tcPr>
            <w:tcW w:w="1531" w:type="pct"/>
            <w:vAlign w:val="center"/>
          </w:tcPr>
          <w:p>
            <w:pPr>
              <w:adjustRightInd w:val="0"/>
              <w:snapToGrid w:val="0"/>
              <w:jc w:val="center"/>
              <w:rPr>
                <w:kern w:val="0"/>
                <w:szCs w:val="21"/>
                <w:lang w:eastAsia="en-US"/>
              </w:rPr>
            </w:pPr>
            <w:r>
              <w:rPr>
                <w:rFonts w:hint="eastAsia"/>
                <w:bCs/>
                <w:kern w:val="0"/>
                <w:szCs w:val="21"/>
                <w:lang w:eastAsia="en-US"/>
              </w:rPr>
              <w:t>2</w:t>
            </w:r>
            <w:r>
              <w:rPr>
                <w:bCs/>
                <w:kern w:val="0"/>
                <w:szCs w:val="21"/>
                <w:lang w:eastAsia="en-US"/>
              </w:rPr>
              <w:t>00g/m</w:t>
            </w:r>
            <w:r>
              <w:rPr>
                <w:bCs/>
                <w:kern w:val="0"/>
                <w:szCs w:val="21"/>
                <w:vertAlign w:val="superscript"/>
                <w:lang w:eastAsia="en-US"/>
              </w:rPr>
              <w:t>2</w:t>
            </w:r>
            <w:r>
              <w:rPr>
                <w:rFonts w:hint="eastAsia"/>
                <w:bCs/>
                <w:kern w:val="0"/>
                <w:szCs w:val="21"/>
                <w:lang w:eastAsia="en-US"/>
              </w:rPr>
              <w:t>土工</w:t>
            </w:r>
          </w:p>
        </w:tc>
        <w:tc>
          <w:tcPr>
            <w:tcW w:w="510" w:type="pct"/>
            <w:tcBorders>
              <w:right w:val="single" w:color="auto" w:sz="12" w:space="0"/>
            </w:tcBorders>
            <w:vAlign w:val="center"/>
          </w:tcPr>
          <w:p>
            <w:pPr>
              <w:adjustRightInd w:val="0"/>
              <w:snapToGrid w:val="0"/>
              <w:jc w:val="center"/>
              <w:rPr>
                <w:kern w:val="0"/>
                <w:szCs w:val="21"/>
                <w:lang w:eastAsia="en-US"/>
              </w:rPr>
            </w:pPr>
            <w:r>
              <w:rPr>
                <w:bCs/>
                <w:kern w:val="0"/>
                <w:szCs w:val="21"/>
                <w:lang w:eastAsia="en-US"/>
              </w:rPr>
              <w:t>/</w:t>
            </w:r>
          </w:p>
        </w:tc>
        <w:tc>
          <w:tcPr>
            <w:tcW w:w="1529" w:type="pct"/>
            <w:tcBorders>
              <w:left w:val="single" w:color="auto" w:sz="12" w:space="0"/>
            </w:tcBorders>
            <w:vAlign w:val="center"/>
          </w:tcPr>
          <w:p>
            <w:pPr>
              <w:adjustRightInd w:val="0"/>
              <w:snapToGrid w:val="0"/>
              <w:jc w:val="center"/>
              <w:rPr>
                <w:kern w:val="0"/>
                <w:szCs w:val="21"/>
                <w:lang w:eastAsia="en-US"/>
              </w:rPr>
            </w:pPr>
            <w:r>
              <w:rPr>
                <w:rFonts w:hint="eastAsia"/>
                <w:kern w:val="0"/>
                <w:szCs w:val="21"/>
                <w:lang w:eastAsia="en-US"/>
              </w:rPr>
              <w:t>/</w:t>
            </w:r>
          </w:p>
        </w:tc>
        <w:tc>
          <w:tcPr>
            <w:tcW w:w="656" w:type="pct"/>
            <w:vAlign w:val="center"/>
          </w:tcPr>
          <w:p>
            <w:pPr>
              <w:adjustRightInd w:val="0"/>
              <w:snapToGrid w:val="0"/>
              <w:jc w:val="center"/>
              <w:rPr>
                <w:kern w:val="0"/>
                <w:szCs w:val="21"/>
                <w:lang w:eastAsia="en-US"/>
              </w:rPr>
            </w:pPr>
            <w:r>
              <w:rPr>
                <w:rFonts w:hint="eastAsia"/>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kern w:val="0"/>
                <w:szCs w:val="21"/>
                <w:lang w:eastAsia="en-US"/>
              </w:rPr>
            </w:pPr>
            <w:r>
              <w:rPr>
                <w:rFonts w:hint="eastAsia"/>
                <w:bCs/>
                <w:kern w:val="0"/>
                <w:szCs w:val="21"/>
                <w:lang w:eastAsia="en-US"/>
              </w:rPr>
              <w:t>渗滤液</w:t>
            </w:r>
            <w:r>
              <w:rPr>
                <w:bCs/>
                <w:kern w:val="0"/>
                <w:szCs w:val="21"/>
                <w:lang w:eastAsia="en-US"/>
              </w:rPr>
              <w:t>导</w:t>
            </w:r>
            <w:r>
              <w:rPr>
                <w:rFonts w:hint="eastAsia"/>
                <w:bCs/>
                <w:kern w:val="0"/>
                <w:szCs w:val="21"/>
                <w:lang w:eastAsia="en-US"/>
              </w:rPr>
              <w:t>排</w:t>
            </w:r>
            <w:r>
              <w:rPr>
                <w:bCs/>
                <w:kern w:val="0"/>
                <w:szCs w:val="21"/>
                <w:lang w:eastAsia="en-US"/>
              </w:rPr>
              <w:t>层</w:t>
            </w:r>
          </w:p>
        </w:tc>
        <w:tc>
          <w:tcPr>
            <w:tcW w:w="1531" w:type="pct"/>
            <w:vAlign w:val="center"/>
          </w:tcPr>
          <w:p>
            <w:pPr>
              <w:adjustRightInd w:val="0"/>
              <w:snapToGrid w:val="0"/>
              <w:jc w:val="center"/>
              <w:rPr>
                <w:kern w:val="0"/>
                <w:szCs w:val="21"/>
                <w:lang w:eastAsia="en-US"/>
              </w:rPr>
            </w:pPr>
            <w:r>
              <w:rPr>
                <w:bCs/>
                <w:kern w:val="0"/>
                <w:szCs w:val="21"/>
                <w:lang w:eastAsia="en-US"/>
              </w:rPr>
              <w:t>卵石等，渗透系数≥</w:t>
            </w:r>
            <w:r>
              <w:rPr>
                <w:rFonts w:hint="eastAsia"/>
                <w:bCs/>
                <w:kern w:val="0"/>
                <w:szCs w:val="21"/>
                <w:lang w:eastAsia="en-US"/>
              </w:rPr>
              <w:t>0.1</w:t>
            </w:r>
            <w:r>
              <w:rPr>
                <w:bCs/>
                <w:kern w:val="0"/>
                <w:szCs w:val="21"/>
                <w:lang w:eastAsia="en-US"/>
              </w:rPr>
              <w:t>cm/s</w:t>
            </w:r>
          </w:p>
        </w:tc>
        <w:tc>
          <w:tcPr>
            <w:tcW w:w="510" w:type="pct"/>
            <w:tcBorders>
              <w:right w:val="single" w:color="auto" w:sz="12" w:space="0"/>
            </w:tcBorders>
            <w:vAlign w:val="center"/>
          </w:tcPr>
          <w:p>
            <w:pPr>
              <w:adjustRightInd w:val="0"/>
              <w:snapToGrid w:val="0"/>
              <w:jc w:val="center"/>
              <w:rPr>
                <w:bCs/>
                <w:kern w:val="0"/>
                <w:szCs w:val="21"/>
                <w:lang w:eastAsia="en-US"/>
              </w:rPr>
            </w:pPr>
            <w:r>
              <w:rPr>
                <w:bCs/>
                <w:kern w:val="0"/>
                <w:szCs w:val="21"/>
                <w:lang w:eastAsia="en-US"/>
              </w:rPr>
              <w:t>0.4m</w:t>
            </w:r>
          </w:p>
        </w:tc>
        <w:tc>
          <w:tcPr>
            <w:tcW w:w="1529" w:type="pct"/>
            <w:tcBorders>
              <w:left w:val="single" w:color="auto" w:sz="12" w:space="0"/>
            </w:tcBorders>
            <w:vAlign w:val="center"/>
          </w:tcPr>
          <w:p>
            <w:pPr>
              <w:adjustRightInd w:val="0"/>
              <w:snapToGrid w:val="0"/>
              <w:jc w:val="center"/>
              <w:rPr>
                <w:kern w:val="0"/>
                <w:szCs w:val="21"/>
                <w:lang w:eastAsia="zh-CN"/>
              </w:rPr>
            </w:pPr>
            <w:r>
              <w:rPr>
                <w:bCs/>
                <w:kern w:val="0"/>
                <w:szCs w:val="21"/>
                <w:lang w:eastAsia="zh-CN"/>
              </w:rPr>
              <w:t>袋装土</w:t>
            </w:r>
            <w:r>
              <w:rPr>
                <w:rFonts w:hint="eastAsia"/>
                <w:bCs/>
                <w:kern w:val="0"/>
                <w:szCs w:val="21"/>
                <w:lang w:eastAsia="zh-CN"/>
              </w:rPr>
              <w:t>（内装石料与沙土）</w:t>
            </w:r>
          </w:p>
        </w:tc>
        <w:tc>
          <w:tcPr>
            <w:tcW w:w="656" w:type="pct"/>
            <w:vAlign w:val="center"/>
          </w:tcPr>
          <w:p>
            <w:pPr>
              <w:adjustRightInd w:val="0"/>
              <w:snapToGrid w:val="0"/>
              <w:jc w:val="center"/>
              <w:rPr>
                <w:bCs/>
                <w:kern w:val="0"/>
                <w:szCs w:val="21"/>
                <w:lang w:eastAsia="en-US"/>
              </w:rPr>
            </w:pPr>
            <w:r>
              <w:rPr>
                <w:bCs/>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kern w:val="0"/>
                <w:szCs w:val="21"/>
                <w:lang w:eastAsia="en-US"/>
              </w:rPr>
            </w:pPr>
            <w:r>
              <w:rPr>
                <w:bCs/>
                <w:kern w:val="0"/>
                <w:szCs w:val="21"/>
                <w:lang w:eastAsia="en-US"/>
              </w:rPr>
              <w:t>膜上保护层</w:t>
            </w:r>
          </w:p>
        </w:tc>
        <w:tc>
          <w:tcPr>
            <w:tcW w:w="1531" w:type="pct"/>
            <w:vAlign w:val="center"/>
          </w:tcPr>
          <w:p>
            <w:pPr>
              <w:adjustRightInd w:val="0"/>
              <w:snapToGrid w:val="0"/>
              <w:jc w:val="center"/>
              <w:rPr>
                <w:kern w:val="0"/>
                <w:szCs w:val="21"/>
                <w:lang w:eastAsia="en-US"/>
              </w:rPr>
            </w:pPr>
            <w:r>
              <w:rPr>
                <w:bCs/>
                <w:kern w:val="0"/>
                <w:szCs w:val="21"/>
                <w:lang w:eastAsia="en-US"/>
              </w:rPr>
              <w:t>600g/m</w:t>
            </w:r>
            <w:r>
              <w:rPr>
                <w:bCs/>
                <w:kern w:val="0"/>
                <w:szCs w:val="21"/>
                <w:vertAlign w:val="superscript"/>
                <w:lang w:eastAsia="en-US"/>
              </w:rPr>
              <w:t>2</w:t>
            </w:r>
            <w:r>
              <w:rPr>
                <w:rFonts w:hint="eastAsia"/>
                <w:bCs/>
                <w:kern w:val="0"/>
                <w:szCs w:val="21"/>
                <w:lang w:eastAsia="en-US"/>
              </w:rPr>
              <w:t>非织造土工布</w:t>
            </w:r>
          </w:p>
        </w:tc>
        <w:tc>
          <w:tcPr>
            <w:tcW w:w="510" w:type="pct"/>
            <w:tcBorders>
              <w:right w:val="single" w:color="auto" w:sz="12" w:space="0"/>
            </w:tcBorders>
            <w:vAlign w:val="center"/>
          </w:tcPr>
          <w:p>
            <w:pPr>
              <w:adjustRightInd w:val="0"/>
              <w:snapToGrid w:val="0"/>
              <w:jc w:val="center"/>
              <w:rPr>
                <w:bCs/>
                <w:kern w:val="0"/>
                <w:szCs w:val="21"/>
                <w:lang w:eastAsia="en-US"/>
              </w:rPr>
            </w:pPr>
            <w:r>
              <w:rPr>
                <w:bCs/>
                <w:kern w:val="0"/>
                <w:szCs w:val="21"/>
                <w:lang w:eastAsia="en-US"/>
              </w:rPr>
              <w:t>/</w:t>
            </w:r>
          </w:p>
        </w:tc>
        <w:tc>
          <w:tcPr>
            <w:tcW w:w="1529" w:type="pct"/>
            <w:tcBorders>
              <w:left w:val="single" w:color="auto" w:sz="12" w:space="0"/>
            </w:tcBorders>
            <w:vAlign w:val="center"/>
          </w:tcPr>
          <w:p>
            <w:pPr>
              <w:adjustRightInd w:val="0"/>
              <w:snapToGrid w:val="0"/>
              <w:jc w:val="center"/>
              <w:rPr>
                <w:kern w:val="0"/>
                <w:szCs w:val="21"/>
                <w:lang w:eastAsia="en-US"/>
              </w:rPr>
            </w:pPr>
            <w:r>
              <w:rPr>
                <w:bCs/>
                <w:kern w:val="0"/>
                <w:szCs w:val="21"/>
                <w:lang w:eastAsia="en-US"/>
              </w:rPr>
              <w:t>600g/m</w:t>
            </w:r>
            <w:r>
              <w:rPr>
                <w:bCs/>
                <w:kern w:val="0"/>
                <w:szCs w:val="21"/>
                <w:vertAlign w:val="superscript"/>
                <w:lang w:eastAsia="en-US"/>
              </w:rPr>
              <w:t>2</w:t>
            </w:r>
            <w:r>
              <w:rPr>
                <w:rFonts w:hint="eastAsia"/>
                <w:bCs/>
                <w:kern w:val="0"/>
                <w:szCs w:val="21"/>
                <w:lang w:eastAsia="en-US"/>
              </w:rPr>
              <w:t>非织造土工布</w:t>
            </w:r>
          </w:p>
        </w:tc>
        <w:tc>
          <w:tcPr>
            <w:tcW w:w="656" w:type="pct"/>
            <w:vAlign w:val="center"/>
          </w:tcPr>
          <w:p>
            <w:pPr>
              <w:adjustRightInd w:val="0"/>
              <w:snapToGrid w:val="0"/>
              <w:jc w:val="center"/>
              <w:rPr>
                <w:bCs/>
                <w:kern w:val="0"/>
                <w:szCs w:val="21"/>
                <w:lang w:eastAsia="en-US"/>
              </w:rPr>
            </w:pPr>
            <w:r>
              <w:rPr>
                <w:bCs/>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kern w:val="0"/>
                <w:szCs w:val="21"/>
                <w:lang w:eastAsia="en-US"/>
              </w:rPr>
            </w:pPr>
            <w:r>
              <w:rPr>
                <w:rFonts w:hint="eastAsia"/>
                <w:bCs/>
                <w:kern w:val="0"/>
                <w:szCs w:val="21"/>
                <w:lang w:eastAsia="en-US"/>
              </w:rPr>
              <w:t>主人工衬层</w:t>
            </w:r>
          </w:p>
        </w:tc>
        <w:tc>
          <w:tcPr>
            <w:tcW w:w="1531" w:type="pct"/>
            <w:vAlign w:val="center"/>
          </w:tcPr>
          <w:p>
            <w:pPr>
              <w:adjustRightInd w:val="0"/>
              <w:snapToGrid w:val="0"/>
              <w:jc w:val="center"/>
              <w:rPr>
                <w:kern w:val="0"/>
                <w:szCs w:val="21"/>
                <w:lang w:eastAsia="en-US"/>
              </w:rPr>
            </w:pPr>
            <w:r>
              <w:rPr>
                <w:bCs/>
                <w:kern w:val="0"/>
                <w:szCs w:val="21"/>
                <w:lang w:eastAsia="en-US"/>
              </w:rPr>
              <w:t>HDPE土工膜</w:t>
            </w:r>
          </w:p>
        </w:tc>
        <w:tc>
          <w:tcPr>
            <w:tcW w:w="510" w:type="pct"/>
            <w:tcBorders>
              <w:right w:val="single" w:color="auto" w:sz="12" w:space="0"/>
            </w:tcBorders>
            <w:vAlign w:val="center"/>
          </w:tcPr>
          <w:p>
            <w:pPr>
              <w:adjustRightInd w:val="0"/>
              <w:snapToGrid w:val="0"/>
              <w:jc w:val="center"/>
              <w:rPr>
                <w:bCs/>
                <w:kern w:val="0"/>
                <w:szCs w:val="21"/>
                <w:lang w:eastAsia="en-US"/>
              </w:rPr>
            </w:pPr>
            <w:r>
              <w:rPr>
                <w:rFonts w:hint="eastAsia"/>
                <w:bCs/>
                <w:kern w:val="0"/>
                <w:szCs w:val="21"/>
                <w:lang w:eastAsia="en-US"/>
              </w:rPr>
              <w:t>2.0mm</w:t>
            </w:r>
          </w:p>
        </w:tc>
        <w:tc>
          <w:tcPr>
            <w:tcW w:w="1529" w:type="pct"/>
            <w:tcBorders>
              <w:left w:val="single" w:color="auto" w:sz="12" w:space="0"/>
            </w:tcBorders>
            <w:vAlign w:val="center"/>
          </w:tcPr>
          <w:p>
            <w:pPr>
              <w:adjustRightInd w:val="0"/>
              <w:snapToGrid w:val="0"/>
              <w:jc w:val="center"/>
              <w:rPr>
                <w:kern w:val="0"/>
                <w:szCs w:val="21"/>
                <w:lang w:eastAsia="en-US"/>
              </w:rPr>
            </w:pPr>
            <w:r>
              <w:rPr>
                <w:bCs/>
                <w:kern w:val="0"/>
                <w:szCs w:val="21"/>
                <w:lang w:eastAsia="en-US"/>
              </w:rPr>
              <w:t>HDPE土工膜</w:t>
            </w:r>
          </w:p>
        </w:tc>
        <w:tc>
          <w:tcPr>
            <w:tcW w:w="656" w:type="pct"/>
            <w:vAlign w:val="center"/>
          </w:tcPr>
          <w:p>
            <w:pPr>
              <w:adjustRightInd w:val="0"/>
              <w:snapToGrid w:val="0"/>
              <w:jc w:val="center"/>
              <w:rPr>
                <w:bCs/>
                <w:kern w:val="0"/>
                <w:szCs w:val="21"/>
                <w:lang w:eastAsia="en-US"/>
              </w:rPr>
            </w:pPr>
            <w:r>
              <w:rPr>
                <w:rFonts w:hint="eastAsia"/>
                <w:bCs/>
                <w:kern w:val="0"/>
                <w:szCs w:val="21"/>
                <w:lang w:eastAsia="en-US"/>
              </w:rPr>
              <w:t>2.0mm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jc w:val="center"/>
        </w:trPr>
        <w:tc>
          <w:tcPr>
            <w:tcW w:w="773" w:type="pct"/>
            <w:vAlign w:val="center"/>
          </w:tcPr>
          <w:p>
            <w:pPr>
              <w:adjustRightInd w:val="0"/>
              <w:snapToGrid w:val="0"/>
              <w:jc w:val="center"/>
              <w:rPr>
                <w:kern w:val="0"/>
                <w:szCs w:val="21"/>
                <w:lang w:eastAsia="en-US"/>
              </w:rPr>
            </w:pPr>
            <w:r>
              <w:rPr>
                <w:rFonts w:hint="eastAsia"/>
                <w:bCs/>
                <w:kern w:val="0"/>
                <w:szCs w:val="21"/>
                <w:lang w:eastAsia="en-US"/>
              </w:rPr>
              <w:t>压实黏土衬层</w:t>
            </w:r>
          </w:p>
        </w:tc>
        <w:tc>
          <w:tcPr>
            <w:tcW w:w="1531" w:type="pct"/>
            <w:vAlign w:val="center"/>
          </w:tcPr>
          <w:p>
            <w:pPr>
              <w:adjustRightInd w:val="0"/>
              <w:snapToGrid w:val="0"/>
              <w:jc w:val="center"/>
              <w:rPr>
                <w:kern w:val="0"/>
                <w:szCs w:val="21"/>
                <w:lang w:eastAsia="zh-CN"/>
              </w:rPr>
            </w:pPr>
            <w:r>
              <w:rPr>
                <w:bCs/>
                <w:kern w:val="0"/>
                <w:szCs w:val="21"/>
                <w:lang w:eastAsia="zh-CN"/>
              </w:rPr>
              <w:t>压实粘土（渗透系数</w:t>
            </w:r>
            <w:r>
              <w:rPr>
                <w:rFonts w:hint="eastAsia"/>
                <w:bCs/>
                <w:kern w:val="0"/>
                <w:szCs w:val="21"/>
                <w:lang w:eastAsia="zh-CN"/>
              </w:rPr>
              <w:t>小</w:t>
            </w:r>
            <w:r>
              <w:rPr>
                <w:bCs/>
                <w:kern w:val="0"/>
                <w:szCs w:val="21"/>
                <w:lang w:eastAsia="zh-CN"/>
              </w:rPr>
              <w:t>于1×10</w:t>
            </w:r>
            <w:r>
              <w:rPr>
                <w:bCs/>
                <w:kern w:val="0"/>
                <w:szCs w:val="21"/>
                <w:vertAlign w:val="superscript"/>
                <w:lang w:eastAsia="zh-CN"/>
              </w:rPr>
              <w:t>-7</w:t>
            </w:r>
            <w:r>
              <w:rPr>
                <w:bCs/>
                <w:kern w:val="0"/>
                <w:szCs w:val="21"/>
                <w:lang w:eastAsia="zh-CN"/>
              </w:rPr>
              <w:t>cm/s）</w:t>
            </w:r>
          </w:p>
        </w:tc>
        <w:tc>
          <w:tcPr>
            <w:tcW w:w="510" w:type="pct"/>
            <w:tcBorders>
              <w:right w:val="single" w:color="auto" w:sz="12" w:space="0"/>
            </w:tcBorders>
            <w:vAlign w:val="center"/>
          </w:tcPr>
          <w:p>
            <w:pPr>
              <w:adjustRightInd w:val="0"/>
              <w:snapToGrid w:val="0"/>
              <w:jc w:val="center"/>
              <w:rPr>
                <w:bCs/>
                <w:kern w:val="0"/>
                <w:szCs w:val="21"/>
                <w:lang w:eastAsia="en-US"/>
              </w:rPr>
            </w:pPr>
            <w:r>
              <w:rPr>
                <w:bCs/>
                <w:kern w:val="0"/>
                <w:szCs w:val="21"/>
                <w:lang w:eastAsia="en-US"/>
              </w:rPr>
              <w:t>0.</w:t>
            </w:r>
            <w:r>
              <w:rPr>
                <w:rFonts w:hint="eastAsia"/>
                <w:bCs/>
                <w:kern w:val="0"/>
                <w:szCs w:val="21"/>
                <w:lang w:eastAsia="en-US"/>
              </w:rPr>
              <w:t>3</w:t>
            </w:r>
            <w:r>
              <w:rPr>
                <w:bCs/>
                <w:kern w:val="0"/>
                <w:szCs w:val="21"/>
                <w:lang w:eastAsia="en-US"/>
              </w:rPr>
              <w:t>m</w:t>
            </w:r>
          </w:p>
        </w:tc>
        <w:tc>
          <w:tcPr>
            <w:tcW w:w="1529" w:type="pct"/>
            <w:tcBorders>
              <w:left w:val="single" w:color="auto" w:sz="12" w:space="0"/>
            </w:tcBorders>
            <w:vAlign w:val="center"/>
          </w:tcPr>
          <w:p>
            <w:pPr>
              <w:adjustRightInd w:val="0"/>
              <w:snapToGrid w:val="0"/>
              <w:jc w:val="center"/>
              <w:rPr>
                <w:kern w:val="0"/>
                <w:szCs w:val="21"/>
                <w:lang w:eastAsia="zh-CN"/>
              </w:rPr>
            </w:pPr>
            <w:r>
              <w:rPr>
                <w:bCs/>
                <w:kern w:val="0"/>
                <w:szCs w:val="21"/>
                <w:lang w:eastAsia="zh-CN"/>
              </w:rPr>
              <w:t>压实粘土（渗透系数</w:t>
            </w:r>
            <w:r>
              <w:rPr>
                <w:rFonts w:hint="eastAsia"/>
                <w:bCs/>
                <w:kern w:val="0"/>
                <w:szCs w:val="21"/>
                <w:lang w:eastAsia="zh-CN"/>
              </w:rPr>
              <w:t>小</w:t>
            </w:r>
            <w:r>
              <w:rPr>
                <w:bCs/>
                <w:kern w:val="0"/>
                <w:szCs w:val="21"/>
                <w:lang w:eastAsia="zh-CN"/>
              </w:rPr>
              <w:t>于1×10</w:t>
            </w:r>
            <w:r>
              <w:rPr>
                <w:bCs/>
                <w:kern w:val="0"/>
                <w:szCs w:val="21"/>
                <w:vertAlign w:val="superscript"/>
                <w:lang w:eastAsia="zh-CN"/>
              </w:rPr>
              <w:t>-7</w:t>
            </w:r>
            <w:r>
              <w:rPr>
                <w:bCs/>
                <w:kern w:val="0"/>
                <w:szCs w:val="21"/>
                <w:lang w:eastAsia="zh-CN"/>
              </w:rPr>
              <w:t>cm/s）</w:t>
            </w:r>
          </w:p>
        </w:tc>
        <w:tc>
          <w:tcPr>
            <w:tcW w:w="656" w:type="pct"/>
            <w:vAlign w:val="center"/>
          </w:tcPr>
          <w:p>
            <w:pPr>
              <w:adjustRightInd w:val="0"/>
              <w:snapToGrid w:val="0"/>
              <w:jc w:val="center"/>
              <w:rPr>
                <w:bCs/>
                <w:kern w:val="0"/>
                <w:szCs w:val="21"/>
                <w:lang w:eastAsia="en-US"/>
              </w:rPr>
            </w:pPr>
            <w:r>
              <w:rPr>
                <w:bCs/>
                <w:kern w:val="0"/>
                <w:szCs w:val="21"/>
                <w:lang w:eastAsia="en-US"/>
              </w:rPr>
              <w:t>0.</w:t>
            </w:r>
            <w:r>
              <w:rPr>
                <w:rFonts w:hint="eastAsia"/>
                <w:bCs/>
                <w:kern w:val="0"/>
                <w:szCs w:val="21"/>
                <w:lang w:eastAsia="en-US"/>
              </w:rPr>
              <w:t>3</w:t>
            </w:r>
            <w:r>
              <w:rPr>
                <w:bCs/>
                <w:kern w:val="0"/>
                <w:szCs w:val="21"/>
                <w:lang w:eastAsia="en-US"/>
              </w:rPr>
              <w:t>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kern w:val="0"/>
                <w:szCs w:val="21"/>
                <w:lang w:eastAsia="en-US"/>
              </w:rPr>
            </w:pPr>
            <w:r>
              <w:rPr>
                <w:rFonts w:hint="eastAsia"/>
                <w:bCs/>
                <w:kern w:val="0"/>
                <w:szCs w:val="21"/>
                <w:lang w:eastAsia="en-US"/>
              </w:rPr>
              <w:t>渗漏检测层</w:t>
            </w:r>
          </w:p>
        </w:tc>
        <w:tc>
          <w:tcPr>
            <w:tcW w:w="1531" w:type="pct"/>
            <w:vAlign w:val="center"/>
          </w:tcPr>
          <w:p>
            <w:pPr>
              <w:adjustRightInd w:val="0"/>
              <w:snapToGrid w:val="0"/>
              <w:jc w:val="center"/>
              <w:rPr>
                <w:kern w:val="0"/>
                <w:szCs w:val="21"/>
                <w:lang w:eastAsia="en-US"/>
              </w:rPr>
            </w:pPr>
            <w:r>
              <w:rPr>
                <w:bCs/>
                <w:kern w:val="0"/>
                <w:szCs w:val="21"/>
                <w:lang w:eastAsia="en-US"/>
              </w:rPr>
              <w:t>卵石等，渗透系数≥</w:t>
            </w:r>
            <w:r>
              <w:rPr>
                <w:rFonts w:hint="eastAsia"/>
                <w:bCs/>
                <w:kern w:val="0"/>
                <w:szCs w:val="21"/>
                <w:lang w:eastAsia="en-US"/>
              </w:rPr>
              <w:t>0.1</w:t>
            </w:r>
            <w:r>
              <w:rPr>
                <w:bCs/>
                <w:kern w:val="0"/>
                <w:szCs w:val="21"/>
                <w:lang w:eastAsia="en-US"/>
              </w:rPr>
              <w:t>cm/s</w:t>
            </w:r>
          </w:p>
        </w:tc>
        <w:tc>
          <w:tcPr>
            <w:tcW w:w="510" w:type="pct"/>
            <w:tcBorders>
              <w:right w:val="single" w:color="auto" w:sz="12" w:space="0"/>
            </w:tcBorders>
            <w:vAlign w:val="center"/>
          </w:tcPr>
          <w:p>
            <w:pPr>
              <w:adjustRightInd w:val="0"/>
              <w:snapToGrid w:val="0"/>
              <w:jc w:val="center"/>
              <w:rPr>
                <w:bCs/>
                <w:kern w:val="0"/>
                <w:szCs w:val="21"/>
                <w:lang w:eastAsia="en-US"/>
              </w:rPr>
            </w:pPr>
            <w:r>
              <w:rPr>
                <w:rFonts w:hint="eastAsia"/>
                <w:bCs/>
                <w:kern w:val="0"/>
                <w:szCs w:val="21"/>
                <w:lang w:eastAsia="en-US"/>
              </w:rPr>
              <w:t>/</w:t>
            </w:r>
          </w:p>
        </w:tc>
        <w:tc>
          <w:tcPr>
            <w:tcW w:w="1529" w:type="pct"/>
            <w:tcBorders>
              <w:left w:val="single" w:color="auto" w:sz="12" w:space="0"/>
            </w:tcBorders>
            <w:vAlign w:val="center"/>
          </w:tcPr>
          <w:p>
            <w:pPr>
              <w:adjustRightInd w:val="0"/>
              <w:snapToGrid w:val="0"/>
              <w:jc w:val="center"/>
              <w:rPr>
                <w:kern w:val="0"/>
                <w:szCs w:val="21"/>
                <w:lang w:eastAsia="en-US"/>
              </w:rPr>
            </w:pPr>
            <w:r>
              <w:rPr>
                <w:rFonts w:hint="eastAsia"/>
                <w:kern w:val="0"/>
                <w:szCs w:val="21"/>
                <w:lang w:eastAsia="en-US"/>
              </w:rPr>
              <w:t>/</w:t>
            </w:r>
          </w:p>
        </w:tc>
        <w:tc>
          <w:tcPr>
            <w:tcW w:w="656" w:type="pct"/>
            <w:vAlign w:val="center"/>
          </w:tcPr>
          <w:p>
            <w:pPr>
              <w:adjustRightInd w:val="0"/>
              <w:snapToGrid w:val="0"/>
              <w:jc w:val="center"/>
              <w:rPr>
                <w:bCs/>
                <w:kern w:val="0"/>
                <w:szCs w:val="21"/>
                <w:lang w:eastAsia="en-US"/>
              </w:rPr>
            </w:pPr>
            <w:r>
              <w:rPr>
                <w:rFonts w:hint="eastAsia"/>
                <w:bCs/>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jc w:val="center"/>
        </w:trPr>
        <w:tc>
          <w:tcPr>
            <w:tcW w:w="773" w:type="pct"/>
            <w:vAlign w:val="center"/>
          </w:tcPr>
          <w:p>
            <w:pPr>
              <w:adjustRightInd w:val="0"/>
              <w:snapToGrid w:val="0"/>
              <w:jc w:val="center"/>
              <w:rPr>
                <w:kern w:val="0"/>
                <w:szCs w:val="21"/>
                <w:lang w:eastAsia="en-US"/>
              </w:rPr>
            </w:pPr>
            <w:r>
              <w:rPr>
                <w:rFonts w:hint="eastAsia"/>
                <w:bCs/>
                <w:kern w:val="0"/>
                <w:szCs w:val="21"/>
                <w:lang w:eastAsia="en-US"/>
              </w:rPr>
              <w:t>次人工衬层</w:t>
            </w:r>
          </w:p>
        </w:tc>
        <w:tc>
          <w:tcPr>
            <w:tcW w:w="1531" w:type="pct"/>
            <w:vAlign w:val="center"/>
          </w:tcPr>
          <w:p>
            <w:pPr>
              <w:adjustRightInd w:val="0"/>
              <w:snapToGrid w:val="0"/>
              <w:jc w:val="center"/>
              <w:rPr>
                <w:kern w:val="0"/>
                <w:szCs w:val="21"/>
                <w:lang w:eastAsia="en-US"/>
              </w:rPr>
            </w:pPr>
            <w:r>
              <w:rPr>
                <w:bCs/>
                <w:kern w:val="0"/>
                <w:szCs w:val="21"/>
                <w:lang w:eastAsia="en-US"/>
              </w:rPr>
              <w:t>HDPE土工膜</w:t>
            </w:r>
          </w:p>
        </w:tc>
        <w:tc>
          <w:tcPr>
            <w:tcW w:w="510" w:type="pct"/>
            <w:tcBorders>
              <w:right w:val="single" w:color="auto" w:sz="12" w:space="0"/>
            </w:tcBorders>
            <w:vAlign w:val="center"/>
          </w:tcPr>
          <w:p>
            <w:pPr>
              <w:adjustRightInd w:val="0"/>
              <w:snapToGrid w:val="0"/>
              <w:jc w:val="center"/>
              <w:rPr>
                <w:kern w:val="0"/>
                <w:szCs w:val="21"/>
                <w:lang w:eastAsia="en-US"/>
              </w:rPr>
            </w:pPr>
            <w:r>
              <w:rPr>
                <w:rFonts w:hint="eastAsia"/>
                <w:bCs/>
                <w:kern w:val="0"/>
                <w:szCs w:val="21"/>
                <w:lang w:eastAsia="en-US"/>
              </w:rPr>
              <w:t>1.5mm</w:t>
            </w:r>
          </w:p>
        </w:tc>
        <w:tc>
          <w:tcPr>
            <w:tcW w:w="1529" w:type="pct"/>
            <w:tcBorders>
              <w:left w:val="single" w:color="auto" w:sz="12" w:space="0"/>
            </w:tcBorders>
            <w:vAlign w:val="center"/>
          </w:tcPr>
          <w:p>
            <w:pPr>
              <w:adjustRightInd w:val="0"/>
              <w:snapToGrid w:val="0"/>
              <w:jc w:val="center"/>
              <w:rPr>
                <w:kern w:val="0"/>
                <w:szCs w:val="21"/>
                <w:lang w:eastAsia="en-US"/>
              </w:rPr>
            </w:pPr>
            <w:r>
              <w:rPr>
                <w:bCs/>
                <w:kern w:val="0"/>
                <w:szCs w:val="21"/>
                <w:lang w:eastAsia="en-US"/>
              </w:rPr>
              <w:t>HDPE土工膜</w:t>
            </w:r>
          </w:p>
        </w:tc>
        <w:tc>
          <w:tcPr>
            <w:tcW w:w="656" w:type="pct"/>
            <w:vAlign w:val="center"/>
          </w:tcPr>
          <w:p>
            <w:pPr>
              <w:adjustRightInd w:val="0"/>
              <w:snapToGrid w:val="0"/>
              <w:jc w:val="center"/>
              <w:rPr>
                <w:kern w:val="0"/>
                <w:szCs w:val="21"/>
                <w:lang w:eastAsia="en-US"/>
              </w:rPr>
            </w:pPr>
            <w:r>
              <w:rPr>
                <w:rFonts w:hint="eastAsia"/>
                <w:bCs/>
                <w:kern w:val="0"/>
                <w:szCs w:val="21"/>
                <w:lang w:eastAsia="en-US"/>
              </w:rPr>
              <w:t>1.5mm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bCs/>
                <w:kern w:val="0"/>
                <w:szCs w:val="21"/>
                <w:lang w:eastAsia="en-US"/>
              </w:rPr>
            </w:pPr>
            <w:r>
              <w:rPr>
                <w:rFonts w:hint="eastAsia"/>
                <w:bCs/>
                <w:kern w:val="0"/>
                <w:szCs w:val="21"/>
                <w:lang w:eastAsia="en-US"/>
              </w:rPr>
              <w:t>压实黏土衬层</w:t>
            </w:r>
          </w:p>
        </w:tc>
        <w:tc>
          <w:tcPr>
            <w:tcW w:w="1531" w:type="pct"/>
            <w:vAlign w:val="center"/>
          </w:tcPr>
          <w:p>
            <w:pPr>
              <w:adjustRightInd w:val="0"/>
              <w:snapToGrid w:val="0"/>
              <w:jc w:val="center"/>
              <w:rPr>
                <w:bCs/>
                <w:kern w:val="0"/>
                <w:szCs w:val="21"/>
                <w:lang w:eastAsia="zh-CN"/>
              </w:rPr>
            </w:pPr>
            <w:r>
              <w:rPr>
                <w:bCs/>
                <w:kern w:val="0"/>
                <w:szCs w:val="21"/>
                <w:lang w:eastAsia="zh-CN"/>
              </w:rPr>
              <w:t>压实粘土（渗透系数</w:t>
            </w:r>
            <w:r>
              <w:rPr>
                <w:rFonts w:hint="eastAsia"/>
                <w:bCs/>
                <w:kern w:val="0"/>
                <w:szCs w:val="21"/>
                <w:lang w:eastAsia="zh-CN"/>
              </w:rPr>
              <w:t>小</w:t>
            </w:r>
            <w:r>
              <w:rPr>
                <w:bCs/>
                <w:kern w:val="0"/>
                <w:szCs w:val="21"/>
                <w:lang w:eastAsia="zh-CN"/>
              </w:rPr>
              <w:t>于1×10</w:t>
            </w:r>
            <w:r>
              <w:rPr>
                <w:bCs/>
                <w:kern w:val="0"/>
                <w:szCs w:val="21"/>
                <w:vertAlign w:val="superscript"/>
                <w:lang w:eastAsia="zh-CN"/>
              </w:rPr>
              <w:t>-7</w:t>
            </w:r>
            <w:r>
              <w:rPr>
                <w:bCs/>
                <w:kern w:val="0"/>
                <w:szCs w:val="21"/>
                <w:lang w:eastAsia="zh-CN"/>
              </w:rPr>
              <w:t>cm/s）</w:t>
            </w:r>
          </w:p>
        </w:tc>
        <w:tc>
          <w:tcPr>
            <w:tcW w:w="510" w:type="pct"/>
            <w:tcBorders>
              <w:right w:val="single" w:color="auto" w:sz="12" w:space="0"/>
            </w:tcBorders>
            <w:vAlign w:val="center"/>
          </w:tcPr>
          <w:p>
            <w:pPr>
              <w:adjustRightInd w:val="0"/>
              <w:snapToGrid w:val="0"/>
              <w:jc w:val="center"/>
              <w:rPr>
                <w:kern w:val="0"/>
                <w:szCs w:val="21"/>
                <w:lang w:eastAsia="en-US"/>
              </w:rPr>
            </w:pPr>
            <w:r>
              <w:rPr>
                <w:bCs/>
                <w:kern w:val="0"/>
                <w:szCs w:val="21"/>
                <w:lang w:eastAsia="en-US"/>
              </w:rPr>
              <w:t>0.5m</w:t>
            </w:r>
          </w:p>
        </w:tc>
        <w:tc>
          <w:tcPr>
            <w:tcW w:w="1529" w:type="pct"/>
            <w:tcBorders>
              <w:left w:val="single" w:color="auto" w:sz="12" w:space="0"/>
            </w:tcBorders>
            <w:vAlign w:val="center"/>
          </w:tcPr>
          <w:p>
            <w:pPr>
              <w:adjustRightInd w:val="0"/>
              <w:snapToGrid w:val="0"/>
              <w:jc w:val="center"/>
              <w:rPr>
                <w:kern w:val="0"/>
                <w:szCs w:val="21"/>
                <w:lang w:eastAsia="zh-CN"/>
              </w:rPr>
            </w:pPr>
            <w:r>
              <w:rPr>
                <w:bCs/>
                <w:kern w:val="0"/>
                <w:szCs w:val="21"/>
                <w:lang w:eastAsia="zh-CN"/>
              </w:rPr>
              <w:t>压实粘土（渗透系数</w:t>
            </w:r>
            <w:r>
              <w:rPr>
                <w:rFonts w:hint="eastAsia"/>
                <w:bCs/>
                <w:kern w:val="0"/>
                <w:szCs w:val="21"/>
                <w:lang w:eastAsia="zh-CN"/>
              </w:rPr>
              <w:t>小</w:t>
            </w:r>
            <w:r>
              <w:rPr>
                <w:bCs/>
                <w:kern w:val="0"/>
                <w:szCs w:val="21"/>
                <w:lang w:eastAsia="zh-CN"/>
              </w:rPr>
              <w:t>于1×10</w:t>
            </w:r>
            <w:r>
              <w:rPr>
                <w:bCs/>
                <w:kern w:val="0"/>
                <w:szCs w:val="21"/>
                <w:vertAlign w:val="superscript"/>
                <w:lang w:eastAsia="zh-CN"/>
              </w:rPr>
              <w:t>-7</w:t>
            </w:r>
            <w:r>
              <w:rPr>
                <w:bCs/>
                <w:kern w:val="0"/>
                <w:szCs w:val="21"/>
                <w:lang w:eastAsia="zh-CN"/>
              </w:rPr>
              <w:t>cm/s）</w:t>
            </w:r>
          </w:p>
        </w:tc>
        <w:tc>
          <w:tcPr>
            <w:tcW w:w="656" w:type="pct"/>
            <w:vAlign w:val="center"/>
          </w:tcPr>
          <w:p>
            <w:pPr>
              <w:adjustRightInd w:val="0"/>
              <w:snapToGrid w:val="0"/>
              <w:jc w:val="center"/>
              <w:rPr>
                <w:kern w:val="0"/>
                <w:szCs w:val="21"/>
                <w:lang w:eastAsia="en-US"/>
              </w:rPr>
            </w:pPr>
            <w:r>
              <w:rPr>
                <w:bCs/>
                <w:kern w:val="0"/>
                <w:szCs w:val="21"/>
                <w:lang w:eastAsia="en-US"/>
              </w:rPr>
              <w:t>0.5m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73" w:type="pct"/>
            <w:vAlign w:val="center"/>
          </w:tcPr>
          <w:p>
            <w:pPr>
              <w:adjustRightInd w:val="0"/>
              <w:snapToGrid w:val="0"/>
              <w:jc w:val="center"/>
              <w:rPr>
                <w:bCs/>
                <w:kern w:val="0"/>
                <w:szCs w:val="21"/>
                <w:lang w:eastAsia="en-US"/>
              </w:rPr>
            </w:pPr>
            <w:r>
              <w:rPr>
                <w:bCs/>
                <w:kern w:val="0"/>
                <w:szCs w:val="21"/>
                <w:lang w:eastAsia="en-US"/>
              </w:rPr>
              <w:t>基础层</w:t>
            </w:r>
          </w:p>
        </w:tc>
        <w:tc>
          <w:tcPr>
            <w:tcW w:w="1531" w:type="pct"/>
            <w:vAlign w:val="center"/>
          </w:tcPr>
          <w:p>
            <w:pPr>
              <w:adjustRightInd w:val="0"/>
              <w:snapToGrid w:val="0"/>
              <w:jc w:val="center"/>
              <w:rPr>
                <w:bCs/>
                <w:kern w:val="0"/>
                <w:szCs w:val="21"/>
                <w:lang w:eastAsia="zh-CN"/>
              </w:rPr>
            </w:pPr>
            <w:r>
              <w:rPr>
                <w:bCs/>
                <w:kern w:val="0"/>
                <w:szCs w:val="21"/>
                <w:lang w:eastAsia="zh-CN"/>
              </w:rPr>
              <w:t>场区剥离表层土后的自然层，夯实</w:t>
            </w:r>
          </w:p>
        </w:tc>
        <w:tc>
          <w:tcPr>
            <w:tcW w:w="510" w:type="pct"/>
            <w:tcBorders>
              <w:right w:val="single" w:color="auto" w:sz="12" w:space="0"/>
            </w:tcBorders>
            <w:vAlign w:val="center"/>
          </w:tcPr>
          <w:p>
            <w:pPr>
              <w:adjustRightInd w:val="0"/>
              <w:snapToGrid w:val="0"/>
              <w:jc w:val="center"/>
              <w:rPr>
                <w:kern w:val="0"/>
                <w:szCs w:val="21"/>
                <w:lang w:eastAsia="en-US"/>
              </w:rPr>
            </w:pPr>
            <w:r>
              <w:rPr>
                <w:bCs/>
                <w:kern w:val="0"/>
                <w:szCs w:val="21"/>
                <w:lang w:eastAsia="en-US"/>
              </w:rPr>
              <w:t>/</w:t>
            </w:r>
          </w:p>
        </w:tc>
        <w:tc>
          <w:tcPr>
            <w:tcW w:w="1529" w:type="pct"/>
            <w:tcBorders>
              <w:left w:val="single" w:color="auto" w:sz="12" w:space="0"/>
            </w:tcBorders>
            <w:vAlign w:val="center"/>
          </w:tcPr>
          <w:p>
            <w:pPr>
              <w:adjustRightInd w:val="0"/>
              <w:snapToGrid w:val="0"/>
              <w:jc w:val="center"/>
              <w:rPr>
                <w:kern w:val="0"/>
                <w:szCs w:val="21"/>
                <w:lang w:eastAsia="zh-CN"/>
              </w:rPr>
            </w:pPr>
            <w:r>
              <w:rPr>
                <w:bCs/>
                <w:kern w:val="0"/>
                <w:szCs w:val="21"/>
                <w:lang w:eastAsia="zh-CN"/>
              </w:rPr>
              <w:t>场区剥离表层土后的自然层，夯实</w:t>
            </w:r>
          </w:p>
        </w:tc>
        <w:tc>
          <w:tcPr>
            <w:tcW w:w="656" w:type="pct"/>
            <w:vAlign w:val="center"/>
          </w:tcPr>
          <w:p>
            <w:pPr>
              <w:adjustRightInd w:val="0"/>
              <w:snapToGrid w:val="0"/>
              <w:jc w:val="center"/>
              <w:rPr>
                <w:kern w:val="0"/>
                <w:szCs w:val="21"/>
                <w:lang w:eastAsia="en-US"/>
              </w:rPr>
            </w:pPr>
            <w:r>
              <w:rPr>
                <w:rFonts w:hint="eastAsia"/>
                <w:kern w:val="0"/>
                <w:szCs w:val="21"/>
                <w:lang w:eastAsia="en-US"/>
              </w:rPr>
              <w:t>/</w:t>
            </w:r>
          </w:p>
        </w:tc>
      </w:tr>
    </w:tbl>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 xml:space="preserve">防渗层铺设要求 </w:t>
      </w:r>
    </w:p>
    <w:p>
      <w:pPr>
        <w:adjustRightInd w:val="0"/>
        <w:snapToGrid w:val="0"/>
        <w:spacing w:line="360" w:lineRule="auto"/>
        <w:ind w:firstLine="480" w:firstLineChars="200"/>
        <w:rPr>
          <w:sz w:val="24"/>
          <w:szCs w:val="21"/>
        </w:rPr>
      </w:pPr>
      <w:r>
        <w:rPr>
          <w:sz w:val="24"/>
          <w:szCs w:val="21"/>
        </w:rPr>
        <w:t>防渗材料铺设的时候，库底及边坡平整基底必须满足设计要求，其它应按照下列要求执行：</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（1）</w:t>
      </w:r>
      <w:r>
        <w:rPr>
          <w:sz w:val="24"/>
          <w:szCs w:val="21"/>
        </w:rPr>
        <w:t>各种防渗材料铺设前应保在铺设面完全符合质量安全要求。直接铺设在土建结构面上时，应保证构建面结构稳定，坡面平缓过渡，垂直深度2.5cm 内不得有任何有害杂物；铺设在下一层土工材料之上时，应保证下一层土工材料施工质量合格，表面无积水、无杂物。</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（2）</w:t>
      </w:r>
      <w:r>
        <w:rPr>
          <w:sz w:val="24"/>
          <w:szCs w:val="21"/>
        </w:rPr>
        <w:t>合理地选择铺设方向，尽可能地减少接缝受力。</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（3）</w:t>
      </w:r>
      <w:r>
        <w:rPr>
          <w:sz w:val="24"/>
          <w:szCs w:val="21"/>
        </w:rPr>
        <w:t>合理布局每片材料的位置，力求接缝最少。</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（4）</w:t>
      </w:r>
      <w:r>
        <w:rPr>
          <w:sz w:val="24"/>
          <w:szCs w:val="21"/>
        </w:rPr>
        <w:t>接缝应避开弯角。</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（5）</w:t>
      </w:r>
      <w:r>
        <w:rPr>
          <w:sz w:val="24"/>
          <w:szCs w:val="21"/>
        </w:rPr>
        <w:t>在坡度大于 10%的坡面上和坡脚 1.5m 范围内不得有横向接缝。</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（6）</w:t>
      </w:r>
      <w:r>
        <w:rPr>
          <w:sz w:val="24"/>
          <w:szCs w:val="21"/>
        </w:rPr>
        <w:t>材料与周边自然环境连接应设置锚固沟。</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（7）</w:t>
      </w:r>
      <w:r>
        <w:rPr>
          <w:sz w:val="24"/>
          <w:szCs w:val="21"/>
        </w:rPr>
        <w:t>各种土工材料的搭接方式和宽度不得低于相应的连接标准。</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w:t>
      </w:r>
      <w:r>
        <w:rPr>
          <w:rFonts w:ascii="Cambria Math" w:hAnsi="Cambria Math" w:cs="Cambria Math"/>
          <w:sz w:val="24"/>
          <w:szCs w:val="21"/>
        </w:rPr>
        <w:t>8</w:t>
      </w:r>
      <w:r>
        <w:rPr>
          <w:rFonts w:hint="eastAsia" w:ascii="Cambria Math" w:hAnsi="Cambria Math" w:cs="Cambria Math"/>
          <w:sz w:val="24"/>
          <w:szCs w:val="21"/>
        </w:rPr>
        <w:t>）</w:t>
      </w:r>
      <w:r>
        <w:rPr>
          <w:sz w:val="24"/>
          <w:szCs w:val="21"/>
        </w:rPr>
        <w:t>铺设过程中，片材铺设平顺、贴实，尽量减少褶皱，调整材料的搭接宽度时不得损害已连接的部分。</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（9）</w:t>
      </w:r>
      <w:r>
        <w:rPr>
          <w:sz w:val="24"/>
          <w:szCs w:val="21"/>
        </w:rPr>
        <w:t>铺设过程中，铺设工具不得对土工材料的正常使用功能产生损害，防止任何 因为装卸活动、高温、化学物质泄漏等其它因素而破坏土工材料。</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（1</w:t>
      </w:r>
      <w:r>
        <w:rPr>
          <w:rFonts w:ascii="Cambria Math" w:hAnsi="Cambria Math" w:cs="Cambria Math"/>
          <w:sz w:val="24"/>
          <w:szCs w:val="21"/>
        </w:rPr>
        <w:t>0</w:t>
      </w:r>
      <w:r>
        <w:rPr>
          <w:rFonts w:hint="eastAsia" w:ascii="Cambria Math" w:hAnsi="Cambria Math" w:cs="Cambria Math"/>
          <w:sz w:val="24"/>
          <w:szCs w:val="21"/>
        </w:rPr>
        <w:t>）</w:t>
      </w:r>
      <w:r>
        <w:rPr>
          <w:sz w:val="24"/>
          <w:szCs w:val="21"/>
        </w:rPr>
        <w:t>铺设后应及时压载锚固所有土工材料，均须保证当日铺设当日连接。</w:t>
      </w:r>
    </w:p>
    <w:p>
      <w:pPr>
        <w:adjustRightInd w:val="0"/>
        <w:snapToGrid w:val="0"/>
        <w:spacing w:line="360" w:lineRule="auto"/>
        <w:ind w:firstLine="480" w:firstLineChars="200"/>
        <w:rPr>
          <w:sz w:val="24"/>
          <w:szCs w:val="21"/>
        </w:rPr>
      </w:pPr>
      <w:r>
        <w:rPr>
          <w:rFonts w:hint="eastAsia"/>
          <w:sz w:val="24"/>
          <w:szCs w:val="21"/>
        </w:rPr>
        <w:t>（1</w:t>
      </w:r>
      <w:r>
        <w:rPr>
          <w:sz w:val="24"/>
          <w:szCs w:val="21"/>
        </w:rPr>
        <w:t>1</w:t>
      </w:r>
      <w:r>
        <w:rPr>
          <w:rFonts w:hint="eastAsia"/>
          <w:sz w:val="24"/>
          <w:szCs w:val="21"/>
        </w:rPr>
        <w:t>）</w:t>
      </w:r>
      <w:r>
        <w:rPr>
          <w:sz w:val="24"/>
          <w:szCs w:val="21"/>
        </w:rPr>
        <w:t>边坡土工膜的锚固要求</w:t>
      </w:r>
      <w:r>
        <w:rPr>
          <w:rFonts w:hint="eastAsia"/>
          <w:sz w:val="24"/>
          <w:szCs w:val="21"/>
        </w:rPr>
        <w:t>：</w:t>
      </w:r>
    </w:p>
    <w:p>
      <w:pPr>
        <w:adjustRightInd w:val="0"/>
        <w:snapToGrid w:val="0"/>
        <w:spacing w:line="360" w:lineRule="auto"/>
        <w:ind w:firstLine="480" w:firstLineChars="200"/>
        <w:rPr>
          <w:sz w:val="24"/>
          <w:szCs w:val="21"/>
        </w:rPr>
      </w:pPr>
      <w:r>
        <w:rPr>
          <w:rFonts w:hint="eastAsia"/>
          <w:sz w:val="24"/>
          <w:szCs w:val="21"/>
        </w:rPr>
        <w:t>在垂直高差较大的边坡铺设防渗材料时，应设锚固平台，平台高差应结合实际地形确定，不宜大于</w:t>
      </w:r>
      <w:r>
        <w:rPr>
          <w:sz w:val="24"/>
          <w:szCs w:val="21"/>
        </w:rPr>
        <w:t>10m</w:t>
      </w:r>
      <w:r>
        <w:rPr>
          <w:rFonts w:hint="eastAsia"/>
          <w:sz w:val="24"/>
          <w:szCs w:val="21"/>
        </w:rPr>
        <w:t>。边坡坡度不宜大于</w:t>
      </w:r>
      <w:r>
        <w:rPr>
          <w:sz w:val="24"/>
          <w:szCs w:val="21"/>
        </w:rPr>
        <w:t xml:space="preserve"> 1 : 2</w:t>
      </w:r>
      <w:r>
        <w:rPr>
          <w:rFonts w:hint="eastAsia"/>
          <w:sz w:val="24"/>
          <w:szCs w:val="21"/>
        </w:rPr>
        <w:t>。</w:t>
      </w:r>
    </w:p>
    <w:p>
      <w:pPr>
        <w:adjustRightInd w:val="0"/>
        <w:snapToGrid w:val="0"/>
        <w:spacing w:line="360" w:lineRule="auto"/>
        <w:ind w:firstLine="480" w:firstLineChars="200"/>
        <w:rPr>
          <w:sz w:val="24"/>
          <w:szCs w:val="21"/>
        </w:rPr>
      </w:pPr>
      <w:r>
        <w:rPr>
          <w:sz w:val="24"/>
          <w:szCs w:val="21"/>
        </w:rPr>
        <w:t>由于本场址经削坡清库处理后，防渗层边坡必须锚固，推荐采用矩形槽覆土锚固法，锚固沟断面为矩形，尺寸为</w:t>
      </w:r>
      <w:r>
        <w:rPr>
          <w:rFonts w:hint="eastAsia"/>
          <w:sz w:val="24"/>
          <w:szCs w:val="21"/>
        </w:rPr>
        <w:t>8</w:t>
      </w:r>
      <w:r>
        <w:rPr>
          <w:sz w:val="24"/>
          <w:szCs w:val="21"/>
        </w:rPr>
        <w:t>00×</w:t>
      </w:r>
      <w:r>
        <w:rPr>
          <w:rFonts w:hint="eastAsia"/>
          <w:sz w:val="24"/>
          <w:szCs w:val="21"/>
        </w:rPr>
        <w:t>8</w:t>
      </w:r>
      <w:r>
        <w:rPr>
          <w:sz w:val="24"/>
          <w:szCs w:val="21"/>
        </w:rPr>
        <w:t>00mm。</w:t>
      </w:r>
      <w:r>
        <w:rPr>
          <w:rFonts w:hint="eastAsia"/>
          <w:sz w:val="24"/>
          <w:szCs w:val="21"/>
        </w:rPr>
        <w:t>锚固沟的设计符合下列规定：</w:t>
      </w:r>
    </w:p>
    <w:p>
      <w:pPr>
        <w:adjustRightInd w:val="0"/>
        <w:snapToGrid w:val="0"/>
        <w:spacing w:line="360" w:lineRule="auto"/>
        <w:ind w:firstLine="480" w:firstLineChars="200"/>
        <w:rPr>
          <w:sz w:val="24"/>
          <w:szCs w:val="21"/>
        </w:rPr>
      </w:pPr>
      <w:r>
        <w:rPr>
          <w:sz w:val="24"/>
          <w:szCs w:val="21"/>
        </w:rPr>
        <w:t>1</w:t>
      </w:r>
      <w:r>
        <w:rPr>
          <w:rFonts w:hint="eastAsia"/>
          <w:sz w:val="24"/>
          <w:szCs w:val="21"/>
        </w:rPr>
        <w:t>）锚固沟距离边坡边缘大于</w:t>
      </w:r>
      <w:r>
        <w:rPr>
          <w:sz w:val="24"/>
          <w:szCs w:val="21"/>
        </w:rPr>
        <w:t>800mm</w:t>
      </w:r>
      <w:r>
        <w:rPr>
          <w:rFonts w:hint="eastAsia"/>
          <w:sz w:val="24"/>
          <w:szCs w:val="21"/>
        </w:rPr>
        <w:t>。</w:t>
      </w:r>
    </w:p>
    <w:p>
      <w:pPr>
        <w:adjustRightInd w:val="0"/>
        <w:snapToGrid w:val="0"/>
        <w:spacing w:line="360" w:lineRule="auto"/>
        <w:ind w:firstLine="480" w:firstLineChars="200"/>
        <w:rPr>
          <w:sz w:val="24"/>
          <w:szCs w:val="21"/>
        </w:rPr>
      </w:pPr>
      <w:r>
        <w:rPr>
          <w:sz w:val="24"/>
          <w:szCs w:val="21"/>
        </w:rPr>
        <w:t>2</w:t>
      </w:r>
      <w:r>
        <w:rPr>
          <w:rFonts w:hint="eastAsia"/>
          <w:sz w:val="24"/>
          <w:szCs w:val="21"/>
        </w:rPr>
        <w:t>)</w:t>
      </w:r>
      <w:r>
        <w:rPr>
          <w:sz w:val="24"/>
          <w:szCs w:val="21"/>
        </w:rPr>
        <w:t xml:space="preserve"> </w:t>
      </w:r>
      <w:r>
        <w:rPr>
          <w:rFonts w:hint="eastAsia"/>
          <w:sz w:val="24"/>
          <w:szCs w:val="21"/>
        </w:rPr>
        <w:t>防渗材料转折处不应存在直角的刚性结构，均应做成弧形结构。</w:t>
      </w:r>
    </w:p>
    <w:p>
      <w:pPr>
        <w:adjustRightInd w:val="0"/>
        <w:snapToGrid w:val="0"/>
        <w:spacing w:line="360" w:lineRule="auto"/>
        <w:ind w:firstLine="480" w:firstLineChars="200"/>
        <w:rPr>
          <w:sz w:val="24"/>
          <w:szCs w:val="21"/>
        </w:rPr>
      </w:pPr>
      <w:r>
        <w:rPr>
          <w:sz w:val="24"/>
          <w:szCs w:val="21"/>
        </w:rPr>
        <w:t>3</w:t>
      </w:r>
      <w:r>
        <w:rPr>
          <w:rFonts w:hint="eastAsia"/>
          <w:sz w:val="24"/>
          <w:szCs w:val="21"/>
        </w:rPr>
        <w:t>) 锚固沟断面根据锚固形式，结合实际情况加以计算，为800X800。</w:t>
      </w:r>
    </w:p>
    <w:p>
      <w:pPr>
        <w:adjustRightInd w:val="0"/>
        <w:snapToGrid w:val="0"/>
        <w:spacing w:line="360" w:lineRule="auto"/>
        <w:ind w:firstLine="480" w:firstLineChars="200"/>
        <w:rPr>
          <w:sz w:val="24"/>
          <w:szCs w:val="21"/>
        </w:rPr>
      </w:pPr>
      <w:r>
        <w:rPr>
          <w:sz w:val="24"/>
          <w:szCs w:val="21"/>
        </w:rPr>
        <w:t>4</w:t>
      </w:r>
      <w:r>
        <w:rPr>
          <w:rFonts w:hint="eastAsia"/>
          <w:sz w:val="24"/>
          <w:szCs w:val="21"/>
        </w:rPr>
        <w:t>）锚固沟中土压实度不得小于0.97。</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渗滤液导排工程</w:t>
      </w:r>
    </w:p>
    <w:p>
      <w:pPr>
        <w:adjustRightInd w:val="0"/>
        <w:snapToGrid w:val="0"/>
        <w:spacing w:line="360" w:lineRule="auto"/>
        <w:ind w:firstLine="480" w:firstLineChars="200"/>
        <w:rPr>
          <w:sz w:val="24"/>
          <w:szCs w:val="21"/>
        </w:rPr>
      </w:pPr>
      <w:r>
        <w:rPr>
          <w:sz w:val="24"/>
          <w:szCs w:val="21"/>
        </w:rPr>
        <w:t>为了防止渗滤液在场内积聚而影响作业和填埋场稳定性，导致环境污染问题发生，因此需对渗滤液进行合理的收集、导排。渗滤液收集导排系统的工作机理为：各垃圾层的渗滤液通过导流层流到坡面及库底，然后流入主盲沟，最后经主盲沟中 HDPE 管导排入渗滤液提升泵井。</w:t>
      </w:r>
    </w:p>
    <w:p>
      <w:pPr>
        <w:adjustRightInd w:val="0"/>
        <w:snapToGrid w:val="0"/>
        <w:spacing w:line="360" w:lineRule="auto"/>
        <w:ind w:firstLine="480" w:firstLineChars="200"/>
        <w:rPr>
          <w:sz w:val="24"/>
          <w:szCs w:val="21"/>
        </w:rPr>
      </w:pPr>
      <w:r>
        <w:rPr>
          <w:sz w:val="24"/>
          <w:szCs w:val="21"/>
        </w:rPr>
        <w:t>渗滤液收集导排系统主要包括场底防渗层上的导流层和主、支盲沟。</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（1）</w:t>
      </w:r>
      <w:r>
        <w:rPr>
          <w:sz w:val="24"/>
          <w:szCs w:val="21"/>
        </w:rPr>
        <w:t>卵石导流层：《生活垃圾卫生填埋处理技术规范》（GB50869-2013）规定“渗 沥液导流层宜采用卵石或碎石铺设，厚度不小于 0.3m。”因此，设计在库底防渗保 护层上铺设一层 300mm 的卵石层，卵石粒径为 18mm～40mm。为防止细小颗粒进 入导流层造成堵塞，导流层的级配粒径按上小下大的原则进行铺设，构成反滤层， 同时坡度 i≥2%，便于渗滤液导入盲沟。</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（2）</w:t>
      </w:r>
      <w:r>
        <w:rPr>
          <w:sz w:val="24"/>
          <w:szCs w:val="21"/>
        </w:rPr>
        <w:t>主盲沟：沿库区底部东西向设置渗滤液收集主盲沟，采用梯形断面，断面尺寸为上底宽0.8m，下底宽1.8m，深0.8m。在主盲沟内敷设1 根 dn300HDPE 穿孔管， 管周边填充卵石，主盲沟坡度与库底清基后的坡度一致，坡向渗滤液提升泵井。</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（3）</w:t>
      </w:r>
      <w:r>
        <w:rPr>
          <w:sz w:val="24"/>
          <w:szCs w:val="21"/>
        </w:rPr>
        <w:t>支盲沟：为了堆体中渗滤液及填埋气体导排顺畅，本项目设计在固化飞灰每填埋5米高度，均设置渗滤液和横向收集次盲沟，次盲沟均按40m间距设置，采用矩形断面，断面尺寸为0.30</w:t>
      </w:r>
      <w:r>
        <w:rPr>
          <w:rFonts w:hint="eastAsia"/>
          <w:sz w:val="24"/>
          <w:szCs w:val="21"/>
        </w:rPr>
        <w:t>×</w:t>
      </w:r>
      <w:r>
        <w:rPr>
          <w:sz w:val="24"/>
          <w:szCs w:val="21"/>
        </w:rPr>
        <w:t>0.30m，盲沟内填充级配砾石，粒径 d20~d50mm。</w:t>
      </w:r>
    </w:p>
    <w:p>
      <w:pPr>
        <w:adjustRightInd w:val="0"/>
        <w:snapToGrid w:val="0"/>
        <w:spacing w:line="360" w:lineRule="auto"/>
        <w:ind w:firstLine="480" w:firstLineChars="200"/>
        <w:rPr>
          <w:sz w:val="24"/>
          <w:szCs w:val="21"/>
        </w:rPr>
      </w:pPr>
      <w:r>
        <w:rPr>
          <w:sz w:val="24"/>
          <w:szCs w:val="21"/>
        </w:rPr>
        <w:t>导流层、主支盲沟形成完整的渗滤液收集、导排系统，渗滤液沿着支盲沟收集 导排至主盲沟，再通过主盲沟的 HDPE 管导排至渗滤液集液坑，最终通过泵抽排至渗滤液调节池。</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场区洪雨水导排与地下水导排工程</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场区洪雨水导排措施</w:t>
      </w:r>
    </w:p>
    <w:p>
      <w:pPr>
        <w:adjustRightInd w:val="0"/>
        <w:snapToGrid w:val="0"/>
        <w:spacing w:line="360" w:lineRule="auto"/>
        <w:ind w:firstLine="480" w:firstLineChars="200"/>
        <w:rPr>
          <w:sz w:val="24"/>
          <w:szCs w:val="21"/>
        </w:rPr>
      </w:pPr>
      <w:bookmarkStart w:id="81" w:name="_Hlk93653722"/>
      <w:r>
        <w:rPr>
          <w:sz w:val="24"/>
          <w:szCs w:val="21"/>
        </w:rPr>
        <w:t>大气降水是垃圾填埋场渗滤液产生量的主要因素。为减小渗滤液处理站规模，进而降低工程建设投资和运行费用，填埋区的建设必须将库区汇水面积以内的大气降水合理有效地加以截排、引导排放，以实现未被污染的迳流（清水）和流经堆体的迳流（污水）分流。本项目设计采取的清污分流系统即洪雨水导排工程措施主要有：</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（1）</w:t>
      </w:r>
      <w:r>
        <w:rPr>
          <w:sz w:val="24"/>
          <w:szCs w:val="21"/>
        </w:rPr>
        <w:t>场外径流截排设施：包括沿填埋区边界设置的永久性环库截洪沟和设置在锚固平台内侧及道路上的排水边沟。</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（2）</w:t>
      </w:r>
      <w:r>
        <w:rPr>
          <w:sz w:val="24"/>
          <w:szCs w:val="21"/>
        </w:rPr>
        <w:t>场内径流截排设施：设置在垃圾填埋平台面与终了坡面上的排水设施。</w:t>
      </w:r>
    </w:p>
    <w:bookmarkEnd w:id="81"/>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 xml:space="preserve">环库截洪系统 </w:t>
      </w:r>
    </w:p>
    <w:p>
      <w:pPr>
        <w:adjustRightInd w:val="0"/>
        <w:snapToGrid w:val="0"/>
        <w:spacing w:line="360" w:lineRule="auto"/>
        <w:ind w:firstLine="480" w:firstLineChars="200"/>
        <w:rPr>
          <w:sz w:val="24"/>
          <w:szCs w:val="21"/>
        </w:rPr>
      </w:pPr>
      <w:r>
        <w:rPr>
          <w:rFonts w:hint="eastAsia"/>
          <w:sz w:val="24"/>
          <w:szCs w:val="21"/>
        </w:rPr>
        <w:t>本项目暴雨量的设计重现期按照50年一遇设计。根据可研依据承德地区的暴雨强度公式计算，暴雨设计流量为</w:t>
      </w:r>
      <w:r>
        <w:rPr>
          <w:sz w:val="24"/>
          <w:szCs w:val="21"/>
        </w:rPr>
        <w:t>2.46</w:t>
      </w:r>
      <w:r>
        <w:rPr>
          <w:rFonts w:hint="eastAsia"/>
          <w:sz w:val="24"/>
          <w:szCs w:val="21"/>
        </w:rPr>
        <w:t>m</w:t>
      </w:r>
      <w:r>
        <w:rPr>
          <w:sz w:val="24"/>
          <w:szCs w:val="21"/>
          <w:vertAlign w:val="superscript"/>
        </w:rPr>
        <w:t>3</w:t>
      </w:r>
      <w:r>
        <w:rPr>
          <w:rFonts w:hint="eastAsia"/>
          <w:sz w:val="24"/>
          <w:szCs w:val="21"/>
        </w:rPr>
        <w:t>/s。本项目</w:t>
      </w:r>
      <w:r>
        <w:rPr>
          <w:sz w:val="24"/>
          <w:szCs w:val="21"/>
        </w:rPr>
        <w:t>截洪沟沿填埋库区边线布置</w:t>
      </w:r>
      <w:r>
        <w:rPr>
          <w:rFonts w:hint="eastAsia"/>
          <w:sz w:val="24"/>
          <w:szCs w:val="21"/>
        </w:rPr>
        <w:t>，</w:t>
      </w:r>
      <w:r>
        <w:rPr>
          <w:sz w:val="24"/>
          <w:szCs w:val="21"/>
        </w:rPr>
        <w:t>截洪沟采用矩形断面，</w:t>
      </w:r>
      <w:r>
        <w:rPr>
          <w:rFonts w:hint="eastAsia"/>
          <w:sz w:val="24"/>
          <w:szCs w:val="21"/>
        </w:rPr>
        <w:t>断面尺寸为1.2m宽，</w:t>
      </w:r>
      <w:r>
        <w:rPr>
          <w:sz w:val="24"/>
          <w:szCs w:val="21"/>
        </w:rPr>
        <w:t>1.</w:t>
      </w:r>
      <w:r>
        <w:rPr>
          <w:rFonts w:hint="eastAsia"/>
          <w:sz w:val="24"/>
          <w:szCs w:val="21"/>
        </w:rPr>
        <w:t>0m高，截洪沟全长约为</w:t>
      </w:r>
      <w:r>
        <w:rPr>
          <w:sz w:val="24"/>
          <w:szCs w:val="21"/>
        </w:rPr>
        <w:t>402.26</w:t>
      </w:r>
      <w:r>
        <w:rPr>
          <w:rFonts w:hint="eastAsia"/>
          <w:sz w:val="24"/>
          <w:szCs w:val="21"/>
        </w:rPr>
        <w:t>m。</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地下水导排工程</w:t>
      </w:r>
    </w:p>
    <w:p>
      <w:pPr>
        <w:adjustRightInd w:val="0"/>
        <w:snapToGrid w:val="0"/>
        <w:spacing w:line="360" w:lineRule="auto"/>
        <w:ind w:firstLine="480" w:firstLineChars="200"/>
        <w:rPr>
          <w:sz w:val="24"/>
          <w:szCs w:val="21"/>
        </w:rPr>
      </w:pPr>
      <w:r>
        <w:rPr>
          <w:rFonts w:hint="eastAsia"/>
          <w:sz w:val="24"/>
          <w:szCs w:val="21"/>
        </w:rPr>
        <w:t>根据场地附近地质勘察资料及现场情况，场区内地下水位较深，存水为下雨积水，设计时按规范要求，保证防渗基础层距离最高地下水位3米以上，使地下水对防渗层不会产生影响，故本项目不设计地下水导排设计。</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绿化隔离带工程</w:t>
      </w:r>
    </w:p>
    <w:p>
      <w:pPr>
        <w:adjustRightInd w:val="0"/>
        <w:snapToGrid w:val="0"/>
        <w:spacing w:line="360" w:lineRule="auto"/>
        <w:ind w:firstLine="480" w:firstLineChars="200"/>
        <w:rPr>
          <w:sz w:val="24"/>
          <w:szCs w:val="21"/>
        </w:rPr>
      </w:pPr>
      <w:r>
        <w:rPr>
          <w:rFonts w:hint="eastAsia"/>
          <w:sz w:val="24"/>
          <w:szCs w:val="21"/>
        </w:rPr>
        <w:t>根据《生活垃圾卫生填埋处理技术规范》（GB 50869-2013），填埋库区周边利用现有的林地设置</w:t>
      </w:r>
      <w:r>
        <w:rPr>
          <w:sz w:val="24"/>
          <w:szCs w:val="21"/>
        </w:rPr>
        <w:t>10</w:t>
      </w:r>
      <w:r>
        <w:rPr>
          <w:rFonts w:hint="eastAsia"/>
          <w:sz w:val="24"/>
          <w:szCs w:val="21"/>
        </w:rPr>
        <w:t>m宽的绿化隔离带。</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临时覆盖</w:t>
      </w:r>
    </w:p>
    <w:p>
      <w:pPr>
        <w:adjustRightInd w:val="0"/>
        <w:snapToGrid w:val="0"/>
        <w:spacing w:line="360" w:lineRule="auto"/>
        <w:ind w:firstLine="480" w:firstLineChars="200"/>
        <w:rPr>
          <w:sz w:val="24"/>
          <w:szCs w:val="21"/>
        </w:rPr>
      </w:pPr>
      <w:r>
        <w:rPr>
          <w:sz w:val="24"/>
          <w:szCs w:val="21"/>
        </w:rPr>
        <w:t>覆盖作业是填埋场运行作业中重要的一环，对周围的生态和工人的工作环境有着极其重要的意义。填埋场的覆盖有三种：每日覆盖、中间覆盖和最终覆盖。</w:t>
      </w:r>
    </w:p>
    <w:p>
      <w:pPr>
        <w:adjustRightInd w:val="0"/>
        <w:snapToGrid w:val="0"/>
        <w:spacing w:line="360" w:lineRule="auto"/>
        <w:ind w:firstLine="480" w:firstLineChars="200"/>
        <w:rPr>
          <w:sz w:val="24"/>
          <w:szCs w:val="21"/>
        </w:rPr>
      </w:pPr>
      <w:r>
        <w:rPr>
          <w:rFonts w:hint="eastAsia"/>
          <w:sz w:val="24"/>
          <w:szCs w:val="21"/>
        </w:rPr>
        <w:t>考虑到每日处理的飞灰量和推土机的有效作业距离，以一日作业量为一个作业单元，进行填埋单元操作。作业法采用平面分层法，当完成一个单元的填埋，即进行覆盖，并用压实机予以最终压实。压实的固化飞灰保持1-2%以上坡度以利于排水。待场底所有单元全部覆盖后，再上升一层进行填埋，逐渐达到填埋高度。</w:t>
      </w:r>
    </w:p>
    <w:p>
      <w:pPr>
        <w:adjustRightInd w:val="0"/>
        <w:snapToGrid w:val="0"/>
        <w:spacing w:line="360" w:lineRule="auto"/>
        <w:ind w:firstLine="480" w:firstLineChars="200"/>
        <w:rPr>
          <w:rFonts w:ascii="Cambria Math" w:hAnsi="Cambria Math" w:cs="Cambria Math"/>
          <w:sz w:val="24"/>
          <w:szCs w:val="21"/>
        </w:rPr>
      </w:pPr>
      <w:r>
        <w:rPr>
          <w:sz w:val="24"/>
          <w:szCs w:val="21"/>
        </w:rPr>
        <w:t>中间覆盖是在填埋场在完成一个区域较长时间段内不填埋</w:t>
      </w:r>
      <w:r>
        <w:rPr>
          <w:rFonts w:hint="eastAsia"/>
          <w:sz w:val="24"/>
          <w:szCs w:val="21"/>
        </w:rPr>
        <w:t>飞灰的</w:t>
      </w:r>
      <w:r>
        <w:rPr>
          <w:sz w:val="24"/>
          <w:szCs w:val="21"/>
        </w:rPr>
        <w:t>情况下，为减少</w:t>
      </w:r>
      <w:r>
        <w:rPr>
          <w:rFonts w:hint="eastAsia"/>
          <w:sz w:val="24"/>
          <w:szCs w:val="21"/>
        </w:rPr>
        <w:t>渗滤液</w:t>
      </w:r>
      <w:r>
        <w:rPr>
          <w:sz w:val="24"/>
          <w:szCs w:val="21"/>
        </w:rPr>
        <w:t>的产生而采取的措施。5个单元层组成一个高度为近10m的填埋分层，进行中间覆盖，覆盖材料常用天然土壤，厚度通常为1m左右。</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封场</w:t>
      </w:r>
      <w:r>
        <w:rPr>
          <w:rFonts w:hint="eastAsia"/>
          <w:b/>
          <w:bCs/>
          <w:snapToGrid w:val="0"/>
          <w:sz w:val="28"/>
          <w:szCs w:val="28"/>
        </w:rPr>
        <w:t>设计方案</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填埋作业达到设计高度后，应在其顶面进行封场覆盖，目的是便于最终利用，并减少雨水渗入量。本项目封场覆盖层由下而上依次为：</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w:t>
      </w:r>
      <w:r>
        <w:rPr>
          <w:rFonts w:ascii="宋体" w:hAnsi="宋体" w:cs="宋体"/>
          <w:sz w:val="24"/>
          <w:szCs w:val="21"/>
        </w:rPr>
        <w:t>1</w:t>
      </w:r>
      <w:r>
        <w:rPr>
          <w:rFonts w:hint="eastAsia" w:ascii="宋体" w:hAnsi="宋体" w:cs="宋体"/>
          <w:sz w:val="24"/>
          <w:szCs w:val="21"/>
        </w:rPr>
        <w:t>）排气层</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堆体顶部排气层拟采用</w:t>
      </w:r>
      <w:r>
        <w:rPr>
          <w:rFonts w:ascii="宋体" w:hAnsi="宋体" w:cs="宋体"/>
          <w:sz w:val="24"/>
          <w:szCs w:val="21"/>
        </w:rPr>
        <w:t xml:space="preserve">300mm </w:t>
      </w:r>
      <w:r>
        <w:rPr>
          <w:rFonts w:hint="eastAsia" w:ascii="宋体" w:hAnsi="宋体" w:cs="宋体"/>
          <w:sz w:val="24"/>
          <w:szCs w:val="21"/>
        </w:rPr>
        <w:t>厚粒径为</w:t>
      </w:r>
      <w:r>
        <w:rPr>
          <w:rFonts w:ascii="宋体" w:hAnsi="宋体" w:cs="宋体"/>
          <w:sz w:val="24"/>
          <w:szCs w:val="21"/>
        </w:rPr>
        <w:t>20mm</w:t>
      </w:r>
      <w:r>
        <w:rPr>
          <w:rFonts w:hint="eastAsia" w:ascii="宋体" w:hAnsi="宋体" w:cs="宋体"/>
          <w:sz w:val="24"/>
          <w:szCs w:val="21"/>
        </w:rPr>
        <w:t>～</w:t>
      </w:r>
      <w:r>
        <w:rPr>
          <w:rFonts w:ascii="宋体" w:hAnsi="宋体" w:cs="宋体"/>
          <w:sz w:val="24"/>
          <w:szCs w:val="21"/>
        </w:rPr>
        <w:t xml:space="preserve">40mm </w:t>
      </w:r>
      <w:r>
        <w:rPr>
          <w:rFonts w:hint="eastAsia" w:ascii="宋体" w:hAnsi="宋体" w:cs="宋体"/>
          <w:sz w:val="24"/>
          <w:szCs w:val="21"/>
        </w:rPr>
        <w:t>的碎石层，碎石层上面应铺设</w:t>
      </w:r>
      <w:r>
        <w:rPr>
          <w:rFonts w:ascii="宋体" w:hAnsi="宋体" w:cs="宋体"/>
          <w:sz w:val="24"/>
          <w:szCs w:val="21"/>
        </w:rPr>
        <w:t xml:space="preserve">300g/m2 </w:t>
      </w:r>
      <w:r>
        <w:rPr>
          <w:rFonts w:hint="eastAsia" w:ascii="宋体" w:hAnsi="宋体" w:cs="宋体"/>
          <w:sz w:val="24"/>
          <w:szCs w:val="21"/>
        </w:rPr>
        <w:t>的土工滤网；碎石层与固废之间应铺设一层孔径小于碎石最小粒径、</w:t>
      </w:r>
      <w:r>
        <w:rPr>
          <w:rFonts w:ascii="宋体" w:hAnsi="宋体" w:cs="宋体"/>
          <w:sz w:val="24"/>
          <w:szCs w:val="21"/>
        </w:rPr>
        <w:t xml:space="preserve">200 g/m2 </w:t>
      </w:r>
      <w:r>
        <w:rPr>
          <w:rFonts w:hint="eastAsia" w:ascii="宋体" w:hAnsi="宋体" w:cs="宋体"/>
          <w:sz w:val="24"/>
          <w:szCs w:val="21"/>
        </w:rPr>
        <w:t>的土工滤网。</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边坡排气层设计：在固废边坡上碎石不易铺设，故采用土工网状材料作为排气层，网状材料厚度为</w:t>
      </w:r>
      <w:r>
        <w:rPr>
          <w:rFonts w:ascii="宋体" w:hAnsi="宋体" w:cs="宋体"/>
          <w:sz w:val="24"/>
          <w:szCs w:val="21"/>
        </w:rPr>
        <w:t>10mm</w:t>
      </w:r>
      <w:r>
        <w:rPr>
          <w:rFonts w:hint="eastAsia" w:ascii="宋体" w:hAnsi="宋体" w:cs="宋体"/>
          <w:sz w:val="24"/>
          <w:szCs w:val="21"/>
        </w:rPr>
        <w:t>，上下铺设均铺设土工滤网，滤网规格为</w:t>
      </w:r>
      <w:r>
        <w:rPr>
          <w:rFonts w:ascii="宋体" w:hAnsi="宋体" w:cs="宋体"/>
          <w:sz w:val="24"/>
          <w:szCs w:val="21"/>
        </w:rPr>
        <w:t>200g/m</w:t>
      </w:r>
      <w:r>
        <w:rPr>
          <w:rFonts w:ascii="宋体" w:hAnsi="宋体" w:cs="宋体"/>
          <w:sz w:val="24"/>
          <w:szCs w:val="21"/>
          <w:vertAlign w:val="superscript"/>
        </w:rPr>
        <w:t>2</w:t>
      </w:r>
      <w:r>
        <w:rPr>
          <w:rFonts w:hint="eastAsia" w:ascii="宋体" w:hAnsi="宋体" w:cs="宋体"/>
          <w:sz w:val="24"/>
          <w:szCs w:val="21"/>
        </w:rPr>
        <w:t>。</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w:t>
      </w:r>
      <w:r>
        <w:rPr>
          <w:rFonts w:ascii="宋体" w:hAnsi="宋体" w:cs="宋体"/>
          <w:sz w:val="24"/>
          <w:szCs w:val="21"/>
        </w:rPr>
        <w:t>2</w:t>
      </w:r>
      <w:r>
        <w:rPr>
          <w:rFonts w:hint="eastAsia" w:ascii="宋体" w:hAnsi="宋体" w:cs="宋体"/>
          <w:sz w:val="24"/>
          <w:szCs w:val="21"/>
        </w:rPr>
        <w:t>）防渗层</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防渗层采用</w:t>
      </w:r>
      <w:r>
        <w:rPr>
          <w:rFonts w:ascii="宋体" w:hAnsi="宋体" w:cs="宋体"/>
          <w:sz w:val="24"/>
          <w:szCs w:val="21"/>
        </w:rPr>
        <w:t xml:space="preserve">1.0 mm </w:t>
      </w:r>
      <w:r>
        <w:rPr>
          <w:rFonts w:hint="eastAsia" w:ascii="宋体" w:hAnsi="宋体" w:cs="宋体"/>
          <w:sz w:val="24"/>
          <w:szCs w:val="21"/>
        </w:rPr>
        <w:t>厚</w:t>
      </w:r>
      <w:r>
        <w:rPr>
          <w:rFonts w:ascii="宋体" w:hAnsi="宋体" w:cs="宋体"/>
          <w:sz w:val="24"/>
          <w:szCs w:val="21"/>
        </w:rPr>
        <w:t xml:space="preserve">HDPE </w:t>
      </w:r>
      <w:r>
        <w:rPr>
          <w:rFonts w:hint="eastAsia" w:ascii="宋体" w:hAnsi="宋体" w:cs="宋体"/>
          <w:sz w:val="24"/>
          <w:szCs w:val="21"/>
        </w:rPr>
        <w:t>膜。</w:t>
      </w:r>
      <w:r>
        <w:rPr>
          <w:rFonts w:ascii="宋体" w:hAnsi="宋体" w:cs="宋体"/>
          <w:sz w:val="24"/>
          <w:szCs w:val="21"/>
        </w:rPr>
        <w:t xml:space="preserve">HDPE </w:t>
      </w:r>
      <w:r>
        <w:rPr>
          <w:rFonts w:hint="eastAsia" w:ascii="宋体" w:hAnsi="宋体" w:cs="宋体"/>
          <w:sz w:val="24"/>
          <w:szCs w:val="21"/>
        </w:rPr>
        <w:t>膜在固废堆体顶部、边坡平台及坡脚设锚固沟。</w:t>
      </w:r>
      <w:r>
        <w:rPr>
          <w:rFonts w:ascii="宋体" w:hAnsi="宋体" w:cs="宋体"/>
          <w:sz w:val="24"/>
          <w:szCs w:val="21"/>
        </w:rPr>
        <w:t xml:space="preserve">HDPE </w:t>
      </w:r>
      <w:r>
        <w:rPr>
          <w:rFonts w:hint="eastAsia" w:ascii="宋体" w:hAnsi="宋体" w:cs="宋体"/>
          <w:sz w:val="24"/>
          <w:szCs w:val="21"/>
        </w:rPr>
        <w:t>膜上铺设厚度为</w:t>
      </w:r>
      <w:r>
        <w:rPr>
          <w:rFonts w:ascii="宋体" w:hAnsi="宋体" w:cs="宋体"/>
          <w:sz w:val="24"/>
          <w:szCs w:val="21"/>
        </w:rPr>
        <w:t xml:space="preserve">5mm </w:t>
      </w:r>
      <w:r>
        <w:rPr>
          <w:rFonts w:hint="eastAsia" w:ascii="宋体" w:hAnsi="宋体" w:cs="宋体"/>
          <w:sz w:val="24"/>
          <w:szCs w:val="21"/>
        </w:rPr>
        <w:t>复合土工排水网，用于保护</w:t>
      </w:r>
      <w:r>
        <w:rPr>
          <w:rFonts w:ascii="宋体" w:hAnsi="宋体" w:cs="宋体"/>
          <w:sz w:val="24"/>
          <w:szCs w:val="21"/>
        </w:rPr>
        <w:t xml:space="preserve">HDPE </w:t>
      </w:r>
      <w:r>
        <w:rPr>
          <w:rFonts w:hint="eastAsia" w:ascii="宋体" w:hAnsi="宋体" w:cs="宋体"/>
          <w:sz w:val="24"/>
          <w:szCs w:val="21"/>
        </w:rPr>
        <w:t>膜并降低排水层对膜的剪切力。</w:t>
      </w:r>
      <w:r>
        <w:rPr>
          <w:rFonts w:ascii="宋体" w:hAnsi="宋体" w:cs="宋体"/>
          <w:sz w:val="24"/>
          <w:szCs w:val="21"/>
        </w:rPr>
        <w:t xml:space="preserve">HDPE </w:t>
      </w:r>
      <w:r>
        <w:rPr>
          <w:rFonts w:hint="eastAsia" w:ascii="宋体" w:hAnsi="宋体" w:cs="宋体"/>
          <w:sz w:val="24"/>
          <w:szCs w:val="21"/>
        </w:rPr>
        <w:t>膜下保护层拟采用</w:t>
      </w:r>
      <w:r>
        <w:rPr>
          <w:rFonts w:ascii="宋体" w:hAnsi="宋体" w:cs="宋体"/>
          <w:sz w:val="24"/>
          <w:szCs w:val="21"/>
        </w:rPr>
        <w:t xml:space="preserve">300 mm </w:t>
      </w:r>
      <w:r>
        <w:rPr>
          <w:rFonts w:hint="eastAsia" w:ascii="宋体" w:hAnsi="宋体" w:cs="宋体"/>
          <w:sz w:val="24"/>
          <w:szCs w:val="21"/>
        </w:rPr>
        <w:t>厚压实黏土；压实黏土的压实度不宜小于</w:t>
      </w:r>
      <w:r>
        <w:rPr>
          <w:rFonts w:ascii="宋体" w:hAnsi="宋体" w:cs="宋体"/>
          <w:sz w:val="24"/>
          <w:szCs w:val="21"/>
        </w:rPr>
        <w:t>85%</w:t>
      </w:r>
      <w:r>
        <w:rPr>
          <w:rFonts w:hint="eastAsia" w:ascii="宋体" w:hAnsi="宋体" w:cs="宋体"/>
          <w:sz w:val="24"/>
          <w:szCs w:val="21"/>
        </w:rPr>
        <w:t>，渗透系数应小于</w:t>
      </w:r>
      <w:r>
        <w:rPr>
          <w:rFonts w:ascii="宋体" w:hAnsi="宋体" w:cs="宋体"/>
          <w:sz w:val="24"/>
          <w:szCs w:val="21"/>
        </w:rPr>
        <w:t>1×10</w:t>
      </w:r>
      <w:r>
        <w:rPr>
          <w:rFonts w:ascii="宋体" w:hAnsi="宋体" w:cs="宋体"/>
          <w:sz w:val="24"/>
          <w:szCs w:val="21"/>
          <w:vertAlign w:val="superscript"/>
        </w:rPr>
        <w:t>-5</w:t>
      </w:r>
      <w:r>
        <w:rPr>
          <w:rFonts w:ascii="宋体" w:hAnsi="宋体" w:cs="宋体"/>
          <w:sz w:val="24"/>
          <w:szCs w:val="21"/>
        </w:rPr>
        <w:t>cm/s</w:t>
      </w:r>
      <w:r>
        <w:rPr>
          <w:rFonts w:hint="eastAsia" w:ascii="宋体" w:hAnsi="宋体" w:cs="宋体"/>
          <w:sz w:val="24"/>
          <w:szCs w:val="21"/>
        </w:rPr>
        <w:t>。</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w:t>
      </w:r>
      <w:r>
        <w:rPr>
          <w:rFonts w:ascii="宋体" w:hAnsi="宋体" w:cs="宋体"/>
          <w:sz w:val="24"/>
          <w:szCs w:val="21"/>
        </w:rPr>
        <w:t>3</w:t>
      </w:r>
      <w:r>
        <w:rPr>
          <w:rFonts w:hint="eastAsia" w:ascii="宋体" w:hAnsi="宋体" w:cs="宋体"/>
          <w:sz w:val="24"/>
          <w:szCs w:val="21"/>
        </w:rPr>
        <w:t>）排水层</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固废堆体顶部排水层设计：铺设碎石作为排水层，厚度为</w:t>
      </w:r>
      <w:r>
        <w:rPr>
          <w:rFonts w:ascii="宋体" w:hAnsi="宋体" w:cs="宋体"/>
          <w:sz w:val="24"/>
          <w:szCs w:val="21"/>
        </w:rPr>
        <w:t>300mm</w:t>
      </w:r>
      <w:r>
        <w:rPr>
          <w:rFonts w:hint="eastAsia" w:ascii="宋体" w:hAnsi="宋体" w:cs="宋体"/>
          <w:sz w:val="24"/>
          <w:szCs w:val="21"/>
        </w:rPr>
        <w:t>，碎石上部铺设规格为</w:t>
      </w:r>
      <w:r>
        <w:rPr>
          <w:rFonts w:ascii="宋体" w:hAnsi="宋体" w:cs="宋体"/>
          <w:sz w:val="24"/>
          <w:szCs w:val="21"/>
        </w:rPr>
        <w:t>200g/m</w:t>
      </w:r>
      <w:r>
        <w:rPr>
          <w:rFonts w:ascii="宋体" w:hAnsi="宋体" w:cs="宋体"/>
          <w:sz w:val="24"/>
          <w:szCs w:val="21"/>
          <w:vertAlign w:val="superscript"/>
        </w:rPr>
        <w:t>2</w:t>
      </w:r>
      <w:r>
        <w:rPr>
          <w:rFonts w:ascii="宋体" w:hAnsi="宋体" w:cs="宋体"/>
          <w:sz w:val="24"/>
          <w:szCs w:val="21"/>
        </w:rPr>
        <w:t xml:space="preserve"> </w:t>
      </w:r>
      <w:r>
        <w:rPr>
          <w:rFonts w:hint="eastAsia" w:ascii="宋体" w:hAnsi="宋体" w:cs="宋体"/>
          <w:sz w:val="24"/>
          <w:szCs w:val="21"/>
        </w:rPr>
        <w:t>土工滤网进行保护；</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边坡排水层设计：在固废边坡上铺设碎石难度较大，故铺设复合土工排水网作为排水层，厚度为</w:t>
      </w:r>
      <w:r>
        <w:rPr>
          <w:rFonts w:ascii="宋体" w:hAnsi="宋体" w:cs="宋体"/>
          <w:sz w:val="24"/>
          <w:szCs w:val="21"/>
        </w:rPr>
        <w:t>7.5mm</w:t>
      </w:r>
      <w:r>
        <w:rPr>
          <w:rFonts w:hint="eastAsia" w:ascii="宋体" w:hAnsi="宋体" w:cs="宋体"/>
          <w:sz w:val="24"/>
          <w:szCs w:val="21"/>
        </w:rPr>
        <w:t>，搭接重叠厚度至少为</w:t>
      </w:r>
      <w:r>
        <w:rPr>
          <w:rFonts w:ascii="宋体" w:hAnsi="宋体" w:cs="宋体"/>
          <w:sz w:val="24"/>
          <w:szCs w:val="21"/>
        </w:rPr>
        <w:t>300mm</w:t>
      </w:r>
      <w:r>
        <w:rPr>
          <w:rFonts w:hint="eastAsia" w:ascii="宋体" w:hAnsi="宋体" w:cs="宋体"/>
          <w:sz w:val="24"/>
          <w:szCs w:val="21"/>
        </w:rPr>
        <w:t>，每隔</w:t>
      </w:r>
      <w:r>
        <w:rPr>
          <w:rFonts w:ascii="宋体" w:hAnsi="宋体" w:cs="宋体"/>
          <w:sz w:val="24"/>
          <w:szCs w:val="21"/>
        </w:rPr>
        <w:t xml:space="preserve">500mm </w:t>
      </w:r>
      <w:r>
        <w:rPr>
          <w:rFonts w:hint="eastAsia" w:ascii="宋体" w:hAnsi="宋体" w:cs="宋体"/>
          <w:sz w:val="24"/>
          <w:szCs w:val="21"/>
        </w:rPr>
        <w:t>进行塑料绳拴接。</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排水层与堆体表面排水沟相接处因排水沟沟壁上沿与覆土上表面基本齐平，阻挡了排水层中积水的外排，所以在排水沟与排水层相接处设置穿过沟壁的排水短管，排水短管为</w:t>
      </w:r>
      <w:r>
        <w:rPr>
          <w:rFonts w:ascii="宋体" w:hAnsi="宋体" w:cs="宋体"/>
          <w:sz w:val="24"/>
          <w:szCs w:val="21"/>
        </w:rPr>
        <w:t xml:space="preserve">DN32 </w:t>
      </w:r>
      <w:r>
        <w:rPr>
          <w:rFonts w:hint="eastAsia" w:ascii="宋体" w:hAnsi="宋体" w:cs="宋体"/>
          <w:sz w:val="24"/>
          <w:szCs w:val="21"/>
        </w:rPr>
        <w:t>的高密度聚乙烯管，其间距为</w:t>
      </w:r>
      <w:r>
        <w:rPr>
          <w:rFonts w:ascii="宋体" w:hAnsi="宋体" w:cs="宋体"/>
          <w:sz w:val="24"/>
          <w:szCs w:val="21"/>
        </w:rPr>
        <w:t>2 m</w:t>
      </w:r>
      <w:r>
        <w:rPr>
          <w:rFonts w:hint="eastAsia" w:ascii="宋体" w:hAnsi="宋体" w:cs="宋体"/>
          <w:sz w:val="24"/>
          <w:szCs w:val="21"/>
        </w:rPr>
        <w:t>，可以使渗入排水层的雨水及时排入排水沟，有效降低土层的含水率，避免土层内含水达到饱和。</w:t>
      </w:r>
    </w:p>
    <w:p>
      <w:pPr>
        <w:adjustRightInd w:val="0"/>
        <w:snapToGrid w:val="0"/>
        <w:spacing w:line="360" w:lineRule="auto"/>
        <w:ind w:firstLine="480" w:firstLineChars="200"/>
        <w:rPr>
          <w:rFonts w:ascii="宋体" w:hAnsi="宋体" w:cs="宋体"/>
          <w:sz w:val="24"/>
          <w:szCs w:val="21"/>
        </w:rPr>
      </w:pPr>
      <w:r>
        <w:rPr>
          <w:rFonts w:hint="eastAsia" w:ascii="宋体" w:hAnsi="宋体" w:cs="宋体"/>
          <w:sz w:val="24"/>
          <w:szCs w:val="21"/>
        </w:rPr>
        <w:t>（</w:t>
      </w:r>
      <w:r>
        <w:rPr>
          <w:rFonts w:ascii="宋体" w:hAnsi="宋体" w:cs="宋体"/>
          <w:sz w:val="24"/>
          <w:szCs w:val="21"/>
        </w:rPr>
        <w:t>4</w:t>
      </w:r>
      <w:r>
        <w:rPr>
          <w:rFonts w:hint="eastAsia" w:ascii="宋体" w:hAnsi="宋体" w:cs="宋体"/>
          <w:sz w:val="24"/>
          <w:szCs w:val="21"/>
        </w:rPr>
        <w:t>）绿化土层</w:t>
      </w:r>
    </w:p>
    <w:p>
      <w:pPr>
        <w:adjustRightInd w:val="0"/>
        <w:snapToGrid w:val="0"/>
        <w:spacing w:line="360" w:lineRule="auto"/>
        <w:ind w:firstLine="480" w:firstLineChars="200"/>
        <w:rPr>
          <w:sz w:val="24"/>
          <w:szCs w:val="21"/>
        </w:rPr>
      </w:pPr>
      <w:r>
        <w:rPr>
          <w:rFonts w:hint="eastAsia" w:ascii="宋体" w:hAnsi="宋体" w:cs="宋体"/>
          <w:sz w:val="24"/>
          <w:szCs w:val="21"/>
        </w:rPr>
        <w:t>绿化土层铺设在排水层上的保护层上，为</w:t>
      </w:r>
      <w:r>
        <w:rPr>
          <w:rFonts w:ascii="宋体" w:hAnsi="宋体" w:cs="宋体"/>
          <w:sz w:val="24"/>
          <w:szCs w:val="21"/>
        </w:rPr>
        <w:t xml:space="preserve">300mm </w:t>
      </w:r>
      <w:r>
        <w:rPr>
          <w:rFonts w:hint="eastAsia" w:ascii="宋体" w:hAnsi="宋体" w:cs="宋体"/>
          <w:sz w:val="24"/>
          <w:szCs w:val="21"/>
        </w:rPr>
        <w:t>的自然土层</w:t>
      </w:r>
      <w:r>
        <w:rPr>
          <w:rFonts w:ascii="宋体" w:hAnsi="宋体" w:cs="宋体"/>
          <w:sz w:val="24"/>
          <w:szCs w:val="21"/>
        </w:rPr>
        <w:t xml:space="preserve">+200mm </w:t>
      </w:r>
      <w:r>
        <w:rPr>
          <w:rFonts w:hint="eastAsia" w:ascii="宋体" w:hAnsi="宋体" w:cs="宋体"/>
          <w:sz w:val="24"/>
          <w:szCs w:val="21"/>
        </w:rPr>
        <w:t>的营养土层，自然土层应分层铺盖并压实，压实度不宜小于</w:t>
      </w:r>
      <w:r>
        <w:rPr>
          <w:rFonts w:ascii="宋体" w:hAnsi="宋体" w:cs="宋体"/>
          <w:sz w:val="24"/>
          <w:szCs w:val="21"/>
        </w:rPr>
        <w:t>80%</w:t>
      </w:r>
      <w:r>
        <w:rPr>
          <w:rFonts w:hint="eastAsia" w:ascii="宋体" w:hAnsi="宋体" w:cs="宋体"/>
          <w:sz w:val="24"/>
          <w:szCs w:val="21"/>
        </w:rPr>
        <w:t>。</w:t>
      </w:r>
      <w:r>
        <w:rPr>
          <w:sz w:val="24"/>
          <w:szCs w:val="21"/>
        </w:rPr>
        <w:t>根据《水土保持综合治理技术规范》，填埋库可按照荒坡地进行育林育草，但应根据填埋库气候条件和稳定性条件进行选择确定。</w:t>
      </w:r>
    </w:p>
    <w:p>
      <w:pPr>
        <w:adjustRightInd w:val="0"/>
        <w:snapToGrid w:val="0"/>
        <w:spacing w:line="360" w:lineRule="auto"/>
        <w:ind w:firstLine="480" w:firstLineChars="200"/>
        <w:rPr>
          <w:sz w:val="24"/>
          <w:szCs w:val="21"/>
        </w:rPr>
      </w:pPr>
      <w:r>
        <w:rPr>
          <w:sz w:val="24"/>
          <w:szCs w:val="21"/>
        </w:rPr>
        <w:t>为防止风和雨水的侵蚀，避免植物根系对覆盖层的破坏，终场覆盖层的顶面应由中间坡向填埋区四周，平均坡度不小于 5％。同时，还应加强对填埋堆体沉降的巡查，及时修复因堆体沉降而发生坡度变化的覆盖层。</w:t>
      </w:r>
    </w:p>
    <w:p>
      <w:pPr>
        <w:adjustRightInd w:val="0"/>
        <w:snapToGrid w:val="0"/>
        <w:spacing w:line="360" w:lineRule="auto"/>
        <w:ind w:firstLine="480" w:firstLineChars="200"/>
        <w:rPr>
          <w:sz w:val="24"/>
          <w:szCs w:val="21"/>
        </w:rPr>
      </w:pPr>
      <w:r>
        <w:rPr>
          <w:sz w:val="24"/>
          <w:szCs w:val="21"/>
        </w:rPr>
        <w:t>封场工艺流程见图 3.7-2</w:t>
      </w:r>
      <w:r>
        <w:rPr>
          <w:rFonts w:hint="eastAsia"/>
          <w:sz w:val="24"/>
          <w:szCs w:val="21"/>
        </w:rPr>
        <w:t>。</w:t>
      </w:r>
    </w:p>
    <w:p>
      <w:pPr>
        <w:adjustRightInd w:val="0"/>
        <w:snapToGrid w:val="0"/>
        <w:spacing w:line="360" w:lineRule="auto"/>
        <w:rPr>
          <w:sz w:val="24"/>
          <w:szCs w:val="21"/>
        </w:rPr>
      </w:pPr>
      <w:r>
        <w:rPr>
          <w:sz w:val="24"/>
          <w:szCs w:val="21"/>
        </w:rPr>
        <w:drawing>
          <wp:inline distT="0" distB="0" distL="0" distR="0">
            <wp:extent cx="5276850" cy="101663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76850" cy="1016840"/>
                    </a:xfrm>
                    <a:prstGeom prst="rect">
                      <a:avLst/>
                    </a:prstGeom>
                    <a:noFill/>
                    <a:ln>
                      <a:noFill/>
                    </a:ln>
                  </pic:spPr>
                </pic:pic>
              </a:graphicData>
            </a:graphic>
          </wp:inline>
        </w:drawing>
      </w:r>
    </w:p>
    <w:p>
      <w:pPr>
        <w:adjustRightInd w:val="0"/>
        <w:snapToGrid w:val="0"/>
        <w:spacing w:line="360" w:lineRule="auto"/>
        <w:jc w:val="center"/>
        <w:rPr>
          <w:b/>
          <w:bCs/>
          <w:sz w:val="24"/>
          <w:szCs w:val="21"/>
        </w:rPr>
      </w:pPr>
      <w:r>
        <w:rPr>
          <w:b/>
          <w:bCs/>
          <w:sz w:val="24"/>
          <w:szCs w:val="21"/>
        </w:rPr>
        <w:t>图 3.7-2</w:t>
      </w:r>
      <w:r>
        <w:rPr>
          <w:b/>
          <w:bCs/>
          <w:sz w:val="24"/>
          <w:szCs w:val="21"/>
        </w:rPr>
        <w:tab/>
      </w:r>
      <w:r>
        <w:rPr>
          <w:b/>
          <w:bCs/>
          <w:sz w:val="24"/>
          <w:szCs w:val="21"/>
        </w:rPr>
        <w:t>封场覆盖工艺流程</w:t>
      </w:r>
    </w:p>
    <w:p>
      <w:pPr>
        <w:keepNext/>
        <w:keepLines/>
        <w:numPr>
          <w:ilvl w:val="2"/>
          <w:numId w:val="5"/>
        </w:numPr>
        <w:tabs>
          <w:tab w:val="left" w:pos="432"/>
          <w:tab w:val="left" w:pos="567"/>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渗滤液处理工程</w:t>
      </w:r>
    </w:p>
    <w:p>
      <w:pPr>
        <w:pStyle w:val="20"/>
        <w:adjustRightInd w:val="0"/>
        <w:snapToGrid w:val="0"/>
        <w:spacing w:after="0" w:line="360" w:lineRule="auto"/>
        <w:ind w:firstLine="480" w:firstLineChars="200"/>
        <w:rPr>
          <w:sz w:val="24"/>
          <w:szCs w:val="24"/>
        </w:rPr>
      </w:pPr>
      <w:bookmarkStart w:id="82" w:name="_Hlk89268487"/>
      <w:r>
        <w:rPr>
          <w:rFonts w:hint="eastAsia"/>
          <w:sz w:val="24"/>
          <w:szCs w:val="24"/>
        </w:rPr>
        <w:t>本项目废水产生量为</w:t>
      </w:r>
      <w:r>
        <w:rPr>
          <w:rFonts w:hint="eastAsia"/>
          <w:kern w:val="10"/>
          <w:sz w:val="24"/>
        </w:rPr>
        <w:t>20.73 m</w:t>
      </w:r>
      <w:r>
        <w:rPr>
          <w:kern w:val="10"/>
          <w:sz w:val="24"/>
          <w:vertAlign w:val="superscript"/>
        </w:rPr>
        <w:t>3</w:t>
      </w:r>
      <w:r>
        <w:rPr>
          <w:kern w:val="10"/>
          <w:sz w:val="24"/>
        </w:rPr>
        <w:t>/d</w:t>
      </w:r>
      <w:r>
        <w:rPr>
          <w:rFonts w:hint="eastAsia"/>
          <w:sz w:val="24"/>
          <w:szCs w:val="24"/>
        </w:rPr>
        <w:t>，本填埋场渗滤液处理系统建设规模为</w:t>
      </w:r>
      <w:r>
        <w:rPr>
          <w:sz w:val="24"/>
          <w:szCs w:val="24"/>
        </w:rPr>
        <w:t>30m</w:t>
      </w:r>
      <w:r>
        <w:rPr>
          <w:sz w:val="24"/>
          <w:szCs w:val="24"/>
          <w:vertAlign w:val="superscript"/>
        </w:rPr>
        <w:t>3</w:t>
      </w:r>
      <w:r>
        <w:rPr>
          <w:sz w:val="24"/>
          <w:szCs w:val="24"/>
        </w:rPr>
        <w:t>/d</w:t>
      </w:r>
      <w:r>
        <w:rPr>
          <w:rFonts w:hint="eastAsia"/>
          <w:sz w:val="24"/>
          <w:szCs w:val="24"/>
        </w:rPr>
        <w:t>，处理对象为填埋场飞灰渗滤液、冲洗废水和生活污水；</w:t>
      </w:r>
      <w:r>
        <w:rPr>
          <w:kern w:val="0"/>
          <w:sz w:val="24"/>
          <w:szCs w:val="24"/>
        </w:rPr>
        <w:t>最大初期雨水需收集量约为106.2</w:t>
      </w:r>
      <w:r>
        <w:rPr>
          <w:kern w:val="0"/>
          <w:sz w:val="24"/>
          <w:szCs w:val="24"/>
          <w:lang w:val="da-DK"/>
        </w:rPr>
        <w:t>m</w:t>
      </w:r>
      <w:r>
        <w:rPr>
          <w:kern w:val="0"/>
          <w:sz w:val="24"/>
          <w:szCs w:val="24"/>
          <w:vertAlign w:val="superscript"/>
          <w:lang w:val="da-DK"/>
        </w:rPr>
        <w:t>3</w:t>
      </w:r>
      <w:r>
        <w:rPr>
          <w:rFonts w:hint="eastAsia"/>
          <w:kern w:val="0"/>
          <w:sz w:val="24"/>
          <w:szCs w:val="24"/>
          <w:lang w:val="da-DK"/>
        </w:rPr>
        <w:t>，</w:t>
      </w:r>
      <w:r>
        <w:rPr>
          <w:rFonts w:hint="eastAsia"/>
          <w:sz w:val="24"/>
          <w:szCs w:val="24"/>
        </w:rPr>
        <w:t>渗滤液调节池的容积为</w:t>
      </w:r>
      <w:r>
        <w:rPr>
          <w:sz w:val="24"/>
          <w:szCs w:val="24"/>
        </w:rPr>
        <w:t>3000m</w:t>
      </w:r>
      <w:r>
        <w:rPr>
          <w:sz w:val="24"/>
          <w:szCs w:val="24"/>
          <w:vertAlign w:val="superscript"/>
        </w:rPr>
        <w:t>3</w:t>
      </w:r>
      <w:r>
        <w:rPr>
          <w:rFonts w:hint="eastAsia"/>
          <w:sz w:val="24"/>
          <w:szCs w:val="24"/>
        </w:rPr>
        <w:t>。</w:t>
      </w:r>
      <w:r>
        <w:rPr>
          <w:rFonts w:hint="eastAsia"/>
          <w:bCs/>
          <w:kern w:val="10"/>
          <w:sz w:val="24"/>
        </w:rPr>
        <w:t>调节池可以对填埋库区各季度渗滤液及初期雨水产量的不均匀性进行调节。</w:t>
      </w:r>
    </w:p>
    <w:bookmarkEnd w:id="82"/>
    <w:p>
      <w:pPr>
        <w:adjustRightInd w:val="0"/>
        <w:snapToGrid w:val="0"/>
        <w:spacing w:line="360" w:lineRule="auto"/>
        <w:ind w:firstLine="480" w:firstLineChars="200"/>
        <w:rPr>
          <w:sz w:val="24"/>
          <w:szCs w:val="21"/>
        </w:rPr>
      </w:pPr>
      <w:bookmarkStart w:id="83" w:name="_Hlk89268398"/>
      <w:r>
        <w:rPr>
          <w:rFonts w:hint="eastAsia"/>
          <w:sz w:val="24"/>
          <w:szCs w:val="21"/>
        </w:rPr>
        <w:t>本项目填埋场渗滤液处理采用“混凝+沉淀+过滤”一体化处理设备预处理后，通过压力管道泵入紧邻的围场生活垃圾焚烧发电项目的渗滤液处理站，进一步深化处理达标后，全部回用不外排。管道输送距离约2</w:t>
      </w:r>
      <w:r>
        <w:rPr>
          <w:sz w:val="24"/>
          <w:szCs w:val="21"/>
        </w:rPr>
        <w:t>00m</w:t>
      </w:r>
      <w:r>
        <w:rPr>
          <w:rFonts w:hint="eastAsia"/>
          <w:sz w:val="24"/>
          <w:szCs w:val="21"/>
        </w:rPr>
        <w:t>。</w:t>
      </w:r>
    </w:p>
    <w:bookmarkEnd w:id="83"/>
    <w:p>
      <w:pPr>
        <w:adjustRightInd w:val="0"/>
        <w:snapToGrid w:val="0"/>
        <w:spacing w:line="360" w:lineRule="auto"/>
        <w:ind w:firstLine="480" w:firstLineChars="200"/>
        <w:rPr>
          <w:sz w:val="24"/>
          <w:szCs w:val="21"/>
        </w:rPr>
      </w:pPr>
      <w:bookmarkStart w:id="84" w:name="_Hlk89268734"/>
      <w:r>
        <w:rPr>
          <w:rFonts w:hint="eastAsia"/>
          <w:sz w:val="24"/>
          <w:szCs w:val="21"/>
        </w:rPr>
        <w:t>1、主要设备</w:t>
      </w:r>
    </w:p>
    <w:p>
      <w:pPr>
        <w:adjustRightInd w:val="0"/>
        <w:snapToGrid w:val="0"/>
        <w:spacing w:line="360" w:lineRule="auto"/>
        <w:ind w:firstLine="480" w:firstLineChars="200"/>
        <w:rPr>
          <w:sz w:val="24"/>
          <w:szCs w:val="21"/>
        </w:rPr>
      </w:pPr>
      <w:r>
        <w:rPr>
          <w:rFonts w:hint="eastAsia"/>
          <w:sz w:val="24"/>
          <w:szCs w:val="21"/>
        </w:rPr>
        <w:t>本项目渗滤液经预处理系统设计规模为3</w:t>
      </w:r>
      <w:r>
        <w:rPr>
          <w:sz w:val="24"/>
          <w:szCs w:val="21"/>
        </w:rPr>
        <w:t>0t/d</w:t>
      </w:r>
      <w:r>
        <w:rPr>
          <w:rFonts w:hint="eastAsia"/>
          <w:sz w:val="24"/>
          <w:szCs w:val="21"/>
        </w:rPr>
        <w:t>，采用集装箱式一体化混凝沉淀处理渗滤液设备，处理简单，操作简单一体化全自动运行。主要设备技术参数见表3</w:t>
      </w:r>
      <w:r>
        <w:rPr>
          <w:sz w:val="24"/>
          <w:szCs w:val="21"/>
        </w:rPr>
        <w:t>.7-6</w:t>
      </w:r>
      <w:r>
        <w:rPr>
          <w:rFonts w:hint="eastAsia"/>
          <w:sz w:val="24"/>
          <w:szCs w:val="21"/>
        </w:rPr>
        <w:t>。</w:t>
      </w:r>
    </w:p>
    <w:p>
      <w:pPr>
        <w:adjustRightInd w:val="0"/>
        <w:snapToGrid w:val="0"/>
        <w:spacing w:line="360" w:lineRule="auto"/>
        <w:ind w:firstLine="482" w:firstLineChars="200"/>
        <w:jc w:val="center"/>
        <w:rPr>
          <w:b/>
          <w:bCs/>
          <w:sz w:val="24"/>
          <w:szCs w:val="21"/>
        </w:rPr>
      </w:pPr>
      <w:r>
        <w:rPr>
          <w:rFonts w:hint="eastAsia"/>
          <w:b/>
          <w:bCs/>
          <w:sz w:val="24"/>
          <w:szCs w:val="21"/>
        </w:rPr>
        <w:t>表3</w:t>
      </w:r>
      <w:r>
        <w:rPr>
          <w:b/>
          <w:bCs/>
          <w:sz w:val="24"/>
          <w:szCs w:val="21"/>
        </w:rPr>
        <w:t xml:space="preserve">.7-6   </w:t>
      </w:r>
      <w:r>
        <w:rPr>
          <w:rFonts w:hint="eastAsia"/>
          <w:b/>
          <w:bCs/>
          <w:sz w:val="24"/>
          <w:szCs w:val="21"/>
        </w:rPr>
        <w:t>本项目渗滤液处理站备技术参数表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653"/>
        <w:gridCol w:w="48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2143" w:type="pct"/>
            <w:vAlign w:val="center"/>
          </w:tcPr>
          <w:p>
            <w:pPr>
              <w:adjustRightInd w:val="0"/>
              <w:snapToGrid w:val="0"/>
              <w:jc w:val="center"/>
              <w:rPr>
                <w:kern w:val="0"/>
                <w:szCs w:val="21"/>
              </w:rPr>
            </w:pPr>
            <w:r>
              <w:rPr>
                <w:rFonts w:hint="eastAsia"/>
                <w:kern w:val="0"/>
                <w:szCs w:val="21"/>
              </w:rPr>
              <w:t>内容</w:t>
            </w:r>
          </w:p>
        </w:tc>
        <w:tc>
          <w:tcPr>
            <w:tcW w:w="2857" w:type="pct"/>
            <w:vAlign w:val="center"/>
          </w:tcPr>
          <w:p>
            <w:pPr>
              <w:adjustRightInd w:val="0"/>
              <w:snapToGrid w:val="0"/>
              <w:jc w:val="center"/>
              <w:rPr>
                <w:kern w:val="0"/>
                <w:szCs w:val="21"/>
              </w:rPr>
            </w:pPr>
            <w:r>
              <w:rPr>
                <w:rFonts w:hint="eastAsia"/>
                <w:kern w:val="0"/>
                <w:szCs w:val="21"/>
              </w:rPr>
              <w:t>参数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调节池容积</w:t>
            </w:r>
          </w:p>
        </w:tc>
        <w:tc>
          <w:tcPr>
            <w:tcW w:w="2857" w:type="pct"/>
            <w:vAlign w:val="center"/>
          </w:tcPr>
          <w:p>
            <w:pPr>
              <w:adjustRightInd w:val="0"/>
              <w:snapToGrid w:val="0"/>
              <w:jc w:val="center"/>
              <w:rPr>
                <w:kern w:val="0"/>
                <w:szCs w:val="21"/>
              </w:rPr>
            </w:pPr>
            <w:r>
              <w:rPr>
                <w:rFonts w:hint="eastAsia"/>
                <w:kern w:val="0"/>
                <w:szCs w:val="21"/>
              </w:rPr>
              <w:t>3000m</w:t>
            </w:r>
            <w:r>
              <w:rPr>
                <w:rFonts w:hint="eastAsia"/>
                <w:kern w:val="0"/>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调节时间</w:t>
            </w:r>
          </w:p>
        </w:tc>
        <w:tc>
          <w:tcPr>
            <w:tcW w:w="2857" w:type="pct"/>
            <w:vAlign w:val="center"/>
          </w:tcPr>
          <w:p>
            <w:pPr>
              <w:adjustRightInd w:val="0"/>
              <w:snapToGrid w:val="0"/>
              <w:jc w:val="center"/>
              <w:rPr>
                <w:kern w:val="0"/>
                <w:szCs w:val="21"/>
              </w:rPr>
            </w:pPr>
            <w:r>
              <w:rPr>
                <w:rFonts w:hint="eastAsia"/>
                <w:kern w:val="0"/>
                <w:szCs w:val="21"/>
              </w:rPr>
              <w:t>不小于90天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处理规模</w:t>
            </w:r>
          </w:p>
        </w:tc>
        <w:tc>
          <w:tcPr>
            <w:tcW w:w="2857" w:type="pct"/>
            <w:vAlign w:val="center"/>
          </w:tcPr>
          <w:p>
            <w:pPr>
              <w:adjustRightInd w:val="0"/>
              <w:snapToGrid w:val="0"/>
              <w:jc w:val="center"/>
              <w:rPr>
                <w:kern w:val="0"/>
                <w:szCs w:val="21"/>
              </w:rPr>
            </w:pPr>
            <w:r>
              <w:rPr>
                <w:rFonts w:hint="eastAsia"/>
                <w:kern w:val="0"/>
                <w:szCs w:val="21"/>
              </w:rPr>
              <w:t>Q=80-130t/d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回收率</w:t>
            </w:r>
          </w:p>
        </w:tc>
        <w:tc>
          <w:tcPr>
            <w:tcW w:w="2857" w:type="pct"/>
            <w:vAlign w:val="center"/>
          </w:tcPr>
          <w:p>
            <w:pPr>
              <w:adjustRightInd w:val="0"/>
              <w:snapToGrid w:val="0"/>
              <w:jc w:val="center"/>
              <w:rPr>
                <w:kern w:val="0"/>
                <w:szCs w:val="21"/>
              </w:rPr>
            </w:pPr>
            <w:r>
              <w:rPr>
                <w:rFonts w:hint="eastAsia"/>
                <w:kern w:val="0"/>
                <w:szCs w:val="21"/>
              </w:rPr>
              <w:t>70%-80%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装机功率</w:t>
            </w:r>
          </w:p>
        </w:tc>
        <w:tc>
          <w:tcPr>
            <w:tcW w:w="2857" w:type="pct"/>
            <w:vAlign w:val="center"/>
          </w:tcPr>
          <w:p>
            <w:pPr>
              <w:adjustRightInd w:val="0"/>
              <w:snapToGrid w:val="0"/>
              <w:jc w:val="center"/>
              <w:rPr>
                <w:kern w:val="0"/>
                <w:szCs w:val="21"/>
              </w:rPr>
            </w:pPr>
            <w:r>
              <w:rPr>
                <w:rFonts w:hint="eastAsia"/>
                <w:kern w:val="0"/>
                <w:szCs w:val="21"/>
              </w:rPr>
              <w:t>80kw</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2143" w:type="pct"/>
            <w:vAlign w:val="center"/>
          </w:tcPr>
          <w:p>
            <w:pPr>
              <w:adjustRightInd w:val="0"/>
              <w:snapToGrid w:val="0"/>
              <w:jc w:val="center"/>
              <w:rPr>
                <w:kern w:val="0"/>
                <w:szCs w:val="21"/>
              </w:rPr>
            </w:pPr>
            <w:r>
              <w:rPr>
                <w:rFonts w:hint="eastAsia"/>
                <w:kern w:val="0"/>
                <w:szCs w:val="21"/>
              </w:rPr>
              <w:t>压力等级</w:t>
            </w:r>
          </w:p>
        </w:tc>
        <w:tc>
          <w:tcPr>
            <w:tcW w:w="2857" w:type="pct"/>
            <w:vAlign w:val="center"/>
          </w:tcPr>
          <w:p>
            <w:pPr>
              <w:adjustRightInd w:val="0"/>
              <w:snapToGrid w:val="0"/>
              <w:jc w:val="center"/>
              <w:rPr>
                <w:kern w:val="0"/>
                <w:szCs w:val="21"/>
              </w:rPr>
            </w:pPr>
            <w:r>
              <w:rPr>
                <w:rFonts w:hint="eastAsia"/>
                <w:kern w:val="0"/>
                <w:szCs w:val="21"/>
              </w:rPr>
              <w:t>90-120bar</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设备重量</w:t>
            </w:r>
          </w:p>
        </w:tc>
        <w:tc>
          <w:tcPr>
            <w:tcW w:w="2857" w:type="pct"/>
            <w:vAlign w:val="center"/>
          </w:tcPr>
          <w:p>
            <w:pPr>
              <w:adjustRightInd w:val="0"/>
              <w:snapToGrid w:val="0"/>
              <w:jc w:val="center"/>
              <w:rPr>
                <w:kern w:val="0"/>
                <w:szCs w:val="21"/>
              </w:rPr>
            </w:pPr>
            <w:r>
              <w:rPr>
                <w:rFonts w:hint="eastAsia"/>
                <w:kern w:val="0"/>
                <w:szCs w:val="21"/>
              </w:rPr>
              <w:t>28t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3" w:type="pct"/>
            <w:vAlign w:val="center"/>
          </w:tcPr>
          <w:p>
            <w:pPr>
              <w:adjustRightInd w:val="0"/>
              <w:snapToGrid w:val="0"/>
              <w:jc w:val="center"/>
              <w:rPr>
                <w:kern w:val="0"/>
                <w:szCs w:val="21"/>
              </w:rPr>
            </w:pPr>
            <w:r>
              <w:rPr>
                <w:rFonts w:hint="eastAsia"/>
                <w:kern w:val="0"/>
                <w:szCs w:val="21"/>
              </w:rPr>
              <w:t>设备尺寸</w:t>
            </w:r>
          </w:p>
        </w:tc>
        <w:tc>
          <w:tcPr>
            <w:tcW w:w="2857" w:type="pct"/>
            <w:vAlign w:val="center"/>
          </w:tcPr>
          <w:p>
            <w:pPr>
              <w:adjustRightInd w:val="0"/>
              <w:snapToGrid w:val="0"/>
              <w:jc w:val="center"/>
              <w:rPr>
                <w:kern w:val="0"/>
                <w:szCs w:val="21"/>
              </w:rPr>
            </w:pPr>
            <w:r>
              <w:rPr>
                <w:rFonts w:hint="eastAsia"/>
                <w:kern w:val="0"/>
                <w:szCs w:val="21"/>
              </w:rPr>
              <w:t>12192mm×2438mm×2896mm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2143" w:type="pct"/>
            <w:vAlign w:val="center"/>
          </w:tcPr>
          <w:p>
            <w:pPr>
              <w:adjustRightInd w:val="0"/>
              <w:snapToGrid w:val="0"/>
              <w:jc w:val="center"/>
              <w:rPr>
                <w:kern w:val="0"/>
                <w:szCs w:val="21"/>
              </w:rPr>
            </w:pPr>
            <w:r>
              <w:rPr>
                <w:rFonts w:hint="eastAsia"/>
                <w:kern w:val="0"/>
                <w:szCs w:val="21"/>
              </w:rPr>
              <w:t>潜水泵</w:t>
            </w:r>
          </w:p>
        </w:tc>
        <w:tc>
          <w:tcPr>
            <w:tcW w:w="2857" w:type="pct"/>
            <w:vAlign w:val="center"/>
          </w:tcPr>
          <w:p>
            <w:pPr>
              <w:adjustRightInd w:val="0"/>
              <w:snapToGrid w:val="0"/>
              <w:jc w:val="center"/>
              <w:rPr>
                <w:kern w:val="0"/>
                <w:szCs w:val="21"/>
              </w:rPr>
            </w:pPr>
            <w:r>
              <w:rPr>
                <w:rFonts w:hint="eastAsia"/>
                <w:kern w:val="0"/>
                <w:szCs w:val="21"/>
              </w:rPr>
              <w:t>Q=4.2m</w:t>
            </w:r>
            <w:r>
              <w:rPr>
                <w:rFonts w:hint="eastAsia"/>
                <w:kern w:val="0"/>
                <w:szCs w:val="21"/>
                <w:vertAlign w:val="superscript"/>
              </w:rPr>
              <w:t>3</w:t>
            </w:r>
            <w:r>
              <w:rPr>
                <w:rFonts w:hint="eastAsia"/>
                <w:kern w:val="0"/>
                <w:szCs w:val="21"/>
              </w:rPr>
              <w:t>/h，H=20m，N=3KW，2台（1用1备）</w:t>
            </w:r>
          </w:p>
        </w:tc>
      </w:tr>
    </w:tbl>
    <w:p>
      <w:pPr>
        <w:adjustRightInd w:val="0"/>
        <w:snapToGrid w:val="0"/>
        <w:spacing w:line="360" w:lineRule="auto"/>
        <w:ind w:firstLine="480" w:firstLineChars="200"/>
        <w:rPr>
          <w:sz w:val="24"/>
          <w:szCs w:val="21"/>
        </w:rPr>
      </w:pPr>
      <w:r>
        <w:rPr>
          <w:rFonts w:hint="eastAsia"/>
          <w:sz w:val="24"/>
          <w:szCs w:val="21"/>
        </w:rPr>
        <w:t>2、设计进出水水质</w:t>
      </w:r>
    </w:p>
    <w:p>
      <w:pPr>
        <w:adjustRightInd w:val="0"/>
        <w:snapToGrid w:val="0"/>
        <w:spacing w:line="360" w:lineRule="auto"/>
        <w:ind w:firstLine="480" w:firstLineChars="200"/>
        <w:rPr>
          <w:sz w:val="24"/>
          <w:szCs w:val="21"/>
        </w:rPr>
      </w:pPr>
      <w:r>
        <w:rPr>
          <w:rFonts w:hint="eastAsia"/>
          <w:sz w:val="24"/>
          <w:szCs w:val="21"/>
        </w:rPr>
        <w:t>根据可研，本项目渗滤液经预处理系统</w:t>
      </w:r>
      <w:r>
        <w:rPr>
          <w:sz w:val="24"/>
          <w:szCs w:val="21"/>
        </w:rPr>
        <w:t>进</w:t>
      </w:r>
      <w:r>
        <w:rPr>
          <w:rFonts w:hint="eastAsia"/>
          <w:sz w:val="24"/>
          <w:szCs w:val="21"/>
        </w:rPr>
        <w:t>出</w:t>
      </w:r>
      <w:r>
        <w:rPr>
          <w:sz w:val="24"/>
          <w:szCs w:val="21"/>
        </w:rPr>
        <w:t>水水质</w:t>
      </w:r>
      <w:r>
        <w:rPr>
          <w:rFonts w:hint="eastAsia"/>
          <w:sz w:val="24"/>
          <w:szCs w:val="21"/>
        </w:rPr>
        <w:t>设计标准见表3</w:t>
      </w:r>
      <w:r>
        <w:rPr>
          <w:sz w:val="24"/>
          <w:szCs w:val="21"/>
        </w:rPr>
        <w:t>.7-7</w:t>
      </w:r>
      <w:r>
        <w:rPr>
          <w:rFonts w:hint="eastAsia"/>
          <w:sz w:val="24"/>
          <w:szCs w:val="21"/>
        </w:rPr>
        <w:t>。处理后出水满足《生活垃圾填满场污染控制标准》（G</w:t>
      </w:r>
      <w:r>
        <w:rPr>
          <w:sz w:val="24"/>
          <w:szCs w:val="21"/>
        </w:rPr>
        <w:t>B-16889-2008</w:t>
      </w:r>
      <w:r>
        <w:rPr>
          <w:rFonts w:hint="eastAsia"/>
          <w:sz w:val="24"/>
          <w:szCs w:val="21"/>
        </w:rPr>
        <w:t>）中表2标准。</w:t>
      </w:r>
    </w:p>
    <w:p>
      <w:pPr>
        <w:adjustRightInd w:val="0"/>
        <w:snapToGrid w:val="0"/>
        <w:spacing w:line="360" w:lineRule="auto"/>
        <w:jc w:val="center"/>
        <w:rPr>
          <w:b/>
          <w:bCs/>
          <w:sz w:val="24"/>
          <w:szCs w:val="21"/>
        </w:rPr>
      </w:pPr>
      <w:r>
        <w:rPr>
          <w:rFonts w:hint="eastAsia"/>
          <w:b/>
          <w:bCs/>
          <w:sz w:val="24"/>
          <w:szCs w:val="21"/>
        </w:rPr>
        <w:t>表</w:t>
      </w:r>
      <w:r>
        <w:rPr>
          <w:b/>
          <w:bCs/>
          <w:sz w:val="24"/>
          <w:szCs w:val="21"/>
        </w:rPr>
        <w:t xml:space="preserve">3.7-7   </w:t>
      </w:r>
      <w:r>
        <w:rPr>
          <w:rFonts w:hint="eastAsia"/>
          <w:b/>
          <w:bCs/>
          <w:sz w:val="24"/>
          <w:szCs w:val="21"/>
        </w:rPr>
        <w:t>本项目渗滤液处理站设计进出水水质表</w:t>
      </w:r>
    </w:p>
    <w:tbl>
      <w:tblPr>
        <w:tblStyle w:val="39"/>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44"/>
        <w:gridCol w:w="2320"/>
        <w:gridCol w:w="2179"/>
        <w:gridCol w:w="19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序号</w:t>
            </w:r>
          </w:p>
        </w:tc>
        <w:tc>
          <w:tcPr>
            <w:tcW w:w="2320" w:type="dxa"/>
          </w:tcPr>
          <w:p>
            <w:pPr>
              <w:pStyle w:val="5"/>
              <w:snapToGrid w:val="0"/>
              <w:jc w:val="center"/>
              <w:rPr>
                <w:rFonts w:ascii="Times New Roman"/>
                <w:color w:val="auto"/>
                <w:sz w:val="21"/>
                <w:szCs w:val="21"/>
              </w:rPr>
            </w:pPr>
            <w:r>
              <w:rPr>
                <w:rFonts w:hint="eastAsia" w:ascii="Times New Roman"/>
                <w:color w:val="auto"/>
                <w:sz w:val="21"/>
                <w:szCs w:val="21"/>
              </w:rPr>
              <w:t>主要指标</w:t>
            </w:r>
          </w:p>
        </w:tc>
        <w:tc>
          <w:tcPr>
            <w:tcW w:w="2179" w:type="dxa"/>
          </w:tcPr>
          <w:p>
            <w:pPr>
              <w:pStyle w:val="5"/>
              <w:snapToGrid w:val="0"/>
              <w:jc w:val="center"/>
              <w:rPr>
                <w:rFonts w:ascii="Times New Roman"/>
                <w:color w:val="auto"/>
                <w:sz w:val="21"/>
                <w:szCs w:val="21"/>
              </w:rPr>
            </w:pPr>
            <w:r>
              <w:rPr>
                <w:rFonts w:hint="eastAsia" w:ascii="Times New Roman"/>
                <w:color w:val="auto"/>
                <w:sz w:val="21"/>
                <w:szCs w:val="21"/>
              </w:rPr>
              <w:t>设计值</w:t>
            </w:r>
          </w:p>
        </w:tc>
        <w:tc>
          <w:tcPr>
            <w:tcW w:w="1979" w:type="dxa"/>
          </w:tcPr>
          <w:p>
            <w:pPr>
              <w:pStyle w:val="5"/>
              <w:snapToGrid w:val="0"/>
              <w:jc w:val="center"/>
              <w:rPr>
                <w:rFonts w:ascii="Times New Roman"/>
                <w:color w:val="auto"/>
                <w:sz w:val="21"/>
                <w:szCs w:val="21"/>
              </w:rPr>
            </w:pPr>
            <w:r>
              <w:rPr>
                <w:rFonts w:hint="eastAsia" w:ascii="Times New Roman"/>
                <w:color w:val="auto"/>
                <w:sz w:val="21"/>
                <w:szCs w:val="21"/>
              </w:rPr>
              <w:t>设计值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1</w:t>
            </w:r>
          </w:p>
        </w:tc>
        <w:tc>
          <w:tcPr>
            <w:tcW w:w="2320" w:type="dxa"/>
            <w:vAlign w:val="center"/>
          </w:tcPr>
          <w:p>
            <w:pPr>
              <w:autoSpaceDE w:val="0"/>
              <w:autoSpaceDN w:val="0"/>
              <w:adjustRightInd w:val="0"/>
              <w:snapToGrid w:val="0"/>
              <w:jc w:val="center"/>
              <w:rPr>
                <w:szCs w:val="21"/>
              </w:rPr>
            </w:pPr>
            <w:r>
              <w:rPr>
                <w:szCs w:val="21"/>
              </w:rPr>
              <w:t>pH</w:t>
            </w:r>
          </w:p>
        </w:tc>
        <w:tc>
          <w:tcPr>
            <w:tcW w:w="2179" w:type="dxa"/>
            <w:vAlign w:val="center"/>
          </w:tcPr>
          <w:p>
            <w:pPr>
              <w:autoSpaceDE w:val="0"/>
              <w:autoSpaceDN w:val="0"/>
              <w:adjustRightInd w:val="0"/>
              <w:snapToGrid w:val="0"/>
              <w:jc w:val="center"/>
              <w:rPr>
                <w:szCs w:val="21"/>
              </w:rPr>
            </w:pPr>
            <w:r>
              <w:rPr>
                <w:szCs w:val="21"/>
              </w:rPr>
              <w:t>6</w:t>
            </w:r>
            <w:r>
              <w:rPr>
                <w:szCs w:val="21"/>
                <w:lang w:val="zh-CN"/>
              </w:rPr>
              <w:t>～</w:t>
            </w:r>
            <w:r>
              <w:rPr>
                <w:szCs w:val="21"/>
              </w:rPr>
              <w:t>9</w:t>
            </w:r>
          </w:p>
        </w:tc>
        <w:tc>
          <w:tcPr>
            <w:tcW w:w="1979" w:type="dxa"/>
            <w:vAlign w:val="center"/>
          </w:tcPr>
          <w:p>
            <w:pPr>
              <w:autoSpaceDE w:val="0"/>
              <w:autoSpaceDN w:val="0"/>
              <w:adjustRightInd w:val="0"/>
              <w:snapToGrid w:val="0"/>
              <w:jc w:val="center"/>
              <w:rPr>
                <w:szCs w:val="21"/>
              </w:rPr>
            </w:pPr>
            <w:r>
              <w:rPr>
                <w:szCs w:val="21"/>
              </w:rPr>
              <w:t>6</w:t>
            </w:r>
            <w:r>
              <w:rPr>
                <w:szCs w:val="21"/>
                <w:lang w:val="zh-CN"/>
              </w:rPr>
              <w:t>～</w:t>
            </w:r>
            <w:r>
              <w:rPr>
                <w:szCs w:val="21"/>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2</w:t>
            </w:r>
          </w:p>
        </w:tc>
        <w:tc>
          <w:tcPr>
            <w:tcW w:w="2320" w:type="dxa"/>
            <w:vAlign w:val="center"/>
          </w:tcPr>
          <w:p>
            <w:pPr>
              <w:autoSpaceDE w:val="0"/>
              <w:autoSpaceDN w:val="0"/>
              <w:adjustRightInd w:val="0"/>
              <w:snapToGrid w:val="0"/>
              <w:jc w:val="center"/>
              <w:rPr>
                <w:szCs w:val="21"/>
              </w:rPr>
            </w:pPr>
            <w:r>
              <w:rPr>
                <w:szCs w:val="21"/>
              </w:rPr>
              <w:t>COD</w:t>
            </w:r>
            <w:r>
              <w:rPr>
                <w:szCs w:val="21"/>
                <w:vertAlign w:val="subscript"/>
              </w:rPr>
              <w:t>Cr</w:t>
            </w:r>
            <w:r>
              <w:rPr>
                <w:szCs w:val="21"/>
              </w:rPr>
              <w:t>（mg/L）</w:t>
            </w:r>
          </w:p>
        </w:tc>
        <w:tc>
          <w:tcPr>
            <w:tcW w:w="2179" w:type="dxa"/>
            <w:vAlign w:val="center"/>
          </w:tcPr>
          <w:p>
            <w:pPr>
              <w:autoSpaceDE w:val="0"/>
              <w:autoSpaceDN w:val="0"/>
              <w:adjustRightInd w:val="0"/>
              <w:snapToGrid w:val="0"/>
              <w:jc w:val="center"/>
              <w:rPr>
                <w:szCs w:val="21"/>
              </w:rPr>
            </w:pPr>
            <w:r>
              <w:rPr>
                <w:szCs w:val="21"/>
              </w:rPr>
              <w:t>≤3000</w:t>
            </w:r>
          </w:p>
        </w:tc>
        <w:tc>
          <w:tcPr>
            <w:tcW w:w="1979" w:type="dxa"/>
            <w:vAlign w:val="center"/>
          </w:tcPr>
          <w:p>
            <w:pPr>
              <w:autoSpaceDE w:val="0"/>
              <w:autoSpaceDN w:val="0"/>
              <w:adjustRightInd w:val="0"/>
              <w:snapToGrid w:val="0"/>
              <w:jc w:val="center"/>
              <w:rPr>
                <w:szCs w:val="21"/>
              </w:rPr>
            </w:pPr>
            <w:r>
              <w:rPr>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3</w:t>
            </w:r>
          </w:p>
        </w:tc>
        <w:tc>
          <w:tcPr>
            <w:tcW w:w="2320" w:type="dxa"/>
            <w:vAlign w:val="center"/>
          </w:tcPr>
          <w:p>
            <w:pPr>
              <w:autoSpaceDE w:val="0"/>
              <w:autoSpaceDN w:val="0"/>
              <w:adjustRightInd w:val="0"/>
              <w:snapToGrid w:val="0"/>
              <w:jc w:val="center"/>
              <w:rPr>
                <w:szCs w:val="21"/>
              </w:rPr>
            </w:pPr>
            <w:r>
              <w:rPr>
                <w:szCs w:val="21"/>
              </w:rPr>
              <w:t>BOD</w:t>
            </w:r>
            <w:r>
              <w:rPr>
                <w:szCs w:val="21"/>
                <w:vertAlign w:val="subscript"/>
              </w:rPr>
              <w:t>5</w:t>
            </w:r>
            <w:r>
              <w:rPr>
                <w:szCs w:val="21"/>
                <w:lang w:val="zh-CN"/>
              </w:rPr>
              <w:t>（</w:t>
            </w:r>
            <w:r>
              <w:rPr>
                <w:szCs w:val="21"/>
              </w:rPr>
              <w:t>mg/L</w:t>
            </w:r>
            <w:r>
              <w:rPr>
                <w:szCs w:val="21"/>
                <w:lang w:val="zh-CN"/>
              </w:rPr>
              <w:t>）</w:t>
            </w:r>
          </w:p>
        </w:tc>
        <w:tc>
          <w:tcPr>
            <w:tcW w:w="2179" w:type="dxa"/>
            <w:vAlign w:val="center"/>
          </w:tcPr>
          <w:p>
            <w:pPr>
              <w:autoSpaceDE w:val="0"/>
              <w:autoSpaceDN w:val="0"/>
              <w:adjustRightInd w:val="0"/>
              <w:snapToGrid w:val="0"/>
              <w:jc w:val="center"/>
              <w:rPr>
                <w:szCs w:val="21"/>
              </w:rPr>
            </w:pPr>
            <w:r>
              <w:rPr>
                <w:szCs w:val="21"/>
              </w:rPr>
              <w:t>≤700</w:t>
            </w:r>
          </w:p>
        </w:tc>
        <w:tc>
          <w:tcPr>
            <w:tcW w:w="1979" w:type="dxa"/>
            <w:vAlign w:val="center"/>
          </w:tcPr>
          <w:p>
            <w:pPr>
              <w:autoSpaceDE w:val="0"/>
              <w:autoSpaceDN w:val="0"/>
              <w:adjustRightInd w:val="0"/>
              <w:snapToGrid w:val="0"/>
              <w:jc w:val="center"/>
              <w:rPr>
                <w:szCs w:val="21"/>
              </w:rPr>
            </w:pPr>
            <w:r>
              <w:rPr>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4</w:t>
            </w:r>
          </w:p>
        </w:tc>
        <w:tc>
          <w:tcPr>
            <w:tcW w:w="2320" w:type="dxa"/>
            <w:vAlign w:val="center"/>
          </w:tcPr>
          <w:p>
            <w:pPr>
              <w:autoSpaceDE w:val="0"/>
              <w:autoSpaceDN w:val="0"/>
              <w:adjustRightInd w:val="0"/>
              <w:snapToGrid w:val="0"/>
              <w:jc w:val="center"/>
              <w:rPr>
                <w:szCs w:val="21"/>
              </w:rPr>
            </w:pPr>
            <w:r>
              <w:rPr>
                <w:szCs w:val="21"/>
              </w:rPr>
              <w:t>SS</w:t>
            </w:r>
            <w:r>
              <w:rPr>
                <w:szCs w:val="21"/>
                <w:lang w:val="zh-CN"/>
              </w:rPr>
              <w:t>（</w:t>
            </w:r>
            <w:r>
              <w:rPr>
                <w:szCs w:val="21"/>
              </w:rPr>
              <w:t>mg/L</w:t>
            </w:r>
            <w:r>
              <w:rPr>
                <w:szCs w:val="21"/>
                <w:lang w:val="zh-CN"/>
              </w:rPr>
              <w:t>）</w:t>
            </w:r>
          </w:p>
        </w:tc>
        <w:tc>
          <w:tcPr>
            <w:tcW w:w="2179" w:type="dxa"/>
            <w:vAlign w:val="center"/>
          </w:tcPr>
          <w:p>
            <w:pPr>
              <w:autoSpaceDE w:val="0"/>
              <w:autoSpaceDN w:val="0"/>
              <w:adjustRightInd w:val="0"/>
              <w:snapToGrid w:val="0"/>
              <w:jc w:val="center"/>
              <w:rPr>
                <w:szCs w:val="21"/>
              </w:rPr>
            </w:pPr>
            <w:r>
              <w:rPr>
                <w:szCs w:val="21"/>
              </w:rPr>
              <w:t>≤30</w:t>
            </w:r>
          </w:p>
        </w:tc>
        <w:tc>
          <w:tcPr>
            <w:tcW w:w="1979" w:type="dxa"/>
            <w:vAlign w:val="center"/>
          </w:tcPr>
          <w:p>
            <w:pPr>
              <w:autoSpaceDE w:val="0"/>
              <w:autoSpaceDN w:val="0"/>
              <w:adjustRightInd w:val="0"/>
              <w:snapToGrid w:val="0"/>
              <w:jc w:val="center"/>
              <w:rPr>
                <w:szCs w:val="21"/>
              </w:rPr>
            </w:pPr>
            <w:r>
              <w:rPr>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5</w:t>
            </w:r>
          </w:p>
        </w:tc>
        <w:tc>
          <w:tcPr>
            <w:tcW w:w="2320" w:type="dxa"/>
            <w:vAlign w:val="center"/>
          </w:tcPr>
          <w:p>
            <w:pPr>
              <w:autoSpaceDE w:val="0"/>
              <w:autoSpaceDN w:val="0"/>
              <w:adjustRightInd w:val="0"/>
              <w:snapToGrid w:val="0"/>
              <w:jc w:val="center"/>
              <w:rPr>
                <w:szCs w:val="21"/>
              </w:rPr>
            </w:pPr>
            <w:r>
              <w:rPr>
                <w:szCs w:val="21"/>
              </w:rPr>
              <w:t>NH</w:t>
            </w:r>
            <w:r>
              <w:rPr>
                <w:szCs w:val="21"/>
                <w:vertAlign w:val="subscript"/>
              </w:rPr>
              <w:t>3</w:t>
            </w:r>
            <w:r>
              <w:rPr>
                <w:szCs w:val="21"/>
              </w:rPr>
              <w:t>-N</w:t>
            </w:r>
            <w:r>
              <w:rPr>
                <w:szCs w:val="21"/>
                <w:lang w:val="zh-CN"/>
              </w:rPr>
              <w:t>（</w:t>
            </w:r>
            <w:r>
              <w:rPr>
                <w:szCs w:val="21"/>
              </w:rPr>
              <w:t>mg/L</w:t>
            </w:r>
            <w:r>
              <w:rPr>
                <w:szCs w:val="21"/>
                <w:lang w:val="zh-CN"/>
              </w:rPr>
              <w:t>）</w:t>
            </w:r>
          </w:p>
        </w:tc>
        <w:tc>
          <w:tcPr>
            <w:tcW w:w="2179" w:type="dxa"/>
            <w:vAlign w:val="center"/>
          </w:tcPr>
          <w:p>
            <w:pPr>
              <w:autoSpaceDE w:val="0"/>
              <w:autoSpaceDN w:val="0"/>
              <w:adjustRightInd w:val="0"/>
              <w:snapToGrid w:val="0"/>
              <w:jc w:val="center"/>
              <w:rPr>
                <w:szCs w:val="21"/>
              </w:rPr>
            </w:pPr>
            <w:r>
              <w:rPr>
                <w:szCs w:val="21"/>
              </w:rPr>
              <w:t>≤60</w:t>
            </w:r>
          </w:p>
        </w:tc>
        <w:tc>
          <w:tcPr>
            <w:tcW w:w="1979" w:type="dxa"/>
            <w:vAlign w:val="center"/>
          </w:tcPr>
          <w:p>
            <w:pPr>
              <w:autoSpaceDE w:val="0"/>
              <w:autoSpaceDN w:val="0"/>
              <w:adjustRightInd w:val="0"/>
              <w:snapToGrid w:val="0"/>
              <w:jc w:val="center"/>
              <w:rPr>
                <w:szCs w:val="21"/>
              </w:rPr>
            </w:pPr>
            <w:r>
              <w:rPr>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hint="eastAsia" w:ascii="Times New Roman"/>
                <w:color w:val="auto"/>
                <w:sz w:val="21"/>
                <w:szCs w:val="21"/>
              </w:rPr>
              <w:t>6</w:t>
            </w:r>
          </w:p>
        </w:tc>
        <w:tc>
          <w:tcPr>
            <w:tcW w:w="2320" w:type="dxa"/>
            <w:vAlign w:val="center"/>
          </w:tcPr>
          <w:p>
            <w:pPr>
              <w:autoSpaceDE w:val="0"/>
              <w:autoSpaceDN w:val="0"/>
              <w:adjustRightInd w:val="0"/>
              <w:snapToGrid w:val="0"/>
              <w:jc w:val="center"/>
              <w:rPr>
                <w:szCs w:val="21"/>
              </w:rPr>
            </w:pPr>
            <w:r>
              <w:rPr>
                <w:szCs w:val="21"/>
                <w:lang w:val="zh-CN"/>
              </w:rPr>
              <w:t>总氮（</w:t>
            </w:r>
            <w:r>
              <w:rPr>
                <w:szCs w:val="21"/>
              </w:rPr>
              <w:t>mg/L</w:t>
            </w:r>
            <w:r>
              <w:rPr>
                <w:szCs w:val="21"/>
                <w:lang w:val="zh-CN"/>
              </w:rPr>
              <w:t>）</w:t>
            </w:r>
          </w:p>
        </w:tc>
        <w:tc>
          <w:tcPr>
            <w:tcW w:w="2179" w:type="dxa"/>
            <w:vAlign w:val="center"/>
          </w:tcPr>
          <w:p>
            <w:pPr>
              <w:autoSpaceDE w:val="0"/>
              <w:autoSpaceDN w:val="0"/>
              <w:adjustRightInd w:val="0"/>
              <w:snapToGrid w:val="0"/>
              <w:jc w:val="center"/>
              <w:rPr>
                <w:szCs w:val="21"/>
              </w:rPr>
            </w:pPr>
            <w:r>
              <w:rPr>
                <w:szCs w:val="21"/>
              </w:rPr>
              <w:t>≤600</w:t>
            </w:r>
          </w:p>
        </w:tc>
        <w:tc>
          <w:tcPr>
            <w:tcW w:w="1979" w:type="dxa"/>
            <w:vAlign w:val="center"/>
          </w:tcPr>
          <w:p>
            <w:pPr>
              <w:autoSpaceDE w:val="0"/>
              <w:autoSpaceDN w:val="0"/>
              <w:adjustRightInd w:val="0"/>
              <w:snapToGrid w:val="0"/>
              <w:jc w:val="center"/>
              <w:rPr>
                <w:szCs w:val="21"/>
              </w:rPr>
            </w:pPr>
            <w:r>
              <w:rPr>
                <w:szCs w:val="21"/>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44" w:type="dxa"/>
          </w:tcPr>
          <w:p>
            <w:pPr>
              <w:pStyle w:val="5"/>
              <w:snapToGrid w:val="0"/>
              <w:jc w:val="center"/>
              <w:rPr>
                <w:rFonts w:ascii="Times New Roman"/>
                <w:color w:val="auto"/>
                <w:sz w:val="21"/>
                <w:szCs w:val="21"/>
              </w:rPr>
            </w:pPr>
            <w:r>
              <w:rPr>
                <w:rFonts w:ascii="Times New Roman"/>
                <w:color w:val="auto"/>
                <w:sz w:val="21"/>
                <w:szCs w:val="21"/>
              </w:rPr>
              <w:t>7</w:t>
            </w:r>
          </w:p>
        </w:tc>
        <w:tc>
          <w:tcPr>
            <w:tcW w:w="2320" w:type="dxa"/>
            <w:vAlign w:val="center"/>
          </w:tcPr>
          <w:p>
            <w:pPr>
              <w:autoSpaceDE w:val="0"/>
              <w:autoSpaceDN w:val="0"/>
              <w:adjustRightInd w:val="0"/>
              <w:snapToGrid w:val="0"/>
              <w:jc w:val="center"/>
              <w:rPr>
                <w:szCs w:val="21"/>
                <w:lang w:val="zh-CN"/>
              </w:rPr>
            </w:pPr>
            <w:r>
              <w:rPr>
                <w:rFonts w:hint="eastAsia"/>
                <w:szCs w:val="21"/>
                <w:lang w:val="zh-CN"/>
              </w:rPr>
              <w:t>总磷</w:t>
            </w:r>
            <w:r>
              <w:rPr>
                <w:szCs w:val="21"/>
                <w:lang w:val="zh-CN"/>
              </w:rPr>
              <w:t>（</w:t>
            </w:r>
            <w:r>
              <w:rPr>
                <w:szCs w:val="21"/>
              </w:rPr>
              <w:t>mg/L</w:t>
            </w:r>
            <w:r>
              <w:rPr>
                <w:szCs w:val="21"/>
                <w:lang w:val="zh-CN"/>
              </w:rPr>
              <w:t>）</w:t>
            </w:r>
          </w:p>
        </w:tc>
        <w:tc>
          <w:tcPr>
            <w:tcW w:w="2179" w:type="dxa"/>
            <w:vAlign w:val="center"/>
          </w:tcPr>
          <w:p>
            <w:pPr>
              <w:autoSpaceDE w:val="0"/>
              <w:autoSpaceDN w:val="0"/>
              <w:adjustRightInd w:val="0"/>
              <w:snapToGrid w:val="0"/>
              <w:jc w:val="center"/>
              <w:rPr>
                <w:szCs w:val="21"/>
              </w:rPr>
            </w:pPr>
            <w:r>
              <w:rPr>
                <w:szCs w:val="21"/>
              </w:rPr>
              <w:t>≤0.3</w:t>
            </w:r>
          </w:p>
        </w:tc>
        <w:tc>
          <w:tcPr>
            <w:tcW w:w="1979" w:type="dxa"/>
            <w:vAlign w:val="center"/>
          </w:tcPr>
          <w:p>
            <w:pPr>
              <w:autoSpaceDE w:val="0"/>
              <w:autoSpaceDN w:val="0"/>
              <w:adjustRightInd w:val="0"/>
              <w:snapToGrid w:val="0"/>
              <w:jc w:val="center"/>
              <w:rPr>
                <w:szCs w:val="21"/>
              </w:rPr>
            </w:pPr>
            <w:r>
              <w:rPr>
                <w:szCs w:val="21"/>
              </w:rPr>
              <w:t>≤3</w:t>
            </w:r>
          </w:p>
        </w:tc>
      </w:tr>
    </w:tbl>
    <w:p>
      <w:pPr>
        <w:pStyle w:val="61"/>
        <w:numPr>
          <w:ilvl w:val="1"/>
          <w:numId w:val="5"/>
        </w:numPr>
        <w:tabs>
          <w:tab w:val="left" w:pos="567"/>
          <w:tab w:val="clear" w:pos="432"/>
        </w:tabs>
        <w:spacing w:before="120" w:after="120"/>
        <w:ind w:left="0" w:firstLine="0"/>
        <w:rPr>
          <w:rFonts w:ascii="Times New Roman" w:hAnsi="Times New Roman"/>
        </w:rPr>
      </w:pPr>
      <w:bookmarkStart w:id="85" w:name="_Toc94101213"/>
      <w:r>
        <w:rPr>
          <w:rFonts w:hint="eastAsia" w:ascii="Times New Roman" w:hAnsi="Times New Roman"/>
        </w:rPr>
        <w:t>依托工程情况</w:t>
      </w:r>
      <w:bookmarkEnd w:id="85"/>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工程概况</w:t>
      </w:r>
    </w:p>
    <w:p>
      <w:pPr>
        <w:spacing w:line="360" w:lineRule="auto"/>
        <w:ind w:firstLine="498" w:firstLineChars="200"/>
        <w:rPr>
          <w:spacing w:val="4"/>
          <w:sz w:val="24"/>
          <w:szCs w:val="28"/>
        </w:rPr>
      </w:pPr>
      <w:r>
        <w:rPr>
          <w:b/>
          <w:spacing w:val="4"/>
          <w:sz w:val="24"/>
          <w:szCs w:val="28"/>
        </w:rPr>
        <w:t>（1）项目名称：</w:t>
      </w:r>
      <w:r>
        <w:rPr>
          <w:spacing w:val="4"/>
          <w:sz w:val="24"/>
          <w:szCs w:val="28"/>
        </w:rPr>
        <w:t>围场满族蒙古族自治县静脉产业园生活垃圾焚烧发电项目；</w:t>
      </w:r>
    </w:p>
    <w:p>
      <w:pPr>
        <w:spacing w:line="360" w:lineRule="auto"/>
        <w:ind w:firstLine="498" w:firstLineChars="200"/>
        <w:rPr>
          <w:spacing w:val="4"/>
          <w:sz w:val="24"/>
          <w:szCs w:val="28"/>
        </w:rPr>
      </w:pPr>
      <w:r>
        <w:rPr>
          <w:b/>
          <w:spacing w:val="4"/>
          <w:sz w:val="24"/>
          <w:szCs w:val="28"/>
        </w:rPr>
        <w:t>（2）建设单位：</w:t>
      </w:r>
      <w:bookmarkStart w:id="86" w:name="_Hlk82009561"/>
      <w:r>
        <w:rPr>
          <w:sz w:val="24"/>
        </w:rPr>
        <w:t>承德伊逊海创环保科技有限责任公司</w:t>
      </w:r>
      <w:bookmarkEnd w:id="86"/>
      <w:r>
        <w:rPr>
          <w:sz w:val="24"/>
        </w:rPr>
        <w:t>；</w:t>
      </w:r>
    </w:p>
    <w:p>
      <w:pPr>
        <w:spacing w:line="360" w:lineRule="auto"/>
        <w:ind w:firstLine="498" w:firstLineChars="200"/>
        <w:rPr>
          <w:spacing w:val="4"/>
          <w:sz w:val="24"/>
          <w:szCs w:val="28"/>
        </w:rPr>
      </w:pPr>
      <w:r>
        <w:rPr>
          <w:b/>
          <w:spacing w:val="4"/>
          <w:sz w:val="24"/>
          <w:szCs w:val="28"/>
        </w:rPr>
        <w:t>（3）项目性质：</w:t>
      </w:r>
      <w:r>
        <w:rPr>
          <w:rFonts w:hint="eastAsia"/>
          <w:spacing w:val="4"/>
          <w:sz w:val="24"/>
          <w:szCs w:val="28"/>
        </w:rPr>
        <w:t>新建；</w:t>
      </w:r>
    </w:p>
    <w:p>
      <w:pPr>
        <w:spacing w:line="360" w:lineRule="auto"/>
        <w:ind w:firstLine="498" w:firstLineChars="200"/>
        <w:rPr>
          <w:spacing w:val="4"/>
          <w:sz w:val="24"/>
          <w:szCs w:val="28"/>
        </w:rPr>
      </w:pPr>
      <w:r>
        <w:rPr>
          <w:b/>
          <w:spacing w:val="4"/>
          <w:sz w:val="24"/>
          <w:szCs w:val="28"/>
        </w:rPr>
        <w:t>（4）建设地点：</w:t>
      </w:r>
      <w:r>
        <w:rPr>
          <w:spacing w:val="4"/>
          <w:sz w:val="24"/>
          <w:szCs w:val="28"/>
        </w:rPr>
        <w:t>位于</w:t>
      </w:r>
      <w:r>
        <w:rPr>
          <w:rFonts w:hint="eastAsia"/>
          <w:spacing w:val="4"/>
          <w:sz w:val="24"/>
          <w:szCs w:val="28"/>
        </w:rPr>
        <w:t>河北省承德市围场满族蒙古族自治县龙头山镇东北方向约1.1公里处山谷内，</w:t>
      </w:r>
      <w:r>
        <w:rPr>
          <w:spacing w:val="4"/>
          <w:sz w:val="24"/>
          <w:szCs w:val="28"/>
        </w:rPr>
        <w:t>中心地理坐标为东经117.7042543959</w:t>
      </w:r>
      <w:r>
        <w:rPr>
          <w:rFonts w:hint="eastAsia"/>
          <w:spacing w:val="4"/>
          <w:sz w:val="24"/>
          <w:szCs w:val="28"/>
        </w:rPr>
        <w:t>°</w:t>
      </w:r>
      <w:r>
        <w:rPr>
          <w:spacing w:val="4"/>
          <w:sz w:val="24"/>
          <w:szCs w:val="28"/>
        </w:rPr>
        <w:t>，北纬 41.9959641792</w:t>
      </w:r>
      <w:r>
        <w:rPr>
          <w:rFonts w:hint="eastAsia"/>
          <w:spacing w:val="4"/>
          <w:sz w:val="24"/>
          <w:szCs w:val="28"/>
        </w:rPr>
        <w:t>°。</w:t>
      </w:r>
    </w:p>
    <w:p>
      <w:pPr>
        <w:spacing w:line="360" w:lineRule="auto"/>
        <w:ind w:firstLine="480" w:firstLineChars="200"/>
        <w:rPr>
          <w:sz w:val="24"/>
        </w:rPr>
      </w:pPr>
      <w:r>
        <w:rPr>
          <w:rFonts w:hint="eastAsia"/>
          <w:sz w:val="24"/>
        </w:rPr>
        <w:t>四至：厂址西北侧</w:t>
      </w:r>
      <w:r>
        <w:rPr>
          <w:sz w:val="24"/>
        </w:rPr>
        <w:t>300</w:t>
      </w:r>
      <w:r>
        <w:rPr>
          <w:rFonts w:hint="eastAsia"/>
          <w:sz w:val="24"/>
        </w:rPr>
        <w:t>m为围场满族蒙古族自治县现有垃圾填埋场填埋区，其余方向</w:t>
      </w:r>
      <w:r>
        <w:rPr>
          <w:sz w:val="24"/>
        </w:rPr>
        <w:t>300</w:t>
      </w:r>
      <w:r>
        <w:rPr>
          <w:rFonts w:hint="eastAsia"/>
          <w:sz w:val="24"/>
        </w:rPr>
        <w:t>m范围内为荒地和林地，3</w:t>
      </w:r>
      <w:r>
        <w:rPr>
          <w:sz w:val="24"/>
        </w:rPr>
        <w:t>00</w:t>
      </w:r>
      <w:r>
        <w:rPr>
          <w:rFonts w:hint="eastAsia"/>
          <w:sz w:val="24"/>
        </w:rPr>
        <w:t>m范围内无居民区等环境敏感点。</w:t>
      </w:r>
    </w:p>
    <w:p>
      <w:pPr>
        <w:spacing w:line="360" w:lineRule="auto"/>
        <w:ind w:firstLine="480" w:firstLineChars="200"/>
        <w:rPr>
          <w:sz w:val="24"/>
        </w:rPr>
      </w:pPr>
      <w:r>
        <w:rPr>
          <w:sz w:val="24"/>
        </w:rPr>
        <w:t>项目地理位置详见附图1。</w:t>
      </w:r>
    </w:p>
    <w:p>
      <w:pPr>
        <w:spacing w:line="360" w:lineRule="auto"/>
        <w:ind w:firstLine="498" w:firstLineChars="200"/>
        <w:rPr>
          <w:b/>
          <w:spacing w:val="4"/>
          <w:sz w:val="24"/>
        </w:rPr>
      </w:pPr>
      <w:r>
        <w:rPr>
          <w:b/>
          <w:spacing w:val="4"/>
          <w:sz w:val="24"/>
        </w:rPr>
        <w:t>（5）建设内容及规模：</w:t>
      </w:r>
    </w:p>
    <w:p>
      <w:pPr>
        <w:spacing w:line="360" w:lineRule="auto"/>
        <w:ind w:firstLine="496" w:firstLineChars="200"/>
        <w:rPr>
          <w:spacing w:val="4"/>
          <w:sz w:val="24"/>
        </w:rPr>
      </w:pPr>
      <w:r>
        <w:rPr>
          <w:rFonts w:hint="eastAsia"/>
          <w:spacing w:val="4"/>
          <w:sz w:val="24"/>
        </w:rPr>
        <w:t>建设日处理垃圾1×300t/d机械炉排炉+6MW凝汽式汽轮发电机组，预留二期空间。包</w:t>
      </w:r>
      <w:bookmarkStart w:id="87" w:name="_Hlk78896620"/>
      <w:r>
        <w:rPr>
          <w:rFonts w:hint="eastAsia"/>
          <w:spacing w:val="4"/>
          <w:sz w:val="24"/>
        </w:rPr>
        <w:t>括1台</w:t>
      </w:r>
      <w:r>
        <w:rPr>
          <w:spacing w:val="4"/>
          <w:sz w:val="24"/>
        </w:rPr>
        <w:t>日处理3</w:t>
      </w:r>
      <w:r>
        <w:rPr>
          <w:spacing w:val="4"/>
          <w:sz w:val="24"/>
          <w:lang w:val="sq-AL"/>
        </w:rPr>
        <w:t>00吨的机械式炉排焚烧炉、1台额定蒸发量25.4t/h余热锅炉、配置1台6MW凝汽式</w:t>
      </w:r>
      <w:r>
        <w:rPr>
          <w:rFonts w:hint="eastAsia"/>
          <w:spacing w:val="4"/>
          <w:sz w:val="24"/>
          <w:lang w:val="sq-AL"/>
        </w:rPr>
        <w:t>汽轮发电</w:t>
      </w:r>
      <w:r>
        <w:rPr>
          <w:spacing w:val="4"/>
          <w:sz w:val="24"/>
          <w:lang w:val="sq-AL"/>
        </w:rPr>
        <w:t>机组</w:t>
      </w:r>
      <w:r>
        <w:rPr>
          <w:spacing w:val="4"/>
          <w:sz w:val="24"/>
        </w:rPr>
        <w:t>及相关配套</w:t>
      </w:r>
      <w:r>
        <w:rPr>
          <w:rFonts w:hint="eastAsia"/>
          <w:spacing w:val="4"/>
          <w:sz w:val="24"/>
        </w:rPr>
        <w:t>环保</w:t>
      </w:r>
      <w:r>
        <w:rPr>
          <w:spacing w:val="4"/>
          <w:sz w:val="24"/>
        </w:rPr>
        <w:t>设施</w:t>
      </w:r>
      <w:r>
        <w:rPr>
          <w:rFonts w:hint="eastAsia"/>
          <w:spacing w:val="4"/>
          <w:sz w:val="24"/>
          <w:lang w:val="sq-AL"/>
        </w:rPr>
        <w:t>；</w:t>
      </w:r>
      <w:r>
        <w:rPr>
          <w:spacing w:val="4"/>
          <w:sz w:val="24"/>
        </w:rPr>
        <w:t>建设1条20t/d餐厨垃圾处理生产线</w:t>
      </w:r>
      <w:r>
        <w:rPr>
          <w:rFonts w:hint="eastAsia"/>
          <w:spacing w:val="4"/>
          <w:sz w:val="24"/>
        </w:rPr>
        <w:t>，全厂</w:t>
      </w:r>
      <w:r>
        <w:rPr>
          <w:spacing w:val="4"/>
          <w:sz w:val="24"/>
        </w:rPr>
        <w:t>日焚烧处理生活垃圾300吨，年处理垃圾10万吨</w:t>
      </w:r>
      <w:r>
        <w:rPr>
          <w:rFonts w:hint="eastAsia"/>
          <w:spacing w:val="4"/>
          <w:sz w:val="24"/>
        </w:rPr>
        <w:t>，</w:t>
      </w:r>
      <w:r>
        <w:rPr>
          <w:spacing w:val="4"/>
          <w:sz w:val="24"/>
          <w:lang w:val="sq-AL"/>
        </w:rPr>
        <w:t>年运行时间</w:t>
      </w:r>
      <w:r>
        <w:rPr>
          <w:rFonts w:hint="eastAsia"/>
          <w:spacing w:val="4"/>
          <w:sz w:val="24"/>
          <w:lang w:val="sq-AL"/>
        </w:rPr>
        <w:t>按</w:t>
      </w:r>
      <w:r>
        <w:rPr>
          <w:spacing w:val="4"/>
          <w:sz w:val="24"/>
        </w:rPr>
        <w:t>8000小时</w:t>
      </w:r>
      <w:r>
        <w:rPr>
          <w:rFonts w:hint="eastAsia"/>
          <w:spacing w:val="4"/>
          <w:sz w:val="24"/>
        </w:rPr>
        <w:t>考虑</w:t>
      </w:r>
      <w:r>
        <w:rPr>
          <w:spacing w:val="4"/>
          <w:sz w:val="24"/>
        </w:rPr>
        <w:t>。</w:t>
      </w:r>
    </w:p>
    <w:bookmarkEnd w:id="87"/>
    <w:p>
      <w:pPr>
        <w:spacing w:line="360" w:lineRule="auto"/>
        <w:ind w:firstLine="474" w:firstLineChars="200"/>
        <w:rPr>
          <w:sz w:val="24"/>
        </w:rPr>
      </w:pPr>
      <w:r>
        <w:rPr>
          <w:rFonts w:hint="eastAsia"/>
          <w:b/>
          <w:spacing w:val="-2"/>
          <w:sz w:val="24"/>
        </w:rPr>
        <w:t>（6）服务范围：</w:t>
      </w:r>
      <w:r>
        <w:rPr>
          <w:bCs/>
          <w:sz w:val="24"/>
        </w:rPr>
        <w:t>负责接纳采用</w:t>
      </w:r>
      <w:r>
        <w:rPr>
          <w:rFonts w:hint="eastAsia"/>
          <w:bCs/>
          <w:sz w:val="24"/>
        </w:rPr>
        <w:t>城乡一体化处集中处理</w:t>
      </w:r>
      <w:r>
        <w:rPr>
          <w:bCs/>
          <w:sz w:val="24"/>
        </w:rPr>
        <w:t>模式的生活垃圾（</w:t>
      </w:r>
      <w:r>
        <w:rPr>
          <w:rFonts w:hint="eastAsia"/>
          <w:bCs/>
          <w:sz w:val="24"/>
        </w:rPr>
        <w:t>含围场满族蒙古族自治县餐饮、酒店等餐厨垃圾</w:t>
      </w:r>
      <w:r>
        <w:rPr>
          <w:bCs/>
          <w:sz w:val="24"/>
        </w:rPr>
        <w:t>）。</w:t>
      </w:r>
    </w:p>
    <w:p>
      <w:pPr>
        <w:pStyle w:val="77"/>
        <w:ind w:firstLine="498" w:firstLineChars="200"/>
        <w:rPr>
          <w:color w:val="auto"/>
          <w:spacing w:val="4"/>
          <w:szCs w:val="28"/>
        </w:rPr>
      </w:pPr>
      <w:r>
        <w:rPr>
          <w:b/>
          <w:color w:val="auto"/>
          <w:spacing w:val="4"/>
          <w:szCs w:val="28"/>
        </w:rPr>
        <w:t>（6）投资总额：</w:t>
      </w:r>
      <w:r>
        <w:rPr>
          <w:color w:val="auto"/>
        </w:rPr>
        <w:t>本项目总投资23329.06万元，其中环保投资2822.5万元，占项目总投资的12.10%。</w:t>
      </w:r>
    </w:p>
    <w:p>
      <w:pPr>
        <w:spacing w:line="360" w:lineRule="auto"/>
        <w:ind w:firstLine="474" w:firstLineChars="200"/>
        <w:rPr>
          <w:sz w:val="24"/>
        </w:rPr>
      </w:pPr>
      <w:r>
        <w:rPr>
          <w:b/>
          <w:spacing w:val="-2"/>
          <w:sz w:val="24"/>
        </w:rPr>
        <w:t>（7）占地面积：</w:t>
      </w:r>
      <w:r>
        <w:rPr>
          <w:spacing w:val="-2"/>
          <w:sz w:val="24"/>
        </w:rPr>
        <w:t>本</w:t>
      </w:r>
      <w:r>
        <w:rPr>
          <w:sz w:val="24"/>
        </w:rPr>
        <w:t>项目</w:t>
      </w:r>
      <w:r>
        <w:rPr>
          <w:rFonts w:hint="eastAsia"/>
          <w:sz w:val="24"/>
        </w:rPr>
        <w:t>占地面积57923.34m</w:t>
      </w:r>
      <w:r>
        <w:rPr>
          <w:rFonts w:hint="eastAsia"/>
          <w:sz w:val="24"/>
          <w:vertAlign w:val="superscript"/>
        </w:rPr>
        <w:t>2</w:t>
      </w:r>
      <w:r>
        <w:rPr>
          <w:rFonts w:hint="eastAsia"/>
          <w:sz w:val="24"/>
        </w:rPr>
        <w:t>，占地类型为冲沟荒地和人工林地。</w:t>
      </w:r>
    </w:p>
    <w:p>
      <w:pPr>
        <w:spacing w:line="360" w:lineRule="auto"/>
        <w:ind w:firstLine="474" w:firstLineChars="200"/>
        <w:rPr>
          <w:sz w:val="24"/>
          <w:szCs w:val="21"/>
        </w:rPr>
      </w:pPr>
      <w:r>
        <w:rPr>
          <w:b/>
          <w:spacing w:val="-2"/>
          <w:sz w:val="24"/>
        </w:rPr>
        <w:t>（9）工作制度和劳动定员：</w:t>
      </w:r>
      <w:r>
        <w:rPr>
          <w:rFonts w:hint="eastAsia"/>
          <w:spacing w:val="-2"/>
          <w:sz w:val="24"/>
        </w:rPr>
        <w:t>本项目</w:t>
      </w:r>
      <w:r>
        <w:rPr>
          <w:spacing w:val="-2"/>
          <w:sz w:val="24"/>
        </w:rPr>
        <w:t>为连续工作制，连续生产岗位按四班制配备、三班制操作。职工定员为55人。</w:t>
      </w:r>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工程建设内容</w:t>
      </w:r>
    </w:p>
    <w:p>
      <w:pPr>
        <w:adjustRightInd w:val="0"/>
        <w:snapToGrid w:val="0"/>
        <w:spacing w:line="360" w:lineRule="auto"/>
        <w:ind w:firstLine="480" w:firstLineChars="200"/>
        <w:rPr>
          <w:sz w:val="24"/>
          <w:szCs w:val="21"/>
        </w:rPr>
      </w:pPr>
      <w:r>
        <w:rPr>
          <w:rFonts w:hint="eastAsia"/>
          <w:sz w:val="24"/>
          <w:szCs w:val="21"/>
        </w:rPr>
        <w:t>依托项目主要由主体工程、辅助工程、公用工程、储运工程及环保工程等内容组成，包括垃圾接收、贮存与输送系统、焚烧系统、热能利用系统、烟气净化系统、渗滤液收集处理系统等。主要工程组成见表</w:t>
      </w:r>
      <w:r>
        <w:rPr>
          <w:sz w:val="24"/>
          <w:szCs w:val="21"/>
        </w:rPr>
        <w:t>3.8-1</w:t>
      </w:r>
      <w:r>
        <w:rPr>
          <w:rFonts w:hint="eastAsia"/>
          <w:sz w:val="24"/>
          <w:szCs w:val="21"/>
        </w:rPr>
        <w:t>。</w:t>
      </w:r>
    </w:p>
    <w:p>
      <w:pPr>
        <w:snapToGrid w:val="0"/>
        <w:spacing w:line="360" w:lineRule="auto"/>
        <w:jc w:val="center"/>
        <w:rPr>
          <w:b/>
          <w:sz w:val="24"/>
        </w:rPr>
      </w:pPr>
      <w:r>
        <w:rPr>
          <w:b/>
          <w:sz w:val="24"/>
        </w:rPr>
        <w:t>表3.8-1本项目工程内容组成一览表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1851"/>
        <w:gridCol w:w="5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shd w:val="clear" w:color="auto" w:fill="auto"/>
            <w:vAlign w:val="center"/>
          </w:tcPr>
          <w:p>
            <w:pPr>
              <w:adjustRightInd w:val="0"/>
              <w:snapToGrid w:val="0"/>
              <w:jc w:val="center"/>
              <w:rPr>
                <w:b/>
                <w:szCs w:val="21"/>
              </w:rPr>
            </w:pPr>
            <w:r>
              <w:rPr>
                <w:b/>
                <w:szCs w:val="21"/>
              </w:rPr>
              <w:t>类别</w:t>
            </w:r>
          </w:p>
        </w:tc>
        <w:tc>
          <w:tcPr>
            <w:tcW w:w="1086" w:type="pct"/>
            <w:shd w:val="clear" w:color="auto" w:fill="auto"/>
            <w:vAlign w:val="center"/>
          </w:tcPr>
          <w:p>
            <w:pPr>
              <w:adjustRightInd w:val="0"/>
              <w:snapToGrid w:val="0"/>
              <w:jc w:val="center"/>
              <w:rPr>
                <w:b/>
                <w:szCs w:val="21"/>
              </w:rPr>
            </w:pPr>
            <w:r>
              <w:rPr>
                <w:b/>
                <w:szCs w:val="21"/>
              </w:rPr>
              <w:t>名称</w:t>
            </w:r>
          </w:p>
        </w:tc>
        <w:tc>
          <w:tcPr>
            <w:tcW w:w="3432" w:type="pct"/>
            <w:shd w:val="clear" w:color="auto" w:fill="auto"/>
            <w:vAlign w:val="center"/>
          </w:tcPr>
          <w:p>
            <w:pPr>
              <w:adjustRightInd w:val="0"/>
              <w:snapToGrid w:val="0"/>
              <w:jc w:val="center"/>
              <w:rPr>
                <w:b/>
                <w:szCs w:val="21"/>
              </w:rPr>
            </w:pPr>
            <w:r>
              <w:rPr>
                <w:rFonts w:hint="eastAsia"/>
                <w:b/>
                <w:szCs w:val="21"/>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restart"/>
            <w:shd w:val="clear" w:color="auto" w:fill="auto"/>
            <w:vAlign w:val="center"/>
          </w:tcPr>
          <w:p>
            <w:pPr>
              <w:adjustRightInd w:val="0"/>
              <w:snapToGrid w:val="0"/>
              <w:jc w:val="center"/>
              <w:rPr>
                <w:szCs w:val="21"/>
              </w:rPr>
            </w:pPr>
            <w:r>
              <w:rPr>
                <w:szCs w:val="21"/>
              </w:rPr>
              <w:t>主体工程</w:t>
            </w:r>
          </w:p>
        </w:tc>
        <w:tc>
          <w:tcPr>
            <w:tcW w:w="1086" w:type="pct"/>
            <w:shd w:val="clear" w:color="auto" w:fill="auto"/>
            <w:vAlign w:val="center"/>
          </w:tcPr>
          <w:p>
            <w:pPr>
              <w:adjustRightInd w:val="0"/>
              <w:snapToGrid w:val="0"/>
              <w:jc w:val="center"/>
              <w:rPr>
                <w:szCs w:val="21"/>
              </w:rPr>
            </w:pPr>
            <w:r>
              <w:rPr>
                <w:rFonts w:hint="eastAsia"/>
                <w:szCs w:val="21"/>
              </w:rPr>
              <w:t>生活垃圾</w:t>
            </w:r>
            <w:r>
              <w:rPr>
                <w:szCs w:val="21"/>
              </w:rPr>
              <w:t>焚烧炉</w:t>
            </w:r>
          </w:p>
        </w:tc>
        <w:tc>
          <w:tcPr>
            <w:tcW w:w="3432" w:type="pct"/>
            <w:shd w:val="clear" w:color="auto" w:fill="auto"/>
            <w:vAlign w:val="center"/>
          </w:tcPr>
          <w:p>
            <w:pPr>
              <w:rPr>
                <w:szCs w:val="21"/>
              </w:rPr>
            </w:pPr>
            <w:r>
              <w:rPr>
                <w:szCs w:val="21"/>
              </w:rPr>
              <w:t>（1）</w:t>
            </w:r>
            <w:r>
              <w:rPr>
                <w:rFonts w:hint="eastAsia"/>
                <w:szCs w:val="21"/>
              </w:rPr>
              <w:t>1×300</w:t>
            </w:r>
            <w:r>
              <w:rPr>
                <w:szCs w:val="21"/>
              </w:rPr>
              <w:t>t/d机械炉排</w:t>
            </w:r>
            <w:r>
              <w:rPr>
                <w:rFonts w:hint="eastAsia"/>
                <w:szCs w:val="21"/>
              </w:rPr>
              <w:t>焚烧</w:t>
            </w:r>
            <w:r>
              <w:rPr>
                <w:szCs w:val="21"/>
              </w:rPr>
              <w:t>炉</w:t>
            </w:r>
            <w:r>
              <w:rPr>
                <w:rFonts w:hint="eastAsia"/>
                <w:szCs w:val="21"/>
              </w:rPr>
              <w:t>，日处理生活垃圾300t</w:t>
            </w:r>
          </w:p>
          <w:p>
            <w:pPr>
              <w:rPr>
                <w:szCs w:val="21"/>
              </w:rPr>
            </w:pPr>
            <w:r>
              <w:rPr>
                <w:szCs w:val="21"/>
              </w:rPr>
              <w:t>（2）焚烧炉配置助燃系统，使用柴油0#柴油为燃料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t>餐厨处理</w:t>
            </w:r>
          </w:p>
        </w:tc>
        <w:tc>
          <w:tcPr>
            <w:tcW w:w="3432" w:type="pct"/>
            <w:shd w:val="clear" w:color="auto" w:fill="auto"/>
            <w:vAlign w:val="center"/>
          </w:tcPr>
          <w:p>
            <w:pPr>
              <w:rPr>
                <w:szCs w:val="21"/>
              </w:rPr>
            </w:pPr>
            <w:r>
              <w:t>1条20t/d餐厨垃圾处理生产线</w:t>
            </w:r>
            <w:r>
              <w:rPr>
                <w:rFonts w:hint="eastAsia"/>
              </w:rPr>
              <w:t>，螺旋挤压脱水后进入焚烧炉。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余热锅炉系统</w:t>
            </w:r>
          </w:p>
        </w:tc>
        <w:tc>
          <w:tcPr>
            <w:tcW w:w="3432" w:type="pct"/>
            <w:shd w:val="clear" w:color="auto" w:fill="auto"/>
            <w:vAlign w:val="center"/>
          </w:tcPr>
          <w:p>
            <w:pPr>
              <w:adjustRightInd w:val="0"/>
              <w:snapToGrid w:val="0"/>
              <w:jc w:val="left"/>
              <w:rPr>
                <w:szCs w:val="21"/>
              </w:rPr>
            </w:pPr>
            <w:r>
              <w:rPr>
                <w:rFonts w:hint="eastAsia"/>
                <w:szCs w:val="21"/>
              </w:rPr>
              <w:t>1</w:t>
            </w:r>
            <w:r>
              <w:rPr>
                <w:szCs w:val="21"/>
              </w:rPr>
              <w:t>台额定蒸汽</w:t>
            </w:r>
            <w:r>
              <w:rPr>
                <w:rFonts w:hint="eastAsia"/>
                <w:szCs w:val="21"/>
              </w:rPr>
              <w:t>25.4t/h余热锅炉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汽轮机发电系统</w:t>
            </w:r>
          </w:p>
        </w:tc>
        <w:tc>
          <w:tcPr>
            <w:tcW w:w="3432" w:type="pct"/>
            <w:shd w:val="clear" w:color="auto" w:fill="auto"/>
            <w:vAlign w:val="center"/>
          </w:tcPr>
          <w:p>
            <w:pPr>
              <w:adjustRightInd w:val="0"/>
              <w:snapToGrid w:val="0"/>
              <w:jc w:val="left"/>
              <w:rPr>
                <w:szCs w:val="21"/>
              </w:rPr>
            </w:pPr>
            <w:r>
              <w:rPr>
                <w:rFonts w:hint="eastAsia"/>
                <w:szCs w:val="21"/>
              </w:rPr>
              <w:t>1</w:t>
            </w:r>
            <w:r>
              <w:rPr>
                <w:szCs w:val="21"/>
              </w:rPr>
              <w:t>×6MW凝汽式汽轮发电机组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主厂房</w:t>
            </w:r>
          </w:p>
        </w:tc>
        <w:tc>
          <w:tcPr>
            <w:tcW w:w="3432" w:type="pct"/>
            <w:shd w:val="clear" w:color="auto" w:fill="auto"/>
            <w:vAlign w:val="center"/>
          </w:tcPr>
          <w:p>
            <w:pPr>
              <w:autoSpaceDE w:val="0"/>
              <w:autoSpaceDN w:val="0"/>
              <w:adjustRightInd w:val="0"/>
              <w:jc w:val="left"/>
              <w:rPr>
                <w:szCs w:val="21"/>
              </w:rPr>
            </w:pPr>
            <w:r>
              <w:rPr>
                <w:rFonts w:hint="eastAsia"/>
                <w:szCs w:val="21"/>
              </w:rPr>
              <w:t>综合主厂房占地面积</w:t>
            </w:r>
            <w:r>
              <w:rPr>
                <w:szCs w:val="21"/>
              </w:rPr>
              <w:t>为14437.80m</w:t>
            </w:r>
            <w:r>
              <w:rPr>
                <w:szCs w:val="21"/>
                <w:vertAlign w:val="superscript"/>
              </w:rPr>
              <w:t>2</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restart"/>
            <w:shd w:val="clear" w:color="auto" w:fill="auto"/>
            <w:vAlign w:val="center"/>
          </w:tcPr>
          <w:p>
            <w:pPr>
              <w:adjustRightInd w:val="0"/>
              <w:snapToGrid w:val="0"/>
              <w:jc w:val="center"/>
              <w:rPr>
                <w:szCs w:val="21"/>
              </w:rPr>
            </w:pPr>
            <w:r>
              <w:rPr>
                <w:szCs w:val="21"/>
              </w:rPr>
              <w:t>辅助工程</w:t>
            </w:r>
          </w:p>
        </w:tc>
        <w:tc>
          <w:tcPr>
            <w:tcW w:w="1086" w:type="pct"/>
            <w:shd w:val="clear" w:color="auto" w:fill="auto"/>
            <w:vAlign w:val="center"/>
          </w:tcPr>
          <w:p>
            <w:pPr>
              <w:adjustRightInd w:val="0"/>
              <w:snapToGrid w:val="0"/>
              <w:jc w:val="center"/>
              <w:rPr>
                <w:szCs w:val="21"/>
              </w:rPr>
            </w:pPr>
            <w:r>
              <w:rPr>
                <w:szCs w:val="21"/>
              </w:rPr>
              <w:t>垃圾运输</w:t>
            </w:r>
          </w:p>
        </w:tc>
        <w:tc>
          <w:tcPr>
            <w:tcW w:w="3432" w:type="pct"/>
            <w:shd w:val="clear" w:color="auto" w:fill="auto"/>
            <w:vAlign w:val="center"/>
          </w:tcPr>
          <w:p>
            <w:pPr>
              <w:adjustRightInd w:val="0"/>
              <w:snapToGrid w:val="0"/>
              <w:rPr>
                <w:szCs w:val="21"/>
              </w:rPr>
            </w:pPr>
            <w:r>
              <w:rPr>
                <w:szCs w:val="21"/>
              </w:rPr>
              <w:t>垃圾由各级环卫部门收集后，用专用垃圾车运送到</w:t>
            </w:r>
            <w:r>
              <w:rPr>
                <w:rFonts w:hint="eastAsia"/>
                <w:szCs w:val="21"/>
              </w:rPr>
              <w:t>厂区</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垃圾称量接收系统</w:t>
            </w:r>
          </w:p>
        </w:tc>
        <w:tc>
          <w:tcPr>
            <w:tcW w:w="3432" w:type="pct"/>
            <w:shd w:val="clear" w:color="auto" w:fill="auto"/>
            <w:vAlign w:val="center"/>
          </w:tcPr>
          <w:p>
            <w:pPr>
              <w:adjustRightInd w:val="0"/>
              <w:snapToGrid w:val="0"/>
              <w:rPr>
                <w:szCs w:val="21"/>
              </w:rPr>
            </w:pPr>
            <w:r>
              <w:rPr>
                <w:szCs w:val="21"/>
              </w:rPr>
              <w:t>（1）垃圾称量系统</w:t>
            </w:r>
            <w:r>
              <w:rPr>
                <w:rFonts w:hint="eastAsia"/>
                <w:szCs w:val="21"/>
              </w:rPr>
              <w:t>1</w:t>
            </w:r>
            <w:r>
              <w:rPr>
                <w:szCs w:val="21"/>
              </w:rPr>
              <w:t>套全自动电子式地磅；</w:t>
            </w:r>
          </w:p>
          <w:p>
            <w:pPr>
              <w:adjustRightInd w:val="0"/>
              <w:snapToGrid w:val="0"/>
              <w:rPr>
                <w:szCs w:val="21"/>
              </w:rPr>
            </w:pPr>
            <w:r>
              <w:rPr>
                <w:szCs w:val="21"/>
              </w:rPr>
              <w:t>（2）卸料大厅：</w:t>
            </w:r>
            <w:r>
              <w:rPr>
                <w:bCs/>
                <w:szCs w:val="21"/>
              </w:rPr>
              <w:t>卸料平台采用高位、封闭布置，</w:t>
            </w:r>
            <w:r>
              <w:rPr>
                <w:szCs w:val="21"/>
              </w:rPr>
              <w:t>卸料密封门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垃圾储存及输送系统</w:t>
            </w:r>
          </w:p>
        </w:tc>
        <w:tc>
          <w:tcPr>
            <w:tcW w:w="3432" w:type="pct"/>
            <w:shd w:val="clear" w:color="auto" w:fill="auto"/>
            <w:vAlign w:val="center"/>
          </w:tcPr>
          <w:p>
            <w:pPr>
              <w:adjustRightInd w:val="0"/>
              <w:snapToGrid w:val="0"/>
              <w:rPr>
                <w:szCs w:val="21"/>
              </w:rPr>
            </w:pPr>
            <w:r>
              <w:rPr>
                <w:rFonts w:hint="eastAsia"/>
                <w:szCs w:val="21"/>
              </w:rPr>
              <w:t>本项目垃圾池为半地下式垃圾贮池1个，设计尺寸为（长）25.5m×（宽）24m×（高）27m，其中地下深度4m，地上高度23m，有效容积11070m</w:t>
            </w:r>
            <w:r>
              <w:rPr>
                <w:rFonts w:hint="eastAsia"/>
                <w:szCs w:val="21"/>
                <w:vertAlign w:val="superscript"/>
              </w:rPr>
              <w:t>3</w:t>
            </w:r>
            <w:r>
              <w:rPr>
                <w:rFonts w:hint="eastAsia"/>
                <w:szCs w:val="21"/>
              </w:rPr>
              <w:t>，可储存垃圾量约4428t，能满足12天焚烧量的储存要求。</w:t>
            </w:r>
          </w:p>
          <w:p>
            <w:pPr>
              <w:adjustRightInd w:val="0"/>
              <w:snapToGrid w:val="0"/>
              <w:rPr>
                <w:szCs w:val="21"/>
              </w:rPr>
            </w:pPr>
            <w:r>
              <w:rPr>
                <w:szCs w:val="21"/>
              </w:rPr>
              <w:t>（2）垃圾坑上方设置</w:t>
            </w:r>
            <w:r>
              <w:rPr>
                <w:rFonts w:hint="eastAsia"/>
                <w:szCs w:val="21"/>
              </w:rPr>
              <w:t>1</w:t>
            </w:r>
            <w:r>
              <w:rPr>
                <w:szCs w:val="21"/>
              </w:rPr>
              <w:t>台单台抓斗容积为5m</w:t>
            </w:r>
            <w:r>
              <w:rPr>
                <w:szCs w:val="21"/>
                <w:vertAlign w:val="superscript"/>
              </w:rPr>
              <w:t>3</w:t>
            </w:r>
            <w:r>
              <w:rPr>
                <w:szCs w:val="21"/>
              </w:rPr>
              <w:t>的桥式液压抓斗吊车。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vMerge w:val="restart"/>
            <w:shd w:val="clear" w:color="auto" w:fill="auto"/>
            <w:vAlign w:val="center"/>
          </w:tcPr>
          <w:p>
            <w:pPr>
              <w:adjustRightInd w:val="0"/>
              <w:snapToGrid w:val="0"/>
              <w:jc w:val="center"/>
              <w:rPr>
                <w:szCs w:val="21"/>
              </w:rPr>
            </w:pPr>
            <w:r>
              <w:rPr>
                <w:szCs w:val="21"/>
              </w:rPr>
              <w:t>渗滤液收集与输送系统</w:t>
            </w:r>
          </w:p>
        </w:tc>
        <w:tc>
          <w:tcPr>
            <w:tcW w:w="3432" w:type="pct"/>
            <w:tcBorders>
              <w:bottom w:val="single" w:color="auto" w:sz="4" w:space="0"/>
            </w:tcBorders>
            <w:shd w:val="clear" w:color="auto" w:fill="auto"/>
            <w:vAlign w:val="center"/>
          </w:tcPr>
          <w:p>
            <w:pPr>
              <w:adjustRightInd w:val="0"/>
              <w:snapToGrid w:val="0"/>
              <w:rPr>
                <w:szCs w:val="21"/>
              </w:rPr>
            </w:pPr>
            <w:r>
              <w:rPr>
                <w:szCs w:val="21"/>
              </w:rPr>
              <w:t>垃圾的渗滤液浸出率按20%考虑，渗滤液排放量</w:t>
            </w:r>
            <w:r>
              <w:rPr>
                <w:rFonts w:hint="eastAsia"/>
                <w:szCs w:val="21"/>
              </w:rPr>
              <w:t>约</w:t>
            </w:r>
            <w:r>
              <w:rPr>
                <w:szCs w:val="21"/>
              </w:rPr>
              <w:t>为60m</w:t>
            </w:r>
            <w:r>
              <w:rPr>
                <w:szCs w:val="21"/>
                <w:vertAlign w:val="superscript"/>
              </w:rPr>
              <w:t>3</w:t>
            </w:r>
            <w:r>
              <w:rPr>
                <w:szCs w:val="21"/>
              </w:rPr>
              <w:t>/d</w:t>
            </w:r>
            <w:r>
              <w:rPr>
                <w:rFonts w:hint="eastAsia"/>
                <w:szCs w:val="21"/>
              </w:rPr>
              <w:t>；餐厨垃圾脱水产生废水约15m</w:t>
            </w:r>
            <w:r>
              <w:rPr>
                <w:rFonts w:hint="eastAsia"/>
                <w:szCs w:val="21"/>
                <w:vertAlign w:val="superscript"/>
              </w:rPr>
              <w:t>3</w:t>
            </w:r>
            <w:r>
              <w:rPr>
                <w:rFonts w:hint="eastAsia"/>
                <w:szCs w:val="21"/>
              </w:rPr>
              <w:t>/d。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vMerge w:val="continue"/>
            <w:shd w:val="clear" w:color="auto" w:fill="auto"/>
            <w:vAlign w:val="center"/>
          </w:tcPr>
          <w:p>
            <w:pPr>
              <w:adjustRightInd w:val="0"/>
              <w:snapToGrid w:val="0"/>
              <w:jc w:val="center"/>
              <w:rPr>
                <w:szCs w:val="21"/>
              </w:rPr>
            </w:pPr>
          </w:p>
        </w:tc>
        <w:tc>
          <w:tcPr>
            <w:tcW w:w="3432" w:type="pct"/>
            <w:tcBorders>
              <w:top w:val="single" w:color="auto" w:sz="4" w:space="0"/>
            </w:tcBorders>
            <w:shd w:val="clear" w:color="auto" w:fill="auto"/>
            <w:vAlign w:val="center"/>
          </w:tcPr>
          <w:p>
            <w:pPr>
              <w:adjustRightInd w:val="0"/>
              <w:snapToGrid w:val="0"/>
              <w:rPr>
                <w:szCs w:val="21"/>
                <w:lang w:val="en-AU"/>
              </w:rPr>
            </w:pPr>
            <w:r>
              <w:rPr>
                <w:rFonts w:hint="eastAsia"/>
                <w:szCs w:val="21"/>
                <w:lang w:val="en-AU"/>
              </w:rPr>
              <w:t>垃圾坑底在宽度方向设计2%的坡度，使污水能自流到垃圾坑旁的渗滤液收集池内，其</w:t>
            </w:r>
            <w:r>
              <w:rPr>
                <w:szCs w:val="21"/>
                <w:lang w:val="en-AU"/>
              </w:rPr>
              <w:t>有效容积约1</w:t>
            </w:r>
            <w:r>
              <w:rPr>
                <w:rFonts w:hint="eastAsia"/>
                <w:szCs w:val="21"/>
              </w:rPr>
              <w:t>5</w:t>
            </w:r>
            <w:r>
              <w:rPr>
                <w:szCs w:val="21"/>
                <w:lang w:val="en-AU"/>
              </w:rPr>
              <w:t>0m³，</w:t>
            </w:r>
            <w:r>
              <w:rPr>
                <w:szCs w:val="21"/>
              </w:rPr>
              <w:t>渗滤液池内的垃圾渗滤液达到设定液位后，渗滤液泵启动，将渗滤液送往渗滤液处理站统一处理。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utoSpaceDE w:val="0"/>
              <w:autoSpaceDN w:val="0"/>
              <w:adjustRightInd w:val="0"/>
              <w:jc w:val="center"/>
              <w:rPr>
                <w:szCs w:val="21"/>
              </w:rPr>
            </w:pPr>
            <w:r>
              <w:rPr>
                <w:szCs w:val="21"/>
              </w:rPr>
              <w:t>办公设施</w:t>
            </w:r>
          </w:p>
        </w:tc>
        <w:tc>
          <w:tcPr>
            <w:tcW w:w="3432" w:type="pct"/>
            <w:shd w:val="clear" w:color="auto" w:fill="auto"/>
            <w:vAlign w:val="center"/>
          </w:tcPr>
          <w:p>
            <w:pPr>
              <w:autoSpaceDE w:val="0"/>
              <w:autoSpaceDN w:val="0"/>
              <w:adjustRightInd w:val="0"/>
              <w:jc w:val="left"/>
              <w:rPr>
                <w:szCs w:val="21"/>
              </w:rPr>
            </w:pPr>
            <w:r>
              <w:rPr>
                <w:szCs w:val="21"/>
              </w:rPr>
              <w:t>办公楼、宿舍、食堂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restart"/>
            <w:shd w:val="clear" w:color="auto" w:fill="auto"/>
            <w:vAlign w:val="center"/>
          </w:tcPr>
          <w:p>
            <w:pPr>
              <w:adjustRightInd w:val="0"/>
              <w:snapToGrid w:val="0"/>
              <w:jc w:val="center"/>
              <w:rPr>
                <w:szCs w:val="21"/>
              </w:rPr>
            </w:pPr>
            <w:r>
              <w:rPr>
                <w:szCs w:val="21"/>
              </w:rPr>
              <w:t>公用工程</w:t>
            </w:r>
          </w:p>
        </w:tc>
        <w:tc>
          <w:tcPr>
            <w:tcW w:w="1086" w:type="pct"/>
            <w:shd w:val="clear" w:color="auto" w:fill="auto"/>
            <w:vAlign w:val="center"/>
          </w:tcPr>
          <w:p>
            <w:pPr>
              <w:adjustRightInd w:val="0"/>
              <w:snapToGrid w:val="0"/>
              <w:jc w:val="center"/>
              <w:rPr>
                <w:szCs w:val="21"/>
              </w:rPr>
            </w:pPr>
            <w:r>
              <w:rPr>
                <w:szCs w:val="21"/>
              </w:rPr>
              <w:t>给水系统</w:t>
            </w:r>
          </w:p>
        </w:tc>
        <w:tc>
          <w:tcPr>
            <w:tcW w:w="3432" w:type="pct"/>
            <w:shd w:val="clear" w:color="auto" w:fill="auto"/>
            <w:vAlign w:val="center"/>
          </w:tcPr>
          <w:p>
            <w:pPr>
              <w:adjustRightInd w:val="0"/>
              <w:snapToGrid w:val="0"/>
              <w:rPr>
                <w:szCs w:val="21"/>
              </w:rPr>
            </w:pPr>
            <w:r>
              <w:rPr>
                <w:rFonts w:hint="eastAsia"/>
                <w:szCs w:val="21"/>
              </w:rPr>
              <w:t>根据调查，围场满族蒙古族自治县目前中水管网建设程度较低，故本项目暂时无法利用鑫汇污水处理厂中水，待中水管网完善后，立即改用中水。</w:t>
            </w:r>
          </w:p>
          <w:p>
            <w:pPr>
              <w:adjustRightInd w:val="0"/>
              <w:snapToGrid w:val="0"/>
              <w:rPr>
                <w:szCs w:val="21"/>
              </w:rPr>
            </w:pPr>
            <w:r>
              <w:rPr>
                <w:rFonts w:hint="eastAsia"/>
                <w:szCs w:val="21"/>
              </w:rPr>
              <w:t>根据项目水资源论证结论，本项目生产、生活用水采用围场满族蒙古族自治县自来水公司市政管网供水，供水管线建设由自来水公司配建，不属于本项目建设内容，不在本次评价范围内。</w:t>
            </w:r>
          </w:p>
          <w:p>
            <w:pPr>
              <w:adjustRightInd w:val="0"/>
              <w:snapToGrid w:val="0"/>
              <w:rPr>
                <w:szCs w:val="21"/>
              </w:rPr>
            </w:pPr>
            <w:r>
              <w:rPr>
                <w:szCs w:val="21"/>
              </w:rPr>
              <w:t>厂内</w:t>
            </w:r>
            <w:r>
              <w:rPr>
                <w:bCs/>
                <w:szCs w:val="21"/>
              </w:rPr>
              <w:t>建设生产用水清水池一座，清水池分2格，蓄水量约1500m</w:t>
            </w:r>
            <w:r>
              <w:rPr>
                <w:bCs/>
                <w:szCs w:val="21"/>
                <w:vertAlign w:val="superscript"/>
              </w:rPr>
              <w:t>3</w:t>
            </w:r>
            <w:r>
              <w:rPr>
                <w:bCs/>
                <w:szCs w:val="21"/>
              </w:rPr>
              <w:t>，其中生产水为960m</w:t>
            </w:r>
            <w:r>
              <w:rPr>
                <w:bCs/>
                <w:szCs w:val="21"/>
                <w:vertAlign w:val="superscript"/>
              </w:rPr>
              <w:t>3</w:t>
            </w:r>
            <w:r>
              <w:rPr>
                <w:bCs/>
                <w:szCs w:val="21"/>
              </w:rPr>
              <w:t>，消防水</w:t>
            </w:r>
            <w:r>
              <w:rPr>
                <w:rFonts w:hint="eastAsia"/>
                <w:bCs/>
                <w:szCs w:val="21"/>
              </w:rPr>
              <w:t>池</w:t>
            </w:r>
            <w:r>
              <w:rPr>
                <w:szCs w:val="21"/>
              </w:rPr>
              <w:t>540</w:t>
            </w:r>
            <w:r>
              <w:rPr>
                <w:bCs/>
                <w:szCs w:val="21"/>
              </w:rPr>
              <w:t>m</w:t>
            </w:r>
            <w:r>
              <w:rPr>
                <w:bCs/>
                <w:szCs w:val="21"/>
                <w:vertAlign w:val="superscript"/>
              </w:rPr>
              <w:t>3</w:t>
            </w: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化水系统</w:t>
            </w:r>
          </w:p>
        </w:tc>
        <w:tc>
          <w:tcPr>
            <w:tcW w:w="3432" w:type="pct"/>
            <w:shd w:val="clear" w:color="auto" w:fill="auto"/>
            <w:vAlign w:val="center"/>
          </w:tcPr>
          <w:p>
            <w:pPr>
              <w:adjustRightInd w:val="0"/>
              <w:snapToGrid w:val="0"/>
              <w:rPr>
                <w:szCs w:val="21"/>
              </w:rPr>
            </w:pPr>
            <w:r>
              <w:rPr>
                <w:szCs w:val="21"/>
              </w:rPr>
              <w:t>采用</w:t>
            </w:r>
            <w:r>
              <w:t>“二级RO+EDI”系统</w:t>
            </w:r>
            <w:r>
              <w:rPr>
                <w:szCs w:val="21"/>
              </w:rPr>
              <w:t>，</w:t>
            </w:r>
            <w:r>
              <w:rPr>
                <w:rFonts w:hint="eastAsia"/>
                <w:szCs w:val="21"/>
              </w:rPr>
              <w:t>1</w:t>
            </w:r>
            <w:r>
              <w:rPr>
                <w:szCs w:val="21"/>
              </w:rPr>
              <w:t>×10t/h化水系统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循环冷却水系统</w:t>
            </w:r>
          </w:p>
        </w:tc>
        <w:tc>
          <w:tcPr>
            <w:tcW w:w="3432" w:type="pct"/>
            <w:shd w:val="clear" w:color="auto" w:fill="auto"/>
            <w:vAlign w:val="center"/>
          </w:tcPr>
          <w:p>
            <w:pPr>
              <w:adjustRightInd w:val="0"/>
              <w:snapToGrid w:val="0"/>
              <w:rPr>
                <w:szCs w:val="21"/>
              </w:rPr>
            </w:pPr>
            <w:r>
              <w:rPr>
                <w:rFonts w:hint="eastAsia"/>
                <w:szCs w:val="21"/>
              </w:rPr>
              <w:t>1</w:t>
            </w:r>
            <w:r>
              <w:rPr>
                <w:szCs w:val="21"/>
              </w:rPr>
              <w:t>座</w:t>
            </w:r>
            <w:r>
              <w:rPr>
                <w:rFonts w:hint="eastAsia"/>
                <w:szCs w:val="21"/>
              </w:rPr>
              <w:t>机力通风冷却塔</w:t>
            </w:r>
            <w:r>
              <w:rPr>
                <w:szCs w:val="21"/>
              </w:rPr>
              <w:t>，塔底设置公用冷水池。</w:t>
            </w:r>
            <w:r>
              <w:rPr>
                <w:rFonts w:hint="eastAsia"/>
                <w:szCs w:val="21"/>
              </w:rPr>
              <w:t>配置</w:t>
            </w:r>
            <w:r>
              <w:rPr>
                <w:szCs w:val="21"/>
              </w:rPr>
              <w:t>2</w:t>
            </w:r>
            <w:r>
              <w:rPr>
                <w:rFonts w:hint="eastAsia"/>
                <w:szCs w:val="21"/>
              </w:rPr>
              <w:t>台主循环水泵，</w:t>
            </w:r>
            <w:r>
              <w:rPr>
                <w:szCs w:val="21"/>
              </w:rPr>
              <w:t>1</w:t>
            </w:r>
            <w:r>
              <w:rPr>
                <w:rFonts w:hint="eastAsia"/>
                <w:szCs w:val="21"/>
              </w:rPr>
              <w:t>用</w:t>
            </w:r>
            <w:r>
              <w:rPr>
                <w:szCs w:val="21"/>
              </w:rPr>
              <w:t>1</w:t>
            </w:r>
            <w:r>
              <w:rPr>
                <w:rFonts w:hint="eastAsia"/>
                <w:szCs w:val="21"/>
              </w:rPr>
              <w:t>备，</w:t>
            </w:r>
            <w:r>
              <w:rPr>
                <w:szCs w:val="21"/>
              </w:rPr>
              <w:t>Q=1500 m</w:t>
            </w:r>
            <w:r>
              <w:rPr>
                <w:szCs w:val="21"/>
                <w:vertAlign w:val="superscript"/>
              </w:rPr>
              <w:t>3</w:t>
            </w:r>
            <w:r>
              <w:rPr>
                <w:szCs w:val="21"/>
              </w:rPr>
              <w:t>/h</w:t>
            </w: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供电工程</w:t>
            </w:r>
          </w:p>
        </w:tc>
        <w:tc>
          <w:tcPr>
            <w:tcW w:w="3432" w:type="pct"/>
            <w:shd w:val="clear" w:color="auto" w:fill="auto"/>
            <w:vAlign w:val="center"/>
          </w:tcPr>
          <w:p>
            <w:pPr>
              <w:adjustRightInd w:val="0"/>
              <w:snapToGrid w:val="0"/>
              <w:rPr>
                <w:szCs w:val="21"/>
              </w:rPr>
            </w:pPr>
            <w:r>
              <w:rPr>
                <w:rFonts w:hint="eastAsia"/>
                <w:szCs w:val="21"/>
              </w:rPr>
              <w:t>高压厂用电系统为10kV单母线接线方式，中性点为不接地系统。高压辅机接在10kV厂用母线段上。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输变电</w:t>
            </w:r>
          </w:p>
        </w:tc>
        <w:tc>
          <w:tcPr>
            <w:tcW w:w="3432" w:type="pct"/>
            <w:shd w:val="clear" w:color="auto" w:fill="auto"/>
            <w:vAlign w:val="center"/>
          </w:tcPr>
          <w:p>
            <w:pPr>
              <w:adjustRightInd w:val="0"/>
              <w:snapToGrid w:val="0"/>
              <w:rPr>
                <w:szCs w:val="21"/>
              </w:rPr>
            </w:pPr>
            <w:r>
              <w:rPr>
                <w:rFonts w:hint="eastAsia"/>
                <w:szCs w:val="21"/>
              </w:rPr>
              <w:t>通过10kV 电压等级并网，以2 回10kV 线路接至</w:t>
            </w:r>
            <w:bookmarkStart w:id="88" w:name="_Hlk86339631"/>
            <w:r>
              <w:rPr>
                <w:rFonts w:hint="eastAsia"/>
                <w:szCs w:val="21"/>
              </w:rPr>
              <w:t>围场110kV 变电站10kV母线。</w:t>
            </w:r>
            <w:bookmarkEnd w:id="88"/>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供热系统</w:t>
            </w:r>
          </w:p>
        </w:tc>
        <w:tc>
          <w:tcPr>
            <w:tcW w:w="3432" w:type="pct"/>
            <w:shd w:val="clear" w:color="auto" w:fill="auto"/>
            <w:vAlign w:val="center"/>
          </w:tcPr>
          <w:p>
            <w:pPr>
              <w:adjustRightInd w:val="0"/>
              <w:snapToGrid w:val="0"/>
              <w:rPr>
                <w:szCs w:val="21"/>
              </w:rPr>
            </w:pPr>
            <w:r>
              <w:rPr>
                <w:szCs w:val="21"/>
              </w:rPr>
              <w:t>由项目自产蒸汽供给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restart"/>
            <w:shd w:val="clear" w:color="auto" w:fill="auto"/>
            <w:vAlign w:val="center"/>
          </w:tcPr>
          <w:p>
            <w:pPr>
              <w:adjustRightInd w:val="0"/>
              <w:snapToGrid w:val="0"/>
              <w:jc w:val="center"/>
              <w:rPr>
                <w:szCs w:val="21"/>
              </w:rPr>
            </w:pPr>
            <w:r>
              <w:rPr>
                <w:szCs w:val="21"/>
              </w:rPr>
              <w:t>储运工程</w:t>
            </w:r>
          </w:p>
        </w:tc>
        <w:tc>
          <w:tcPr>
            <w:tcW w:w="1086" w:type="pct"/>
            <w:shd w:val="clear" w:color="auto" w:fill="auto"/>
            <w:vAlign w:val="center"/>
          </w:tcPr>
          <w:p>
            <w:pPr>
              <w:adjustRightInd w:val="0"/>
              <w:snapToGrid w:val="0"/>
              <w:jc w:val="center"/>
              <w:rPr>
                <w:szCs w:val="21"/>
              </w:rPr>
            </w:pPr>
            <w:r>
              <w:rPr>
                <w:kern w:val="0"/>
                <w:szCs w:val="21"/>
              </w:rPr>
              <w:t>炉渣渣池</w:t>
            </w:r>
          </w:p>
        </w:tc>
        <w:tc>
          <w:tcPr>
            <w:tcW w:w="3432" w:type="pct"/>
            <w:shd w:val="clear" w:color="auto" w:fill="auto"/>
            <w:vAlign w:val="center"/>
          </w:tcPr>
          <w:p>
            <w:pPr>
              <w:adjustRightInd w:val="0"/>
              <w:snapToGrid w:val="0"/>
              <w:rPr>
                <w:szCs w:val="21"/>
                <w:lang w:val="en-AU"/>
              </w:rPr>
            </w:pPr>
            <w:r>
              <w:rPr>
                <w:kern w:val="0"/>
                <w:szCs w:val="21"/>
              </w:rPr>
              <w:t>渣池1 座，</w:t>
            </w:r>
            <w:r>
              <w:rPr>
                <w:rFonts w:hint="eastAsia"/>
                <w:kern w:val="0"/>
                <w:szCs w:val="21"/>
              </w:rPr>
              <w:t>可存储4</w:t>
            </w:r>
            <w:r>
              <w:rPr>
                <w:kern w:val="0"/>
                <w:szCs w:val="21"/>
              </w:rPr>
              <w:t>00</w:t>
            </w:r>
            <w:r>
              <w:rPr>
                <w:rFonts w:hint="eastAsia"/>
                <w:kern w:val="0"/>
                <w:szCs w:val="21"/>
              </w:rPr>
              <w:t>t，</w:t>
            </w:r>
            <w:r>
              <w:rPr>
                <w:kern w:val="0"/>
                <w:szCs w:val="21"/>
              </w:rPr>
              <w:t xml:space="preserve"> 满足炉渣贮存</w:t>
            </w:r>
            <w:r>
              <w:rPr>
                <w:rFonts w:hint="eastAsia"/>
                <w:kern w:val="0"/>
                <w:szCs w:val="21"/>
              </w:rPr>
              <w:t>5</w:t>
            </w:r>
            <w:r>
              <w:rPr>
                <w:kern w:val="0"/>
                <w:szCs w:val="21"/>
              </w:rPr>
              <w:t>天</w:t>
            </w:r>
            <w:r>
              <w:rPr>
                <w:rFonts w:hint="eastAsia"/>
                <w:kern w:val="0"/>
                <w:szCs w:val="21"/>
              </w:rPr>
              <w:t>以上</w:t>
            </w:r>
            <w:r>
              <w:rPr>
                <w:kern w:val="0"/>
                <w:szCs w:val="21"/>
              </w:rPr>
              <w:t>的量。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kern w:val="0"/>
                <w:szCs w:val="21"/>
              </w:rPr>
              <w:t>飞灰仓</w:t>
            </w:r>
          </w:p>
        </w:tc>
        <w:tc>
          <w:tcPr>
            <w:tcW w:w="3432" w:type="pct"/>
            <w:shd w:val="clear" w:color="auto" w:fill="auto"/>
            <w:vAlign w:val="center"/>
          </w:tcPr>
          <w:p>
            <w:pPr>
              <w:adjustRightInd w:val="0"/>
              <w:snapToGrid w:val="0"/>
              <w:rPr>
                <w:szCs w:val="21"/>
              </w:rPr>
            </w:pPr>
            <w:r>
              <w:rPr>
                <w:kern w:val="0"/>
                <w:szCs w:val="21"/>
              </w:rPr>
              <w:t>飞灰仓</w:t>
            </w:r>
            <w:r>
              <w:rPr>
                <w:rFonts w:hint="eastAsia"/>
                <w:kern w:val="0"/>
                <w:szCs w:val="21"/>
              </w:rPr>
              <w:t>1</w:t>
            </w:r>
            <w:r>
              <w:rPr>
                <w:kern w:val="0"/>
                <w:szCs w:val="21"/>
              </w:rPr>
              <w:t>个，</w:t>
            </w:r>
            <w:r>
              <w:t>容积约 200m</w:t>
            </w:r>
            <w:r>
              <w:rPr>
                <w:vertAlign w:val="superscript"/>
              </w:rPr>
              <w:t>3</w:t>
            </w:r>
            <w:r>
              <w:t>。</w:t>
            </w:r>
            <w:r>
              <w:rPr>
                <w:kern w:val="0"/>
                <w:szCs w:val="21"/>
              </w:rPr>
              <w:t>能够满足正常运行7天的用量</w:t>
            </w:r>
            <w:r>
              <w:rPr>
                <w:rFonts w:hint="eastAsia"/>
                <w:kern w:val="0"/>
                <w:szCs w:val="21"/>
              </w:rPr>
              <w:t>，</w:t>
            </w:r>
            <w:r>
              <w:t>顶部设有真空释放阀和库顶脉冲袋式除尘器</w:t>
            </w: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kern w:val="0"/>
                <w:szCs w:val="21"/>
              </w:rPr>
              <w:t>点火油储罐</w:t>
            </w:r>
          </w:p>
        </w:tc>
        <w:tc>
          <w:tcPr>
            <w:tcW w:w="3432" w:type="pct"/>
            <w:shd w:val="clear" w:color="auto" w:fill="auto"/>
            <w:vAlign w:val="center"/>
          </w:tcPr>
          <w:p>
            <w:pPr>
              <w:adjustRightInd w:val="0"/>
              <w:snapToGrid w:val="0"/>
              <w:rPr>
                <w:szCs w:val="21"/>
              </w:rPr>
            </w:pPr>
            <w:r>
              <w:rPr>
                <w:rFonts w:hint="eastAsia"/>
                <w:kern w:val="0"/>
                <w:szCs w:val="21"/>
              </w:rPr>
              <w:t>1</w:t>
            </w:r>
            <w:r>
              <w:rPr>
                <w:kern w:val="0"/>
                <w:szCs w:val="21"/>
              </w:rPr>
              <w:t xml:space="preserve"> </w:t>
            </w:r>
            <w:r>
              <w:rPr>
                <w:rFonts w:hint="eastAsia"/>
                <w:kern w:val="0"/>
                <w:szCs w:val="21"/>
              </w:rPr>
              <w:t>座30</w:t>
            </w:r>
            <w:r>
              <w:rPr>
                <w:kern w:val="0"/>
                <w:szCs w:val="21"/>
              </w:rPr>
              <w:t xml:space="preserve"> m³ 埋地钢制</w:t>
            </w:r>
            <w:r>
              <w:rPr>
                <w:rFonts w:hint="eastAsia"/>
                <w:kern w:val="0"/>
                <w:szCs w:val="21"/>
              </w:rPr>
              <w:t>双层</w:t>
            </w:r>
            <w:r>
              <w:rPr>
                <w:kern w:val="0"/>
                <w:szCs w:val="21"/>
              </w:rPr>
              <w:t>油罐，供油泵2 台，1 用1 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kern w:val="0"/>
                <w:szCs w:val="21"/>
              </w:rPr>
              <w:t>消石灰仓</w:t>
            </w:r>
          </w:p>
        </w:tc>
        <w:tc>
          <w:tcPr>
            <w:tcW w:w="3432" w:type="pct"/>
            <w:shd w:val="clear" w:color="auto" w:fill="auto"/>
            <w:vAlign w:val="center"/>
          </w:tcPr>
          <w:p>
            <w:pPr>
              <w:adjustRightInd w:val="0"/>
              <w:snapToGrid w:val="0"/>
              <w:rPr>
                <w:szCs w:val="21"/>
              </w:rPr>
            </w:pPr>
            <w:r>
              <w:rPr>
                <w:kern w:val="0"/>
                <w:szCs w:val="21"/>
              </w:rPr>
              <w:t xml:space="preserve">1 </w:t>
            </w:r>
            <w:r>
              <w:rPr>
                <w:rFonts w:hint="eastAsia"/>
                <w:kern w:val="0"/>
                <w:szCs w:val="21"/>
              </w:rPr>
              <w:t>座1</w:t>
            </w:r>
            <w:r>
              <w:rPr>
                <w:kern w:val="0"/>
                <w:szCs w:val="21"/>
              </w:rPr>
              <w:t>00m³</w:t>
            </w:r>
            <w:r>
              <w:rPr>
                <w:rFonts w:hint="eastAsia"/>
                <w:kern w:val="0"/>
                <w:szCs w:val="21"/>
              </w:rPr>
              <w:t>，仓顶集成</w:t>
            </w:r>
            <w:r>
              <w:t>顶脉冲袋式除尘器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kern w:val="0"/>
                <w:szCs w:val="21"/>
              </w:rPr>
              <w:t>活性炭料仓</w:t>
            </w:r>
          </w:p>
        </w:tc>
        <w:tc>
          <w:tcPr>
            <w:tcW w:w="3432" w:type="pct"/>
            <w:shd w:val="clear" w:color="auto" w:fill="auto"/>
            <w:vAlign w:val="center"/>
          </w:tcPr>
          <w:p>
            <w:pPr>
              <w:adjustRightInd w:val="0"/>
              <w:snapToGrid w:val="0"/>
              <w:rPr>
                <w:szCs w:val="21"/>
              </w:rPr>
            </w:pPr>
            <w:r>
              <w:rPr>
                <w:kern w:val="0"/>
                <w:szCs w:val="21"/>
              </w:rPr>
              <w:t xml:space="preserve">1 </w:t>
            </w:r>
            <w:r>
              <w:rPr>
                <w:rFonts w:hint="eastAsia"/>
                <w:kern w:val="0"/>
                <w:szCs w:val="21"/>
              </w:rPr>
              <w:t>座</w:t>
            </w:r>
            <w:r>
              <w:rPr>
                <w:kern w:val="0"/>
                <w:szCs w:val="21"/>
              </w:rPr>
              <w:t>1</w:t>
            </w:r>
            <w:r>
              <w:rPr>
                <w:rFonts w:hint="eastAsia"/>
                <w:kern w:val="0"/>
                <w:szCs w:val="21"/>
              </w:rPr>
              <w:t>0</w:t>
            </w:r>
            <w:r>
              <w:rPr>
                <w:kern w:val="0"/>
                <w:szCs w:val="21"/>
              </w:rPr>
              <w:t xml:space="preserve"> m³</w:t>
            </w:r>
            <w:r>
              <w:rPr>
                <w:rFonts w:hint="eastAsia"/>
                <w:kern w:val="0"/>
                <w:szCs w:val="21"/>
              </w:rPr>
              <w:t>，仓顶集成</w:t>
            </w:r>
            <w:r>
              <w:t>顶脉冲袋式除尘器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rFonts w:hint="eastAsia"/>
                <w:kern w:val="0"/>
                <w:szCs w:val="21"/>
              </w:rPr>
              <w:t>氨水</w:t>
            </w:r>
            <w:r>
              <w:rPr>
                <w:kern w:val="0"/>
                <w:szCs w:val="21"/>
              </w:rPr>
              <w:t>罐</w:t>
            </w:r>
          </w:p>
        </w:tc>
        <w:tc>
          <w:tcPr>
            <w:tcW w:w="3432" w:type="pct"/>
            <w:shd w:val="clear" w:color="auto" w:fill="auto"/>
            <w:vAlign w:val="center"/>
          </w:tcPr>
          <w:p>
            <w:pPr>
              <w:adjustRightInd w:val="0"/>
              <w:snapToGrid w:val="0"/>
              <w:rPr>
                <w:szCs w:val="21"/>
              </w:rPr>
            </w:pPr>
            <w:r>
              <w:rPr>
                <w:rFonts w:hint="eastAsia"/>
                <w:kern w:val="0"/>
                <w:szCs w:val="21"/>
              </w:rPr>
              <w:t>1</w:t>
            </w:r>
            <w:r>
              <w:rPr>
                <w:kern w:val="0"/>
                <w:szCs w:val="21"/>
              </w:rPr>
              <w:t xml:space="preserve"> </w:t>
            </w:r>
            <w:r>
              <w:rPr>
                <w:rFonts w:hint="eastAsia"/>
                <w:kern w:val="0"/>
                <w:szCs w:val="21"/>
              </w:rPr>
              <w:t>座</w:t>
            </w:r>
            <w:r>
              <w:rPr>
                <w:kern w:val="0"/>
                <w:szCs w:val="21"/>
              </w:rPr>
              <w:t>50 m³，能够满足正常运行7天的用量</w:t>
            </w:r>
            <w:r>
              <w:rPr>
                <w:rFonts w:hint="eastAsia"/>
                <w:kern w:val="0"/>
                <w:szCs w:val="21"/>
              </w:rPr>
              <w:t>，四周设置围堰（9m×9m×1.2～1.5m）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kern w:val="0"/>
                <w:szCs w:val="21"/>
              </w:rPr>
            </w:pPr>
            <w:r>
              <w:rPr>
                <w:szCs w:val="21"/>
              </w:rPr>
              <w:t>水泥贮存</w:t>
            </w:r>
          </w:p>
        </w:tc>
        <w:tc>
          <w:tcPr>
            <w:tcW w:w="3432" w:type="pct"/>
            <w:shd w:val="clear" w:color="auto" w:fill="auto"/>
            <w:vAlign w:val="center"/>
          </w:tcPr>
          <w:p>
            <w:pPr>
              <w:adjustRightInd w:val="0"/>
              <w:snapToGrid w:val="0"/>
              <w:rPr>
                <w:kern w:val="0"/>
                <w:szCs w:val="21"/>
              </w:rPr>
            </w:pPr>
            <w:r>
              <w:rPr>
                <w:snapToGrid w:val="0"/>
                <w:szCs w:val="21"/>
              </w:rPr>
              <w:t>水泥仓</w:t>
            </w:r>
            <w:r>
              <w:rPr>
                <w:rFonts w:hint="eastAsia"/>
                <w:snapToGrid w:val="0"/>
                <w:szCs w:val="21"/>
              </w:rPr>
              <w:t>5</w:t>
            </w:r>
            <w:r>
              <w:rPr>
                <w:snapToGrid w:val="0"/>
                <w:szCs w:val="21"/>
              </w:rPr>
              <w:t>0m</w:t>
            </w:r>
            <w:r>
              <w:rPr>
                <w:snapToGrid w:val="0"/>
                <w:szCs w:val="21"/>
                <w:vertAlign w:val="superscript"/>
              </w:rPr>
              <w:t>3</w:t>
            </w:r>
            <w:r>
              <w:rPr>
                <w:rFonts w:hint="eastAsia"/>
                <w:kern w:val="0"/>
                <w:szCs w:val="21"/>
              </w:rPr>
              <w:t>，仓顶集成</w:t>
            </w:r>
            <w:r>
              <w:t>顶脉冲袋式除尘器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tcBorders>
              <w:top w:val="single" w:color="auto" w:sz="4" w:space="0"/>
              <w:left w:val="nil"/>
              <w:bottom w:val="single" w:color="auto" w:sz="4" w:space="0"/>
              <w:right w:val="single" w:color="auto" w:sz="4" w:space="0"/>
            </w:tcBorders>
            <w:vAlign w:val="center"/>
          </w:tcPr>
          <w:p>
            <w:pPr>
              <w:adjustRightInd w:val="0"/>
              <w:snapToGrid w:val="0"/>
              <w:jc w:val="center"/>
              <w:rPr>
                <w:szCs w:val="21"/>
              </w:rPr>
            </w:pPr>
            <w:r>
              <w:t>螯合剂罐</w:t>
            </w:r>
          </w:p>
        </w:tc>
        <w:tc>
          <w:tcPr>
            <w:tcW w:w="3432" w:type="pct"/>
            <w:tcBorders>
              <w:top w:val="single" w:color="auto" w:sz="4" w:space="0"/>
              <w:left w:val="nil"/>
              <w:bottom w:val="single" w:color="auto" w:sz="4" w:space="0"/>
              <w:right w:val="single" w:color="auto" w:sz="4" w:space="0"/>
            </w:tcBorders>
            <w:vAlign w:val="center"/>
          </w:tcPr>
          <w:p>
            <w:pPr>
              <w:adjustRightInd w:val="0"/>
              <w:snapToGrid w:val="0"/>
              <w:rPr>
                <w:szCs w:val="21"/>
              </w:rPr>
            </w:pPr>
            <w:r>
              <w:t>建设1座10m</w:t>
            </w:r>
            <w:r>
              <w:rPr>
                <w:vertAlign w:val="superscript"/>
              </w:rPr>
              <w:t>3</w:t>
            </w:r>
            <w:r>
              <w:t>螯合剂罐，用于飞灰螯合稳定化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restart"/>
            <w:shd w:val="clear" w:color="auto" w:fill="auto"/>
            <w:vAlign w:val="center"/>
          </w:tcPr>
          <w:p>
            <w:pPr>
              <w:adjustRightInd w:val="0"/>
              <w:snapToGrid w:val="0"/>
              <w:jc w:val="center"/>
              <w:rPr>
                <w:szCs w:val="21"/>
              </w:rPr>
            </w:pPr>
            <w:r>
              <w:rPr>
                <w:szCs w:val="21"/>
              </w:rPr>
              <w:t>环保工程</w:t>
            </w:r>
          </w:p>
        </w:tc>
        <w:tc>
          <w:tcPr>
            <w:tcW w:w="1086" w:type="pct"/>
            <w:shd w:val="clear" w:color="auto" w:fill="auto"/>
            <w:vAlign w:val="center"/>
          </w:tcPr>
          <w:p>
            <w:pPr>
              <w:adjustRightInd w:val="0"/>
              <w:snapToGrid w:val="0"/>
              <w:jc w:val="center"/>
              <w:rPr>
                <w:szCs w:val="21"/>
              </w:rPr>
            </w:pPr>
            <w:r>
              <w:rPr>
                <w:szCs w:val="21"/>
              </w:rPr>
              <w:t>烟气净化系统</w:t>
            </w:r>
          </w:p>
        </w:tc>
        <w:tc>
          <w:tcPr>
            <w:tcW w:w="3432" w:type="pct"/>
            <w:shd w:val="clear" w:color="auto" w:fill="auto"/>
            <w:vAlign w:val="center"/>
          </w:tcPr>
          <w:p>
            <w:pPr>
              <w:adjustRightInd w:val="0"/>
              <w:snapToGrid w:val="0"/>
              <w:rPr>
                <w:szCs w:val="21"/>
              </w:rPr>
            </w:pPr>
            <w:r>
              <w:rPr>
                <w:szCs w:val="21"/>
              </w:rPr>
              <w:t>焚烧炉配置</w:t>
            </w:r>
            <w:bookmarkStart w:id="89" w:name="_Hlk94104186"/>
            <w:r>
              <w:rPr>
                <w:szCs w:val="21"/>
              </w:rPr>
              <w:t>一套烟气处理系统。采用“SNCR脱硝+半干法脱酸+干法喷射+活性炭吸附+布袋除尘+湿法脱酸+SCR”组合方案，</w:t>
            </w:r>
            <w:bookmarkEnd w:id="89"/>
            <w:r>
              <w:rPr>
                <w:szCs w:val="21"/>
              </w:rPr>
              <w:t>整个系统保持负压状态，防止污染物外泄。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烟囱</w:t>
            </w:r>
          </w:p>
        </w:tc>
        <w:tc>
          <w:tcPr>
            <w:tcW w:w="3432" w:type="pct"/>
            <w:shd w:val="clear" w:color="auto" w:fill="auto"/>
            <w:vAlign w:val="center"/>
          </w:tcPr>
          <w:p>
            <w:pPr>
              <w:autoSpaceDE w:val="0"/>
              <w:autoSpaceDN w:val="0"/>
              <w:adjustRightInd w:val="0"/>
              <w:rPr>
                <w:szCs w:val="21"/>
              </w:rPr>
            </w:pPr>
            <w:r>
              <w:rPr>
                <w:rFonts w:hint="eastAsia"/>
                <w:szCs w:val="21"/>
              </w:rPr>
              <w:t>烟囱采用钢烟囱设计，</w:t>
            </w:r>
            <w:r>
              <w:rPr>
                <w:szCs w:val="21"/>
              </w:rPr>
              <w:t>烟囱出口内径1.6m，高度60m；烟道上安装烟气在线监测装置。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恶臭防治</w:t>
            </w:r>
          </w:p>
        </w:tc>
        <w:tc>
          <w:tcPr>
            <w:tcW w:w="3432" w:type="pct"/>
            <w:shd w:val="clear" w:color="auto" w:fill="auto"/>
            <w:vAlign w:val="center"/>
          </w:tcPr>
          <w:p>
            <w:pPr>
              <w:adjustRightInd w:val="0"/>
              <w:snapToGrid w:val="0"/>
              <w:rPr>
                <w:szCs w:val="21"/>
              </w:rPr>
            </w:pPr>
            <w:r>
              <w:rPr>
                <w:szCs w:val="21"/>
              </w:rPr>
              <w:t>垃圾仓全封闭式，保持负压，为使恶臭气体不外逸。含有臭气的空气作为一次风送入焚烧炉，经高温的焚烧处理。焚烧炉停炉检修期间，自动开启除臭风机，将臭气送入除臭间内的活性炭除臭装置过滤后外排。</w:t>
            </w:r>
          </w:p>
          <w:p>
            <w:pPr>
              <w:autoSpaceDE w:val="0"/>
              <w:autoSpaceDN w:val="0"/>
              <w:adjustRightInd w:val="0"/>
              <w:rPr>
                <w:szCs w:val="21"/>
              </w:rPr>
            </w:pPr>
            <w:r>
              <w:rPr>
                <w:szCs w:val="21"/>
              </w:rPr>
              <w:t>污水处理站产生的臭气由引风机通过风管送至一次风机入口和垃圾库负压区进入焚烧炉焚烧处置。停炉</w:t>
            </w:r>
            <w:r>
              <w:rPr>
                <w:rFonts w:hint="eastAsia"/>
                <w:szCs w:val="21"/>
              </w:rPr>
              <w:t>检修期间利用除臭间的恶臭处理装置处理</w:t>
            </w:r>
            <w:r>
              <w:rPr>
                <w:szCs w:val="21"/>
              </w:rPr>
              <w:t>达标外排。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飞灰固化系统</w:t>
            </w:r>
          </w:p>
        </w:tc>
        <w:tc>
          <w:tcPr>
            <w:tcW w:w="3432" w:type="pct"/>
            <w:shd w:val="clear" w:color="auto" w:fill="auto"/>
            <w:vAlign w:val="center"/>
          </w:tcPr>
          <w:p>
            <w:pPr>
              <w:adjustRightInd w:val="0"/>
              <w:snapToGrid w:val="0"/>
              <w:rPr>
                <w:szCs w:val="21"/>
              </w:rPr>
            </w:pPr>
            <w:r>
              <w:rPr>
                <w:szCs w:val="21"/>
              </w:rPr>
              <w:t>飞灰固化车间1 座，处理能力</w:t>
            </w:r>
            <w:r>
              <w:rPr>
                <w:rFonts w:hint="eastAsia"/>
                <w:szCs w:val="21"/>
              </w:rPr>
              <w:t>5t</w:t>
            </w:r>
            <w:r>
              <w:rPr>
                <w:szCs w:val="21"/>
              </w:rPr>
              <w:t>/h。采用水泥+螯合剂对飞灰进行固化处理，固化后飞灰送</w:t>
            </w:r>
            <w:r>
              <w:rPr>
                <w:rFonts w:hint="eastAsia"/>
                <w:szCs w:val="21"/>
              </w:rPr>
              <w:t>隆化县城生活垃圾填埋场分区填埋。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仓储系统</w:t>
            </w:r>
          </w:p>
        </w:tc>
        <w:tc>
          <w:tcPr>
            <w:tcW w:w="3432" w:type="pct"/>
            <w:shd w:val="clear" w:color="auto" w:fill="auto"/>
            <w:vAlign w:val="center"/>
          </w:tcPr>
          <w:p>
            <w:pPr>
              <w:adjustRightInd w:val="0"/>
              <w:snapToGrid w:val="0"/>
              <w:rPr>
                <w:szCs w:val="21"/>
              </w:rPr>
            </w:pPr>
            <w:r>
              <w:rPr>
                <w:szCs w:val="21"/>
              </w:rPr>
              <w:t>对消石灰、活性炭、水泥、飞灰等粉状物料均采用封闭的储仓储存，仓顶均设置了布袋除尘器，除尘效率≥99.5%</w:t>
            </w:r>
            <w:r>
              <w:rPr>
                <w:rFonts w:hint="eastAsia"/>
                <w:szCs w:val="21"/>
              </w:rPr>
              <w:t>，</w:t>
            </w:r>
            <w:r>
              <w:rPr>
                <w:rFonts w:hint="eastAsia"/>
                <w:bCs/>
                <w:szCs w:val="21"/>
              </w:rPr>
              <w:t>布袋除尘器收集的粉尘返回各料仓，处理后粉尘量很小，于主厂房内维持微负压状态，焚烧炉二次风从焚烧间和除渣间抽取，因此主厂房的工业粉尘进入焚烧烧炉，经焚烧炉烟气净化系统处理后能实现达标排放。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污水处理</w:t>
            </w:r>
          </w:p>
        </w:tc>
        <w:tc>
          <w:tcPr>
            <w:tcW w:w="3432" w:type="pct"/>
            <w:shd w:val="clear" w:color="auto" w:fill="auto"/>
            <w:vAlign w:val="center"/>
          </w:tcPr>
          <w:p>
            <w:pPr>
              <w:adjustRightInd w:val="0"/>
              <w:snapToGrid w:val="0"/>
              <w:rPr>
                <w:szCs w:val="21"/>
              </w:rPr>
            </w:pPr>
            <w:r>
              <w:rPr>
                <w:rFonts w:hint="eastAsia"/>
                <w:szCs w:val="21"/>
              </w:rPr>
              <w:t>（1）</w:t>
            </w:r>
            <w:r>
              <w:rPr>
                <w:szCs w:val="21"/>
              </w:rPr>
              <w:t>循环冷却水排污水、除盐系统排污水、余热锅炉排污水等清净下水</w:t>
            </w:r>
            <w:r>
              <w:rPr>
                <w:rFonts w:hint="eastAsia"/>
                <w:szCs w:val="21"/>
              </w:rPr>
              <w:t>，沉淀后回用于生产。</w:t>
            </w:r>
          </w:p>
          <w:p>
            <w:pPr>
              <w:adjustRightInd w:val="0"/>
              <w:snapToGrid w:val="0"/>
              <w:rPr>
                <w:szCs w:val="21"/>
              </w:rPr>
            </w:pPr>
            <w:r>
              <w:rPr>
                <w:rFonts w:hint="eastAsia"/>
                <w:szCs w:val="21"/>
              </w:rPr>
              <w:t>（2）</w:t>
            </w:r>
            <w:r>
              <w:rPr>
                <w:szCs w:val="21"/>
              </w:rPr>
              <w:t>渗滤液处理站采用</w:t>
            </w:r>
            <w:r>
              <w:rPr>
                <w:rFonts w:hint="eastAsia"/>
                <w:szCs w:val="21"/>
              </w:rPr>
              <w:t>“</w:t>
            </w:r>
            <w:r>
              <w:rPr>
                <w:szCs w:val="21"/>
              </w:rPr>
              <w:t>预处理+ UASB厌氧反应器+MBR生化处理系统+DTRO</w:t>
            </w:r>
            <w:r>
              <w:rPr>
                <w:rFonts w:hint="eastAsia"/>
                <w:szCs w:val="21"/>
              </w:rPr>
              <w:t>”</w:t>
            </w:r>
            <w:r>
              <w:rPr>
                <w:szCs w:val="21"/>
              </w:rPr>
              <w:t>的处理工艺，设计规模为120 m</w:t>
            </w:r>
            <w:r>
              <w:rPr>
                <w:szCs w:val="21"/>
                <w:vertAlign w:val="superscript"/>
              </w:rPr>
              <w:t>3</w:t>
            </w:r>
            <w:r>
              <w:rPr>
                <w:szCs w:val="21"/>
              </w:rPr>
              <w:t>/d。处理</w:t>
            </w:r>
            <w:r>
              <w:rPr>
                <w:rFonts w:hint="eastAsia"/>
                <w:szCs w:val="21"/>
              </w:rPr>
              <w:t>达标</w:t>
            </w:r>
            <w:r>
              <w:rPr>
                <w:szCs w:val="21"/>
              </w:rPr>
              <w:t>后</w:t>
            </w:r>
            <w:r>
              <w:rPr>
                <w:rFonts w:hint="eastAsia"/>
                <w:szCs w:val="21"/>
              </w:rPr>
              <w:t>上清液用于循环冷却塔补水，</w:t>
            </w:r>
            <w:r>
              <w:rPr>
                <w:szCs w:val="21"/>
              </w:rPr>
              <w:t>30</w:t>
            </w:r>
            <w:r>
              <w:rPr>
                <w:rFonts w:hint="eastAsia"/>
                <w:szCs w:val="21"/>
              </w:rPr>
              <w:t>m</w:t>
            </w:r>
            <w:r>
              <w:rPr>
                <w:rFonts w:hint="eastAsia"/>
                <w:szCs w:val="21"/>
                <w:vertAlign w:val="superscript"/>
              </w:rPr>
              <w:t>3</w:t>
            </w:r>
            <w:r>
              <w:rPr>
                <w:rFonts w:hint="eastAsia"/>
                <w:szCs w:val="21"/>
              </w:rPr>
              <w:t>/d浓水主要用于石灰浆制备</w:t>
            </w:r>
            <w:r>
              <w:rPr>
                <w:rFonts w:hint="eastAsia"/>
                <w:bCs/>
                <w:szCs w:val="21"/>
              </w:rPr>
              <w:t>，多余的回喷焚烧炉焚烧</w:t>
            </w:r>
            <w:r>
              <w:rPr>
                <w:szCs w:val="21"/>
              </w:rPr>
              <w:t>。</w:t>
            </w:r>
          </w:p>
          <w:p>
            <w:pPr>
              <w:rPr>
                <w:szCs w:val="21"/>
              </w:rPr>
            </w:pPr>
            <w:r>
              <w:rPr>
                <w:rFonts w:hint="eastAsia"/>
                <w:szCs w:val="21"/>
              </w:rPr>
              <w:t>（3）</w:t>
            </w:r>
            <w:r>
              <w:rPr>
                <w:szCs w:val="21"/>
              </w:rPr>
              <w:t>生活污水、实验室废水一同排入生活污水处理站进行处理，处理能力为24m</w:t>
            </w:r>
            <w:r>
              <w:rPr>
                <w:szCs w:val="21"/>
                <w:vertAlign w:val="superscript"/>
              </w:rPr>
              <w:t>3</w:t>
            </w:r>
            <w:r>
              <w:rPr>
                <w:szCs w:val="21"/>
              </w:rPr>
              <w:t>/d</w:t>
            </w:r>
            <w:r>
              <w:rPr>
                <w:rFonts w:hint="eastAsia"/>
                <w:szCs w:val="21"/>
              </w:rPr>
              <w:t>。</w:t>
            </w:r>
            <w:r>
              <w:rPr>
                <w:szCs w:val="21"/>
              </w:rPr>
              <w:t>采用“AO+MBR”</w:t>
            </w:r>
            <w:r>
              <w:rPr>
                <w:rFonts w:hint="eastAsia"/>
                <w:szCs w:val="21"/>
              </w:rPr>
              <w:t>处理工艺</w:t>
            </w:r>
            <w:r>
              <w:rPr>
                <w:szCs w:val="21"/>
              </w:rPr>
              <w:t>，处理</w:t>
            </w:r>
            <w:r>
              <w:rPr>
                <w:rFonts w:hint="eastAsia"/>
                <w:szCs w:val="21"/>
              </w:rPr>
              <w:t>达标</w:t>
            </w:r>
            <w:r>
              <w:rPr>
                <w:szCs w:val="21"/>
              </w:rPr>
              <w:t>后排入</w:t>
            </w:r>
            <w:r>
              <w:rPr>
                <w:rFonts w:hint="eastAsia"/>
                <w:szCs w:val="21"/>
              </w:rPr>
              <w:t>循环冷却水系统沉淀</w:t>
            </w:r>
            <w:r>
              <w:rPr>
                <w:szCs w:val="21"/>
              </w:rPr>
              <w:t>池，回用于生产。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事故池</w:t>
            </w:r>
          </w:p>
        </w:tc>
        <w:tc>
          <w:tcPr>
            <w:tcW w:w="3432" w:type="pct"/>
            <w:shd w:val="clear" w:color="auto" w:fill="auto"/>
            <w:vAlign w:val="center"/>
          </w:tcPr>
          <w:p>
            <w:pPr>
              <w:adjustRightInd w:val="0"/>
              <w:snapToGrid w:val="0"/>
              <w:rPr>
                <w:szCs w:val="21"/>
              </w:rPr>
            </w:pPr>
            <w:r>
              <w:rPr>
                <w:rFonts w:hint="eastAsia"/>
                <w:szCs w:val="21"/>
              </w:rPr>
              <w:t>废水事故池的设计有效容积为6</w:t>
            </w:r>
            <w:r>
              <w:rPr>
                <w:szCs w:val="21"/>
              </w:rPr>
              <w:t>00m</w:t>
            </w:r>
            <w:r>
              <w:rPr>
                <w:szCs w:val="21"/>
                <w:vertAlign w:val="superscript"/>
              </w:rPr>
              <w:t>3</w:t>
            </w:r>
            <w:r>
              <w:rPr>
                <w:rFonts w:hint="eastAsia"/>
                <w:szCs w:val="21"/>
              </w:rPr>
              <w:t>，渗滤液调节池容积1</w:t>
            </w:r>
            <w:r>
              <w:rPr>
                <w:szCs w:val="21"/>
              </w:rPr>
              <w:t>00</w:t>
            </w:r>
            <w:r>
              <w:rPr>
                <w:rFonts w:hint="eastAsia"/>
                <w:szCs w:val="21"/>
              </w:rPr>
              <w:t>0</w:t>
            </w:r>
            <w:r>
              <w:rPr>
                <w:szCs w:val="21"/>
              </w:rPr>
              <w:t>m</w:t>
            </w:r>
            <w:r>
              <w:rPr>
                <w:szCs w:val="21"/>
                <w:vertAlign w:val="superscript"/>
              </w:rPr>
              <w:t>3</w:t>
            </w:r>
            <w:r>
              <w:rPr>
                <w:rFonts w:hint="eastAsia"/>
                <w:szCs w:val="21"/>
              </w:rPr>
              <w:t>，合计1</w:t>
            </w:r>
            <w:r>
              <w:rPr>
                <w:szCs w:val="21"/>
              </w:rPr>
              <w:t>600m</w:t>
            </w:r>
            <w:r>
              <w:rPr>
                <w:szCs w:val="21"/>
                <w:vertAlign w:val="superscript"/>
              </w:rPr>
              <w:t>3</w:t>
            </w:r>
            <w:r>
              <w:rPr>
                <w:rFonts w:hint="eastAsia"/>
                <w:szCs w:val="21"/>
              </w:rPr>
              <w:t>，池容至少容纳10天的垃圾渗滤液排放量。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初期雨水池</w:t>
            </w:r>
          </w:p>
        </w:tc>
        <w:tc>
          <w:tcPr>
            <w:tcW w:w="3432" w:type="pct"/>
            <w:shd w:val="clear" w:color="auto" w:fill="auto"/>
            <w:vAlign w:val="center"/>
          </w:tcPr>
          <w:p>
            <w:pPr>
              <w:adjustRightInd w:val="0"/>
              <w:snapToGrid w:val="0"/>
              <w:rPr>
                <w:szCs w:val="21"/>
              </w:rPr>
            </w:pPr>
            <w:r>
              <w:rPr>
                <w:szCs w:val="21"/>
              </w:rPr>
              <w:t>1座，容积190m</w:t>
            </w:r>
            <w:r>
              <w:rPr>
                <w:szCs w:val="21"/>
                <w:vertAlign w:val="superscript"/>
              </w:rPr>
              <w:t>3</w:t>
            </w:r>
            <w:r>
              <w:rPr>
                <w:szCs w:val="21"/>
              </w:rPr>
              <w:t>，由初期雨水提升泵定时定量输送入厂区渗滤液处理站处理。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固废处理措施</w:t>
            </w:r>
          </w:p>
        </w:tc>
        <w:tc>
          <w:tcPr>
            <w:tcW w:w="3432" w:type="pct"/>
            <w:shd w:val="clear" w:color="auto" w:fill="auto"/>
            <w:vAlign w:val="center"/>
          </w:tcPr>
          <w:p>
            <w:pPr>
              <w:adjustRightInd w:val="0"/>
              <w:snapToGrid w:val="0"/>
              <w:rPr>
                <w:szCs w:val="21"/>
              </w:rPr>
            </w:pPr>
            <w:r>
              <w:rPr>
                <w:szCs w:val="21"/>
              </w:rPr>
              <w:t>（1）垃圾焚烧产物炉渣为一般固体废物，</w:t>
            </w:r>
            <w:r>
              <w:rPr>
                <w:rFonts w:hint="eastAsia"/>
                <w:szCs w:val="21"/>
              </w:rPr>
              <w:t>外售</w:t>
            </w:r>
            <w:r>
              <w:rPr>
                <w:szCs w:val="21"/>
              </w:rPr>
              <w:t>综合利用；</w:t>
            </w:r>
          </w:p>
          <w:p>
            <w:pPr>
              <w:adjustRightInd w:val="0"/>
              <w:snapToGrid w:val="0"/>
              <w:rPr>
                <w:szCs w:val="21"/>
              </w:rPr>
            </w:pPr>
            <w:r>
              <w:rPr>
                <w:szCs w:val="21"/>
              </w:rPr>
              <w:t>（2）飞灰采用水泥+螯合剂对飞灰进行固化处理，固化后飞灰送</w:t>
            </w:r>
            <w:r>
              <w:rPr>
                <w:rFonts w:hint="eastAsia"/>
                <w:szCs w:val="21"/>
              </w:rPr>
              <w:t>隆化县城生活垃圾填埋场分区填埋</w:t>
            </w:r>
            <w:r>
              <w:rPr>
                <w:szCs w:val="21"/>
              </w:rPr>
              <w:t>；</w:t>
            </w:r>
          </w:p>
          <w:p>
            <w:pPr>
              <w:adjustRightInd w:val="0"/>
              <w:snapToGrid w:val="0"/>
              <w:rPr>
                <w:szCs w:val="21"/>
              </w:rPr>
            </w:pPr>
            <w:r>
              <w:rPr>
                <w:szCs w:val="21"/>
              </w:rPr>
              <w:t>（3）生活垃圾经收集后送入焚烧炉处理</w:t>
            </w:r>
            <w:r>
              <w:rPr>
                <w:rFonts w:hint="eastAsia"/>
                <w:szCs w:val="21"/>
              </w:rPr>
              <w:t>；</w:t>
            </w:r>
          </w:p>
          <w:p>
            <w:pPr>
              <w:adjustRightInd w:val="0"/>
              <w:snapToGrid w:val="0"/>
              <w:rPr>
                <w:szCs w:val="21"/>
              </w:rPr>
            </w:pPr>
            <w:r>
              <w:rPr>
                <w:szCs w:val="21"/>
              </w:rPr>
              <w:t>（4）污水处理站产生的污泥，固液分离后与</w:t>
            </w:r>
            <w:r>
              <w:rPr>
                <w:rFonts w:hint="eastAsia"/>
                <w:szCs w:val="21"/>
              </w:rPr>
              <w:t>生活</w:t>
            </w:r>
            <w:r>
              <w:rPr>
                <w:szCs w:val="21"/>
              </w:rPr>
              <w:t>垃圾一</w:t>
            </w:r>
            <w:r>
              <w:rPr>
                <w:rFonts w:hint="eastAsia"/>
                <w:szCs w:val="21"/>
              </w:rPr>
              <w:t>同</w:t>
            </w:r>
            <w:r>
              <w:rPr>
                <w:szCs w:val="21"/>
              </w:rPr>
              <w:t>入焚烧炉内焚烧处理</w:t>
            </w:r>
            <w:r>
              <w:rPr>
                <w:rFonts w:hint="eastAsia"/>
                <w:szCs w:val="21"/>
              </w:rPr>
              <w:t>；</w:t>
            </w:r>
          </w:p>
          <w:p>
            <w:pPr>
              <w:adjustRightInd w:val="0"/>
              <w:snapToGrid w:val="0"/>
              <w:rPr>
                <w:szCs w:val="21"/>
              </w:rPr>
            </w:pPr>
            <w:r>
              <w:rPr>
                <w:szCs w:val="21"/>
              </w:rPr>
              <w:t>（</w:t>
            </w:r>
            <w:r>
              <w:rPr>
                <w:rFonts w:hint="eastAsia"/>
                <w:szCs w:val="21"/>
              </w:rPr>
              <w:t>5</w:t>
            </w:r>
            <w:r>
              <w:rPr>
                <w:szCs w:val="21"/>
              </w:rPr>
              <w:t>）危废交由有资质单位处置</w:t>
            </w: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地下水控制</w:t>
            </w:r>
          </w:p>
        </w:tc>
        <w:tc>
          <w:tcPr>
            <w:tcW w:w="3432" w:type="pct"/>
            <w:shd w:val="clear" w:color="auto" w:fill="auto"/>
            <w:vAlign w:val="center"/>
          </w:tcPr>
          <w:p>
            <w:pPr>
              <w:adjustRightInd w:val="0"/>
              <w:snapToGrid w:val="0"/>
              <w:rPr>
                <w:szCs w:val="21"/>
              </w:rPr>
            </w:pPr>
            <w:r>
              <w:rPr>
                <w:szCs w:val="21"/>
              </w:rPr>
              <w:t>将厂区划分为重点污染防治区、一般污染防治区域和非污染防治区并按照相关防渗标准进行分区防渗。建有4个地下水监测井</w:t>
            </w: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危废暂存间</w:t>
            </w:r>
          </w:p>
        </w:tc>
        <w:tc>
          <w:tcPr>
            <w:tcW w:w="3432" w:type="pct"/>
            <w:shd w:val="clear" w:color="auto" w:fill="auto"/>
            <w:vAlign w:val="center"/>
          </w:tcPr>
          <w:p>
            <w:pPr>
              <w:adjustRightInd w:val="0"/>
              <w:snapToGrid w:val="0"/>
              <w:rPr>
                <w:szCs w:val="21"/>
              </w:rPr>
            </w:pPr>
            <w:r>
              <w:rPr>
                <w:rFonts w:hint="eastAsia"/>
                <w:szCs w:val="21"/>
              </w:rPr>
              <w:t>设置危废间暂存间1</w:t>
            </w:r>
            <w:r>
              <w:rPr>
                <w:szCs w:val="21"/>
              </w:rPr>
              <w:t>座，</w:t>
            </w:r>
            <w:r>
              <w:rPr>
                <w:rFonts w:hint="eastAsia"/>
                <w:szCs w:val="21"/>
              </w:rPr>
              <w:t>占地面积为</w:t>
            </w:r>
            <w:r>
              <w:rPr>
                <w:szCs w:val="21"/>
              </w:rPr>
              <w:t>12m</w:t>
            </w:r>
            <w:r>
              <w:rPr>
                <w:szCs w:val="21"/>
                <w:vertAlign w:val="superscript"/>
              </w:rPr>
              <w:t>2</w:t>
            </w:r>
            <w:r>
              <w:rPr>
                <w:szCs w:val="21"/>
              </w:rPr>
              <w:t>，</w:t>
            </w:r>
            <w:r>
              <w:rPr>
                <w:rFonts w:hint="eastAsia"/>
                <w:szCs w:val="21"/>
              </w:rPr>
              <w:t>位于飞灰暂存库内。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8" w:hRule="atLeast"/>
        </w:trPr>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噪声控制</w:t>
            </w:r>
          </w:p>
        </w:tc>
        <w:tc>
          <w:tcPr>
            <w:tcW w:w="3432" w:type="pct"/>
            <w:shd w:val="clear" w:color="auto" w:fill="auto"/>
            <w:vAlign w:val="center"/>
          </w:tcPr>
          <w:p>
            <w:pPr>
              <w:adjustRightInd w:val="0"/>
              <w:snapToGrid w:val="0"/>
              <w:rPr>
                <w:szCs w:val="21"/>
              </w:rPr>
            </w:pPr>
            <w:r>
              <w:rPr>
                <w:szCs w:val="21"/>
              </w:rPr>
              <w:t>合理布局、安装消声器、厂房隔声减振等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82" w:type="pct"/>
            <w:vMerge w:val="continue"/>
            <w:shd w:val="clear" w:color="auto" w:fill="auto"/>
            <w:vAlign w:val="center"/>
          </w:tcPr>
          <w:p>
            <w:pPr>
              <w:adjustRightInd w:val="0"/>
              <w:snapToGrid w:val="0"/>
              <w:jc w:val="center"/>
              <w:rPr>
                <w:szCs w:val="21"/>
              </w:rPr>
            </w:pPr>
          </w:p>
        </w:tc>
        <w:tc>
          <w:tcPr>
            <w:tcW w:w="1086" w:type="pct"/>
            <w:shd w:val="clear" w:color="auto" w:fill="auto"/>
            <w:vAlign w:val="center"/>
          </w:tcPr>
          <w:p>
            <w:pPr>
              <w:adjustRightInd w:val="0"/>
              <w:snapToGrid w:val="0"/>
              <w:jc w:val="center"/>
              <w:rPr>
                <w:szCs w:val="21"/>
              </w:rPr>
            </w:pPr>
            <w:r>
              <w:rPr>
                <w:szCs w:val="21"/>
              </w:rPr>
              <w:t>绿化</w:t>
            </w:r>
            <w:r>
              <w:rPr>
                <w:rFonts w:hint="eastAsia"/>
                <w:szCs w:val="21"/>
              </w:rPr>
              <w:t>率</w:t>
            </w:r>
          </w:p>
        </w:tc>
        <w:tc>
          <w:tcPr>
            <w:tcW w:w="3432" w:type="pct"/>
            <w:shd w:val="clear" w:color="auto" w:fill="auto"/>
            <w:vAlign w:val="center"/>
          </w:tcPr>
          <w:p>
            <w:pPr>
              <w:adjustRightInd w:val="0"/>
              <w:snapToGrid w:val="0"/>
              <w:rPr>
                <w:szCs w:val="21"/>
              </w:rPr>
            </w:pPr>
            <w:r>
              <w:rPr>
                <w:szCs w:val="21"/>
              </w:rPr>
              <w:t>20</w:t>
            </w:r>
            <w:r>
              <w:rPr>
                <w:rFonts w:hint="eastAsia"/>
                <w:szCs w:val="21"/>
              </w:rPr>
              <w:t>%</w:t>
            </w:r>
          </w:p>
        </w:tc>
      </w:tr>
    </w:tbl>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依托工程渗滤液处理站</w:t>
      </w:r>
    </w:p>
    <w:p>
      <w:pPr>
        <w:widowControl/>
        <w:adjustRightInd w:val="0"/>
        <w:snapToGrid w:val="0"/>
        <w:spacing w:line="360" w:lineRule="auto"/>
        <w:ind w:firstLine="480" w:firstLineChars="200"/>
        <w:jc w:val="left"/>
        <w:rPr>
          <w:rFonts w:eastAsiaTheme="minorEastAsia" w:cstheme="minorBidi"/>
          <w:sz w:val="24"/>
          <w:szCs w:val="24"/>
        </w:rPr>
      </w:pPr>
      <w:r>
        <w:rPr>
          <w:rFonts w:hint="eastAsia" w:eastAsiaTheme="minorEastAsia" w:cstheme="minorBidi"/>
          <w:sz w:val="24"/>
          <w:szCs w:val="24"/>
        </w:rPr>
        <w:t>根据环境保护部</w:t>
      </w:r>
      <w:r>
        <w:rPr>
          <w:rFonts w:eastAsiaTheme="minorEastAsia" w:cstheme="minorBidi"/>
          <w:sz w:val="24"/>
          <w:szCs w:val="24"/>
        </w:rPr>
        <w:t>2010</w:t>
      </w:r>
      <w:r>
        <w:rPr>
          <w:rFonts w:hint="eastAsia" w:eastAsiaTheme="minorEastAsia" w:cstheme="minorBidi"/>
          <w:sz w:val="24"/>
          <w:szCs w:val="24"/>
        </w:rPr>
        <w:t>年</w:t>
      </w:r>
      <w:r>
        <w:rPr>
          <w:rFonts w:eastAsiaTheme="minorEastAsia" w:cstheme="minorBidi"/>
          <w:sz w:val="24"/>
          <w:szCs w:val="24"/>
        </w:rPr>
        <w:t>2</w:t>
      </w:r>
      <w:r>
        <w:rPr>
          <w:rFonts w:hint="eastAsia" w:eastAsiaTheme="minorEastAsia" w:cstheme="minorBidi"/>
          <w:sz w:val="24"/>
          <w:szCs w:val="24"/>
        </w:rPr>
        <w:t>月</w:t>
      </w:r>
      <w:r>
        <w:rPr>
          <w:rFonts w:eastAsiaTheme="minorEastAsia" w:cstheme="minorBidi"/>
          <w:sz w:val="24"/>
          <w:szCs w:val="24"/>
        </w:rPr>
        <w:t>3</w:t>
      </w:r>
      <w:r>
        <w:rPr>
          <w:rFonts w:hint="eastAsia" w:eastAsiaTheme="minorEastAsia" w:cstheme="minorBidi"/>
          <w:sz w:val="24"/>
          <w:szCs w:val="24"/>
        </w:rPr>
        <w:t>日发布的《生活垃圾填埋场渗滤液处理工程技术规范（试行）》（</w:t>
      </w:r>
      <w:r>
        <w:rPr>
          <w:rFonts w:eastAsiaTheme="minorEastAsia" w:cstheme="minorBidi"/>
          <w:sz w:val="24"/>
          <w:szCs w:val="24"/>
        </w:rPr>
        <w:t>HJ/T564-2010</w:t>
      </w:r>
      <w:r>
        <w:rPr>
          <w:rFonts w:hint="eastAsia" w:eastAsiaTheme="minorEastAsia" w:cstheme="minorBidi"/>
          <w:sz w:val="24"/>
          <w:szCs w:val="24"/>
        </w:rPr>
        <w:t>）要求：渗滤液处理推荐选用</w:t>
      </w:r>
      <w:r>
        <w:rPr>
          <w:rFonts w:eastAsiaTheme="minorEastAsia" w:cstheme="minorBidi"/>
          <w:sz w:val="24"/>
          <w:szCs w:val="24"/>
        </w:rPr>
        <w:t>“</w:t>
      </w:r>
      <w:r>
        <w:rPr>
          <w:rFonts w:hint="eastAsia" w:eastAsiaTheme="minorEastAsia" w:cstheme="minorBidi"/>
          <w:sz w:val="24"/>
          <w:szCs w:val="24"/>
        </w:rPr>
        <w:t>预处理＋生物处理＋深度处理</w:t>
      </w:r>
      <w:r>
        <w:rPr>
          <w:rFonts w:eastAsiaTheme="minorEastAsia" w:cstheme="minorBidi"/>
          <w:sz w:val="24"/>
          <w:szCs w:val="24"/>
        </w:rPr>
        <w:t>”</w:t>
      </w:r>
      <w:r>
        <w:rPr>
          <w:rFonts w:hint="eastAsia" w:eastAsiaTheme="minorEastAsia" w:cstheme="minorBidi"/>
          <w:sz w:val="24"/>
          <w:szCs w:val="24"/>
        </w:rPr>
        <w:t>组合工艺。</w:t>
      </w:r>
      <w:r>
        <w:rPr>
          <w:rFonts w:eastAsiaTheme="minorEastAsia" w:cstheme="minorBidi"/>
          <w:sz w:val="24"/>
          <w:szCs w:val="24"/>
        </w:rPr>
        <w:t>采用</w:t>
      </w:r>
      <w:r>
        <w:rPr>
          <w:rFonts w:hint="eastAsia" w:eastAsiaTheme="minorEastAsia" w:cstheme="minorBidi"/>
          <w:sz w:val="24"/>
          <w:szCs w:val="24"/>
        </w:rPr>
        <w:t>“</w:t>
      </w:r>
      <w:r>
        <w:rPr>
          <w:rFonts w:eastAsiaTheme="minorEastAsia" w:cstheme="minorBidi"/>
          <w:sz w:val="24"/>
          <w:szCs w:val="24"/>
        </w:rPr>
        <w:t>预处理+ UASB厌氧反应器+MBR生化处理系统+DTRO”的处理工艺</w:t>
      </w:r>
      <w:r>
        <w:rPr>
          <w:rFonts w:hint="eastAsia" w:eastAsiaTheme="minorEastAsia" w:cstheme="minorBidi"/>
          <w:sz w:val="24"/>
          <w:szCs w:val="24"/>
        </w:rPr>
        <w:t>完全符合环保部推荐要求。</w:t>
      </w:r>
    </w:p>
    <w:p>
      <w:pPr>
        <w:keepNext/>
        <w:keepLines/>
        <w:numPr>
          <w:ilvl w:val="3"/>
          <w:numId w:val="5"/>
        </w:numPr>
        <w:tabs>
          <w:tab w:val="left" w:pos="432"/>
          <w:tab w:val="left" w:pos="851"/>
          <w:tab w:val="left" w:pos="1247"/>
          <w:tab w:val="clear" w:pos="1389"/>
        </w:tabs>
        <w:adjustRightInd w:val="0"/>
        <w:snapToGrid w:val="0"/>
        <w:spacing w:before="120" w:beforeLines="50" w:after="120" w:afterLines="50" w:line="360" w:lineRule="auto"/>
        <w:ind w:left="1290" w:hanging="1290" w:hangingChars="459"/>
        <w:jc w:val="left"/>
        <w:outlineLvl w:val="3"/>
        <w:rPr>
          <w:b/>
          <w:bCs/>
          <w:snapToGrid w:val="0"/>
          <w:sz w:val="28"/>
          <w:szCs w:val="28"/>
        </w:rPr>
      </w:pPr>
      <w:r>
        <w:rPr>
          <w:b/>
          <w:bCs/>
          <w:snapToGrid w:val="0"/>
          <w:sz w:val="28"/>
          <w:szCs w:val="28"/>
        </w:rPr>
        <w:t>工艺流程简述</w:t>
      </w:r>
    </w:p>
    <w:p>
      <w:pPr>
        <w:widowControl/>
        <w:adjustRightInd w:val="0"/>
        <w:snapToGrid w:val="0"/>
        <w:spacing w:line="360" w:lineRule="auto"/>
        <w:ind w:firstLine="480" w:firstLineChars="200"/>
        <w:jc w:val="left"/>
        <w:rPr>
          <w:rFonts w:eastAsiaTheme="minorEastAsia" w:cstheme="minorBidi"/>
          <w:sz w:val="24"/>
          <w:szCs w:val="24"/>
        </w:rPr>
      </w:pPr>
      <w:r>
        <w:rPr>
          <w:rFonts w:eastAsiaTheme="minorEastAsia" w:cstheme="minorBidi"/>
          <w:sz w:val="24"/>
          <w:szCs w:val="24"/>
        </w:rPr>
        <w:t>渗滤液处理工艺流程简述如下：</w:t>
      </w:r>
    </w:p>
    <w:p>
      <w:pPr>
        <w:widowControl/>
        <w:adjustRightInd w:val="0"/>
        <w:snapToGrid w:val="0"/>
        <w:spacing w:line="360" w:lineRule="auto"/>
        <w:ind w:firstLine="480" w:firstLineChars="200"/>
        <w:jc w:val="left"/>
        <w:rPr>
          <w:rFonts w:asciiTheme="minorHAnsi" w:hAnsiTheme="minorHAnsi" w:eastAsiaTheme="minorEastAsia" w:cstheme="minorBidi"/>
          <w:sz w:val="24"/>
          <w:szCs w:val="24"/>
        </w:rPr>
      </w:pPr>
      <w:r>
        <w:rPr>
          <w:rFonts w:hint="eastAsia" w:eastAsiaTheme="minorEastAsia" w:cstheme="minorBidi"/>
          <w:sz w:val="24"/>
          <w:szCs w:val="24"/>
        </w:rPr>
        <w:t>1、</w:t>
      </w:r>
      <w:r>
        <w:rPr>
          <w:rFonts w:hint="eastAsia" w:asciiTheme="minorHAnsi" w:hAnsiTheme="minorHAnsi" w:eastAsiaTheme="minorEastAsia" w:cstheme="minorBidi"/>
          <w:sz w:val="24"/>
          <w:szCs w:val="24"/>
        </w:rPr>
        <w:t>预处理</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本项目预处理工艺采用混凝沉淀法，目的主要是去除无机杂质，改善渗滤液的可生化性。</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（1）垃圾贮坑中渗出垃圾渗滤液经导流引出沟流出，通过格栅除去渗滤液中的大颗粒悬浮物及漂浮物后进入渗滤液收集池。</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（2）收集池渗滤液经渗滤液输送泵输送进入混凝沉淀，进一步去除渗滤液中的颗粒悬浮物及无机物后进入渗滤液调节池。</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（3）通过调节池进行水量调节，同时调节池中设置潜水搅拌设备，实现均质均量，并且渗滤液中的有机物颗粒在调节池中发生水解作用，提高了废水的生化性。</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2、生物处理</w:t>
      </w:r>
      <w:r>
        <w:rPr>
          <w:rFonts w:asciiTheme="minorHAnsi" w:hAnsiTheme="minorHAnsi" w:eastAsiaTheme="minorEastAsia" w:cstheme="minorBidi"/>
          <w:sz w:val="24"/>
          <w:szCs w:val="24"/>
        </w:rPr>
        <w:t xml:space="preserve"> </w:t>
      </w:r>
    </w:p>
    <w:p>
      <w:pPr>
        <w:widowControl/>
        <w:adjustRightInd w:val="0"/>
        <w:snapToGrid w:val="0"/>
        <w:spacing w:line="360" w:lineRule="auto"/>
        <w:ind w:firstLine="480" w:firstLineChars="200"/>
        <w:jc w:val="left"/>
        <w:rPr>
          <w:rFonts w:eastAsiaTheme="minorEastAsia" w:cstheme="minorBidi"/>
          <w:sz w:val="24"/>
          <w:szCs w:val="24"/>
        </w:rPr>
      </w:pPr>
      <w:r>
        <w:rPr>
          <w:rFonts w:hint="eastAsia" w:eastAsiaTheme="minorEastAsia" w:cstheme="minorBidi"/>
          <w:sz w:val="24"/>
          <w:szCs w:val="24"/>
        </w:rPr>
        <w:t>本项目生物处理工艺采用厌氧生物处理法和好氧生物处理法，处理对象主要是渗滤液中的有机污染物和氮、磷等。厌氧生物处理工艺采用升流式厌氧污泥床法（</w:t>
      </w:r>
      <w:r>
        <w:rPr>
          <w:rFonts w:eastAsiaTheme="minorEastAsia" w:cstheme="minorBidi"/>
          <w:sz w:val="24"/>
          <w:szCs w:val="24"/>
        </w:rPr>
        <w:t>UASB</w:t>
      </w:r>
      <w:r>
        <w:rPr>
          <w:rFonts w:hint="eastAsia" w:eastAsiaTheme="minorEastAsia" w:cstheme="minorBidi"/>
          <w:sz w:val="24"/>
          <w:szCs w:val="24"/>
        </w:rPr>
        <w:t>），好氧处理工艺采用</w:t>
      </w:r>
      <w:r>
        <w:rPr>
          <w:rFonts w:eastAsiaTheme="minorEastAsia" w:cstheme="minorBidi"/>
          <w:sz w:val="24"/>
          <w:szCs w:val="24"/>
        </w:rPr>
        <w:t>MBR</w:t>
      </w:r>
      <w:r>
        <w:rPr>
          <w:rFonts w:hint="eastAsia" w:eastAsiaTheme="minorEastAsia" w:cstheme="minorBidi"/>
          <w:sz w:val="24"/>
          <w:szCs w:val="24"/>
        </w:rPr>
        <w:t>（两级</w:t>
      </w:r>
      <w:r>
        <w:rPr>
          <w:rFonts w:eastAsiaTheme="minorEastAsia" w:cstheme="minorBidi"/>
          <w:sz w:val="24"/>
          <w:szCs w:val="24"/>
        </w:rPr>
        <w:t>A/O+</w:t>
      </w:r>
      <w:r>
        <w:rPr>
          <w:rFonts w:hint="eastAsia" w:eastAsiaTheme="minorEastAsia" w:cstheme="minorBidi"/>
          <w:sz w:val="24"/>
          <w:szCs w:val="24"/>
        </w:rPr>
        <w:t>超滤）法。</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（1）中间加温水池渗滤液经厌氧进水泵提升进入</w:t>
      </w:r>
      <w:r>
        <w:rPr>
          <w:rFonts w:asciiTheme="minorHAnsi" w:hAnsiTheme="minorHAnsi" w:eastAsiaTheme="minorEastAsia" w:cstheme="minorBidi"/>
          <w:sz w:val="24"/>
          <w:szCs w:val="24"/>
        </w:rPr>
        <w:t>UASB</w:t>
      </w:r>
      <w:r>
        <w:rPr>
          <w:rFonts w:hint="eastAsia" w:asciiTheme="minorHAnsi" w:hAnsiTheme="minorHAnsi" w:eastAsiaTheme="minorEastAsia" w:cstheme="minorBidi"/>
          <w:sz w:val="24"/>
          <w:szCs w:val="24"/>
        </w:rPr>
        <w:t>厌氧反应器，进行厌氧发酵处理，打开废水污染物中高分子物质的链节或苯环，将大分子难降解有机物分解成较易生物降解的小分子有机物质，并最终转化为甲烷、二氧化碳和水。</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（2）经</w:t>
      </w:r>
      <w:r>
        <w:rPr>
          <w:rFonts w:asciiTheme="minorHAnsi" w:hAnsiTheme="minorHAnsi" w:eastAsiaTheme="minorEastAsia" w:cstheme="minorBidi"/>
          <w:sz w:val="24"/>
          <w:szCs w:val="24"/>
        </w:rPr>
        <w:t>UASB</w:t>
      </w:r>
      <w:r>
        <w:rPr>
          <w:rFonts w:hint="eastAsia" w:asciiTheme="minorHAnsi" w:hAnsiTheme="minorHAnsi" w:eastAsiaTheme="minorEastAsia" w:cstheme="minorBidi"/>
          <w:sz w:val="24"/>
          <w:szCs w:val="24"/>
        </w:rPr>
        <w:t>厌氧反应器处理的渗滤液出水，自流依次进入缺氧</w:t>
      </w:r>
      <w:r>
        <w:rPr>
          <w:rFonts w:asciiTheme="minorHAnsi" w:hAnsiTheme="minorHAnsi" w:eastAsiaTheme="minorEastAsia" w:cstheme="minorBidi"/>
          <w:sz w:val="24"/>
          <w:szCs w:val="24"/>
        </w:rPr>
        <w:t>/</w:t>
      </w:r>
      <w:r>
        <w:rPr>
          <w:rFonts w:hint="eastAsia" w:asciiTheme="minorHAnsi" w:hAnsiTheme="minorHAnsi" w:eastAsiaTheme="minorEastAsia" w:cstheme="minorBidi"/>
          <w:sz w:val="24"/>
          <w:szCs w:val="24"/>
        </w:rPr>
        <w:t>好氧（</w:t>
      </w:r>
      <w:r>
        <w:rPr>
          <w:rFonts w:asciiTheme="minorHAnsi" w:hAnsiTheme="minorHAnsi" w:eastAsiaTheme="minorEastAsia" w:cstheme="minorBidi"/>
          <w:sz w:val="24"/>
          <w:szCs w:val="24"/>
        </w:rPr>
        <w:t>A/O</w:t>
      </w:r>
      <w:r>
        <w:rPr>
          <w:rFonts w:hint="eastAsia" w:asciiTheme="minorHAnsi" w:hAnsiTheme="minorHAnsi" w:eastAsiaTheme="minorEastAsia" w:cstheme="minorBidi"/>
          <w:sz w:val="24"/>
          <w:szCs w:val="24"/>
        </w:rPr>
        <w:t>）生化系统。渗滤液在硝化池好氧（</w:t>
      </w:r>
      <w:r>
        <w:rPr>
          <w:rFonts w:asciiTheme="minorHAnsi" w:hAnsiTheme="minorHAnsi" w:eastAsiaTheme="minorEastAsia" w:cstheme="minorBidi"/>
          <w:sz w:val="24"/>
          <w:szCs w:val="24"/>
        </w:rPr>
        <w:t>O</w:t>
      </w:r>
      <w:r>
        <w:rPr>
          <w:rFonts w:hint="eastAsia" w:asciiTheme="minorHAnsi" w:hAnsiTheme="minorHAnsi" w:eastAsiaTheme="minorEastAsia" w:cstheme="minorBidi"/>
          <w:sz w:val="24"/>
          <w:szCs w:val="24"/>
        </w:rPr>
        <w:t>段）的条件下，硝化菌将氨氮氧化成硝态氮。硝化池中处理的渗滤液经大回流量回流反硝化池，与渗滤液进入原液混合，在反硝化池缺氧（</w:t>
      </w:r>
      <w:r>
        <w:rPr>
          <w:rFonts w:asciiTheme="minorHAnsi" w:hAnsiTheme="minorHAnsi" w:eastAsiaTheme="minorEastAsia" w:cstheme="minorBidi"/>
          <w:sz w:val="24"/>
          <w:szCs w:val="24"/>
        </w:rPr>
        <w:t>A</w:t>
      </w:r>
      <w:r>
        <w:rPr>
          <w:rFonts w:hint="eastAsia" w:asciiTheme="minorHAnsi" w:hAnsiTheme="minorHAnsi" w:eastAsiaTheme="minorEastAsia" w:cstheme="minorBidi"/>
          <w:sz w:val="24"/>
          <w:szCs w:val="24"/>
        </w:rPr>
        <w:t>段）的条件下，反硝化菌将硝态还原成氮气脱出。通过两段</w:t>
      </w:r>
      <w:r>
        <w:rPr>
          <w:rFonts w:asciiTheme="minorHAnsi" w:hAnsiTheme="minorHAnsi" w:eastAsiaTheme="minorEastAsia" w:cstheme="minorBidi"/>
          <w:sz w:val="24"/>
          <w:szCs w:val="24"/>
        </w:rPr>
        <w:t>A/O</w:t>
      </w:r>
      <w:r>
        <w:rPr>
          <w:rFonts w:hint="eastAsia" w:asciiTheme="minorHAnsi" w:hAnsiTheme="minorHAnsi" w:eastAsiaTheme="minorEastAsia" w:cstheme="minorBidi"/>
          <w:sz w:val="24"/>
          <w:szCs w:val="24"/>
        </w:rPr>
        <w:t>系统在缺氧、好氧状态交替处理，达到去除大部分的有机物及脱氮目的。其中二级作为强化硝化反硝化设计，确保氨氮及总氮的水质处理要求。</w:t>
      </w:r>
      <w:r>
        <w:rPr>
          <w:rFonts w:asciiTheme="minorHAnsi" w:hAnsiTheme="minorHAnsi" w:eastAsiaTheme="minorEastAsia" w:cstheme="minorBidi"/>
          <w:sz w:val="24"/>
          <w:szCs w:val="24"/>
        </w:rPr>
        <w:t xml:space="preserve"> </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hint="eastAsia" w:asciiTheme="minorHAnsi" w:hAnsiTheme="minorHAnsi" w:eastAsiaTheme="minorEastAsia" w:cstheme="minorBidi"/>
          <w:sz w:val="24"/>
          <w:szCs w:val="24"/>
        </w:rPr>
        <w:t>（3）经两段</w:t>
      </w:r>
      <w:r>
        <w:rPr>
          <w:rFonts w:asciiTheme="minorHAnsi" w:hAnsiTheme="minorHAnsi" w:eastAsiaTheme="minorEastAsia" w:cstheme="minorBidi"/>
          <w:sz w:val="24"/>
          <w:szCs w:val="24"/>
        </w:rPr>
        <w:t>A/O</w:t>
      </w:r>
      <w:r>
        <w:rPr>
          <w:rFonts w:hint="eastAsia" w:asciiTheme="minorHAnsi" w:hAnsiTheme="minorHAnsi" w:eastAsiaTheme="minorEastAsia" w:cstheme="minorBidi"/>
          <w:sz w:val="24"/>
          <w:szCs w:val="24"/>
        </w:rPr>
        <w:t>生化系统处理出水，通过</w:t>
      </w:r>
      <w:r>
        <w:rPr>
          <w:rFonts w:asciiTheme="minorHAnsi" w:hAnsiTheme="minorHAnsi" w:eastAsiaTheme="minorEastAsia" w:cstheme="minorBidi"/>
          <w:sz w:val="24"/>
          <w:szCs w:val="24"/>
        </w:rPr>
        <w:t>UF</w:t>
      </w:r>
      <w:r>
        <w:rPr>
          <w:rFonts w:hint="eastAsia" w:asciiTheme="minorHAnsi" w:hAnsiTheme="minorHAnsi" w:eastAsiaTheme="minorEastAsia" w:cstheme="minorBidi"/>
          <w:sz w:val="24"/>
          <w:szCs w:val="24"/>
        </w:rPr>
        <w:t>超滤系统进水泵加压进入外置</w:t>
      </w:r>
      <w:r>
        <w:rPr>
          <w:rFonts w:asciiTheme="minorHAnsi" w:hAnsiTheme="minorHAnsi" w:eastAsiaTheme="minorEastAsia" w:cstheme="minorBidi"/>
          <w:sz w:val="24"/>
          <w:szCs w:val="24"/>
        </w:rPr>
        <w:t>MBR</w:t>
      </w:r>
      <w:r>
        <w:rPr>
          <w:rFonts w:hint="eastAsia" w:asciiTheme="minorHAnsi" w:hAnsiTheme="minorHAnsi" w:eastAsiaTheme="minorEastAsia" w:cstheme="minorBidi"/>
          <w:sz w:val="24"/>
          <w:szCs w:val="24"/>
        </w:rPr>
        <w:t>超滤膜系统进行泥水分离，水中大部分的颗粒和胶体有机物被截留，出水进入纳滤系统处理进水池。</w:t>
      </w:r>
      <w:r>
        <w:rPr>
          <w:rFonts w:asciiTheme="minorHAnsi" w:hAnsiTheme="minorHAnsi" w:eastAsiaTheme="minorEastAsia" w:cstheme="minorBidi"/>
          <w:sz w:val="24"/>
          <w:szCs w:val="24"/>
        </w:rPr>
        <w:t xml:space="preserve"> </w:t>
      </w:r>
    </w:p>
    <w:p>
      <w:pPr>
        <w:widowControl/>
        <w:adjustRightInd w:val="0"/>
        <w:snapToGrid w:val="0"/>
        <w:spacing w:line="360" w:lineRule="auto"/>
        <w:ind w:firstLine="480" w:firstLineChars="200"/>
        <w:jc w:val="left"/>
        <w:rPr>
          <w:rFonts w:eastAsiaTheme="minorEastAsia" w:cstheme="minorBidi"/>
          <w:sz w:val="24"/>
          <w:szCs w:val="24"/>
        </w:rPr>
      </w:pPr>
      <w:r>
        <w:rPr>
          <w:rFonts w:hint="eastAsia" w:eastAsiaTheme="minorEastAsia" w:cstheme="minorBidi"/>
          <w:sz w:val="24"/>
          <w:szCs w:val="24"/>
        </w:rPr>
        <w:t>3、深度处理</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asciiTheme="minorHAnsi" w:hAnsiTheme="minorHAnsi" w:eastAsiaTheme="minorEastAsia" w:cstheme="minorBidi"/>
          <w:sz w:val="24"/>
          <w:szCs w:val="24"/>
        </w:rPr>
        <w:t>MBR出水通过DTRO进水泵泵入</w:t>
      </w:r>
      <w:r>
        <w:rPr>
          <w:rFonts w:hint="eastAsia" w:asciiTheme="minorHAnsi" w:hAnsiTheme="minorHAnsi" w:eastAsiaTheme="minorEastAsia" w:cstheme="minorBidi"/>
          <w:sz w:val="24"/>
          <w:szCs w:val="24"/>
        </w:rPr>
        <w:t>，通过</w:t>
      </w:r>
      <w:r>
        <w:rPr>
          <w:rFonts w:asciiTheme="minorHAnsi" w:hAnsiTheme="minorHAnsi" w:eastAsiaTheme="minorEastAsia" w:cstheme="minorBidi"/>
          <w:sz w:val="24"/>
          <w:szCs w:val="24"/>
        </w:rPr>
        <w:t>酸储罐调节pH值</w:t>
      </w:r>
      <w:r>
        <w:rPr>
          <w:rFonts w:hint="eastAsia" w:asciiTheme="minorHAnsi" w:hAnsiTheme="minorHAnsi" w:eastAsiaTheme="minorEastAsia" w:cstheme="minorBidi"/>
          <w:sz w:val="24"/>
          <w:szCs w:val="24"/>
        </w:rPr>
        <w:t>（</w:t>
      </w:r>
      <w:r>
        <w:rPr>
          <w:rFonts w:asciiTheme="minorHAnsi" w:hAnsiTheme="minorHAnsi" w:eastAsiaTheme="minorEastAsia" w:cstheme="minorBidi"/>
          <w:sz w:val="24"/>
          <w:szCs w:val="24"/>
        </w:rPr>
        <w:t>6.1～6.5</w:t>
      </w:r>
      <w:r>
        <w:rPr>
          <w:rFonts w:hint="eastAsia" w:asciiTheme="minorHAnsi" w:hAnsiTheme="minorHAnsi" w:eastAsiaTheme="minorEastAsia" w:cstheme="minorBidi"/>
          <w:sz w:val="24"/>
          <w:szCs w:val="24"/>
        </w:rPr>
        <w:t>）后</w:t>
      </w:r>
      <w:r>
        <w:rPr>
          <w:rFonts w:asciiTheme="minorHAnsi" w:hAnsiTheme="minorHAnsi" w:eastAsiaTheme="minorEastAsia" w:cstheme="minorBidi"/>
          <w:sz w:val="24"/>
          <w:szCs w:val="24"/>
        </w:rPr>
        <w:t>泵入DTRO膜柱件，</w:t>
      </w:r>
      <w:r>
        <w:rPr>
          <w:rFonts w:hint="eastAsia" w:asciiTheme="minorHAnsi" w:hAnsiTheme="minorHAnsi" w:eastAsiaTheme="minorEastAsia" w:cstheme="minorBidi"/>
          <w:sz w:val="24"/>
          <w:szCs w:val="24"/>
        </w:rPr>
        <w:t>经</w:t>
      </w:r>
      <w:r>
        <w:rPr>
          <w:rFonts w:asciiTheme="minorHAnsi" w:hAnsiTheme="minorHAnsi" w:eastAsiaTheme="minorEastAsia" w:cstheme="minorBidi"/>
          <w:sz w:val="24"/>
          <w:szCs w:val="24"/>
        </w:rPr>
        <w:t>保安袋滤器</w:t>
      </w:r>
      <w:r>
        <w:rPr>
          <w:rFonts w:hint="eastAsia" w:asciiTheme="minorHAnsi" w:hAnsiTheme="minorHAnsi" w:eastAsiaTheme="minorEastAsia" w:cstheme="minorBidi"/>
          <w:sz w:val="24"/>
          <w:szCs w:val="24"/>
        </w:rPr>
        <w:t>过滤后</w:t>
      </w:r>
      <w:r>
        <w:rPr>
          <w:rFonts w:asciiTheme="minorHAnsi" w:hAnsiTheme="minorHAnsi" w:eastAsiaTheme="minorEastAsia" w:cstheme="minorBidi"/>
          <w:sz w:val="24"/>
          <w:szCs w:val="24"/>
        </w:rPr>
        <w:t>进入高压柱塞泵。经高压泵加压后的出水进入DTRO膜柱，</w:t>
      </w:r>
    </w:p>
    <w:p>
      <w:pPr>
        <w:widowControl/>
        <w:snapToGrid w:val="0"/>
        <w:spacing w:line="360" w:lineRule="auto"/>
        <w:ind w:firstLine="480" w:firstLineChars="200"/>
        <w:jc w:val="left"/>
        <w:rPr>
          <w:rFonts w:asciiTheme="minorHAnsi" w:hAnsiTheme="minorHAnsi" w:eastAsiaTheme="minorEastAsia" w:cstheme="minorBidi"/>
          <w:sz w:val="24"/>
          <w:szCs w:val="24"/>
        </w:rPr>
      </w:pPr>
      <w:r>
        <w:rPr>
          <w:rFonts w:asciiTheme="minorHAnsi" w:hAnsiTheme="minorHAnsi" w:eastAsiaTheme="minorEastAsia" w:cstheme="minorBidi"/>
          <w:sz w:val="24"/>
          <w:szCs w:val="24"/>
        </w:rPr>
        <w:t>膜出水分为浓缩液和透过液两部分，浓缩液排入浓缩液池，透过液进入清水储罐，满足自身清洗需要，多余的水排入出水调节池</w:t>
      </w:r>
      <w:r>
        <w:rPr>
          <w:rFonts w:hint="eastAsia" w:asciiTheme="minorHAnsi" w:hAnsiTheme="minorHAnsi" w:eastAsiaTheme="minorEastAsia" w:cstheme="minorBidi"/>
          <w:sz w:val="24"/>
          <w:szCs w:val="24"/>
        </w:rPr>
        <w:t>后回用</w:t>
      </w:r>
      <w:r>
        <w:rPr>
          <w:rFonts w:asciiTheme="minorHAnsi" w:hAnsiTheme="minorHAnsi" w:eastAsiaTheme="minorEastAsia" w:cstheme="minorBidi"/>
          <w:sz w:val="24"/>
          <w:szCs w:val="24"/>
        </w:rPr>
        <w:t>，系统回收率为80％。</w:t>
      </w:r>
      <w:r>
        <w:rPr>
          <w:rFonts w:hint="eastAsia" w:asciiTheme="minorHAnsi" w:hAnsiTheme="minorHAnsi" w:eastAsiaTheme="minorEastAsia" w:cstheme="minorBidi"/>
          <w:sz w:val="24"/>
          <w:szCs w:val="24"/>
        </w:rPr>
        <w:t>经处理后清液满足《城市污水再生利用</w:t>
      </w:r>
      <w:r>
        <w:rPr>
          <w:rFonts w:asciiTheme="minorHAnsi" w:hAnsiTheme="minorHAnsi" w:eastAsiaTheme="minorEastAsia" w:cstheme="minorBidi"/>
          <w:sz w:val="24"/>
          <w:szCs w:val="24"/>
        </w:rPr>
        <w:t xml:space="preserve"> </w:t>
      </w:r>
      <w:r>
        <w:rPr>
          <w:rFonts w:hint="eastAsia" w:asciiTheme="minorHAnsi" w:hAnsiTheme="minorHAnsi" w:eastAsiaTheme="minorEastAsia" w:cstheme="minorBidi"/>
          <w:sz w:val="24"/>
          <w:szCs w:val="24"/>
        </w:rPr>
        <w:t>工业用水水质》（</w:t>
      </w:r>
      <w:r>
        <w:rPr>
          <w:rFonts w:asciiTheme="minorHAnsi" w:hAnsiTheme="minorHAnsi" w:eastAsiaTheme="minorEastAsia" w:cstheme="minorBidi"/>
          <w:sz w:val="24"/>
          <w:szCs w:val="24"/>
        </w:rPr>
        <w:t>GB/T19923-2005</w:t>
      </w:r>
      <w:r>
        <w:rPr>
          <w:rFonts w:hint="eastAsia" w:asciiTheme="minorHAnsi" w:hAnsiTheme="minorHAnsi" w:eastAsiaTheme="minorEastAsia" w:cstheme="minorBidi"/>
          <w:sz w:val="24"/>
          <w:szCs w:val="24"/>
        </w:rPr>
        <w:t>）中敞开式循环冷却水系统补充水、锅炉补给水的水质要求后作为循环冷却水补水，浓水用于石灰浆制备或焚烧。</w:t>
      </w:r>
    </w:p>
    <w:p>
      <w:pPr>
        <w:widowControl/>
        <w:adjustRightInd w:val="0"/>
        <w:snapToGrid w:val="0"/>
        <w:spacing w:line="360" w:lineRule="auto"/>
        <w:ind w:firstLine="480" w:firstLineChars="200"/>
        <w:jc w:val="left"/>
        <w:rPr>
          <w:rFonts w:eastAsiaTheme="minorEastAsia" w:cstheme="minorBidi"/>
          <w:sz w:val="24"/>
          <w:szCs w:val="24"/>
        </w:rPr>
      </w:pPr>
      <w:r>
        <w:rPr>
          <w:rFonts w:hint="eastAsia" w:eastAsiaTheme="minorEastAsia" w:cstheme="minorBidi"/>
          <w:sz w:val="24"/>
          <w:szCs w:val="24"/>
        </w:rPr>
        <w:t>4、污泥处置</w:t>
      </w:r>
    </w:p>
    <w:p>
      <w:pPr>
        <w:widowControl/>
        <w:adjustRightInd w:val="0"/>
        <w:snapToGrid w:val="0"/>
        <w:spacing w:line="360" w:lineRule="auto"/>
        <w:ind w:firstLine="480" w:firstLineChars="200"/>
        <w:jc w:val="left"/>
        <w:rPr>
          <w:rFonts w:eastAsiaTheme="minorEastAsia" w:cstheme="minorBidi"/>
          <w:sz w:val="24"/>
          <w:szCs w:val="24"/>
        </w:rPr>
      </w:pPr>
      <w:r>
        <w:rPr>
          <w:rFonts w:eastAsiaTheme="minorEastAsia" w:cstheme="minorBidi"/>
          <w:sz w:val="24"/>
          <w:szCs w:val="24"/>
        </w:rPr>
        <w:t>垃圾渗滤液处理系统的污泥主要来于沉淀池排出的物化污泥及UASB厌氧反应器、反硝化池、硝化池排出的剩余污泥。各系统排出的污泥首先进入污泥池，污泥经污泥泵提升进入污泥浓缩池，经过污泥的重力浓缩处理，浓缩污泥通过污泥脱水机脱水处理后，将污泥的含水率降至75%～80%，</w:t>
      </w:r>
      <w:r>
        <w:rPr>
          <w:rFonts w:hint="eastAsia" w:eastAsiaTheme="minorEastAsia" w:cstheme="minorBidi"/>
          <w:sz w:val="24"/>
          <w:szCs w:val="24"/>
        </w:rPr>
        <w:t>脱水机每天排泥</w:t>
      </w:r>
      <w:r>
        <w:rPr>
          <w:rFonts w:eastAsiaTheme="minorEastAsia" w:cstheme="minorBidi"/>
          <w:sz w:val="24"/>
          <w:szCs w:val="24"/>
        </w:rPr>
        <w:t>运至垃圾池，与生活垃圾一起通过焚烧炉焚烧处置。</w:t>
      </w:r>
    </w:p>
    <w:p>
      <w:pPr>
        <w:widowControl/>
        <w:adjustRightInd w:val="0"/>
        <w:snapToGrid w:val="0"/>
        <w:spacing w:line="360" w:lineRule="auto"/>
        <w:ind w:firstLine="480" w:firstLineChars="200"/>
        <w:jc w:val="left"/>
        <w:rPr>
          <w:rFonts w:eastAsiaTheme="minorEastAsia" w:cstheme="minorBidi"/>
          <w:sz w:val="24"/>
          <w:szCs w:val="24"/>
        </w:rPr>
      </w:pPr>
      <w:r>
        <w:rPr>
          <w:rFonts w:hint="eastAsia" w:eastAsiaTheme="minorEastAsia" w:cstheme="minorBidi"/>
          <w:sz w:val="24"/>
          <w:szCs w:val="24"/>
        </w:rPr>
        <w:t>工艺流程图见图</w:t>
      </w:r>
      <w:r>
        <w:rPr>
          <w:rFonts w:eastAsiaTheme="minorEastAsia" w:cstheme="minorBidi"/>
          <w:sz w:val="24"/>
          <w:szCs w:val="24"/>
        </w:rPr>
        <w:t>3.8-1</w:t>
      </w:r>
      <w:r>
        <w:rPr>
          <w:rFonts w:hint="eastAsia" w:eastAsiaTheme="minorEastAsia" w:cstheme="minorBidi"/>
          <w:sz w:val="24"/>
          <w:szCs w:val="24"/>
        </w:rPr>
        <w:t>。</w:t>
      </w:r>
    </w:p>
    <w:p>
      <w:pPr>
        <w:widowControl/>
        <w:jc w:val="left"/>
        <w:rPr>
          <w:rFonts w:ascii="宋体" w:hAnsi="宋体" w:cs="宋体"/>
          <w:kern w:val="0"/>
          <w:sz w:val="24"/>
          <w:szCs w:val="24"/>
        </w:rPr>
      </w:pPr>
      <w:r>
        <w:rPr>
          <w:szCs w:val="21"/>
        </w:rPr>
        <w:drawing>
          <wp:inline distT="0" distB="0" distL="0" distR="0">
            <wp:extent cx="5271770" cy="6371590"/>
            <wp:effectExtent l="0" t="0" r="5080" b="0"/>
            <wp:docPr id="22" name="图片 22" descr="d797d13e2ed9dd17ecdcc96166c7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797d13e2ed9dd17ecdcc96166c76fc"/>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72738" cy="6372941"/>
                    </a:xfrm>
                    <a:prstGeom prst="rect">
                      <a:avLst/>
                    </a:prstGeom>
                  </pic:spPr>
                </pic:pic>
              </a:graphicData>
            </a:graphic>
          </wp:inline>
        </w:drawing>
      </w:r>
    </w:p>
    <w:p>
      <w:pPr>
        <w:jc w:val="center"/>
        <w:rPr>
          <w:sz w:val="24"/>
          <w:szCs w:val="24"/>
        </w:rPr>
      </w:pPr>
      <w:r>
        <w:rPr>
          <w:b/>
          <w:sz w:val="24"/>
          <w:szCs w:val="24"/>
        </w:rPr>
        <w:t xml:space="preserve">图3.8-1  </w:t>
      </w:r>
      <w:r>
        <w:rPr>
          <w:rFonts w:hint="eastAsia"/>
          <w:b/>
          <w:sz w:val="24"/>
          <w:szCs w:val="24"/>
        </w:rPr>
        <w:t>本项目渗滤液</w:t>
      </w:r>
      <w:r>
        <w:rPr>
          <w:b/>
          <w:sz w:val="24"/>
          <w:szCs w:val="24"/>
        </w:rPr>
        <w:t>处理工艺流程图</w:t>
      </w:r>
    </w:p>
    <w:p>
      <w:pPr>
        <w:keepNext/>
        <w:keepLines/>
        <w:numPr>
          <w:ilvl w:val="3"/>
          <w:numId w:val="5"/>
        </w:numPr>
        <w:tabs>
          <w:tab w:val="left" w:pos="432"/>
          <w:tab w:val="left" w:pos="851"/>
          <w:tab w:val="left" w:pos="1247"/>
          <w:tab w:val="clear" w:pos="1389"/>
        </w:tabs>
        <w:adjustRightInd w:val="0"/>
        <w:snapToGrid w:val="0"/>
        <w:spacing w:before="120" w:beforeLines="50" w:after="120" w:afterLines="50"/>
        <w:ind w:left="964"/>
        <w:jc w:val="left"/>
        <w:outlineLvl w:val="3"/>
        <w:rPr>
          <w:b/>
          <w:bCs/>
          <w:snapToGrid w:val="0"/>
          <w:sz w:val="28"/>
          <w:szCs w:val="28"/>
        </w:rPr>
      </w:pPr>
      <w:r>
        <w:rPr>
          <w:b/>
          <w:bCs/>
          <w:snapToGrid w:val="0"/>
          <w:sz w:val="28"/>
          <w:szCs w:val="28"/>
        </w:rPr>
        <w:t>处理效果</w:t>
      </w:r>
    </w:p>
    <w:p>
      <w:pPr>
        <w:adjustRightInd w:val="0"/>
        <w:snapToGrid w:val="0"/>
        <w:spacing w:line="360" w:lineRule="auto"/>
        <w:ind w:firstLine="480" w:firstLineChars="200"/>
        <w:rPr>
          <w:sz w:val="24"/>
        </w:rPr>
      </w:pPr>
      <w:r>
        <w:rPr>
          <w:rFonts w:hint="eastAsia"/>
          <w:sz w:val="24"/>
          <w:szCs w:val="24"/>
        </w:rPr>
        <w:t>围场生活垃圾焚烧发电项目废水处理工艺</w:t>
      </w:r>
      <w:r>
        <w:rPr>
          <w:sz w:val="24"/>
          <w:szCs w:val="24"/>
        </w:rPr>
        <w:t>各处理单元去除效率见表3.8-2，由表可见，</w:t>
      </w:r>
      <w:r>
        <w:rPr>
          <w:rFonts w:hint="eastAsia"/>
          <w:sz w:val="24"/>
        </w:rPr>
        <w:t>生产废水</w:t>
      </w:r>
      <w:r>
        <w:rPr>
          <w:sz w:val="24"/>
        </w:rPr>
        <w:t>汇集进入</w:t>
      </w:r>
      <w:r>
        <w:rPr>
          <w:rFonts w:hint="eastAsia"/>
          <w:sz w:val="24"/>
        </w:rPr>
        <w:t>渗滤液</w:t>
      </w:r>
      <w:r>
        <w:rPr>
          <w:sz w:val="24"/>
        </w:rPr>
        <w:t>处理系统，经</w:t>
      </w:r>
      <w:r>
        <w:rPr>
          <w:rFonts w:hint="eastAsia"/>
          <w:sz w:val="24"/>
        </w:rPr>
        <w:t>“</w:t>
      </w:r>
      <w:r>
        <w:rPr>
          <w:sz w:val="24"/>
        </w:rPr>
        <w:t>预处理+ UASB厌氧反应器+MBR生化处理系统+DTRO</w:t>
      </w:r>
      <w:r>
        <w:rPr>
          <w:rFonts w:hint="eastAsia"/>
          <w:sz w:val="24"/>
        </w:rPr>
        <w:t>”</w:t>
      </w:r>
      <w:r>
        <w:rPr>
          <w:sz w:val="24"/>
        </w:rPr>
        <w:t>组合工艺处理后，出水满足</w:t>
      </w:r>
      <w:r>
        <w:rPr>
          <w:rFonts w:hint="eastAsia"/>
          <w:sz w:val="24"/>
        </w:rPr>
        <w:t>《城市污水再生利用</w:t>
      </w:r>
      <w:r>
        <w:rPr>
          <w:sz w:val="24"/>
        </w:rPr>
        <w:t xml:space="preserve"> </w:t>
      </w:r>
      <w:r>
        <w:rPr>
          <w:rFonts w:hint="eastAsia"/>
          <w:sz w:val="24"/>
        </w:rPr>
        <w:t>工业用水水质》（</w:t>
      </w:r>
      <w:r>
        <w:rPr>
          <w:sz w:val="24"/>
        </w:rPr>
        <w:t>GB19923-2005</w:t>
      </w:r>
      <w:r>
        <w:rPr>
          <w:rFonts w:hint="eastAsia"/>
          <w:sz w:val="24"/>
        </w:rPr>
        <w:t>）中敞开式循环冷却水系统补充水、锅炉补给水的水质要求后回用，设计处理工艺在技术上是可行的。</w:t>
      </w:r>
    </w:p>
    <w:p>
      <w:pPr>
        <w:adjustRightInd w:val="0"/>
        <w:snapToGrid w:val="0"/>
        <w:spacing w:line="360" w:lineRule="auto"/>
        <w:jc w:val="center"/>
        <w:rPr>
          <w:b/>
          <w:sz w:val="24"/>
          <w:szCs w:val="24"/>
        </w:rPr>
        <w:sectPr>
          <w:headerReference r:id="rId9" w:type="default"/>
          <w:footerReference r:id="rId10" w:type="default"/>
          <w:pgSz w:w="11906" w:h="16838"/>
          <w:pgMar w:top="1440" w:right="1800" w:bottom="1440" w:left="1800" w:header="851" w:footer="992" w:gutter="0"/>
          <w:cols w:space="425" w:num="1"/>
          <w:docGrid w:linePitch="312" w:charSpace="0"/>
        </w:sectPr>
      </w:pPr>
    </w:p>
    <w:p>
      <w:pPr>
        <w:adjustRightInd w:val="0"/>
        <w:snapToGrid w:val="0"/>
        <w:spacing w:line="360" w:lineRule="auto"/>
        <w:jc w:val="center"/>
        <w:rPr>
          <w:b/>
          <w:sz w:val="24"/>
          <w:szCs w:val="24"/>
        </w:rPr>
      </w:pPr>
      <w:r>
        <w:rPr>
          <w:b/>
          <w:sz w:val="24"/>
          <w:szCs w:val="24"/>
        </w:rPr>
        <w:t xml:space="preserve">表3.8-2  </w:t>
      </w:r>
      <w:r>
        <w:rPr>
          <w:rFonts w:hint="eastAsia"/>
          <w:b/>
          <w:sz w:val="24"/>
          <w:szCs w:val="24"/>
        </w:rPr>
        <w:t>垃圾焚烧厂项目</w:t>
      </w:r>
      <w:r>
        <w:rPr>
          <w:b/>
          <w:sz w:val="24"/>
          <w:szCs w:val="24"/>
        </w:rPr>
        <w:t>废水处理各处理单元去除效率表</w:t>
      </w:r>
    </w:p>
    <w:tbl>
      <w:tblPr>
        <w:tblStyle w:val="39"/>
        <w:tblW w:w="504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53"/>
        <w:gridCol w:w="1016"/>
        <w:gridCol w:w="1204"/>
        <w:gridCol w:w="1204"/>
        <w:gridCol w:w="1203"/>
        <w:gridCol w:w="1203"/>
        <w:gridCol w:w="1203"/>
        <w:gridCol w:w="1203"/>
        <w:gridCol w:w="1203"/>
        <w:gridCol w:w="1203"/>
        <w:gridCol w:w="1203"/>
        <w:gridCol w:w="11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tblHeader/>
          <w:jc w:val="center"/>
        </w:trPr>
        <w:tc>
          <w:tcPr>
            <w:tcW w:w="793" w:type="pct"/>
            <w:gridSpan w:val="2"/>
            <w:vAlign w:val="center"/>
          </w:tcPr>
          <w:p>
            <w:pPr>
              <w:widowControl/>
              <w:adjustRightInd w:val="0"/>
              <w:snapToGrid w:val="0"/>
              <w:jc w:val="center"/>
              <w:rPr>
                <w:b/>
                <w:kern w:val="0"/>
                <w:szCs w:val="21"/>
              </w:rPr>
            </w:pPr>
            <w:r>
              <w:rPr>
                <w:b/>
                <w:kern w:val="0"/>
                <w:szCs w:val="21"/>
              </w:rPr>
              <w:t>项目</w:t>
            </w:r>
          </w:p>
        </w:tc>
        <w:tc>
          <w:tcPr>
            <w:tcW w:w="421" w:type="pct"/>
            <w:vAlign w:val="center"/>
          </w:tcPr>
          <w:p>
            <w:pPr>
              <w:widowControl/>
              <w:adjustRightInd w:val="0"/>
              <w:snapToGrid w:val="0"/>
              <w:jc w:val="center"/>
              <w:rPr>
                <w:b/>
                <w:kern w:val="0"/>
                <w:szCs w:val="21"/>
              </w:rPr>
            </w:pPr>
            <w:r>
              <w:rPr>
                <w:b/>
                <w:kern w:val="0"/>
                <w:szCs w:val="21"/>
              </w:rPr>
              <w:t>COD</w:t>
            </w:r>
            <w:r>
              <w:rPr>
                <w:b/>
                <w:kern w:val="0"/>
                <w:szCs w:val="21"/>
                <w:vertAlign w:val="subscript"/>
              </w:rPr>
              <w:t>Cr</w:t>
            </w:r>
            <w:r>
              <w:rPr>
                <w:b/>
                <w:kern w:val="0"/>
                <w:szCs w:val="21"/>
              </w:rPr>
              <w:t>（mg/L）</w:t>
            </w:r>
          </w:p>
        </w:tc>
        <w:tc>
          <w:tcPr>
            <w:tcW w:w="421" w:type="pct"/>
            <w:vAlign w:val="center"/>
          </w:tcPr>
          <w:p>
            <w:pPr>
              <w:widowControl/>
              <w:adjustRightInd w:val="0"/>
              <w:snapToGrid w:val="0"/>
              <w:jc w:val="center"/>
              <w:rPr>
                <w:b/>
                <w:kern w:val="0"/>
                <w:szCs w:val="21"/>
              </w:rPr>
            </w:pPr>
            <w:r>
              <w:rPr>
                <w:b/>
                <w:kern w:val="0"/>
                <w:szCs w:val="21"/>
              </w:rPr>
              <w:t>BOD</w:t>
            </w:r>
            <w:r>
              <w:rPr>
                <w:b/>
                <w:kern w:val="0"/>
                <w:szCs w:val="21"/>
                <w:vertAlign w:val="subscript"/>
              </w:rPr>
              <w:t>5</w:t>
            </w:r>
            <w:r>
              <w:rPr>
                <w:b/>
                <w:kern w:val="0"/>
                <w:szCs w:val="21"/>
              </w:rPr>
              <w:t>（mg/L）</w:t>
            </w:r>
          </w:p>
        </w:tc>
        <w:tc>
          <w:tcPr>
            <w:tcW w:w="421" w:type="pct"/>
            <w:vAlign w:val="center"/>
          </w:tcPr>
          <w:p>
            <w:pPr>
              <w:widowControl/>
              <w:adjustRightInd w:val="0"/>
              <w:snapToGrid w:val="0"/>
              <w:jc w:val="center"/>
              <w:rPr>
                <w:b/>
                <w:kern w:val="0"/>
                <w:szCs w:val="21"/>
              </w:rPr>
            </w:pPr>
            <w:r>
              <w:rPr>
                <w:b/>
                <w:kern w:val="0"/>
                <w:szCs w:val="21"/>
              </w:rPr>
              <w:t>NH</w:t>
            </w:r>
            <w:r>
              <w:rPr>
                <w:b/>
                <w:kern w:val="0"/>
                <w:szCs w:val="21"/>
                <w:vertAlign w:val="subscript"/>
              </w:rPr>
              <w:t>4</w:t>
            </w:r>
            <w:r>
              <w:rPr>
                <w:b/>
                <w:kern w:val="0"/>
                <w:szCs w:val="21"/>
                <w:vertAlign w:val="superscript"/>
              </w:rPr>
              <w:t>+</w:t>
            </w:r>
            <w:r>
              <w:rPr>
                <w:b/>
                <w:kern w:val="0"/>
                <w:szCs w:val="21"/>
              </w:rPr>
              <w:t>-N（mg/L）</w:t>
            </w:r>
          </w:p>
        </w:tc>
        <w:tc>
          <w:tcPr>
            <w:tcW w:w="421" w:type="pct"/>
            <w:vAlign w:val="center"/>
          </w:tcPr>
          <w:p>
            <w:pPr>
              <w:widowControl/>
              <w:adjustRightInd w:val="0"/>
              <w:snapToGrid w:val="0"/>
              <w:jc w:val="center"/>
              <w:rPr>
                <w:b/>
                <w:kern w:val="0"/>
                <w:szCs w:val="21"/>
              </w:rPr>
            </w:pPr>
            <w:r>
              <w:rPr>
                <w:b/>
                <w:kern w:val="0"/>
                <w:szCs w:val="21"/>
              </w:rPr>
              <w:t>SS</w:t>
            </w:r>
          </w:p>
          <w:p>
            <w:pPr>
              <w:widowControl/>
              <w:adjustRightInd w:val="0"/>
              <w:snapToGrid w:val="0"/>
              <w:jc w:val="center"/>
              <w:rPr>
                <w:b/>
                <w:kern w:val="0"/>
                <w:szCs w:val="21"/>
              </w:rPr>
            </w:pPr>
            <w:r>
              <w:rPr>
                <w:b/>
                <w:kern w:val="0"/>
                <w:szCs w:val="21"/>
              </w:rPr>
              <w:t>（mg/L）</w:t>
            </w:r>
          </w:p>
        </w:tc>
        <w:tc>
          <w:tcPr>
            <w:tcW w:w="421" w:type="pct"/>
            <w:vAlign w:val="center"/>
          </w:tcPr>
          <w:p>
            <w:pPr>
              <w:adjustRightInd w:val="0"/>
              <w:snapToGrid w:val="0"/>
              <w:jc w:val="center"/>
              <w:rPr>
                <w:sz w:val="22"/>
                <w:szCs w:val="22"/>
              </w:rPr>
            </w:pPr>
            <w:r>
              <w:rPr>
                <w:sz w:val="22"/>
                <w:szCs w:val="22"/>
              </w:rPr>
              <w:t>Hg （mg/L）</w:t>
            </w:r>
          </w:p>
        </w:tc>
        <w:tc>
          <w:tcPr>
            <w:tcW w:w="421" w:type="pct"/>
            <w:vAlign w:val="center"/>
          </w:tcPr>
          <w:p>
            <w:pPr>
              <w:adjustRightInd w:val="0"/>
              <w:snapToGrid w:val="0"/>
              <w:jc w:val="center"/>
              <w:rPr>
                <w:sz w:val="22"/>
                <w:szCs w:val="22"/>
              </w:rPr>
            </w:pPr>
            <w:r>
              <w:rPr>
                <w:sz w:val="22"/>
                <w:szCs w:val="22"/>
              </w:rPr>
              <w:t>Cd</w:t>
            </w:r>
          </w:p>
          <w:p>
            <w:pPr>
              <w:adjustRightInd w:val="0"/>
              <w:snapToGrid w:val="0"/>
              <w:jc w:val="center"/>
              <w:rPr>
                <w:sz w:val="22"/>
                <w:szCs w:val="22"/>
              </w:rPr>
            </w:pPr>
            <w:r>
              <w:rPr>
                <w:b/>
                <w:sz w:val="22"/>
                <w:szCs w:val="22"/>
              </w:rPr>
              <w:t>（mg/L）</w:t>
            </w:r>
          </w:p>
        </w:tc>
        <w:tc>
          <w:tcPr>
            <w:tcW w:w="421" w:type="pct"/>
            <w:vAlign w:val="center"/>
          </w:tcPr>
          <w:p>
            <w:pPr>
              <w:adjustRightInd w:val="0"/>
              <w:snapToGrid w:val="0"/>
              <w:jc w:val="center"/>
              <w:rPr>
                <w:sz w:val="22"/>
                <w:szCs w:val="22"/>
              </w:rPr>
            </w:pPr>
            <w:r>
              <w:rPr>
                <w:sz w:val="22"/>
                <w:szCs w:val="22"/>
              </w:rPr>
              <w:t xml:space="preserve">Cr </w:t>
            </w:r>
            <w:r>
              <w:rPr>
                <w:b/>
                <w:sz w:val="22"/>
                <w:szCs w:val="22"/>
              </w:rPr>
              <w:t>（mg/L）</w:t>
            </w:r>
          </w:p>
        </w:tc>
        <w:tc>
          <w:tcPr>
            <w:tcW w:w="421" w:type="pct"/>
            <w:vAlign w:val="center"/>
          </w:tcPr>
          <w:p>
            <w:pPr>
              <w:adjustRightInd w:val="0"/>
              <w:snapToGrid w:val="0"/>
              <w:jc w:val="center"/>
              <w:rPr>
                <w:sz w:val="22"/>
                <w:szCs w:val="22"/>
              </w:rPr>
            </w:pPr>
            <w:r>
              <w:rPr>
                <w:sz w:val="22"/>
                <w:szCs w:val="22"/>
              </w:rPr>
              <w:t>Cr</w:t>
            </w:r>
            <w:r>
              <w:rPr>
                <w:sz w:val="22"/>
                <w:szCs w:val="22"/>
                <w:vertAlign w:val="superscript"/>
              </w:rPr>
              <w:t>6+</w:t>
            </w:r>
            <w:r>
              <w:rPr>
                <w:b/>
                <w:sz w:val="22"/>
                <w:szCs w:val="22"/>
              </w:rPr>
              <w:t>（mg/L）</w:t>
            </w:r>
          </w:p>
        </w:tc>
        <w:tc>
          <w:tcPr>
            <w:tcW w:w="421" w:type="pct"/>
            <w:vAlign w:val="center"/>
          </w:tcPr>
          <w:p>
            <w:pPr>
              <w:adjustRightInd w:val="0"/>
              <w:snapToGrid w:val="0"/>
              <w:jc w:val="center"/>
              <w:rPr>
                <w:sz w:val="22"/>
                <w:szCs w:val="22"/>
              </w:rPr>
            </w:pPr>
            <w:r>
              <w:rPr>
                <w:sz w:val="22"/>
                <w:szCs w:val="22"/>
              </w:rPr>
              <w:t>As</w:t>
            </w:r>
          </w:p>
          <w:p>
            <w:pPr>
              <w:adjustRightInd w:val="0"/>
              <w:snapToGrid w:val="0"/>
              <w:jc w:val="center"/>
              <w:rPr>
                <w:sz w:val="22"/>
                <w:szCs w:val="22"/>
              </w:rPr>
            </w:pPr>
            <w:r>
              <w:rPr>
                <w:b/>
                <w:sz w:val="22"/>
                <w:szCs w:val="22"/>
              </w:rPr>
              <w:t>（mg/L）</w:t>
            </w:r>
          </w:p>
        </w:tc>
        <w:tc>
          <w:tcPr>
            <w:tcW w:w="419" w:type="pct"/>
            <w:vAlign w:val="center"/>
          </w:tcPr>
          <w:p>
            <w:pPr>
              <w:adjustRightInd w:val="0"/>
              <w:snapToGrid w:val="0"/>
              <w:jc w:val="center"/>
              <w:rPr>
                <w:sz w:val="22"/>
                <w:szCs w:val="22"/>
              </w:rPr>
            </w:pPr>
            <w:r>
              <w:rPr>
                <w:sz w:val="22"/>
                <w:szCs w:val="22"/>
              </w:rPr>
              <w:t>Pb</w:t>
            </w:r>
          </w:p>
          <w:p>
            <w:pPr>
              <w:adjustRightInd w:val="0"/>
              <w:snapToGrid w:val="0"/>
              <w:jc w:val="center"/>
              <w:rPr>
                <w:sz w:val="22"/>
                <w:szCs w:val="22"/>
              </w:rPr>
            </w:pPr>
            <w:r>
              <w:rPr>
                <w:b/>
                <w:sz w:val="22"/>
                <w:szCs w:val="22"/>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kern w:val="0"/>
                <w:szCs w:val="21"/>
              </w:rPr>
              <w:t>预处理系统</w:t>
            </w:r>
          </w:p>
        </w:tc>
        <w:tc>
          <w:tcPr>
            <w:tcW w:w="354" w:type="pct"/>
            <w:vAlign w:val="center"/>
          </w:tcPr>
          <w:p>
            <w:pPr>
              <w:widowControl/>
              <w:adjustRightInd w:val="0"/>
              <w:snapToGrid w:val="0"/>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60000</w:t>
            </w:r>
          </w:p>
        </w:tc>
        <w:tc>
          <w:tcPr>
            <w:tcW w:w="421" w:type="pct"/>
            <w:vAlign w:val="center"/>
          </w:tcPr>
          <w:p>
            <w:pPr>
              <w:adjustRightInd w:val="0"/>
              <w:snapToGrid w:val="0"/>
              <w:jc w:val="center"/>
              <w:rPr>
                <w:szCs w:val="21"/>
              </w:rPr>
            </w:pPr>
            <w:r>
              <w:rPr>
                <w:szCs w:val="21"/>
              </w:rPr>
              <w:t>30000</w:t>
            </w:r>
          </w:p>
        </w:tc>
        <w:tc>
          <w:tcPr>
            <w:tcW w:w="421" w:type="pct"/>
            <w:vAlign w:val="center"/>
          </w:tcPr>
          <w:p>
            <w:pPr>
              <w:adjustRightInd w:val="0"/>
              <w:snapToGrid w:val="0"/>
              <w:jc w:val="center"/>
              <w:rPr>
                <w:szCs w:val="21"/>
              </w:rPr>
            </w:pPr>
            <w:r>
              <w:rPr>
                <w:szCs w:val="21"/>
              </w:rPr>
              <w:t>2000</w:t>
            </w:r>
          </w:p>
        </w:tc>
        <w:tc>
          <w:tcPr>
            <w:tcW w:w="421" w:type="pct"/>
            <w:vAlign w:val="center"/>
          </w:tcPr>
          <w:p>
            <w:pPr>
              <w:adjustRightInd w:val="0"/>
              <w:snapToGrid w:val="0"/>
              <w:jc w:val="center"/>
              <w:rPr>
                <w:szCs w:val="21"/>
              </w:rPr>
            </w:pPr>
            <w:r>
              <w:rPr>
                <w:szCs w:val="21"/>
              </w:rPr>
              <w:t>4000</w:t>
            </w:r>
          </w:p>
        </w:tc>
        <w:tc>
          <w:tcPr>
            <w:tcW w:w="421" w:type="pct"/>
            <w:vAlign w:val="center"/>
          </w:tcPr>
          <w:p>
            <w:pPr>
              <w:adjustRightInd w:val="0"/>
              <w:snapToGrid w:val="0"/>
              <w:jc w:val="center"/>
              <w:rPr>
                <w:sz w:val="22"/>
                <w:szCs w:val="22"/>
              </w:rPr>
            </w:pPr>
            <w:r>
              <w:rPr>
                <w:sz w:val="22"/>
                <w:szCs w:val="22"/>
              </w:rPr>
              <w:t>0.025</w:t>
            </w:r>
          </w:p>
        </w:tc>
        <w:tc>
          <w:tcPr>
            <w:tcW w:w="421" w:type="pct"/>
            <w:vAlign w:val="center"/>
          </w:tcPr>
          <w:p>
            <w:pPr>
              <w:adjustRightInd w:val="0"/>
              <w:snapToGrid w:val="0"/>
              <w:jc w:val="center"/>
              <w:rPr>
                <w:sz w:val="22"/>
                <w:szCs w:val="22"/>
              </w:rPr>
            </w:pPr>
            <w:r>
              <w:rPr>
                <w:sz w:val="22"/>
                <w:szCs w:val="22"/>
              </w:rPr>
              <w:t>0.15</w:t>
            </w:r>
          </w:p>
        </w:tc>
        <w:tc>
          <w:tcPr>
            <w:tcW w:w="421" w:type="pct"/>
            <w:vAlign w:val="center"/>
          </w:tcPr>
          <w:p>
            <w:pPr>
              <w:adjustRightInd w:val="0"/>
              <w:snapToGrid w:val="0"/>
              <w:jc w:val="center"/>
              <w:rPr>
                <w:sz w:val="22"/>
                <w:szCs w:val="22"/>
              </w:rPr>
            </w:pPr>
            <w:r>
              <w:rPr>
                <w:sz w:val="22"/>
                <w:szCs w:val="22"/>
              </w:rPr>
              <w:t>0.5</w:t>
            </w:r>
          </w:p>
        </w:tc>
        <w:tc>
          <w:tcPr>
            <w:tcW w:w="421" w:type="pct"/>
            <w:vAlign w:val="center"/>
          </w:tcPr>
          <w:p>
            <w:pPr>
              <w:adjustRightInd w:val="0"/>
              <w:snapToGrid w:val="0"/>
              <w:jc w:val="center"/>
              <w:rPr>
                <w:sz w:val="22"/>
                <w:szCs w:val="22"/>
              </w:rPr>
            </w:pPr>
            <w:r>
              <w:rPr>
                <w:sz w:val="22"/>
                <w:szCs w:val="22"/>
              </w:rPr>
              <w:t>0.004</w:t>
            </w:r>
          </w:p>
        </w:tc>
        <w:tc>
          <w:tcPr>
            <w:tcW w:w="421" w:type="pct"/>
            <w:vAlign w:val="center"/>
          </w:tcPr>
          <w:p>
            <w:pPr>
              <w:adjustRightInd w:val="0"/>
              <w:snapToGrid w:val="0"/>
              <w:jc w:val="center"/>
              <w:rPr>
                <w:sz w:val="22"/>
                <w:szCs w:val="22"/>
              </w:rPr>
            </w:pPr>
            <w:r>
              <w:rPr>
                <w:sz w:val="22"/>
                <w:szCs w:val="22"/>
              </w:rPr>
              <w:t>0.25</w:t>
            </w:r>
          </w:p>
        </w:tc>
        <w:tc>
          <w:tcPr>
            <w:tcW w:w="419" w:type="pct"/>
            <w:vAlign w:val="center"/>
          </w:tcPr>
          <w:p>
            <w:pPr>
              <w:adjustRightInd w:val="0"/>
              <w:snapToGrid w:val="0"/>
              <w:jc w:val="center"/>
              <w:rPr>
                <w:sz w:val="22"/>
                <w:szCs w:val="22"/>
              </w:rPr>
            </w:pPr>
            <w:r>
              <w:rPr>
                <w:sz w:val="22"/>
                <w:szCs w:val="22"/>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vAlign w:val="center"/>
          </w:tcPr>
          <w:p>
            <w:pPr>
              <w:adjustRightInd w:val="0"/>
              <w:snapToGrid w:val="0"/>
              <w:jc w:val="center"/>
              <w:rPr>
                <w:szCs w:val="21"/>
              </w:rPr>
            </w:pPr>
            <w:r>
              <w:rPr>
                <w:szCs w:val="21"/>
              </w:rPr>
              <w:t>42000</w:t>
            </w:r>
          </w:p>
        </w:tc>
        <w:tc>
          <w:tcPr>
            <w:tcW w:w="421" w:type="pct"/>
            <w:vAlign w:val="center"/>
          </w:tcPr>
          <w:p>
            <w:pPr>
              <w:adjustRightInd w:val="0"/>
              <w:snapToGrid w:val="0"/>
              <w:jc w:val="center"/>
              <w:rPr>
                <w:szCs w:val="21"/>
              </w:rPr>
            </w:pPr>
            <w:r>
              <w:rPr>
                <w:szCs w:val="21"/>
              </w:rPr>
              <w:t>22500</w:t>
            </w:r>
          </w:p>
        </w:tc>
        <w:tc>
          <w:tcPr>
            <w:tcW w:w="421" w:type="pct"/>
            <w:vAlign w:val="center"/>
          </w:tcPr>
          <w:p>
            <w:pPr>
              <w:adjustRightInd w:val="0"/>
              <w:snapToGrid w:val="0"/>
              <w:jc w:val="center"/>
              <w:rPr>
                <w:szCs w:val="21"/>
              </w:rPr>
            </w:pPr>
            <w:r>
              <w:rPr>
                <w:szCs w:val="21"/>
              </w:rPr>
              <w:t>1500</w:t>
            </w:r>
          </w:p>
        </w:tc>
        <w:tc>
          <w:tcPr>
            <w:tcW w:w="421" w:type="pct"/>
            <w:vAlign w:val="center"/>
          </w:tcPr>
          <w:p>
            <w:pPr>
              <w:adjustRightInd w:val="0"/>
              <w:snapToGrid w:val="0"/>
              <w:jc w:val="center"/>
              <w:rPr>
                <w:szCs w:val="21"/>
              </w:rPr>
            </w:pPr>
            <w:r>
              <w:rPr>
                <w:szCs w:val="21"/>
              </w:rPr>
              <w:t>800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30%</w:t>
            </w:r>
          </w:p>
        </w:tc>
        <w:tc>
          <w:tcPr>
            <w:tcW w:w="421" w:type="pct"/>
            <w:vAlign w:val="center"/>
          </w:tcPr>
          <w:p>
            <w:pPr>
              <w:adjustRightInd w:val="0"/>
              <w:snapToGrid w:val="0"/>
              <w:jc w:val="center"/>
              <w:rPr>
                <w:szCs w:val="21"/>
              </w:rPr>
            </w:pPr>
            <w:r>
              <w:rPr>
                <w:szCs w:val="21"/>
              </w:rPr>
              <w:t>25%</w:t>
            </w:r>
          </w:p>
        </w:tc>
        <w:tc>
          <w:tcPr>
            <w:tcW w:w="421" w:type="pct"/>
            <w:vAlign w:val="center"/>
          </w:tcPr>
          <w:p>
            <w:pPr>
              <w:adjustRightInd w:val="0"/>
              <w:snapToGrid w:val="0"/>
              <w:jc w:val="center"/>
              <w:rPr>
                <w:szCs w:val="21"/>
              </w:rPr>
            </w:pPr>
            <w:r>
              <w:rPr>
                <w:szCs w:val="21"/>
              </w:rPr>
              <w:t>25%</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19" w:type="pct"/>
            <w:vAlign w:val="center"/>
          </w:tcPr>
          <w:p>
            <w:pPr>
              <w:adjustRightInd w:val="0"/>
              <w:snapToGrid w:val="0"/>
              <w:jc w:val="center"/>
              <w:rPr>
                <w:sz w:val="22"/>
                <w:szCs w:val="22"/>
              </w:rPr>
            </w:pPr>
            <w:r>
              <w:rPr>
                <w:sz w:val="22"/>
                <w:szCs w:val="22"/>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kern w:val="0"/>
                <w:szCs w:val="21"/>
              </w:rPr>
              <w:t>UASB系统</w:t>
            </w:r>
          </w:p>
        </w:tc>
        <w:tc>
          <w:tcPr>
            <w:tcW w:w="354" w:type="pct"/>
            <w:vAlign w:val="center"/>
          </w:tcPr>
          <w:p>
            <w:pPr>
              <w:widowControl/>
              <w:adjustRightInd w:val="0"/>
              <w:snapToGrid w:val="0"/>
              <w:ind w:firstLine="6"/>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42000</w:t>
            </w:r>
          </w:p>
        </w:tc>
        <w:tc>
          <w:tcPr>
            <w:tcW w:w="421" w:type="pct"/>
            <w:vAlign w:val="center"/>
          </w:tcPr>
          <w:p>
            <w:pPr>
              <w:adjustRightInd w:val="0"/>
              <w:snapToGrid w:val="0"/>
              <w:jc w:val="center"/>
              <w:rPr>
                <w:szCs w:val="21"/>
              </w:rPr>
            </w:pPr>
            <w:r>
              <w:rPr>
                <w:szCs w:val="21"/>
              </w:rPr>
              <w:t>22500</w:t>
            </w:r>
          </w:p>
        </w:tc>
        <w:tc>
          <w:tcPr>
            <w:tcW w:w="421" w:type="pct"/>
            <w:vAlign w:val="center"/>
          </w:tcPr>
          <w:p>
            <w:pPr>
              <w:adjustRightInd w:val="0"/>
              <w:snapToGrid w:val="0"/>
              <w:jc w:val="center"/>
              <w:rPr>
                <w:szCs w:val="21"/>
              </w:rPr>
            </w:pPr>
            <w:r>
              <w:rPr>
                <w:szCs w:val="21"/>
              </w:rPr>
              <w:t>1500</w:t>
            </w:r>
          </w:p>
        </w:tc>
        <w:tc>
          <w:tcPr>
            <w:tcW w:w="421" w:type="pct"/>
            <w:vAlign w:val="center"/>
          </w:tcPr>
          <w:p>
            <w:pPr>
              <w:adjustRightInd w:val="0"/>
              <w:snapToGrid w:val="0"/>
              <w:jc w:val="center"/>
              <w:rPr>
                <w:szCs w:val="21"/>
              </w:rPr>
            </w:pPr>
            <w:r>
              <w:rPr>
                <w:szCs w:val="21"/>
              </w:rPr>
              <w:t>800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vAlign w:val="center"/>
          </w:tcPr>
          <w:p>
            <w:pPr>
              <w:adjustRightInd w:val="0"/>
              <w:snapToGrid w:val="0"/>
              <w:jc w:val="center"/>
              <w:rPr>
                <w:szCs w:val="21"/>
              </w:rPr>
            </w:pPr>
            <w:r>
              <w:rPr>
                <w:szCs w:val="21"/>
              </w:rPr>
              <w:t>8400</w:t>
            </w:r>
          </w:p>
        </w:tc>
        <w:tc>
          <w:tcPr>
            <w:tcW w:w="421" w:type="pct"/>
            <w:vAlign w:val="center"/>
          </w:tcPr>
          <w:p>
            <w:pPr>
              <w:adjustRightInd w:val="0"/>
              <w:snapToGrid w:val="0"/>
              <w:jc w:val="center"/>
              <w:rPr>
                <w:szCs w:val="21"/>
              </w:rPr>
            </w:pPr>
            <w:r>
              <w:rPr>
                <w:szCs w:val="21"/>
              </w:rPr>
              <w:t>3375</w:t>
            </w:r>
          </w:p>
        </w:tc>
        <w:tc>
          <w:tcPr>
            <w:tcW w:w="421" w:type="pct"/>
            <w:vAlign w:val="center"/>
          </w:tcPr>
          <w:p>
            <w:pPr>
              <w:adjustRightInd w:val="0"/>
              <w:snapToGrid w:val="0"/>
              <w:jc w:val="center"/>
              <w:rPr>
                <w:szCs w:val="21"/>
              </w:rPr>
            </w:pPr>
            <w:r>
              <w:rPr>
                <w:szCs w:val="21"/>
              </w:rPr>
              <w:t>1200</w:t>
            </w:r>
          </w:p>
        </w:tc>
        <w:tc>
          <w:tcPr>
            <w:tcW w:w="421" w:type="pct"/>
            <w:vAlign w:val="center"/>
          </w:tcPr>
          <w:p>
            <w:pPr>
              <w:adjustRightInd w:val="0"/>
              <w:snapToGrid w:val="0"/>
              <w:jc w:val="center"/>
              <w:rPr>
                <w:szCs w:val="21"/>
              </w:rPr>
            </w:pPr>
            <w:r>
              <w:rPr>
                <w:szCs w:val="21"/>
              </w:rPr>
              <w:t>560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Cs w:val="21"/>
              </w:rPr>
            </w:pPr>
            <w:r>
              <w:rPr>
                <w:szCs w:val="21"/>
              </w:rPr>
              <w:t>85%</w:t>
            </w:r>
          </w:p>
        </w:tc>
        <w:tc>
          <w:tcPr>
            <w:tcW w:w="421" w:type="pct"/>
            <w:vAlign w:val="center"/>
          </w:tcPr>
          <w:p>
            <w:pPr>
              <w:adjustRightInd w:val="0"/>
              <w:snapToGrid w:val="0"/>
              <w:jc w:val="center"/>
              <w:rPr>
                <w:szCs w:val="21"/>
              </w:rPr>
            </w:pPr>
            <w:r>
              <w:rPr>
                <w:szCs w:val="21"/>
              </w:rPr>
              <w:t>20%</w:t>
            </w:r>
          </w:p>
        </w:tc>
        <w:tc>
          <w:tcPr>
            <w:tcW w:w="421" w:type="pct"/>
            <w:vAlign w:val="center"/>
          </w:tcPr>
          <w:p>
            <w:pPr>
              <w:adjustRightInd w:val="0"/>
              <w:snapToGrid w:val="0"/>
              <w:jc w:val="center"/>
              <w:rPr>
                <w:szCs w:val="21"/>
              </w:rPr>
            </w:pPr>
            <w:r>
              <w:rPr>
                <w:szCs w:val="21"/>
              </w:rPr>
              <w:t>30%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19" w:type="pct"/>
            <w:vAlign w:val="center"/>
          </w:tcPr>
          <w:p>
            <w:pPr>
              <w:adjustRightInd w:val="0"/>
              <w:snapToGrid w:val="0"/>
              <w:jc w:val="center"/>
              <w:rPr>
                <w:sz w:val="22"/>
                <w:szCs w:val="22"/>
              </w:rPr>
            </w:pPr>
            <w:r>
              <w:rPr>
                <w:sz w:val="22"/>
                <w:szCs w:val="22"/>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kern w:val="0"/>
                <w:szCs w:val="21"/>
              </w:rPr>
              <w:t>MBR系统</w:t>
            </w:r>
          </w:p>
        </w:tc>
        <w:tc>
          <w:tcPr>
            <w:tcW w:w="354" w:type="pct"/>
            <w:vAlign w:val="center"/>
          </w:tcPr>
          <w:p>
            <w:pPr>
              <w:widowControl/>
              <w:adjustRightInd w:val="0"/>
              <w:snapToGrid w:val="0"/>
              <w:ind w:firstLine="6"/>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8400</w:t>
            </w:r>
          </w:p>
        </w:tc>
        <w:tc>
          <w:tcPr>
            <w:tcW w:w="421" w:type="pct"/>
            <w:vAlign w:val="center"/>
          </w:tcPr>
          <w:p>
            <w:pPr>
              <w:adjustRightInd w:val="0"/>
              <w:snapToGrid w:val="0"/>
              <w:jc w:val="center"/>
              <w:rPr>
                <w:szCs w:val="21"/>
              </w:rPr>
            </w:pPr>
            <w:r>
              <w:rPr>
                <w:szCs w:val="21"/>
              </w:rPr>
              <w:t>3375</w:t>
            </w:r>
          </w:p>
        </w:tc>
        <w:tc>
          <w:tcPr>
            <w:tcW w:w="421" w:type="pct"/>
            <w:vAlign w:val="center"/>
          </w:tcPr>
          <w:p>
            <w:pPr>
              <w:adjustRightInd w:val="0"/>
              <w:snapToGrid w:val="0"/>
              <w:jc w:val="center"/>
              <w:rPr>
                <w:szCs w:val="21"/>
              </w:rPr>
            </w:pPr>
            <w:r>
              <w:rPr>
                <w:szCs w:val="21"/>
              </w:rPr>
              <w:t>1200</w:t>
            </w:r>
          </w:p>
        </w:tc>
        <w:tc>
          <w:tcPr>
            <w:tcW w:w="421" w:type="pct"/>
            <w:vAlign w:val="center"/>
          </w:tcPr>
          <w:p>
            <w:pPr>
              <w:adjustRightInd w:val="0"/>
              <w:snapToGrid w:val="0"/>
              <w:jc w:val="center"/>
              <w:rPr>
                <w:szCs w:val="21"/>
              </w:rPr>
            </w:pPr>
            <w:r>
              <w:rPr>
                <w:szCs w:val="21"/>
              </w:rPr>
              <w:t>560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vAlign w:val="center"/>
          </w:tcPr>
          <w:p>
            <w:pPr>
              <w:adjustRightInd w:val="0"/>
              <w:snapToGrid w:val="0"/>
              <w:jc w:val="center"/>
              <w:rPr>
                <w:szCs w:val="21"/>
              </w:rPr>
            </w:pPr>
            <w:r>
              <w:rPr>
                <w:szCs w:val="21"/>
              </w:rPr>
              <w:t>420</w:t>
            </w:r>
          </w:p>
        </w:tc>
        <w:tc>
          <w:tcPr>
            <w:tcW w:w="421" w:type="pct"/>
            <w:vAlign w:val="center"/>
          </w:tcPr>
          <w:p>
            <w:pPr>
              <w:adjustRightInd w:val="0"/>
              <w:snapToGrid w:val="0"/>
              <w:jc w:val="center"/>
              <w:rPr>
                <w:szCs w:val="21"/>
              </w:rPr>
            </w:pPr>
            <w:r>
              <w:rPr>
                <w:szCs w:val="21"/>
              </w:rPr>
              <w:t>168.75</w:t>
            </w:r>
          </w:p>
        </w:tc>
        <w:tc>
          <w:tcPr>
            <w:tcW w:w="421" w:type="pct"/>
            <w:vAlign w:val="center"/>
          </w:tcPr>
          <w:p>
            <w:pPr>
              <w:adjustRightInd w:val="0"/>
              <w:snapToGrid w:val="0"/>
              <w:jc w:val="center"/>
              <w:rPr>
                <w:szCs w:val="21"/>
              </w:rPr>
            </w:pPr>
            <w:r>
              <w:rPr>
                <w:szCs w:val="21"/>
              </w:rPr>
              <w:t>13.2</w:t>
            </w:r>
          </w:p>
        </w:tc>
        <w:tc>
          <w:tcPr>
            <w:tcW w:w="421" w:type="pct"/>
            <w:vAlign w:val="center"/>
          </w:tcPr>
          <w:p>
            <w:pPr>
              <w:adjustRightInd w:val="0"/>
              <w:snapToGrid w:val="0"/>
              <w:jc w:val="center"/>
              <w:rPr>
                <w:szCs w:val="21"/>
              </w:rPr>
            </w:pPr>
            <w:r>
              <w:rPr>
                <w:szCs w:val="21"/>
              </w:rPr>
              <w:t>11.2</w:t>
            </w:r>
          </w:p>
        </w:tc>
        <w:tc>
          <w:tcPr>
            <w:tcW w:w="421" w:type="pct"/>
            <w:vAlign w:val="center"/>
          </w:tcPr>
          <w:p>
            <w:pPr>
              <w:adjustRightInd w:val="0"/>
              <w:snapToGrid w:val="0"/>
              <w:jc w:val="center"/>
              <w:rPr>
                <w:szCs w:val="21"/>
              </w:rPr>
            </w:pPr>
            <w:r>
              <w:rPr>
                <w:szCs w:val="21"/>
              </w:rPr>
              <w:t>0.02375</w:t>
            </w:r>
          </w:p>
        </w:tc>
        <w:tc>
          <w:tcPr>
            <w:tcW w:w="421" w:type="pct"/>
            <w:vAlign w:val="center"/>
          </w:tcPr>
          <w:p>
            <w:pPr>
              <w:adjustRightInd w:val="0"/>
              <w:snapToGrid w:val="0"/>
              <w:jc w:val="center"/>
              <w:rPr>
                <w:szCs w:val="21"/>
              </w:rPr>
            </w:pPr>
            <w:r>
              <w:rPr>
                <w:szCs w:val="21"/>
              </w:rPr>
              <w:t>0.1425</w:t>
            </w:r>
          </w:p>
        </w:tc>
        <w:tc>
          <w:tcPr>
            <w:tcW w:w="421" w:type="pct"/>
            <w:vAlign w:val="center"/>
          </w:tcPr>
          <w:p>
            <w:pPr>
              <w:adjustRightInd w:val="0"/>
              <w:snapToGrid w:val="0"/>
              <w:jc w:val="center"/>
              <w:rPr>
                <w:szCs w:val="21"/>
              </w:rPr>
            </w:pPr>
            <w:r>
              <w:rPr>
                <w:szCs w:val="21"/>
              </w:rPr>
              <w:t>0.475</w:t>
            </w:r>
          </w:p>
        </w:tc>
        <w:tc>
          <w:tcPr>
            <w:tcW w:w="421" w:type="pct"/>
            <w:vAlign w:val="center"/>
          </w:tcPr>
          <w:p>
            <w:pPr>
              <w:adjustRightInd w:val="0"/>
              <w:snapToGrid w:val="0"/>
              <w:jc w:val="center"/>
              <w:rPr>
                <w:szCs w:val="21"/>
              </w:rPr>
            </w:pPr>
            <w:r>
              <w:rPr>
                <w:szCs w:val="21"/>
              </w:rPr>
              <w:t>0.0038</w:t>
            </w:r>
          </w:p>
        </w:tc>
        <w:tc>
          <w:tcPr>
            <w:tcW w:w="421" w:type="pct"/>
            <w:vAlign w:val="center"/>
          </w:tcPr>
          <w:p>
            <w:pPr>
              <w:adjustRightInd w:val="0"/>
              <w:snapToGrid w:val="0"/>
              <w:jc w:val="center"/>
              <w:rPr>
                <w:szCs w:val="21"/>
              </w:rPr>
            </w:pPr>
            <w:r>
              <w:rPr>
                <w:szCs w:val="21"/>
              </w:rPr>
              <w:t>0.2375</w:t>
            </w:r>
          </w:p>
        </w:tc>
        <w:tc>
          <w:tcPr>
            <w:tcW w:w="419" w:type="pct"/>
            <w:vAlign w:val="center"/>
          </w:tcPr>
          <w:p>
            <w:pPr>
              <w:adjustRightInd w:val="0"/>
              <w:snapToGrid w:val="0"/>
              <w:jc w:val="center"/>
              <w:rPr>
                <w:szCs w:val="21"/>
              </w:rPr>
            </w:pPr>
            <w:r>
              <w:rPr>
                <w:szCs w:val="21"/>
              </w:rPr>
              <w:t>1.425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95%</w:t>
            </w:r>
          </w:p>
        </w:tc>
        <w:tc>
          <w:tcPr>
            <w:tcW w:w="421" w:type="pct"/>
            <w:vAlign w:val="center"/>
          </w:tcPr>
          <w:p>
            <w:pPr>
              <w:adjustRightInd w:val="0"/>
              <w:snapToGrid w:val="0"/>
              <w:jc w:val="center"/>
              <w:rPr>
                <w:szCs w:val="21"/>
              </w:rPr>
            </w:pPr>
            <w:r>
              <w:rPr>
                <w:szCs w:val="21"/>
              </w:rPr>
              <w:t>95%</w:t>
            </w:r>
          </w:p>
        </w:tc>
        <w:tc>
          <w:tcPr>
            <w:tcW w:w="421" w:type="pct"/>
            <w:vAlign w:val="center"/>
          </w:tcPr>
          <w:p>
            <w:pPr>
              <w:adjustRightInd w:val="0"/>
              <w:snapToGrid w:val="0"/>
              <w:jc w:val="center"/>
              <w:rPr>
                <w:szCs w:val="21"/>
              </w:rPr>
            </w:pPr>
            <w:r>
              <w:rPr>
                <w:szCs w:val="21"/>
              </w:rPr>
              <w:t>98.90%</w:t>
            </w:r>
          </w:p>
        </w:tc>
        <w:tc>
          <w:tcPr>
            <w:tcW w:w="421" w:type="pct"/>
            <w:vAlign w:val="center"/>
          </w:tcPr>
          <w:p>
            <w:pPr>
              <w:adjustRightInd w:val="0"/>
              <w:snapToGrid w:val="0"/>
              <w:jc w:val="center"/>
              <w:rPr>
                <w:szCs w:val="21"/>
              </w:rPr>
            </w:pPr>
            <w:r>
              <w:rPr>
                <w:szCs w:val="21"/>
              </w:rPr>
              <w:t>98%</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19" w:type="pct"/>
            <w:vAlign w:val="center"/>
          </w:tcPr>
          <w:p>
            <w:pPr>
              <w:adjustRightInd w:val="0"/>
              <w:snapToGrid w:val="0"/>
              <w:jc w:val="center"/>
              <w:rPr>
                <w:sz w:val="22"/>
                <w:szCs w:val="22"/>
              </w:rPr>
            </w:pPr>
            <w:r>
              <w:rPr>
                <w:sz w:val="22"/>
                <w:szCs w:val="22"/>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Align w:val="center"/>
          </w:tcPr>
          <w:p>
            <w:pPr>
              <w:widowControl/>
              <w:adjustRightInd w:val="0"/>
              <w:snapToGrid w:val="0"/>
              <w:ind w:firstLine="6"/>
              <w:jc w:val="center"/>
              <w:rPr>
                <w:kern w:val="0"/>
                <w:szCs w:val="21"/>
              </w:rPr>
            </w:pPr>
            <w:r>
              <w:rPr>
                <w:rFonts w:hint="eastAsia"/>
              </w:rPr>
              <w:t>湿法脱酸废水</w:t>
            </w:r>
          </w:p>
        </w:tc>
        <w:tc>
          <w:tcPr>
            <w:tcW w:w="354" w:type="pct"/>
            <w:vAlign w:val="center"/>
          </w:tcPr>
          <w:p>
            <w:pPr>
              <w:widowControl/>
              <w:adjustRightInd w:val="0"/>
              <w:snapToGrid w:val="0"/>
              <w:ind w:firstLine="6"/>
              <w:jc w:val="center"/>
              <w:rPr>
                <w:kern w:val="0"/>
                <w:szCs w:val="21"/>
              </w:rPr>
            </w:pPr>
            <w:r>
              <w:rPr>
                <w:rFonts w:hint="eastAsia"/>
                <w:kern w:val="0"/>
                <w:szCs w:val="21"/>
              </w:rPr>
              <w:t>进水</w:t>
            </w:r>
          </w:p>
        </w:tc>
        <w:tc>
          <w:tcPr>
            <w:tcW w:w="421" w:type="pct"/>
            <w:vAlign w:val="center"/>
          </w:tcPr>
          <w:p>
            <w:pPr>
              <w:adjustRightInd w:val="0"/>
              <w:snapToGrid w:val="0"/>
              <w:jc w:val="center"/>
              <w:rPr>
                <w:szCs w:val="21"/>
              </w:rPr>
            </w:pPr>
            <w:r>
              <w:rPr>
                <w:szCs w:val="21"/>
              </w:rPr>
              <w:t>150</w:t>
            </w:r>
          </w:p>
        </w:tc>
        <w:tc>
          <w:tcPr>
            <w:tcW w:w="421" w:type="pct"/>
            <w:vAlign w:val="center"/>
          </w:tcPr>
          <w:p>
            <w:pPr>
              <w:adjustRightInd w:val="0"/>
              <w:snapToGrid w:val="0"/>
              <w:jc w:val="center"/>
              <w:rPr>
                <w:szCs w:val="21"/>
              </w:rPr>
            </w:pPr>
            <w:r>
              <w:rPr>
                <w:szCs w:val="21"/>
              </w:rPr>
              <w:t>0</w:t>
            </w:r>
          </w:p>
        </w:tc>
        <w:tc>
          <w:tcPr>
            <w:tcW w:w="421" w:type="pct"/>
            <w:vAlign w:val="center"/>
          </w:tcPr>
          <w:p>
            <w:pPr>
              <w:adjustRightInd w:val="0"/>
              <w:snapToGrid w:val="0"/>
              <w:jc w:val="center"/>
              <w:rPr>
                <w:szCs w:val="21"/>
              </w:rPr>
            </w:pPr>
            <w:r>
              <w:rPr>
                <w:szCs w:val="21"/>
              </w:rPr>
              <w:t>138</w:t>
            </w:r>
          </w:p>
        </w:tc>
        <w:tc>
          <w:tcPr>
            <w:tcW w:w="421" w:type="pct"/>
            <w:vAlign w:val="center"/>
          </w:tcPr>
          <w:p>
            <w:pPr>
              <w:adjustRightInd w:val="0"/>
              <w:snapToGrid w:val="0"/>
              <w:jc w:val="center"/>
              <w:rPr>
                <w:szCs w:val="21"/>
              </w:rPr>
            </w:pPr>
            <w:r>
              <w:rPr>
                <w:szCs w:val="21"/>
              </w:rPr>
              <w:t>60</w:t>
            </w:r>
          </w:p>
        </w:tc>
        <w:tc>
          <w:tcPr>
            <w:tcW w:w="421" w:type="pct"/>
            <w:vAlign w:val="center"/>
          </w:tcPr>
          <w:p>
            <w:pPr>
              <w:adjustRightInd w:val="0"/>
              <w:snapToGrid w:val="0"/>
              <w:jc w:val="center"/>
              <w:rPr>
                <w:sz w:val="22"/>
                <w:szCs w:val="22"/>
              </w:rPr>
            </w:pPr>
            <w:r>
              <w:rPr>
                <w:sz w:val="22"/>
                <w:szCs w:val="22"/>
              </w:rPr>
              <w:t>0.001</w:t>
            </w:r>
          </w:p>
        </w:tc>
        <w:tc>
          <w:tcPr>
            <w:tcW w:w="421" w:type="pct"/>
            <w:vAlign w:val="center"/>
          </w:tcPr>
          <w:p>
            <w:pPr>
              <w:adjustRightInd w:val="0"/>
              <w:snapToGrid w:val="0"/>
              <w:jc w:val="center"/>
              <w:rPr>
                <w:sz w:val="22"/>
                <w:szCs w:val="22"/>
              </w:rPr>
            </w:pPr>
            <w:r>
              <w:rPr>
                <w:sz w:val="22"/>
                <w:szCs w:val="22"/>
              </w:rPr>
              <w:t>0.010</w:t>
            </w:r>
          </w:p>
        </w:tc>
        <w:tc>
          <w:tcPr>
            <w:tcW w:w="421" w:type="pct"/>
            <w:vAlign w:val="center"/>
          </w:tcPr>
          <w:p>
            <w:pPr>
              <w:adjustRightInd w:val="0"/>
              <w:snapToGrid w:val="0"/>
              <w:jc w:val="center"/>
              <w:rPr>
                <w:sz w:val="22"/>
                <w:szCs w:val="22"/>
              </w:rPr>
            </w:pPr>
            <w:r>
              <w:rPr>
                <w:sz w:val="22"/>
                <w:szCs w:val="22"/>
              </w:rPr>
              <w:t>0.024</w:t>
            </w:r>
          </w:p>
        </w:tc>
        <w:tc>
          <w:tcPr>
            <w:tcW w:w="421" w:type="pct"/>
            <w:vAlign w:val="center"/>
          </w:tcPr>
          <w:p>
            <w:pPr>
              <w:adjustRightInd w:val="0"/>
              <w:snapToGrid w:val="0"/>
              <w:jc w:val="center"/>
              <w:rPr>
                <w:sz w:val="22"/>
                <w:szCs w:val="22"/>
              </w:rPr>
            </w:pPr>
            <w:r>
              <w:rPr>
                <w:sz w:val="22"/>
                <w:szCs w:val="22"/>
              </w:rPr>
              <w:t>0.000</w:t>
            </w:r>
          </w:p>
        </w:tc>
        <w:tc>
          <w:tcPr>
            <w:tcW w:w="421" w:type="pct"/>
            <w:vAlign w:val="center"/>
          </w:tcPr>
          <w:p>
            <w:pPr>
              <w:adjustRightInd w:val="0"/>
              <w:snapToGrid w:val="0"/>
              <w:jc w:val="center"/>
              <w:rPr>
                <w:sz w:val="22"/>
                <w:szCs w:val="22"/>
              </w:rPr>
            </w:pPr>
            <w:r>
              <w:rPr>
                <w:sz w:val="22"/>
                <w:szCs w:val="22"/>
              </w:rPr>
              <w:t>0.010</w:t>
            </w:r>
          </w:p>
        </w:tc>
        <w:tc>
          <w:tcPr>
            <w:tcW w:w="419" w:type="pct"/>
            <w:vAlign w:val="center"/>
          </w:tcPr>
          <w:p>
            <w:pPr>
              <w:adjustRightInd w:val="0"/>
              <w:snapToGrid w:val="0"/>
              <w:jc w:val="center"/>
              <w:rPr>
                <w:sz w:val="22"/>
                <w:szCs w:val="22"/>
              </w:rPr>
            </w:pPr>
            <w:r>
              <w:rPr>
                <w:sz w:val="22"/>
                <w:szCs w:val="22"/>
              </w:rPr>
              <w:t>0.100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rFonts w:hint="eastAsia"/>
                <w:kern w:val="0"/>
                <w:szCs w:val="21"/>
              </w:rPr>
              <w:t>D</w:t>
            </w:r>
            <w:r>
              <w:rPr>
                <w:kern w:val="0"/>
                <w:szCs w:val="21"/>
              </w:rPr>
              <w:t>TRO</w:t>
            </w:r>
          </w:p>
        </w:tc>
        <w:tc>
          <w:tcPr>
            <w:tcW w:w="354" w:type="pct"/>
            <w:vAlign w:val="center"/>
          </w:tcPr>
          <w:p>
            <w:pPr>
              <w:widowControl/>
              <w:adjustRightInd w:val="0"/>
              <w:snapToGrid w:val="0"/>
              <w:ind w:firstLine="6"/>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401.2</w:t>
            </w:r>
          </w:p>
        </w:tc>
        <w:tc>
          <w:tcPr>
            <w:tcW w:w="421" w:type="pct"/>
            <w:vAlign w:val="center"/>
          </w:tcPr>
          <w:p>
            <w:pPr>
              <w:adjustRightInd w:val="0"/>
              <w:snapToGrid w:val="0"/>
              <w:jc w:val="center"/>
              <w:rPr>
                <w:szCs w:val="21"/>
              </w:rPr>
            </w:pPr>
            <w:r>
              <w:rPr>
                <w:szCs w:val="21"/>
              </w:rPr>
              <w:t>157.0</w:t>
            </w:r>
          </w:p>
        </w:tc>
        <w:tc>
          <w:tcPr>
            <w:tcW w:w="421" w:type="pct"/>
            <w:vAlign w:val="center"/>
          </w:tcPr>
          <w:p>
            <w:pPr>
              <w:adjustRightInd w:val="0"/>
              <w:snapToGrid w:val="0"/>
              <w:jc w:val="center"/>
              <w:rPr>
                <w:szCs w:val="21"/>
              </w:rPr>
            </w:pPr>
            <w:r>
              <w:rPr>
                <w:szCs w:val="21"/>
              </w:rPr>
              <w:t>21.9</w:t>
            </w:r>
          </w:p>
        </w:tc>
        <w:tc>
          <w:tcPr>
            <w:tcW w:w="421" w:type="pct"/>
            <w:vAlign w:val="center"/>
          </w:tcPr>
          <w:p>
            <w:pPr>
              <w:adjustRightInd w:val="0"/>
              <w:snapToGrid w:val="0"/>
              <w:jc w:val="center"/>
              <w:rPr>
                <w:szCs w:val="21"/>
              </w:rPr>
            </w:pPr>
            <w:r>
              <w:rPr>
                <w:szCs w:val="21"/>
              </w:rPr>
              <w:t>14.6</w:t>
            </w:r>
          </w:p>
        </w:tc>
        <w:tc>
          <w:tcPr>
            <w:tcW w:w="421" w:type="pct"/>
            <w:vAlign w:val="center"/>
          </w:tcPr>
          <w:p>
            <w:pPr>
              <w:adjustRightInd w:val="0"/>
              <w:snapToGrid w:val="0"/>
              <w:jc w:val="center"/>
              <w:rPr>
                <w:szCs w:val="21"/>
              </w:rPr>
            </w:pPr>
            <w:r>
              <w:rPr>
                <w:szCs w:val="21"/>
              </w:rPr>
              <w:t>0.022</w:t>
            </w:r>
          </w:p>
        </w:tc>
        <w:tc>
          <w:tcPr>
            <w:tcW w:w="421" w:type="pct"/>
            <w:vAlign w:val="center"/>
          </w:tcPr>
          <w:p>
            <w:pPr>
              <w:adjustRightInd w:val="0"/>
              <w:snapToGrid w:val="0"/>
              <w:jc w:val="center"/>
              <w:rPr>
                <w:szCs w:val="21"/>
              </w:rPr>
            </w:pPr>
            <w:r>
              <w:rPr>
                <w:szCs w:val="21"/>
              </w:rPr>
              <w:t>0.133</w:t>
            </w:r>
          </w:p>
        </w:tc>
        <w:tc>
          <w:tcPr>
            <w:tcW w:w="421" w:type="pct"/>
            <w:vAlign w:val="center"/>
          </w:tcPr>
          <w:p>
            <w:pPr>
              <w:adjustRightInd w:val="0"/>
              <w:snapToGrid w:val="0"/>
              <w:jc w:val="center"/>
              <w:rPr>
                <w:szCs w:val="21"/>
              </w:rPr>
            </w:pPr>
            <w:r>
              <w:rPr>
                <w:szCs w:val="21"/>
              </w:rPr>
              <w:t>0.444</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0.222</w:t>
            </w:r>
          </w:p>
        </w:tc>
        <w:tc>
          <w:tcPr>
            <w:tcW w:w="419" w:type="pct"/>
            <w:vAlign w:val="center"/>
          </w:tcPr>
          <w:p>
            <w:pPr>
              <w:adjustRightInd w:val="0"/>
              <w:snapToGrid w:val="0"/>
              <w:jc w:val="center"/>
              <w:rPr>
                <w:szCs w:val="21"/>
              </w:rPr>
            </w:pPr>
            <w:r>
              <w:rPr>
                <w:szCs w:val="21"/>
              </w:rPr>
              <w:t>1.333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80.24</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31.4</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10.95</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0.73</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0.0011</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0.0067</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0.022</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0.00020</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0.0111</w:t>
            </w:r>
          </w:p>
        </w:tc>
        <w:tc>
          <w:tcPr>
            <w:tcW w:w="419"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Cs w:val="21"/>
              </w:rPr>
            </w:pPr>
            <w:r>
              <w:rPr>
                <w:szCs w:val="21"/>
              </w:rPr>
              <w:t>50%</w:t>
            </w:r>
          </w:p>
        </w:tc>
        <w:tc>
          <w:tcPr>
            <w:tcW w:w="421" w:type="pct"/>
            <w:vAlign w:val="center"/>
          </w:tcPr>
          <w:p>
            <w:pPr>
              <w:adjustRightInd w:val="0"/>
              <w:snapToGrid w:val="0"/>
              <w:jc w:val="center"/>
              <w:rPr>
                <w:szCs w:val="21"/>
              </w:rPr>
            </w:pPr>
            <w:r>
              <w:rPr>
                <w:szCs w:val="21"/>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19" w:type="pct"/>
            <w:vAlign w:val="center"/>
          </w:tcPr>
          <w:p>
            <w:pPr>
              <w:adjustRightInd w:val="0"/>
              <w:snapToGrid w:val="0"/>
              <w:jc w:val="center"/>
              <w:rPr>
                <w:sz w:val="22"/>
                <w:szCs w:val="22"/>
              </w:rPr>
            </w:pPr>
            <w:r>
              <w:rPr>
                <w:sz w:val="22"/>
                <w:szCs w:val="22"/>
              </w:rPr>
              <w:t>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tcMar>
              <w:top w:w="0" w:type="dxa"/>
              <w:left w:w="57" w:type="dxa"/>
              <w:bottom w:w="0" w:type="dxa"/>
              <w:right w:w="57" w:type="dxa"/>
            </w:tcMar>
            <w:vAlign w:val="center"/>
          </w:tcPr>
          <w:p>
            <w:pPr>
              <w:widowControl/>
              <w:adjustRightInd w:val="0"/>
              <w:snapToGrid w:val="0"/>
              <w:ind w:firstLine="6"/>
              <w:jc w:val="center"/>
              <w:rPr>
                <w:kern w:val="0"/>
                <w:szCs w:val="21"/>
              </w:rPr>
            </w:pPr>
            <w:r>
              <w:rPr>
                <w:kern w:val="0"/>
                <w:szCs w:val="21"/>
              </w:rPr>
              <w:t>设计出水水质标准</w:t>
            </w:r>
          </w:p>
        </w:tc>
        <w:tc>
          <w:tcPr>
            <w:tcW w:w="354" w:type="pct"/>
            <w:vAlign w:val="center"/>
          </w:tcPr>
          <w:p>
            <w:pPr>
              <w:widowControl/>
              <w:adjustRightInd w:val="0"/>
              <w:snapToGrid w:val="0"/>
              <w:ind w:firstLine="6"/>
              <w:jc w:val="center"/>
              <w:rPr>
                <w:kern w:val="0"/>
                <w:szCs w:val="21"/>
              </w:rPr>
            </w:pPr>
            <w:r>
              <w:rPr>
                <w:kern w:val="0"/>
                <w:szCs w:val="21"/>
              </w:rPr>
              <w:t>总出水</w:t>
            </w:r>
          </w:p>
        </w:tc>
        <w:tc>
          <w:tcPr>
            <w:tcW w:w="421" w:type="pct"/>
            <w:vAlign w:val="center"/>
          </w:tcPr>
          <w:p>
            <w:pPr>
              <w:widowControl/>
              <w:adjustRightInd w:val="0"/>
              <w:snapToGrid w:val="0"/>
              <w:ind w:firstLine="6"/>
              <w:jc w:val="center"/>
              <w:rPr>
                <w:kern w:val="0"/>
                <w:szCs w:val="21"/>
              </w:rPr>
            </w:pPr>
            <w:r>
              <w:rPr>
                <w:kern w:val="0"/>
                <w:szCs w:val="21"/>
              </w:rPr>
              <w:t>≤60</w:t>
            </w:r>
          </w:p>
        </w:tc>
        <w:tc>
          <w:tcPr>
            <w:tcW w:w="421" w:type="pct"/>
            <w:vAlign w:val="center"/>
          </w:tcPr>
          <w:p>
            <w:pPr>
              <w:widowControl/>
              <w:adjustRightInd w:val="0"/>
              <w:snapToGrid w:val="0"/>
              <w:ind w:firstLine="6"/>
              <w:jc w:val="center"/>
              <w:rPr>
                <w:kern w:val="0"/>
                <w:szCs w:val="21"/>
              </w:rPr>
            </w:pPr>
            <w:r>
              <w:rPr>
                <w:kern w:val="0"/>
                <w:szCs w:val="21"/>
              </w:rPr>
              <w:t>≤10</w:t>
            </w:r>
          </w:p>
        </w:tc>
        <w:tc>
          <w:tcPr>
            <w:tcW w:w="421" w:type="pct"/>
            <w:vAlign w:val="center"/>
          </w:tcPr>
          <w:p>
            <w:pPr>
              <w:widowControl/>
              <w:adjustRightInd w:val="0"/>
              <w:snapToGrid w:val="0"/>
              <w:ind w:firstLine="6"/>
              <w:jc w:val="center"/>
              <w:rPr>
                <w:kern w:val="0"/>
                <w:szCs w:val="21"/>
              </w:rPr>
            </w:pPr>
            <w:r>
              <w:rPr>
                <w:kern w:val="0"/>
                <w:szCs w:val="21"/>
              </w:rPr>
              <w:t>≤</w:t>
            </w:r>
            <w:r>
              <w:rPr>
                <w:rFonts w:hint="eastAsia"/>
                <w:kern w:val="0"/>
                <w:szCs w:val="21"/>
              </w:rPr>
              <w:t>1</w:t>
            </w:r>
            <w:r>
              <w:rPr>
                <w:kern w:val="0"/>
                <w:szCs w:val="21"/>
              </w:rPr>
              <w:t>0</w:t>
            </w:r>
          </w:p>
        </w:tc>
        <w:tc>
          <w:tcPr>
            <w:tcW w:w="421" w:type="pct"/>
            <w:vAlign w:val="center"/>
          </w:tcPr>
          <w:p>
            <w:pPr>
              <w:widowControl/>
              <w:adjustRightInd w:val="0"/>
              <w:snapToGrid w:val="0"/>
              <w:ind w:firstLine="6"/>
              <w:jc w:val="center"/>
              <w:rPr>
                <w:kern w:val="0"/>
                <w:szCs w:val="21"/>
              </w:rPr>
            </w:pPr>
            <w:r>
              <w:rPr>
                <w:rFonts w:hint="eastAsia"/>
                <w:kern w:val="0"/>
                <w:szCs w:val="21"/>
              </w:rPr>
              <w:t>/</w:t>
            </w:r>
          </w:p>
        </w:tc>
        <w:tc>
          <w:tcPr>
            <w:tcW w:w="421" w:type="pct"/>
            <w:vAlign w:val="center"/>
          </w:tcPr>
          <w:p>
            <w:pPr>
              <w:adjustRightInd w:val="0"/>
              <w:snapToGrid w:val="0"/>
              <w:jc w:val="center"/>
              <w:rPr>
                <w:sz w:val="22"/>
                <w:szCs w:val="22"/>
              </w:rPr>
            </w:pPr>
            <w:r>
              <w:rPr>
                <w:sz w:val="22"/>
                <w:szCs w:val="22"/>
              </w:rPr>
              <w:t>≤0.05</w:t>
            </w:r>
          </w:p>
        </w:tc>
        <w:tc>
          <w:tcPr>
            <w:tcW w:w="421" w:type="pct"/>
            <w:vAlign w:val="center"/>
          </w:tcPr>
          <w:p>
            <w:pPr>
              <w:adjustRightInd w:val="0"/>
              <w:snapToGrid w:val="0"/>
              <w:jc w:val="center"/>
              <w:rPr>
                <w:sz w:val="22"/>
                <w:szCs w:val="22"/>
              </w:rPr>
            </w:pPr>
            <w:r>
              <w:rPr>
                <w:sz w:val="22"/>
                <w:szCs w:val="22"/>
              </w:rPr>
              <w:t>≤0.1</w:t>
            </w:r>
          </w:p>
        </w:tc>
        <w:tc>
          <w:tcPr>
            <w:tcW w:w="421" w:type="pct"/>
            <w:vAlign w:val="center"/>
          </w:tcPr>
          <w:p>
            <w:pPr>
              <w:adjustRightInd w:val="0"/>
              <w:snapToGrid w:val="0"/>
              <w:jc w:val="center"/>
              <w:rPr>
                <w:sz w:val="22"/>
                <w:szCs w:val="22"/>
              </w:rPr>
            </w:pPr>
            <w:r>
              <w:rPr>
                <w:sz w:val="22"/>
                <w:szCs w:val="22"/>
              </w:rPr>
              <w:t>≤1.5</w:t>
            </w:r>
          </w:p>
        </w:tc>
        <w:tc>
          <w:tcPr>
            <w:tcW w:w="421" w:type="pct"/>
            <w:vAlign w:val="center"/>
          </w:tcPr>
          <w:p>
            <w:pPr>
              <w:adjustRightInd w:val="0"/>
              <w:snapToGrid w:val="0"/>
              <w:jc w:val="center"/>
              <w:rPr>
                <w:sz w:val="22"/>
                <w:szCs w:val="22"/>
              </w:rPr>
            </w:pPr>
            <w:r>
              <w:rPr>
                <w:sz w:val="22"/>
                <w:szCs w:val="22"/>
              </w:rPr>
              <w:t>≤0.5</w:t>
            </w:r>
          </w:p>
        </w:tc>
        <w:tc>
          <w:tcPr>
            <w:tcW w:w="421" w:type="pct"/>
            <w:vAlign w:val="center"/>
          </w:tcPr>
          <w:p>
            <w:pPr>
              <w:adjustRightInd w:val="0"/>
              <w:snapToGrid w:val="0"/>
              <w:jc w:val="center"/>
              <w:rPr>
                <w:sz w:val="22"/>
                <w:szCs w:val="22"/>
              </w:rPr>
            </w:pPr>
            <w:r>
              <w:rPr>
                <w:sz w:val="22"/>
                <w:szCs w:val="22"/>
              </w:rPr>
              <w:t>≤0.5</w:t>
            </w:r>
          </w:p>
        </w:tc>
        <w:tc>
          <w:tcPr>
            <w:tcW w:w="419" w:type="pct"/>
            <w:vAlign w:val="center"/>
          </w:tcPr>
          <w:p>
            <w:pPr>
              <w:adjustRightInd w:val="0"/>
              <w:snapToGrid w:val="0"/>
              <w:jc w:val="center"/>
              <w:rPr>
                <w:sz w:val="22"/>
                <w:szCs w:val="22"/>
              </w:rPr>
            </w:pPr>
            <w:r>
              <w:rPr>
                <w:sz w:val="22"/>
                <w:szCs w:val="22"/>
              </w:rPr>
              <w:t>≤1</w:t>
            </w:r>
          </w:p>
        </w:tc>
      </w:tr>
    </w:tbl>
    <w:p>
      <w:pPr>
        <w:adjustRightInd w:val="0"/>
        <w:snapToGrid w:val="0"/>
        <w:spacing w:line="360" w:lineRule="auto"/>
        <w:jc w:val="left"/>
      </w:pPr>
      <w:r>
        <w:rPr>
          <w:rFonts w:hint="eastAsia"/>
          <w:b/>
          <w:sz w:val="24"/>
          <w:szCs w:val="24"/>
        </w:rPr>
        <w:t>注：</w:t>
      </w:r>
      <w:r>
        <w:rPr>
          <w:rFonts w:hint="eastAsia"/>
        </w:rPr>
        <w:t>洗烟废水不进行生化处理，直接进入渗滤液处理站膜处理工段。</w:t>
      </w:r>
    </w:p>
    <w:p>
      <w:pPr>
        <w:adjustRightInd w:val="0"/>
        <w:snapToGrid w:val="0"/>
        <w:spacing w:line="360" w:lineRule="auto"/>
        <w:ind w:firstLine="480" w:firstLineChars="200"/>
        <w:rPr>
          <w:sz w:val="24"/>
          <w:szCs w:val="21"/>
        </w:rPr>
        <w:sectPr>
          <w:pgSz w:w="16838" w:h="11906" w:orient="landscape"/>
          <w:pgMar w:top="1797" w:right="1440" w:bottom="1797" w:left="1440" w:header="851" w:footer="992" w:gutter="0"/>
          <w:cols w:space="425" w:num="1"/>
          <w:docGrid w:linePitch="312" w:charSpace="0"/>
        </w:sectPr>
      </w:pPr>
    </w:p>
    <w:bookmarkEnd w:id="84"/>
    <w:p>
      <w:pPr>
        <w:pStyle w:val="61"/>
        <w:numPr>
          <w:ilvl w:val="1"/>
          <w:numId w:val="5"/>
        </w:numPr>
        <w:tabs>
          <w:tab w:val="left" w:pos="567"/>
          <w:tab w:val="clear" w:pos="432"/>
        </w:tabs>
        <w:spacing w:before="120" w:after="120"/>
        <w:ind w:left="0" w:firstLine="0"/>
        <w:rPr>
          <w:rFonts w:ascii="Times New Roman" w:hAnsi="Times New Roman"/>
        </w:rPr>
      </w:pPr>
      <w:bookmarkStart w:id="90" w:name="_Toc94101214"/>
      <w:r>
        <w:rPr>
          <w:rFonts w:hint="eastAsia" w:ascii="Times New Roman" w:hAnsi="Times New Roman"/>
        </w:rPr>
        <w:t>建设期工程分析</w:t>
      </w:r>
      <w:bookmarkEnd w:id="90"/>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施工内容和施工工艺</w:t>
      </w:r>
    </w:p>
    <w:p>
      <w:pPr>
        <w:pStyle w:val="76"/>
        <w:adjustRightInd w:val="0"/>
        <w:snapToGrid w:val="0"/>
        <w:spacing w:line="360" w:lineRule="auto"/>
        <w:ind w:left="482" w:firstLine="0" w:firstLineChars="0"/>
        <w:rPr>
          <w:b/>
          <w:bCs/>
          <w:sz w:val="24"/>
          <w:szCs w:val="21"/>
        </w:rPr>
      </w:pPr>
      <w:r>
        <w:rPr>
          <w:rFonts w:hint="eastAsia"/>
          <w:b/>
          <w:bCs/>
          <w:sz w:val="24"/>
          <w:szCs w:val="21"/>
        </w:rPr>
        <w:t>1、施工内容：</w:t>
      </w:r>
      <w:r>
        <w:rPr>
          <w:b/>
          <w:bCs/>
          <w:sz w:val="24"/>
          <w:szCs w:val="21"/>
        </w:rPr>
        <w:t xml:space="preserve"> </w:t>
      </w:r>
    </w:p>
    <w:p>
      <w:pPr>
        <w:adjustRightInd w:val="0"/>
        <w:snapToGrid w:val="0"/>
        <w:spacing w:line="360" w:lineRule="auto"/>
        <w:ind w:firstLine="480" w:firstLineChars="200"/>
        <w:rPr>
          <w:sz w:val="24"/>
          <w:szCs w:val="21"/>
        </w:rPr>
      </w:pPr>
      <w:r>
        <w:rPr>
          <w:rFonts w:hint="eastAsia"/>
          <w:sz w:val="24"/>
          <w:szCs w:val="21"/>
        </w:rPr>
        <w:t>本项目的施工主要包括库底平整和边坡修整、地下水导流系统、库底防渗系统、渗滤液收集导排系统等。</w:t>
      </w:r>
    </w:p>
    <w:p>
      <w:pPr>
        <w:adjustRightInd w:val="0"/>
        <w:snapToGrid w:val="0"/>
        <w:spacing w:line="360" w:lineRule="auto"/>
        <w:ind w:firstLine="482" w:firstLineChars="200"/>
        <w:rPr>
          <w:sz w:val="24"/>
          <w:szCs w:val="21"/>
        </w:rPr>
      </w:pPr>
      <w:r>
        <w:rPr>
          <w:b/>
          <w:bCs/>
          <w:sz w:val="24"/>
          <w:szCs w:val="21"/>
        </w:rPr>
        <w:t>2</w:t>
      </w:r>
      <w:r>
        <w:rPr>
          <w:rFonts w:hint="eastAsia"/>
          <w:b/>
          <w:bCs/>
          <w:sz w:val="24"/>
          <w:szCs w:val="21"/>
        </w:rPr>
        <w:t>、施工工艺</w:t>
      </w:r>
    </w:p>
    <w:p>
      <w:pPr>
        <w:adjustRightInd w:val="0"/>
        <w:snapToGrid w:val="0"/>
        <w:spacing w:line="360" w:lineRule="auto"/>
        <w:ind w:firstLine="480" w:firstLineChars="200"/>
        <w:rPr>
          <w:sz w:val="24"/>
          <w:szCs w:val="21"/>
        </w:rPr>
      </w:pPr>
      <w:r>
        <w:rPr>
          <w:rFonts w:hint="eastAsia"/>
          <w:sz w:val="24"/>
          <w:szCs w:val="21"/>
        </w:rPr>
        <w:t>（1）库底清基</w:t>
      </w:r>
    </w:p>
    <w:p>
      <w:pPr>
        <w:adjustRightInd w:val="0"/>
        <w:snapToGrid w:val="0"/>
        <w:spacing w:line="360" w:lineRule="auto"/>
        <w:ind w:firstLine="480" w:firstLineChars="200"/>
        <w:rPr>
          <w:sz w:val="24"/>
          <w:szCs w:val="21"/>
        </w:rPr>
      </w:pPr>
      <w:r>
        <w:rPr>
          <w:rFonts w:hint="eastAsia"/>
          <w:sz w:val="24"/>
          <w:szCs w:val="21"/>
        </w:rPr>
        <w:t>去除地表植被土</w:t>
      </w:r>
      <w:r>
        <w:rPr>
          <w:sz w:val="24"/>
          <w:szCs w:val="21"/>
        </w:rPr>
        <w:t>→</w:t>
      </w:r>
      <w:r>
        <w:rPr>
          <w:rFonts w:hint="eastAsia"/>
          <w:sz w:val="24"/>
          <w:szCs w:val="21"/>
        </w:rPr>
        <w:t>边坡修理平整并压实</w:t>
      </w:r>
      <w:r>
        <w:rPr>
          <w:sz w:val="24"/>
          <w:szCs w:val="21"/>
        </w:rPr>
        <w:t>→</w:t>
      </w:r>
      <w:r>
        <w:rPr>
          <w:rFonts w:hint="eastAsia"/>
          <w:sz w:val="24"/>
          <w:szCs w:val="21"/>
        </w:rPr>
        <w:t>库底清运杂土</w:t>
      </w:r>
      <w:r>
        <w:rPr>
          <w:sz w:val="24"/>
          <w:szCs w:val="21"/>
        </w:rPr>
        <w:t>→</w:t>
      </w:r>
      <w:r>
        <w:rPr>
          <w:rFonts w:hint="eastAsia"/>
          <w:sz w:val="24"/>
          <w:szCs w:val="21"/>
        </w:rPr>
        <w:t>库底腐质土清除</w:t>
      </w:r>
      <w:r>
        <w:rPr>
          <w:sz w:val="24"/>
          <w:szCs w:val="21"/>
        </w:rPr>
        <w:t>→</w:t>
      </w:r>
      <w:r>
        <w:rPr>
          <w:rFonts w:hint="eastAsia"/>
          <w:sz w:val="24"/>
          <w:szCs w:val="21"/>
        </w:rPr>
        <w:t>库底土方平整压实。</w:t>
      </w:r>
    </w:p>
    <w:p>
      <w:pPr>
        <w:adjustRightInd w:val="0"/>
        <w:snapToGrid w:val="0"/>
        <w:spacing w:line="360" w:lineRule="auto"/>
        <w:ind w:firstLine="480" w:firstLineChars="200"/>
        <w:rPr>
          <w:sz w:val="24"/>
          <w:szCs w:val="21"/>
        </w:rPr>
      </w:pPr>
      <w:r>
        <w:rPr>
          <w:rFonts w:hint="eastAsia"/>
          <w:sz w:val="24"/>
          <w:szCs w:val="21"/>
        </w:rPr>
        <w:t>（2）库区防渗系统施工：</w:t>
      </w:r>
      <w:r>
        <w:rPr>
          <w:sz w:val="24"/>
          <w:szCs w:val="21"/>
        </w:rPr>
        <w:t xml:space="preserve"> </w:t>
      </w:r>
    </w:p>
    <w:p>
      <w:pPr>
        <w:adjustRightInd w:val="0"/>
        <w:snapToGrid w:val="0"/>
        <w:spacing w:line="360" w:lineRule="auto"/>
        <w:ind w:firstLine="480" w:firstLineChars="200"/>
        <w:rPr>
          <w:sz w:val="24"/>
          <w:szCs w:val="21"/>
        </w:rPr>
      </w:pPr>
      <w:r>
        <w:rPr>
          <w:rFonts w:hint="eastAsia"/>
          <w:sz w:val="24"/>
          <w:szCs w:val="21"/>
        </w:rPr>
        <w:t>库区施工：在压实基础上铺设压实粘土土保护层</w:t>
      </w:r>
      <w:r>
        <w:rPr>
          <w:sz w:val="24"/>
          <w:szCs w:val="21"/>
        </w:rPr>
        <w:t>→HDPE</w:t>
      </w:r>
      <w:r>
        <w:rPr>
          <w:rFonts w:hint="eastAsia"/>
          <w:sz w:val="24"/>
          <w:szCs w:val="21"/>
        </w:rPr>
        <w:t>土工膜</w:t>
      </w:r>
      <w:r>
        <w:rPr>
          <w:sz w:val="24"/>
          <w:szCs w:val="21"/>
        </w:rPr>
        <w:t>→</w:t>
      </w:r>
      <w:r>
        <w:rPr>
          <w:rFonts w:hint="eastAsia"/>
          <w:sz w:val="24"/>
          <w:szCs w:val="21"/>
        </w:rPr>
        <w:t>无纺土工布</w:t>
      </w:r>
      <w:r>
        <w:rPr>
          <w:sz w:val="24"/>
          <w:szCs w:val="21"/>
        </w:rPr>
        <w:t>→</w:t>
      </w:r>
      <w:r>
        <w:rPr>
          <w:rFonts w:hint="eastAsia"/>
          <w:sz w:val="24"/>
          <w:szCs w:val="21"/>
        </w:rPr>
        <w:t>渗滤液导流层</w:t>
      </w:r>
      <w:r>
        <w:rPr>
          <w:sz w:val="24"/>
          <w:szCs w:val="21"/>
        </w:rPr>
        <w:t>→</w:t>
      </w:r>
      <w:r>
        <w:rPr>
          <w:rFonts w:hint="eastAsia"/>
          <w:sz w:val="24"/>
          <w:szCs w:val="21"/>
        </w:rPr>
        <w:t>土工滤网。</w:t>
      </w:r>
    </w:p>
    <w:p>
      <w:pPr>
        <w:adjustRightInd w:val="0"/>
        <w:snapToGrid w:val="0"/>
        <w:spacing w:line="360" w:lineRule="auto"/>
        <w:ind w:firstLine="480" w:firstLineChars="200"/>
        <w:rPr>
          <w:sz w:val="24"/>
          <w:szCs w:val="21"/>
        </w:rPr>
      </w:pPr>
      <w:r>
        <w:rPr>
          <w:rFonts w:hint="eastAsia"/>
          <w:sz w:val="24"/>
          <w:szCs w:val="21"/>
        </w:rPr>
        <w:t>边坡施工：夯实自然层</w:t>
      </w:r>
      <w:r>
        <w:rPr>
          <w:sz w:val="24"/>
          <w:szCs w:val="21"/>
        </w:rPr>
        <w:t>→</w:t>
      </w:r>
      <w:r>
        <w:rPr>
          <w:rFonts w:hint="eastAsia"/>
          <w:sz w:val="24"/>
          <w:szCs w:val="21"/>
        </w:rPr>
        <w:t>压实粘土</w:t>
      </w:r>
      <w:r>
        <w:rPr>
          <w:sz w:val="24"/>
          <w:szCs w:val="21"/>
        </w:rPr>
        <w:t xml:space="preserve">→HDPE </w:t>
      </w:r>
      <w:r>
        <w:rPr>
          <w:rFonts w:hint="eastAsia"/>
          <w:sz w:val="24"/>
          <w:szCs w:val="21"/>
        </w:rPr>
        <w:t>土工膜</w:t>
      </w:r>
      <w:r>
        <w:rPr>
          <w:sz w:val="24"/>
          <w:szCs w:val="21"/>
        </w:rPr>
        <w:t>→</w:t>
      </w:r>
      <w:r>
        <w:rPr>
          <w:rFonts w:hint="eastAsia"/>
          <w:sz w:val="24"/>
          <w:szCs w:val="21"/>
        </w:rPr>
        <w:t>无纺土工布</w:t>
      </w:r>
      <w:r>
        <w:rPr>
          <w:sz w:val="24"/>
          <w:szCs w:val="21"/>
        </w:rPr>
        <w:t>→</w:t>
      </w:r>
      <w:r>
        <w:rPr>
          <w:rFonts w:hint="eastAsia"/>
          <w:sz w:val="24"/>
          <w:szCs w:val="21"/>
        </w:rPr>
        <w:t>袋装砂土。</w:t>
      </w:r>
    </w:p>
    <w:p>
      <w:pPr>
        <w:pStyle w:val="76"/>
        <w:adjustRightInd w:val="0"/>
        <w:snapToGrid w:val="0"/>
        <w:spacing w:line="360" w:lineRule="auto"/>
        <w:ind w:left="480" w:firstLine="0" w:firstLineChars="0"/>
        <w:rPr>
          <w:sz w:val="24"/>
          <w:szCs w:val="21"/>
        </w:rPr>
      </w:pPr>
      <w:r>
        <w:rPr>
          <w:rFonts w:hint="eastAsia"/>
          <w:sz w:val="24"/>
          <w:szCs w:val="21"/>
        </w:rPr>
        <w:t>（3）渗滤液收集导排系统施工</w:t>
      </w:r>
      <w:r>
        <w:rPr>
          <w:sz w:val="24"/>
          <w:szCs w:val="21"/>
        </w:rPr>
        <w:t xml:space="preserve"> </w:t>
      </w:r>
    </w:p>
    <w:p>
      <w:pPr>
        <w:adjustRightInd w:val="0"/>
        <w:snapToGrid w:val="0"/>
        <w:spacing w:line="360" w:lineRule="auto"/>
        <w:ind w:firstLine="480" w:firstLineChars="200"/>
        <w:rPr>
          <w:sz w:val="24"/>
          <w:szCs w:val="21"/>
        </w:rPr>
      </w:pPr>
      <w:r>
        <w:rPr>
          <w:rFonts w:hint="eastAsia"/>
          <w:sz w:val="24"/>
          <w:szCs w:val="21"/>
        </w:rPr>
        <w:t>在防渗层上铺设卵石导流层</w:t>
      </w:r>
      <w:r>
        <w:rPr>
          <w:sz w:val="24"/>
          <w:szCs w:val="21"/>
        </w:rPr>
        <w:t>→</w:t>
      </w:r>
      <w:r>
        <w:rPr>
          <w:rFonts w:hint="eastAsia"/>
          <w:sz w:val="24"/>
          <w:szCs w:val="21"/>
        </w:rPr>
        <w:t>开挖盲沟</w:t>
      </w:r>
      <w:r>
        <w:rPr>
          <w:sz w:val="24"/>
          <w:szCs w:val="21"/>
        </w:rPr>
        <w:t>→</w:t>
      </w:r>
      <w:r>
        <w:rPr>
          <w:rFonts w:hint="eastAsia"/>
          <w:sz w:val="24"/>
          <w:szCs w:val="21"/>
        </w:rPr>
        <w:t>埋设排水浪管</w:t>
      </w:r>
      <w:r>
        <w:rPr>
          <w:sz w:val="24"/>
          <w:szCs w:val="21"/>
        </w:rPr>
        <w:t>→</w:t>
      </w:r>
      <w:r>
        <w:rPr>
          <w:rFonts w:hint="eastAsia"/>
          <w:sz w:val="24"/>
          <w:szCs w:val="21"/>
        </w:rPr>
        <w:t>回填碎石、中粗砂至沟面</w:t>
      </w:r>
      <w:r>
        <w:rPr>
          <w:sz w:val="24"/>
          <w:szCs w:val="21"/>
        </w:rPr>
        <w:t>→</w:t>
      </w:r>
      <w:r>
        <w:rPr>
          <w:rFonts w:hint="eastAsia"/>
          <w:sz w:val="24"/>
          <w:szCs w:val="21"/>
        </w:rPr>
        <w:t>铺设土工布。</w:t>
      </w:r>
    </w:p>
    <w:p>
      <w:pPr>
        <w:adjustRightInd w:val="0"/>
        <w:snapToGrid w:val="0"/>
        <w:spacing w:line="360" w:lineRule="auto"/>
        <w:ind w:firstLine="480" w:firstLineChars="200"/>
        <w:rPr>
          <w:sz w:val="24"/>
          <w:szCs w:val="21"/>
        </w:rPr>
      </w:pPr>
      <w:r>
        <w:rPr>
          <w:rFonts w:hint="eastAsia"/>
          <w:sz w:val="24"/>
          <w:szCs w:val="21"/>
        </w:rPr>
        <w:t>（4）道路及排水</w:t>
      </w:r>
    </w:p>
    <w:p>
      <w:pPr>
        <w:adjustRightInd w:val="0"/>
        <w:snapToGrid w:val="0"/>
        <w:spacing w:line="360" w:lineRule="auto"/>
        <w:ind w:firstLine="480" w:firstLineChars="200"/>
        <w:rPr>
          <w:sz w:val="24"/>
          <w:szCs w:val="21"/>
        </w:rPr>
      </w:pPr>
      <w:r>
        <w:rPr>
          <w:rFonts w:hint="eastAsia"/>
          <w:sz w:val="24"/>
          <w:szCs w:val="21"/>
        </w:rPr>
        <w:t>在初整平后，按设计进行道路修建，并相应的修建截洪排水沟，以防止雨水冲刷造成水土流失。</w:t>
      </w:r>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土石方平衡</w:t>
      </w:r>
    </w:p>
    <w:p>
      <w:pPr>
        <w:adjustRightInd w:val="0"/>
        <w:snapToGrid w:val="0"/>
        <w:spacing w:line="360" w:lineRule="auto"/>
        <w:ind w:firstLine="480" w:firstLineChars="200"/>
        <w:rPr>
          <w:sz w:val="24"/>
          <w:szCs w:val="24"/>
        </w:rPr>
      </w:pPr>
      <w:r>
        <w:rPr>
          <w:rFonts w:hint="eastAsia"/>
          <w:sz w:val="24"/>
          <w:szCs w:val="24"/>
        </w:rPr>
        <w:t>根据本项目可研报告，依据库区平台构建方式和清基方案，本项目总计挖方49606.49m³，总计填方46957.45m³，</w:t>
      </w:r>
      <w:bookmarkStart w:id="91" w:name="_Hlk89244193"/>
      <w:r>
        <w:rPr>
          <w:rFonts w:hint="eastAsia"/>
          <w:sz w:val="24"/>
          <w:szCs w:val="24"/>
        </w:rPr>
        <w:t>产生多余土方2649.04m³，本项目多余土方可运至场址内部开辟的堆土区暂存，堆土区暂存区域位于飞灰填埋区西南调节池北面南绿化带位置，用于后期飞灰填埋作业覆土或筑路。</w:t>
      </w:r>
      <w:bookmarkEnd w:id="91"/>
      <w:r>
        <w:rPr>
          <w:rFonts w:hint="eastAsia"/>
          <w:sz w:val="24"/>
          <w:szCs w:val="24"/>
        </w:rPr>
        <w:t>本项目土石方平衡见下表：</w:t>
      </w:r>
    </w:p>
    <w:p>
      <w:pPr>
        <w:adjustRightInd w:val="0"/>
        <w:snapToGrid w:val="0"/>
        <w:spacing w:line="360" w:lineRule="auto"/>
        <w:ind w:firstLine="480" w:firstLineChars="200"/>
        <w:rPr>
          <w:sz w:val="24"/>
          <w:szCs w:val="24"/>
        </w:rPr>
      </w:pPr>
    </w:p>
    <w:p>
      <w:pPr>
        <w:adjustRightInd w:val="0"/>
        <w:snapToGrid w:val="0"/>
        <w:spacing w:line="360" w:lineRule="auto"/>
        <w:ind w:firstLine="480" w:firstLineChars="200"/>
        <w:rPr>
          <w:sz w:val="24"/>
          <w:szCs w:val="24"/>
        </w:rPr>
      </w:pPr>
    </w:p>
    <w:p>
      <w:pPr>
        <w:adjustRightInd w:val="0"/>
        <w:snapToGrid w:val="0"/>
        <w:jc w:val="center"/>
        <w:rPr>
          <w:b/>
          <w:sz w:val="24"/>
        </w:rPr>
      </w:pPr>
      <w:r>
        <w:rPr>
          <w:rFonts w:hint="eastAsia"/>
          <w:b/>
          <w:sz w:val="24"/>
        </w:rPr>
        <w:t>表3</w:t>
      </w:r>
      <w:r>
        <w:rPr>
          <w:b/>
          <w:sz w:val="24"/>
        </w:rPr>
        <w:t xml:space="preserve">.9-1  </w:t>
      </w:r>
      <w:r>
        <w:rPr>
          <w:rFonts w:hint="eastAsia"/>
          <w:b/>
          <w:sz w:val="24"/>
        </w:rPr>
        <w:t>本项目土石方平衡一览表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40"/>
        <w:gridCol w:w="2841"/>
        <w:gridCol w:w="28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840" w:type="dxa"/>
            <w:vAlign w:val="center"/>
          </w:tcPr>
          <w:p>
            <w:pPr>
              <w:pStyle w:val="2"/>
              <w:autoSpaceDE w:val="0"/>
              <w:autoSpaceDN w:val="0"/>
              <w:adjustRightInd w:val="0"/>
              <w:snapToGrid w:val="0"/>
              <w:spacing w:after="0"/>
              <w:ind w:left="0" w:leftChars="0" w:firstLine="0" w:firstLineChars="0"/>
              <w:jc w:val="center"/>
            </w:pPr>
            <w:r>
              <w:rPr>
                <w:rFonts w:hint="eastAsia"/>
              </w:rPr>
              <w:t>挖方</w:t>
            </w:r>
          </w:p>
        </w:tc>
        <w:tc>
          <w:tcPr>
            <w:tcW w:w="2841" w:type="dxa"/>
            <w:vAlign w:val="center"/>
          </w:tcPr>
          <w:p>
            <w:pPr>
              <w:pStyle w:val="2"/>
              <w:autoSpaceDE w:val="0"/>
              <w:autoSpaceDN w:val="0"/>
              <w:adjustRightInd w:val="0"/>
              <w:snapToGrid w:val="0"/>
              <w:spacing w:after="0"/>
              <w:ind w:left="0" w:leftChars="0" w:firstLine="0" w:firstLineChars="0"/>
              <w:jc w:val="center"/>
            </w:pPr>
            <w:r>
              <w:rPr>
                <w:rFonts w:hint="eastAsia"/>
              </w:rPr>
              <w:t>填方</w:t>
            </w:r>
          </w:p>
        </w:tc>
        <w:tc>
          <w:tcPr>
            <w:tcW w:w="2841" w:type="dxa"/>
            <w:vAlign w:val="center"/>
          </w:tcPr>
          <w:p>
            <w:pPr>
              <w:pStyle w:val="2"/>
              <w:autoSpaceDE w:val="0"/>
              <w:autoSpaceDN w:val="0"/>
              <w:adjustRightInd w:val="0"/>
              <w:snapToGrid w:val="0"/>
              <w:spacing w:after="0"/>
              <w:ind w:left="0" w:leftChars="0" w:firstLine="0" w:firstLineChars="0"/>
              <w:jc w:val="center"/>
            </w:pPr>
            <w:r>
              <w:rPr>
                <w:rFonts w:hint="eastAsia"/>
              </w:rPr>
              <w:t>场址内部暂存方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840" w:type="dxa"/>
            <w:vAlign w:val="center"/>
          </w:tcPr>
          <w:p>
            <w:pPr>
              <w:pStyle w:val="2"/>
              <w:autoSpaceDE w:val="0"/>
              <w:autoSpaceDN w:val="0"/>
              <w:adjustRightInd w:val="0"/>
              <w:snapToGrid w:val="0"/>
              <w:spacing w:after="0"/>
              <w:ind w:left="0" w:leftChars="0" w:firstLine="0" w:firstLineChars="0"/>
              <w:jc w:val="center"/>
            </w:pPr>
            <w:r>
              <w:rPr>
                <w:rFonts w:hint="eastAsia"/>
              </w:rPr>
              <w:t>49606.49m³</w:t>
            </w:r>
          </w:p>
        </w:tc>
        <w:tc>
          <w:tcPr>
            <w:tcW w:w="2841" w:type="dxa"/>
            <w:vAlign w:val="center"/>
          </w:tcPr>
          <w:p>
            <w:pPr>
              <w:pStyle w:val="2"/>
              <w:autoSpaceDE w:val="0"/>
              <w:autoSpaceDN w:val="0"/>
              <w:adjustRightInd w:val="0"/>
              <w:snapToGrid w:val="0"/>
              <w:spacing w:after="0"/>
              <w:ind w:left="0" w:leftChars="0" w:firstLine="0" w:firstLineChars="0"/>
              <w:jc w:val="center"/>
            </w:pPr>
            <w:r>
              <w:rPr>
                <w:rFonts w:hint="eastAsia"/>
              </w:rPr>
              <w:t>46957.45m³</w:t>
            </w:r>
          </w:p>
        </w:tc>
        <w:tc>
          <w:tcPr>
            <w:tcW w:w="2841" w:type="dxa"/>
            <w:vAlign w:val="center"/>
          </w:tcPr>
          <w:p>
            <w:pPr>
              <w:pStyle w:val="2"/>
              <w:autoSpaceDE w:val="0"/>
              <w:autoSpaceDN w:val="0"/>
              <w:adjustRightInd w:val="0"/>
              <w:snapToGrid w:val="0"/>
              <w:spacing w:after="0"/>
              <w:ind w:left="0" w:leftChars="0" w:firstLine="0" w:firstLineChars="0"/>
              <w:jc w:val="center"/>
            </w:pPr>
            <w:r>
              <w:rPr>
                <w:rFonts w:hint="eastAsia"/>
              </w:rPr>
              <w:t>2649.04m³</w:t>
            </w:r>
          </w:p>
        </w:tc>
      </w:tr>
    </w:tbl>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施工</w:t>
      </w:r>
      <w:r>
        <w:rPr>
          <w:rFonts w:ascii="Times New Roman" w:hAnsi="Times New Roman"/>
        </w:rPr>
        <w:t>“</w:t>
      </w:r>
      <w:r>
        <w:rPr>
          <w:rFonts w:hint="eastAsia" w:ascii="Times New Roman" w:hAnsi="Times New Roman"/>
        </w:rPr>
        <w:t>三场</w:t>
      </w:r>
      <w:r>
        <w:rPr>
          <w:rFonts w:ascii="Times New Roman" w:hAnsi="Times New Roman"/>
        </w:rPr>
        <w:t>”</w:t>
      </w:r>
      <w:r>
        <w:rPr>
          <w:rFonts w:hint="eastAsia" w:ascii="Times New Roman" w:hAnsi="Times New Roman"/>
        </w:rPr>
        <w:t>设置</w:t>
      </w:r>
    </w:p>
    <w:p>
      <w:pPr>
        <w:pStyle w:val="76"/>
        <w:adjustRightInd w:val="0"/>
        <w:snapToGrid w:val="0"/>
        <w:spacing w:line="360" w:lineRule="auto"/>
        <w:ind w:firstLine="482"/>
        <w:rPr>
          <w:rFonts w:asciiTheme="minorEastAsia" w:hAnsiTheme="minorEastAsia" w:eastAsiaTheme="minorEastAsia"/>
          <w:b/>
          <w:bCs/>
          <w:sz w:val="24"/>
          <w:szCs w:val="21"/>
        </w:rPr>
      </w:pPr>
      <w:r>
        <w:rPr>
          <w:rFonts w:hint="eastAsia" w:asciiTheme="minorEastAsia" w:hAnsiTheme="minorEastAsia" w:eastAsiaTheme="minorEastAsia"/>
          <w:b/>
          <w:bCs/>
          <w:sz w:val="24"/>
          <w:szCs w:val="21"/>
        </w:rPr>
        <w:t>1、取土场</w:t>
      </w:r>
      <w:r>
        <w:rPr>
          <w:rFonts w:asciiTheme="minorEastAsia" w:hAnsiTheme="minorEastAsia" w:eastAsiaTheme="minorEastAsia"/>
          <w:b/>
          <w:bCs/>
          <w:sz w:val="24"/>
          <w:szCs w:val="21"/>
        </w:rPr>
        <w:t xml:space="preserve"> </w:t>
      </w:r>
    </w:p>
    <w:p>
      <w:pPr>
        <w:adjustRightInd w:val="0"/>
        <w:snapToGrid w:val="0"/>
        <w:spacing w:line="360" w:lineRule="auto"/>
        <w:ind w:firstLine="480" w:firstLineChars="200"/>
        <w:rPr>
          <w:rFonts w:asciiTheme="minorEastAsia" w:hAnsiTheme="minorEastAsia" w:eastAsiaTheme="minorEastAsia"/>
          <w:sz w:val="24"/>
          <w:szCs w:val="21"/>
        </w:rPr>
      </w:pPr>
      <w:r>
        <w:rPr>
          <w:rFonts w:hint="eastAsia" w:asciiTheme="minorEastAsia" w:hAnsiTheme="minorEastAsia" w:eastAsiaTheme="minorEastAsia"/>
          <w:sz w:val="24"/>
          <w:szCs w:val="21"/>
        </w:rPr>
        <w:t>本项目没有缺方，所需外购土石方主要为水泥、砂等。因此，本项目不设置取土场。</w:t>
      </w:r>
    </w:p>
    <w:p>
      <w:pPr>
        <w:pStyle w:val="76"/>
        <w:adjustRightInd w:val="0"/>
        <w:snapToGrid w:val="0"/>
        <w:spacing w:line="360" w:lineRule="auto"/>
        <w:ind w:firstLine="482"/>
        <w:rPr>
          <w:rFonts w:asciiTheme="minorEastAsia" w:hAnsiTheme="minorEastAsia" w:eastAsiaTheme="minorEastAsia"/>
          <w:b/>
          <w:bCs/>
          <w:sz w:val="24"/>
          <w:szCs w:val="21"/>
        </w:rPr>
      </w:pPr>
      <w:r>
        <w:rPr>
          <w:rFonts w:hint="eastAsia" w:asciiTheme="minorEastAsia" w:hAnsiTheme="minorEastAsia" w:eastAsiaTheme="minorEastAsia"/>
          <w:b/>
          <w:bCs/>
          <w:sz w:val="24"/>
          <w:szCs w:val="21"/>
        </w:rPr>
        <w:t>2、临时堆土场</w:t>
      </w:r>
    </w:p>
    <w:p>
      <w:pPr>
        <w:adjustRightInd w:val="0"/>
        <w:snapToGrid w:val="0"/>
        <w:spacing w:line="360" w:lineRule="auto"/>
        <w:ind w:firstLine="480" w:firstLineChars="200"/>
        <w:rPr>
          <w:rFonts w:asciiTheme="minorEastAsia" w:hAnsiTheme="minorEastAsia" w:eastAsiaTheme="minorEastAsia"/>
          <w:sz w:val="24"/>
          <w:szCs w:val="21"/>
        </w:rPr>
      </w:pPr>
      <w:r>
        <w:rPr>
          <w:rFonts w:hint="eastAsia" w:asciiTheme="minorEastAsia" w:hAnsiTheme="minorEastAsia" w:eastAsiaTheme="minorEastAsia"/>
          <w:sz w:val="24"/>
          <w:szCs w:val="21"/>
        </w:rPr>
        <w:t>本项目产生</w:t>
      </w:r>
      <w:bookmarkStart w:id="92" w:name="_Hlk93652909"/>
      <w:r>
        <w:rPr>
          <w:rFonts w:hint="eastAsia" w:asciiTheme="minorEastAsia" w:hAnsiTheme="minorEastAsia" w:eastAsiaTheme="minorEastAsia"/>
          <w:sz w:val="24"/>
          <w:szCs w:val="21"/>
        </w:rPr>
        <w:t>多余土方</w:t>
      </w:r>
      <w:bookmarkEnd w:id="92"/>
      <w:r>
        <w:rPr>
          <w:rFonts w:hint="eastAsia" w:asciiTheme="minorEastAsia" w:hAnsiTheme="minorEastAsia" w:eastAsiaTheme="minorEastAsia"/>
          <w:sz w:val="24"/>
          <w:szCs w:val="21"/>
        </w:rPr>
        <w:t>2649.04m³，可运至场址内部开辟堆土区暂存，用于后期飞灰填埋作业覆土或筑路，不设置弃土场。堆土区暂存区域位于飞灰填埋区西南调节池北面南绿化带位置。</w:t>
      </w:r>
    </w:p>
    <w:p>
      <w:pPr>
        <w:adjustRightInd w:val="0"/>
        <w:snapToGrid w:val="0"/>
        <w:spacing w:line="360" w:lineRule="auto"/>
        <w:ind w:firstLine="480" w:firstLineChars="200"/>
        <w:rPr>
          <w:rFonts w:asciiTheme="minorEastAsia" w:hAnsiTheme="minorEastAsia" w:eastAsiaTheme="minorEastAsia"/>
          <w:sz w:val="24"/>
          <w:szCs w:val="21"/>
        </w:rPr>
      </w:pPr>
      <w:r>
        <w:rPr>
          <w:rFonts w:hint="eastAsia" w:asciiTheme="minorEastAsia" w:hAnsiTheme="minorEastAsia" w:eastAsiaTheme="minorEastAsia"/>
          <w:sz w:val="24"/>
          <w:szCs w:val="21"/>
        </w:rPr>
        <w:t>（1）表土：剥离表土（熟土）在渣场内单独夯实堆放，周围以袋装石渣临时挡护，表面撒播草籽保肥。施工期结束后用于绿化区域。</w:t>
      </w:r>
    </w:p>
    <w:p>
      <w:pPr>
        <w:adjustRightInd w:val="0"/>
        <w:snapToGrid w:val="0"/>
        <w:spacing w:line="360" w:lineRule="auto"/>
        <w:ind w:firstLine="480" w:firstLineChars="200"/>
        <w:rPr>
          <w:rFonts w:asciiTheme="minorEastAsia" w:hAnsiTheme="minorEastAsia" w:eastAsiaTheme="minorEastAsia"/>
          <w:sz w:val="24"/>
          <w:szCs w:val="21"/>
        </w:rPr>
      </w:pPr>
      <w:r>
        <w:rPr>
          <w:rFonts w:hint="eastAsia" w:asciiTheme="minorEastAsia" w:hAnsiTheme="minorEastAsia" w:eastAsiaTheme="minorEastAsia"/>
          <w:sz w:val="24"/>
          <w:szCs w:val="21"/>
        </w:rPr>
        <w:t>（2）多余土方：集中堆放，根据堆放的位置、地形特点，因地制宜，因害设防,采取拦渣、排水等措施防治。控制渣体边坡坡度，堆渣边坡坡度取1：2。挡渣体堆积完成后，削坡整形和平整渣顶，使体形满足稳定要求、不发生滑坡。</w:t>
      </w:r>
    </w:p>
    <w:p>
      <w:pPr>
        <w:adjustRightInd w:val="0"/>
        <w:snapToGrid w:val="0"/>
        <w:spacing w:line="360" w:lineRule="auto"/>
        <w:ind w:firstLine="480" w:firstLineChars="200"/>
        <w:rPr>
          <w:rFonts w:asciiTheme="minorEastAsia" w:hAnsiTheme="minorEastAsia" w:eastAsiaTheme="minorEastAsia"/>
          <w:b/>
          <w:bCs/>
          <w:sz w:val="24"/>
          <w:szCs w:val="21"/>
        </w:rPr>
      </w:pPr>
      <w:r>
        <w:rPr>
          <w:rFonts w:asciiTheme="minorEastAsia" w:hAnsiTheme="minorEastAsia" w:eastAsiaTheme="minorEastAsia"/>
          <w:sz w:val="24"/>
          <w:szCs w:val="21"/>
        </w:rPr>
        <w:t xml:space="preserve"> </w:t>
      </w:r>
      <w:r>
        <w:rPr>
          <w:rFonts w:asciiTheme="minorEastAsia" w:hAnsiTheme="minorEastAsia" w:eastAsiaTheme="minorEastAsia"/>
          <w:b/>
          <w:bCs/>
          <w:sz w:val="24"/>
          <w:szCs w:val="21"/>
        </w:rPr>
        <w:t>3</w:t>
      </w:r>
      <w:r>
        <w:rPr>
          <w:rFonts w:hint="eastAsia" w:asciiTheme="minorEastAsia" w:hAnsiTheme="minorEastAsia" w:eastAsiaTheme="minorEastAsia"/>
          <w:b/>
          <w:bCs/>
          <w:sz w:val="24"/>
          <w:szCs w:val="21"/>
        </w:rPr>
        <w:t>、临时施工场地</w:t>
      </w:r>
      <w:r>
        <w:rPr>
          <w:rFonts w:asciiTheme="minorEastAsia" w:hAnsiTheme="minorEastAsia" w:eastAsiaTheme="minorEastAsia"/>
          <w:b/>
          <w:bCs/>
          <w:sz w:val="24"/>
          <w:szCs w:val="21"/>
        </w:rPr>
        <w:t xml:space="preserve"> </w:t>
      </w:r>
    </w:p>
    <w:p>
      <w:pPr>
        <w:tabs>
          <w:tab w:val="left" w:pos="495"/>
        </w:tabs>
        <w:adjustRightInd w:val="0"/>
        <w:snapToGrid w:val="0"/>
        <w:spacing w:line="360" w:lineRule="auto"/>
        <w:ind w:firstLine="480" w:firstLineChars="200"/>
        <w:rPr>
          <w:bCs/>
          <w:kern w:val="0"/>
          <w:sz w:val="24"/>
          <w:szCs w:val="24"/>
        </w:rPr>
      </w:pPr>
      <w:r>
        <w:rPr>
          <w:rFonts w:hint="eastAsia"/>
          <w:bCs/>
          <w:kern w:val="0"/>
          <w:sz w:val="24"/>
          <w:szCs w:val="24"/>
        </w:rPr>
        <w:t>本项目采用商品砼，不设置预制场和拌合场，在占地红线范围内西南侧设置</w:t>
      </w:r>
      <w:r>
        <w:rPr>
          <w:bCs/>
          <w:kern w:val="0"/>
          <w:sz w:val="24"/>
          <w:szCs w:val="24"/>
        </w:rPr>
        <w:t xml:space="preserve">1 </w:t>
      </w:r>
      <w:r>
        <w:rPr>
          <w:rFonts w:hint="eastAsia"/>
          <w:bCs/>
          <w:kern w:val="0"/>
          <w:sz w:val="24"/>
          <w:szCs w:val="24"/>
        </w:rPr>
        <w:t>处临时施工场地，面积约</w:t>
      </w:r>
      <w:r>
        <w:rPr>
          <w:bCs/>
          <w:kern w:val="0"/>
          <w:sz w:val="24"/>
          <w:szCs w:val="24"/>
        </w:rPr>
        <w:t>2000m</w:t>
      </w:r>
      <w:r>
        <w:rPr>
          <w:bCs/>
          <w:kern w:val="0"/>
          <w:sz w:val="24"/>
          <w:szCs w:val="24"/>
          <w:vertAlign w:val="superscript"/>
        </w:rPr>
        <w:t>2</w:t>
      </w:r>
      <w:r>
        <w:rPr>
          <w:rFonts w:hint="eastAsia"/>
          <w:bCs/>
          <w:kern w:val="0"/>
          <w:sz w:val="24"/>
          <w:szCs w:val="24"/>
        </w:rPr>
        <w:t>，作为施工期间施工机械和施工设备暂存区，在占地红线内侧设置施工营地，不新增占用工程区外的土地。施工场地周边</w:t>
      </w:r>
      <w:r>
        <w:rPr>
          <w:bCs/>
          <w:kern w:val="0"/>
          <w:sz w:val="24"/>
          <w:szCs w:val="24"/>
        </w:rPr>
        <w:t xml:space="preserve"> 300m </w:t>
      </w:r>
      <w:r>
        <w:rPr>
          <w:rFonts w:hint="eastAsia"/>
          <w:bCs/>
          <w:kern w:val="0"/>
          <w:sz w:val="24"/>
          <w:szCs w:val="24"/>
        </w:rPr>
        <w:t>范围内没有居民区分布。</w:t>
      </w:r>
    </w:p>
    <w:p>
      <w:pPr>
        <w:tabs>
          <w:tab w:val="left" w:pos="495"/>
        </w:tabs>
        <w:adjustRightInd w:val="0"/>
        <w:snapToGrid w:val="0"/>
        <w:spacing w:line="360" w:lineRule="auto"/>
        <w:rPr>
          <w:bCs/>
          <w:kern w:val="0"/>
          <w:sz w:val="24"/>
          <w:szCs w:val="24"/>
        </w:rPr>
      </w:pPr>
      <w:r>
        <w:rPr>
          <w:bCs/>
          <w:kern w:val="0"/>
          <w:sz w:val="24"/>
          <w:szCs w:val="24"/>
        </w:rPr>
        <mc:AlternateContent>
          <mc:Choice Requires="wps">
            <w:drawing>
              <wp:anchor distT="0" distB="0" distL="114300" distR="114300" simplePos="0" relativeHeight="251806720" behindDoc="0" locked="0" layoutInCell="1" allowOverlap="1">
                <wp:simplePos x="0" y="0"/>
                <wp:positionH relativeFrom="column">
                  <wp:posOffset>725170</wp:posOffset>
                </wp:positionH>
                <wp:positionV relativeFrom="paragraph">
                  <wp:posOffset>2127885</wp:posOffset>
                </wp:positionV>
                <wp:extent cx="1148080" cy="285750"/>
                <wp:effectExtent l="0" t="247650" r="318770" b="19050"/>
                <wp:wrapNone/>
                <wp:docPr id="133" name="对话气泡: 矩形 133"/>
                <wp:cNvGraphicFramePr/>
                <a:graphic xmlns:a="http://schemas.openxmlformats.org/drawingml/2006/main">
                  <a:graphicData uri="http://schemas.microsoft.com/office/word/2010/wordprocessingShape">
                    <wps:wsp>
                      <wps:cNvSpPr/>
                      <wps:spPr>
                        <a:xfrm>
                          <a:off x="0" y="0"/>
                          <a:ext cx="1148080" cy="285750"/>
                        </a:xfrm>
                        <a:prstGeom prst="wedgeRectCallout">
                          <a:avLst>
                            <a:gd name="adj1" fmla="val 75162"/>
                            <a:gd name="adj2" fmla="val -133139"/>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rPr>
                              <w:t>渣土临时堆放区地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33" o:spid="_x0000_s1026" o:spt="61" type="#_x0000_t61" style="position:absolute;left:0pt;margin-left:57.1pt;margin-top:167.55pt;height:22.5pt;width:90.4pt;z-index:251806720;v-text-anchor:middle;mso-width-relative:page;mso-height-relative:page;" fillcolor="#4F81BD [3204]" filled="t" stroked="t" coordsize="21600,21600" o:gfxdata="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ZGiedtsAAAAL&#10;AQAADwAAAAAAAAABACAAAAAiAAAAZHJzL2Rvd25yZXYueG1sUEsBAhQAFAAAAAgAh07iQKsGzGTE&#10;AgAAegUAAA4AAAAAAAAAAQAgAAAAKgEAAGRycy9lMm9Eb2MueG1sUEsFBgAAAAAGAAYAWQEAAGAG&#10;AAAAAA==&#10;" adj="27035,-17958">
                <v:fill on="t" focussize="0,0"/>
                <v:stroke weight="2pt" color="#385D8A [3204]" joinstyle="round"/>
                <v:imagedata o:title=""/>
                <o:lock v:ext="edit" aspectratio="f"/>
                <v:textbox>
                  <w:txbxContent>
                    <w:p>
                      <w:pPr>
                        <w:jc w:val="center"/>
                      </w:pPr>
                      <w:r>
                        <w:rPr>
                          <w:rFonts w:hint="eastAsia"/>
                        </w:rPr>
                        <w:t>渣土临时堆放区地</w:t>
                      </w:r>
                    </w:p>
                  </w:txbxContent>
                </v:textbox>
              </v:shape>
            </w:pict>
          </mc:Fallback>
        </mc:AlternateContent>
      </w:r>
      <w:r>
        <w:rPr>
          <w:bCs/>
          <w:kern w:val="0"/>
          <w:sz w:val="24"/>
          <w:szCs w:val="24"/>
        </w:rPr>
        <mc:AlternateContent>
          <mc:Choice Requires="wps">
            <w:drawing>
              <wp:anchor distT="0" distB="0" distL="114300" distR="114300" simplePos="0" relativeHeight="251805696" behindDoc="0" locked="0" layoutInCell="1" allowOverlap="1">
                <wp:simplePos x="0" y="0"/>
                <wp:positionH relativeFrom="column">
                  <wp:posOffset>824230</wp:posOffset>
                </wp:positionH>
                <wp:positionV relativeFrom="paragraph">
                  <wp:posOffset>792480</wp:posOffset>
                </wp:positionV>
                <wp:extent cx="1031240" cy="285750"/>
                <wp:effectExtent l="0" t="0" r="16510" b="476250"/>
                <wp:wrapNone/>
                <wp:docPr id="1456" name="对话气泡: 矩形 1456"/>
                <wp:cNvGraphicFramePr/>
                <a:graphic xmlns:a="http://schemas.openxmlformats.org/drawingml/2006/main">
                  <a:graphicData uri="http://schemas.microsoft.com/office/word/2010/wordprocessingShape">
                    <wps:wsp>
                      <wps:cNvSpPr/>
                      <wps:spPr>
                        <a:xfrm>
                          <a:off x="0" y="0"/>
                          <a:ext cx="1031408" cy="285750"/>
                        </a:xfrm>
                        <a:prstGeom prst="wedgeRectCallout">
                          <a:avLst>
                            <a:gd name="adj1" fmla="val -4530"/>
                            <a:gd name="adj2" fmla="val 206576"/>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rPr>
                              <w:t>临时施工场地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456" o:spid="_x0000_s1026" o:spt="61" type="#_x0000_t61" style="position:absolute;left:0pt;margin-left:64.9pt;margin-top:62.4pt;height:22.5pt;width:81.2pt;z-index:251805696;v-text-anchor:middle;mso-width-relative:page;mso-height-relative:page;" fillcolor="#4F81BD [3204]" filled="t" stroked="t" coordsize="21600,21600" o:gfxdata="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iUA+oNcAAAALAQAA&#10;DwAAAAAAAAABACAAAAAiAAAAZHJzL2Rvd25yZXYueG1sUEsBAhQAFAAAAAgAh07iQN5bTfvFAgAA&#10;ewUAAA4AAAAAAAAAAQAgAAAAJgEAAGRycy9lMm9Eb2MueG1sUEsFBgAAAAAGAAYAWQEAAF0GAAAA&#10;AA==&#10;" adj="9822,55420">
                <v:fill on="t" focussize="0,0"/>
                <v:stroke weight="2pt" color="#385D8A [3204]" joinstyle="round"/>
                <v:imagedata o:title=""/>
                <o:lock v:ext="edit" aspectratio="f"/>
                <v:textbox>
                  <w:txbxContent>
                    <w:p>
                      <w:pPr>
                        <w:jc w:val="center"/>
                      </w:pPr>
                      <w:r>
                        <w:rPr>
                          <w:rFonts w:hint="eastAsia"/>
                        </w:rPr>
                        <w:t>临时施工场地</w:t>
                      </w:r>
                    </w:p>
                  </w:txbxContent>
                </v:textbox>
              </v:shape>
            </w:pict>
          </mc:Fallback>
        </mc:AlternateContent>
      </w:r>
      <w:r>
        <w:rPr>
          <w:bCs/>
          <w:kern w:val="0"/>
          <w:sz w:val="24"/>
          <w:szCs w:val="24"/>
        </w:rPr>
        <mc:AlternateContent>
          <mc:Choice Requires="wps">
            <w:drawing>
              <wp:anchor distT="0" distB="0" distL="114300" distR="114300" simplePos="0" relativeHeight="251767808" behindDoc="0" locked="0" layoutInCell="1" allowOverlap="1">
                <wp:simplePos x="0" y="0"/>
                <wp:positionH relativeFrom="column">
                  <wp:posOffset>733425</wp:posOffset>
                </wp:positionH>
                <wp:positionV relativeFrom="paragraph">
                  <wp:posOffset>1243330</wp:posOffset>
                </wp:positionV>
                <wp:extent cx="1816100" cy="732155"/>
                <wp:effectExtent l="0" t="0" r="13335" b="10795"/>
                <wp:wrapNone/>
                <wp:docPr id="1416" name="任意多边形: 形状 1416"/>
                <wp:cNvGraphicFramePr/>
                <a:graphic xmlns:a="http://schemas.openxmlformats.org/drawingml/2006/main">
                  <a:graphicData uri="http://schemas.microsoft.com/office/word/2010/wordprocessingShape">
                    <wps:wsp>
                      <wps:cNvSpPr/>
                      <wps:spPr>
                        <a:xfrm>
                          <a:off x="0" y="0"/>
                          <a:ext cx="1815799" cy="732387"/>
                        </a:xfrm>
                        <a:custGeom>
                          <a:avLst/>
                          <a:gdLst>
                            <a:gd name="connsiteX0" fmla="*/ 0 w 1815799"/>
                            <a:gd name="connsiteY0" fmla="*/ 78006 h 732387"/>
                            <a:gd name="connsiteX1" fmla="*/ 329357 w 1815799"/>
                            <a:gd name="connsiteY1" fmla="*/ 65005 h 732387"/>
                            <a:gd name="connsiteX2" fmla="*/ 459367 w 1815799"/>
                            <a:gd name="connsiteY2" fmla="*/ 138677 h 732387"/>
                            <a:gd name="connsiteX3" fmla="*/ 780057 w 1815799"/>
                            <a:gd name="connsiteY3" fmla="*/ 381361 h 732387"/>
                            <a:gd name="connsiteX4" fmla="*/ 1031409 w 1815799"/>
                            <a:gd name="connsiteY4" fmla="*/ 433365 h 732387"/>
                            <a:gd name="connsiteX5" fmla="*/ 1031409 w 1815799"/>
                            <a:gd name="connsiteY5" fmla="*/ 485369 h 732387"/>
                            <a:gd name="connsiteX6" fmla="*/ 1612118 w 1815799"/>
                            <a:gd name="connsiteY6" fmla="*/ 598044 h 732387"/>
                            <a:gd name="connsiteX7" fmla="*/ 1625119 w 1815799"/>
                            <a:gd name="connsiteY7" fmla="*/ 277354 h 732387"/>
                            <a:gd name="connsiteX8" fmla="*/ 1694457 w 1815799"/>
                            <a:gd name="connsiteY8" fmla="*/ 0 h 732387"/>
                            <a:gd name="connsiteX9" fmla="*/ 1815799 w 1815799"/>
                            <a:gd name="connsiteY9" fmla="*/ 52004 h 732387"/>
                            <a:gd name="connsiteX10" fmla="*/ 1746461 w 1815799"/>
                            <a:gd name="connsiteY10" fmla="*/ 299022 h 732387"/>
                            <a:gd name="connsiteX11" fmla="*/ 1737794 w 1815799"/>
                            <a:gd name="connsiteY11" fmla="*/ 680383 h 732387"/>
                            <a:gd name="connsiteX12" fmla="*/ 1698791 w 1815799"/>
                            <a:gd name="connsiteY12" fmla="*/ 732387 h 732387"/>
                            <a:gd name="connsiteX13" fmla="*/ 741054 w 1815799"/>
                            <a:gd name="connsiteY13" fmla="*/ 563375 h 732387"/>
                            <a:gd name="connsiteX14" fmla="*/ 320690 w 1815799"/>
                            <a:gd name="connsiteY14" fmla="*/ 229684 h 732387"/>
                            <a:gd name="connsiteX15" fmla="*/ 307689 w 1815799"/>
                            <a:gd name="connsiteY15" fmla="*/ 182014 h 732387"/>
                            <a:gd name="connsiteX16" fmla="*/ 0 w 1815799"/>
                            <a:gd name="connsiteY16" fmla="*/ 78006 h 7323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815799" h="732387">
                              <a:moveTo>
                                <a:pt x="0" y="78006"/>
                              </a:moveTo>
                              <a:lnTo>
                                <a:pt x="329357" y="65005"/>
                              </a:lnTo>
                              <a:lnTo>
                                <a:pt x="459367" y="138677"/>
                              </a:lnTo>
                              <a:lnTo>
                                <a:pt x="780057" y="381361"/>
                              </a:lnTo>
                              <a:lnTo>
                                <a:pt x="1031409" y="433365"/>
                              </a:lnTo>
                              <a:lnTo>
                                <a:pt x="1031409" y="485369"/>
                              </a:lnTo>
                              <a:lnTo>
                                <a:pt x="1612118" y="598044"/>
                              </a:lnTo>
                              <a:lnTo>
                                <a:pt x="1625119" y="277354"/>
                              </a:lnTo>
                              <a:lnTo>
                                <a:pt x="1694457" y="0"/>
                              </a:lnTo>
                              <a:lnTo>
                                <a:pt x="1815799" y="52004"/>
                              </a:lnTo>
                              <a:lnTo>
                                <a:pt x="1746461" y="299022"/>
                              </a:lnTo>
                              <a:lnTo>
                                <a:pt x="1737794" y="680383"/>
                              </a:lnTo>
                              <a:lnTo>
                                <a:pt x="1698791" y="732387"/>
                              </a:lnTo>
                              <a:lnTo>
                                <a:pt x="741054" y="563375"/>
                              </a:lnTo>
                              <a:lnTo>
                                <a:pt x="320690" y="229684"/>
                              </a:lnTo>
                              <a:lnTo>
                                <a:pt x="307689" y="182014"/>
                              </a:lnTo>
                              <a:lnTo>
                                <a:pt x="0" y="78006"/>
                              </a:lnTo>
                              <a:close/>
                            </a:path>
                          </a:pathLst>
                        </a:cu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16" o:spid="_x0000_s1026" o:spt="100" style="position:absolute;left:0pt;margin-left:57.75pt;margin-top:97.9pt;height:57.65pt;width:143pt;z-index:251767808;v-text-anchor:middle;mso-width-relative:page;mso-height-relative:page;" fillcolor="#FFFF00" filled="t" stroked="t" coordsize="1815799,732387" o:gfxdata="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" path="m0,78006l329357,65005,459367,138677,780057,381361,1031409,433365,1031409,485369,1612118,598044,1625119,277354,1694457,0,1815799,52004,1746461,299022,1737794,680383,1698791,732387,741054,563375,320690,229684,307689,182014,0,78006xe">
                <v:path o:connectlocs="0,78006;329357,65005;459367,138677;780057,381361;1031409,433365;1031409,485369;1612118,598044;1625119,277354;1694457,0;1815799,52004;1746461,299022;1737794,680383;1698791,732387;741054,563375;320690,229684;307689,182014;0,78006" o:connectangles="0,0,0,0,0,0,0,0,0,0,0,0,0,0,0,0,0"/>
                <v:fill on="t" focussize="0,0"/>
                <v:stroke weight="2pt" color="#FFFF00 [3204]" joinstyle="round"/>
                <v:imagedata o:title=""/>
                <o:lock v:ext="edit" aspectratio="f"/>
              </v:shape>
            </w:pict>
          </mc:Fallback>
        </mc:AlternateContent>
      </w:r>
      <w:r>
        <w:rPr>
          <w:bCs/>
          <w:kern w:val="0"/>
          <w:sz w:val="24"/>
          <w:szCs w:val="24"/>
        </w:rPr>
        <w:drawing>
          <wp:inline distT="0" distB="0" distL="0" distR="0">
            <wp:extent cx="5274310" cy="3851275"/>
            <wp:effectExtent l="0" t="0" r="2540" b="0"/>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14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4310" cy="3851275"/>
                    </a:xfrm>
                    <a:prstGeom prst="rect">
                      <a:avLst/>
                    </a:prstGeom>
                    <a:noFill/>
                    <a:ln>
                      <a:noFill/>
                    </a:ln>
                  </pic:spPr>
                </pic:pic>
              </a:graphicData>
            </a:graphic>
          </wp:inline>
        </w:drawing>
      </w:r>
    </w:p>
    <w:p>
      <w:pPr>
        <w:tabs>
          <w:tab w:val="left" w:pos="495"/>
        </w:tabs>
        <w:adjustRightInd w:val="0"/>
        <w:snapToGrid w:val="0"/>
        <w:spacing w:line="360" w:lineRule="auto"/>
        <w:jc w:val="center"/>
        <w:rPr>
          <w:b/>
          <w:kern w:val="0"/>
          <w:sz w:val="24"/>
          <w:szCs w:val="24"/>
        </w:rPr>
      </w:pPr>
      <w:r>
        <w:rPr>
          <w:rFonts w:hint="eastAsia"/>
          <w:b/>
          <w:kern w:val="0"/>
          <w:sz w:val="24"/>
          <w:szCs w:val="24"/>
        </w:rPr>
        <w:t>图3</w:t>
      </w:r>
      <w:r>
        <w:rPr>
          <w:b/>
          <w:kern w:val="0"/>
          <w:sz w:val="24"/>
          <w:szCs w:val="24"/>
        </w:rPr>
        <w:t xml:space="preserve">.9-1  </w:t>
      </w:r>
      <w:r>
        <w:rPr>
          <w:rFonts w:hint="eastAsia"/>
          <w:b/>
          <w:kern w:val="0"/>
          <w:sz w:val="24"/>
          <w:szCs w:val="24"/>
        </w:rPr>
        <w:t>本项目施工场地设置示意图</w:t>
      </w:r>
    </w:p>
    <w:p>
      <w:pPr>
        <w:pStyle w:val="62"/>
        <w:numPr>
          <w:ilvl w:val="2"/>
          <w:numId w:val="5"/>
        </w:numPr>
        <w:tabs>
          <w:tab w:val="left" w:pos="567"/>
          <w:tab w:val="clear" w:pos="1021"/>
        </w:tabs>
        <w:spacing w:before="120" w:after="120"/>
        <w:ind w:left="0" w:firstLine="0"/>
        <w:rPr>
          <w:rFonts w:ascii="Times New Roman" w:hAnsi="Times New Roman"/>
        </w:rPr>
      </w:pPr>
      <w:r>
        <w:rPr>
          <w:rFonts w:hint="eastAsia" w:ascii="Times New Roman" w:hAnsi="Times New Roman"/>
        </w:rPr>
        <w:t>建设期污染源强分析</w:t>
      </w:r>
    </w:p>
    <w:p>
      <w:pPr>
        <w:adjustRightInd w:val="0"/>
        <w:snapToGrid w:val="0"/>
        <w:spacing w:line="360" w:lineRule="auto"/>
        <w:ind w:firstLine="482" w:firstLineChars="200"/>
        <w:rPr>
          <w:b/>
          <w:bCs/>
          <w:sz w:val="24"/>
          <w:szCs w:val="24"/>
        </w:rPr>
      </w:pPr>
      <w:r>
        <w:rPr>
          <w:rFonts w:hint="eastAsia"/>
          <w:b/>
          <w:bCs/>
          <w:sz w:val="24"/>
          <w:szCs w:val="24"/>
        </w:rPr>
        <w:t>1、</w:t>
      </w:r>
      <w:r>
        <w:rPr>
          <w:b/>
          <w:bCs/>
          <w:sz w:val="24"/>
          <w:szCs w:val="24"/>
        </w:rPr>
        <w:t xml:space="preserve">施工期废气 </w:t>
      </w:r>
    </w:p>
    <w:p>
      <w:pPr>
        <w:adjustRightInd w:val="0"/>
        <w:snapToGrid w:val="0"/>
        <w:spacing w:line="360" w:lineRule="auto"/>
        <w:ind w:firstLine="480" w:firstLineChars="200"/>
        <w:rPr>
          <w:sz w:val="24"/>
          <w:szCs w:val="24"/>
        </w:rPr>
      </w:pPr>
      <w:r>
        <w:rPr>
          <w:sz w:val="24"/>
          <w:szCs w:val="24"/>
        </w:rPr>
        <w:t>施工过程中主要的废气源为：</w:t>
      </w:r>
    </w:p>
    <w:p>
      <w:pPr>
        <w:adjustRightInd w:val="0"/>
        <w:snapToGrid w:val="0"/>
        <w:spacing w:line="360" w:lineRule="auto"/>
        <w:ind w:firstLine="480" w:firstLineChars="200"/>
        <w:rPr>
          <w:sz w:val="24"/>
          <w:szCs w:val="24"/>
        </w:rPr>
      </w:pPr>
      <w:r>
        <w:rPr>
          <w:rFonts w:hint="eastAsia" w:ascii="宋体" w:hAnsi="宋体" w:cs="宋体"/>
          <w:sz w:val="24"/>
          <w:szCs w:val="24"/>
        </w:rPr>
        <w:t>（1）</w:t>
      </w:r>
      <w:r>
        <w:rPr>
          <w:sz w:val="24"/>
          <w:szCs w:val="24"/>
        </w:rPr>
        <w:t>各类施工机械、车辆的燃油废气：主要污染物为烟尘、SO</w:t>
      </w:r>
      <w:r>
        <w:rPr>
          <w:sz w:val="24"/>
          <w:szCs w:val="24"/>
          <w:vertAlign w:val="subscript"/>
        </w:rPr>
        <w:t>2</w:t>
      </w:r>
      <w:r>
        <w:rPr>
          <w:sz w:val="24"/>
          <w:szCs w:val="24"/>
        </w:rPr>
        <w:t>、NO</w:t>
      </w:r>
      <w:r>
        <w:rPr>
          <w:sz w:val="24"/>
          <w:szCs w:val="24"/>
          <w:vertAlign w:val="subscript"/>
        </w:rPr>
        <w:t>x</w:t>
      </w:r>
      <w:r>
        <w:rPr>
          <w:sz w:val="24"/>
          <w:szCs w:val="24"/>
        </w:rPr>
        <w:t>、CO 和烃类等。</w:t>
      </w:r>
    </w:p>
    <w:p>
      <w:pPr>
        <w:adjustRightInd w:val="0"/>
        <w:snapToGrid w:val="0"/>
        <w:spacing w:line="360" w:lineRule="auto"/>
        <w:ind w:firstLine="480" w:firstLineChars="200"/>
        <w:rPr>
          <w:sz w:val="24"/>
          <w:szCs w:val="24"/>
        </w:rPr>
      </w:pPr>
      <w:r>
        <w:rPr>
          <w:rFonts w:hint="eastAsia" w:ascii="宋体" w:hAnsi="宋体" w:cs="宋体"/>
          <w:sz w:val="24"/>
          <w:szCs w:val="24"/>
        </w:rPr>
        <w:t>（2）</w:t>
      </w:r>
      <w:r>
        <w:rPr>
          <w:sz w:val="24"/>
          <w:szCs w:val="24"/>
        </w:rPr>
        <w:t>施工扬尘：主要来自土方开挖、搬运、倾倒等过程中产生的扬尘，以及车辆运输扬尘，其主要污染物为颗粒物。</w:t>
      </w:r>
    </w:p>
    <w:p>
      <w:pPr>
        <w:adjustRightInd w:val="0"/>
        <w:snapToGrid w:val="0"/>
        <w:spacing w:line="360" w:lineRule="auto"/>
        <w:ind w:firstLine="482" w:firstLineChars="200"/>
        <w:rPr>
          <w:b/>
          <w:bCs/>
          <w:sz w:val="24"/>
          <w:szCs w:val="24"/>
        </w:rPr>
      </w:pPr>
      <w:r>
        <w:rPr>
          <w:b/>
          <w:bCs/>
          <w:sz w:val="24"/>
          <w:szCs w:val="24"/>
        </w:rPr>
        <w:t>2</w:t>
      </w:r>
      <w:r>
        <w:rPr>
          <w:rFonts w:hint="eastAsia"/>
          <w:b/>
          <w:bCs/>
          <w:sz w:val="24"/>
          <w:szCs w:val="24"/>
        </w:rPr>
        <w:t>、</w:t>
      </w:r>
      <w:r>
        <w:rPr>
          <w:b/>
          <w:bCs/>
          <w:sz w:val="24"/>
          <w:szCs w:val="24"/>
        </w:rPr>
        <w:t>施工期污水</w:t>
      </w:r>
    </w:p>
    <w:p>
      <w:pPr>
        <w:adjustRightInd w:val="0"/>
        <w:snapToGrid w:val="0"/>
        <w:spacing w:line="360" w:lineRule="auto"/>
        <w:ind w:firstLine="480" w:firstLineChars="200"/>
        <w:rPr>
          <w:sz w:val="24"/>
          <w:szCs w:val="24"/>
        </w:rPr>
      </w:pPr>
      <w:r>
        <w:rPr>
          <w:rFonts w:hint="eastAsia" w:ascii="宋体" w:hAnsi="宋体" w:cs="宋体"/>
          <w:sz w:val="24"/>
          <w:szCs w:val="24"/>
        </w:rPr>
        <w:t>（1）</w:t>
      </w:r>
      <w:r>
        <w:rPr>
          <w:sz w:val="24"/>
          <w:szCs w:val="24"/>
        </w:rPr>
        <w:t>施工生活污水</w:t>
      </w:r>
    </w:p>
    <w:p>
      <w:pPr>
        <w:adjustRightInd w:val="0"/>
        <w:snapToGrid w:val="0"/>
        <w:spacing w:line="360" w:lineRule="auto"/>
        <w:ind w:firstLine="480" w:firstLineChars="200"/>
        <w:rPr>
          <w:sz w:val="24"/>
          <w:szCs w:val="24"/>
        </w:rPr>
      </w:pPr>
      <w:bookmarkStart w:id="93" w:name="_Hlk89272639"/>
      <w:r>
        <w:rPr>
          <w:sz w:val="24"/>
          <w:szCs w:val="24"/>
        </w:rPr>
        <w:t>施工高峰期的施工人员约40人，每人每天按 0.1t/d计，则生活污水量约 4.0t/d，主要污染物为COD、BOD</w:t>
      </w:r>
      <w:r>
        <w:rPr>
          <w:sz w:val="24"/>
          <w:szCs w:val="24"/>
          <w:vertAlign w:val="subscript"/>
        </w:rPr>
        <w:t>5</w:t>
      </w:r>
      <w:r>
        <w:rPr>
          <w:rFonts w:hint="eastAsia"/>
          <w:sz w:val="24"/>
          <w:szCs w:val="24"/>
        </w:rPr>
        <w:t>、</w:t>
      </w:r>
      <w:r>
        <w:rPr>
          <w:sz w:val="24"/>
          <w:szCs w:val="24"/>
        </w:rPr>
        <w:t>NH</w:t>
      </w:r>
      <w:r>
        <w:rPr>
          <w:sz w:val="24"/>
          <w:szCs w:val="24"/>
          <w:vertAlign w:val="subscript"/>
        </w:rPr>
        <w:t>3</w:t>
      </w:r>
      <w:r>
        <w:rPr>
          <w:sz w:val="24"/>
          <w:szCs w:val="24"/>
        </w:rPr>
        <w:t>-N、SS。施工人员的生活污水依托</w:t>
      </w:r>
      <w:r>
        <w:rPr>
          <w:rFonts w:hint="eastAsia"/>
          <w:sz w:val="24"/>
          <w:szCs w:val="24"/>
        </w:rPr>
        <w:t>采用移动式厕所，环卫部门定期清掏</w:t>
      </w:r>
      <w:r>
        <w:rPr>
          <w:sz w:val="24"/>
          <w:szCs w:val="24"/>
        </w:rPr>
        <w:t>。</w:t>
      </w:r>
    </w:p>
    <w:bookmarkEnd w:id="93"/>
    <w:p>
      <w:pPr>
        <w:adjustRightInd w:val="0"/>
        <w:snapToGrid w:val="0"/>
        <w:spacing w:line="360" w:lineRule="auto"/>
        <w:ind w:firstLine="480" w:firstLineChars="200"/>
        <w:rPr>
          <w:sz w:val="24"/>
          <w:szCs w:val="24"/>
        </w:rPr>
      </w:pPr>
      <w:bookmarkStart w:id="94" w:name="_Hlk89272689"/>
      <w:r>
        <w:rPr>
          <w:rFonts w:hint="eastAsia"/>
          <w:sz w:val="24"/>
          <w:szCs w:val="24"/>
        </w:rPr>
        <w:t>（2）</w:t>
      </w:r>
      <w:r>
        <w:rPr>
          <w:sz w:val="24"/>
          <w:szCs w:val="24"/>
        </w:rPr>
        <w:t>施工机械清洗废水</w:t>
      </w:r>
    </w:p>
    <w:p>
      <w:pPr>
        <w:adjustRightInd w:val="0"/>
        <w:snapToGrid w:val="0"/>
        <w:spacing w:line="360" w:lineRule="auto"/>
        <w:ind w:firstLine="480" w:firstLineChars="200"/>
        <w:rPr>
          <w:sz w:val="24"/>
          <w:szCs w:val="24"/>
        </w:rPr>
      </w:pPr>
      <w:r>
        <w:rPr>
          <w:sz w:val="24"/>
          <w:szCs w:val="24"/>
        </w:rPr>
        <w:t>本项目施工高峰期各类车辆设备共约有 10 辆(台)，按每次每辆(台)运输车辆和机械设备平均冲洗废水量0.4t、每天施工车辆冲洗1次计，则施工运输车辆和机械设备冲洗废水量约为 4.0t/d。该股废水主要污染因子为 CODcr、SS、石油类。 根据类比，污染源强为 CODcr 350mg/L，SS 360mg/L，石油类 100mg/L。</w:t>
      </w:r>
    </w:p>
    <w:p>
      <w:pPr>
        <w:adjustRightInd w:val="0"/>
        <w:snapToGrid w:val="0"/>
        <w:spacing w:line="360" w:lineRule="auto"/>
        <w:ind w:firstLine="480" w:firstLineChars="200"/>
        <w:rPr>
          <w:sz w:val="24"/>
          <w:szCs w:val="24"/>
        </w:rPr>
      </w:pPr>
      <w:r>
        <w:rPr>
          <w:sz w:val="24"/>
          <w:szCs w:val="24"/>
        </w:rPr>
        <w:t>施工机械清洗废水经隔油和沉淀后回用于施工区的日常洒水或汽车冲洗，不外排。</w:t>
      </w:r>
    </w:p>
    <w:p>
      <w:pPr>
        <w:adjustRightInd w:val="0"/>
        <w:snapToGrid w:val="0"/>
        <w:spacing w:line="360" w:lineRule="auto"/>
        <w:ind w:firstLine="480" w:firstLineChars="200"/>
        <w:rPr>
          <w:sz w:val="24"/>
          <w:szCs w:val="24"/>
        </w:rPr>
      </w:pPr>
      <w:r>
        <w:rPr>
          <w:rFonts w:hint="eastAsia"/>
          <w:sz w:val="24"/>
          <w:szCs w:val="24"/>
        </w:rPr>
        <w:t>（3）</w:t>
      </w:r>
      <w:r>
        <w:rPr>
          <w:sz w:val="24"/>
          <w:szCs w:val="24"/>
        </w:rPr>
        <w:t>场地及</w:t>
      </w:r>
      <w:r>
        <w:rPr>
          <w:rFonts w:hint="eastAsia"/>
          <w:sz w:val="24"/>
          <w:szCs w:val="24"/>
        </w:rPr>
        <w:t>设备</w:t>
      </w:r>
      <w:r>
        <w:rPr>
          <w:sz w:val="24"/>
          <w:szCs w:val="24"/>
        </w:rPr>
        <w:t xml:space="preserve">冲洗废水 </w:t>
      </w:r>
    </w:p>
    <w:p>
      <w:pPr>
        <w:adjustRightInd w:val="0"/>
        <w:snapToGrid w:val="0"/>
        <w:spacing w:line="360" w:lineRule="auto"/>
        <w:ind w:firstLine="480" w:firstLineChars="200"/>
        <w:rPr>
          <w:rFonts w:eastAsia="等线"/>
          <w:kern w:val="0"/>
          <w:sz w:val="13"/>
          <w:szCs w:val="13"/>
        </w:rPr>
      </w:pPr>
      <w:r>
        <w:rPr>
          <w:sz w:val="24"/>
          <w:szCs w:val="24"/>
        </w:rPr>
        <w:t>场地和</w:t>
      </w:r>
      <w:r>
        <w:rPr>
          <w:rFonts w:hint="eastAsia"/>
          <w:sz w:val="24"/>
          <w:szCs w:val="24"/>
        </w:rPr>
        <w:t>设备</w:t>
      </w:r>
      <w:r>
        <w:rPr>
          <w:sz w:val="24"/>
          <w:szCs w:val="24"/>
        </w:rPr>
        <w:t>冲洗等产生的废水设沉砂池沉淀处理后</w:t>
      </w:r>
      <w:r>
        <w:rPr>
          <w:rFonts w:hint="eastAsia"/>
          <w:sz w:val="24"/>
          <w:szCs w:val="24"/>
        </w:rPr>
        <w:t>全部</w:t>
      </w:r>
      <w:r>
        <w:rPr>
          <w:sz w:val="24"/>
          <w:szCs w:val="24"/>
        </w:rPr>
        <w:t>回用，不外排。</w:t>
      </w:r>
    </w:p>
    <w:bookmarkEnd w:id="94"/>
    <w:p>
      <w:pPr>
        <w:adjustRightInd w:val="0"/>
        <w:snapToGrid w:val="0"/>
        <w:jc w:val="center"/>
        <w:rPr>
          <w:b/>
          <w:sz w:val="24"/>
        </w:rPr>
      </w:pPr>
      <w:r>
        <w:rPr>
          <w:rFonts w:hint="eastAsia"/>
          <w:b/>
          <w:sz w:val="24"/>
        </w:rPr>
        <w:t>表</w:t>
      </w:r>
      <w:r>
        <w:rPr>
          <w:b/>
          <w:sz w:val="24"/>
        </w:rPr>
        <w:t>3.9-2</w:t>
      </w:r>
      <w:r>
        <w:rPr>
          <w:b/>
          <w:sz w:val="24"/>
        </w:rPr>
        <w:tab/>
      </w:r>
      <w:r>
        <w:rPr>
          <w:rFonts w:hint="eastAsia"/>
          <w:b/>
          <w:sz w:val="24"/>
        </w:rPr>
        <w:t>施工期水污染物产生情况表</w:t>
      </w:r>
    </w:p>
    <w:p>
      <w:pPr>
        <w:kinsoku w:val="0"/>
        <w:overflowPunct w:val="0"/>
        <w:autoSpaceDE w:val="0"/>
        <w:autoSpaceDN w:val="0"/>
        <w:adjustRightInd w:val="0"/>
        <w:spacing w:before="13" w:line="80" w:lineRule="exact"/>
        <w:jc w:val="left"/>
        <w:rPr>
          <w:rFonts w:eastAsia="等线"/>
          <w:kern w:val="0"/>
          <w:sz w:val="8"/>
          <w:szCs w:val="8"/>
        </w:rPr>
      </w:pPr>
    </w:p>
    <w:tbl>
      <w:tblPr>
        <w:tblStyle w:val="39"/>
        <w:tblW w:w="0" w:type="auto"/>
        <w:tblInd w:w="103"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395"/>
        <w:gridCol w:w="1054"/>
        <w:gridCol w:w="1559"/>
        <w:gridCol w:w="1559"/>
        <w:gridCol w:w="265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restart"/>
            <w:vAlign w:val="center"/>
          </w:tcPr>
          <w:p>
            <w:pPr>
              <w:kinsoku w:val="0"/>
              <w:overflowPunct w:val="0"/>
              <w:autoSpaceDE w:val="0"/>
              <w:autoSpaceDN w:val="0"/>
              <w:adjustRightInd w:val="0"/>
              <w:snapToGrid w:val="0"/>
              <w:jc w:val="center"/>
              <w:rPr>
                <w:rFonts w:eastAsia="等线"/>
                <w:kern w:val="0"/>
                <w:szCs w:val="21"/>
              </w:rPr>
            </w:pPr>
            <w:r>
              <w:rPr>
                <w:b/>
                <w:bCs/>
                <w:kern w:val="0"/>
                <w:szCs w:val="21"/>
              </w:rPr>
              <w:t>种类</w:t>
            </w:r>
          </w:p>
        </w:tc>
        <w:tc>
          <w:tcPr>
            <w:tcW w:w="1054" w:type="dxa"/>
            <w:vMerge w:val="restart"/>
            <w:vAlign w:val="center"/>
          </w:tcPr>
          <w:p>
            <w:pPr>
              <w:kinsoku w:val="0"/>
              <w:overflowPunct w:val="0"/>
              <w:autoSpaceDE w:val="0"/>
              <w:autoSpaceDN w:val="0"/>
              <w:adjustRightInd w:val="0"/>
              <w:snapToGrid w:val="0"/>
              <w:jc w:val="center"/>
              <w:rPr>
                <w:rFonts w:eastAsia="等线"/>
                <w:kern w:val="0"/>
                <w:szCs w:val="21"/>
              </w:rPr>
            </w:pPr>
            <w:r>
              <w:rPr>
                <w:b/>
                <w:bCs/>
                <w:kern w:val="0"/>
                <w:szCs w:val="21"/>
              </w:rPr>
              <w:t>项目名 称</w:t>
            </w:r>
          </w:p>
        </w:tc>
        <w:tc>
          <w:tcPr>
            <w:tcW w:w="3118" w:type="dxa"/>
            <w:gridSpan w:val="2"/>
            <w:vAlign w:val="center"/>
          </w:tcPr>
          <w:p>
            <w:pPr>
              <w:kinsoku w:val="0"/>
              <w:overflowPunct w:val="0"/>
              <w:autoSpaceDE w:val="0"/>
              <w:autoSpaceDN w:val="0"/>
              <w:adjustRightInd w:val="0"/>
              <w:snapToGrid w:val="0"/>
              <w:jc w:val="center"/>
              <w:rPr>
                <w:rFonts w:eastAsia="等线"/>
                <w:kern w:val="0"/>
                <w:szCs w:val="21"/>
              </w:rPr>
            </w:pPr>
            <w:r>
              <w:rPr>
                <w:b/>
                <w:bCs/>
                <w:kern w:val="0"/>
                <w:szCs w:val="21"/>
              </w:rPr>
              <w:t>产生情况</w:t>
            </w:r>
          </w:p>
        </w:tc>
        <w:tc>
          <w:tcPr>
            <w:tcW w:w="2651" w:type="dxa"/>
            <w:vMerge w:val="restart"/>
            <w:vAlign w:val="center"/>
          </w:tcPr>
          <w:p>
            <w:pPr>
              <w:kinsoku w:val="0"/>
              <w:overflowPunct w:val="0"/>
              <w:autoSpaceDE w:val="0"/>
              <w:autoSpaceDN w:val="0"/>
              <w:adjustRightInd w:val="0"/>
              <w:snapToGrid w:val="0"/>
              <w:jc w:val="center"/>
              <w:rPr>
                <w:rFonts w:eastAsia="等线"/>
                <w:kern w:val="0"/>
                <w:szCs w:val="21"/>
              </w:rPr>
            </w:pPr>
            <w:r>
              <w:rPr>
                <w:b/>
                <w:bCs/>
                <w:kern w:val="0"/>
                <w:szCs w:val="21"/>
              </w:rPr>
              <w:t>处理情况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Merge w:val="continue"/>
            <w:vAlign w:val="center"/>
          </w:tcPr>
          <w:p>
            <w:pPr>
              <w:kinsoku w:val="0"/>
              <w:overflowPunct w:val="0"/>
              <w:autoSpaceDE w:val="0"/>
              <w:autoSpaceDN w:val="0"/>
              <w:adjustRightInd w:val="0"/>
              <w:snapToGrid w:val="0"/>
              <w:jc w:val="center"/>
              <w:rPr>
                <w:rFonts w:eastAsia="等线"/>
                <w:kern w:val="0"/>
                <w:szCs w:val="21"/>
              </w:rPr>
            </w:pPr>
          </w:p>
        </w:tc>
        <w:tc>
          <w:tcPr>
            <w:tcW w:w="1559" w:type="dxa"/>
            <w:vAlign w:val="center"/>
          </w:tcPr>
          <w:p>
            <w:pPr>
              <w:kinsoku w:val="0"/>
              <w:overflowPunct w:val="0"/>
              <w:autoSpaceDE w:val="0"/>
              <w:autoSpaceDN w:val="0"/>
              <w:adjustRightInd w:val="0"/>
              <w:snapToGrid w:val="0"/>
              <w:jc w:val="center"/>
              <w:rPr>
                <w:rFonts w:eastAsia="等线"/>
                <w:kern w:val="0"/>
                <w:szCs w:val="21"/>
              </w:rPr>
            </w:pPr>
            <w:r>
              <w:rPr>
                <w:b/>
                <w:bCs/>
                <w:kern w:val="0"/>
                <w:szCs w:val="21"/>
              </w:rPr>
              <w:t>产生量</w:t>
            </w:r>
            <w:r>
              <w:rPr>
                <w:rFonts w:eastAsia="等线"/>
                <w:b/>
                <w:bCs/>
                <w:spacing w:val="-1"/>
                <w:kern w:val="0"/>
                <w:szCs w:val="21"/>
              </w:rPr>
              <w:t>(kg/d)</w:t>
            </w:r>
          </w:p>
        </w:tc>
        <w:tc>
          <w:tcPr>
            <w:tcW w:w="1559" w:type="dxa"/>
            <w:vAlign w:val="center"/>
          </w:tcPr>
          <w:p>
            <w:pPr>
              <w:kinsoku w:val="0"/>
              <w:overflowPunct w:val="0"/>
              <w:autoSpaceDE w:val="0"/>
              <w:autoSpaceDN w:val="0"/>
              <w:adjustRightInd w:val="0"/>
              <w:snapToGrid w:val="0"/>
              <w:jc w:val="center"/>
              <w:rPr>
                <w:rFonts w:eastAsia="等线"/>
                <w:kern w:val="0"/>
                <w:szCs w:val="21"/>
              </w:rPr>
            </w:pPr>
            <w:r>
              <w:rPr>
                <w:b/>
                <w:bCs/>
                <w:kern w:val="0"/>
                <w:szCs w:val="21"/>
              </w:rPr>
              <w:t>产生浓度</w:t>
            </w:r>
            <w:r>
              <w:rPr>
                <w:rFonts w:eastAsia="等线"/>
                <w:b/>
                <w:bCs/>
                <w:spacing w:val="-1"/>
                <w:kern w:val="0"/>
                <w:szCs w:val="21"/>
              </w:rPr>
              <w:t>(mg/L)</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restart"/>
            <w:vAlign w:val="center"/>
          </w:tcPr>
          <w:p>
            <w:pPr>
              <w:kinsoku w:val="0"/>
              <w:overflowPunct w:val="0"/>
              <w:autoSpaceDE w:val="0"/>
              <w:autoSpaceDN w:val="0"/>
              <w:adjustRightInd w:val="0"/>
              <w:snapToGrid w:val="0"/>
              <w:jc w:val="center"/>
              <w:rPr>
                <w:rFonts w:eastAsia="等线"/>
                <w:kern w:val="0"/>
                <w:szCs w:val="21"/>
              </w:rPr>
            </w:pPr>
            <w:r>
              <w:rPr>
                <w:spacing w:val="-1"/>
                <w:kern w:val="0"/>
                <w:szCs w:val="21"/>
              </w:rPr>
              <w:t>生活污水</w:t>
            </w:r>
          </w:p>
        </w:tc>
        <w:tc>
          <w:tcPr>
            <w:tcW w:w="1054" w:type="dxa"/>
            <w:vAlign w:val="center"/>
          </w:tcPr>
          <w:p>
            <w:pPr>
              <w:kinsoku w:val="0"/>
              <w:overflowPunct w:val="0"/>
              <w:autoSpaceDE w:val="0"/>
              <w:autoSpaceDN w:val="0"/>
              <w:adjustRightInd w:val="0"/>
              <w:snapToGrid w:val="0"/>
              <w:jc w:val="center"/>
              <w:rPr>
                <w:rFonts w:eastAsia="等线"/>
                <w:kern w:val="0"/>
                <w:szCs w:val="21"/>
              </w:rPr>
            </w:pPr>
            <w:r>
              <w:rPr>
                <w:kern w:val="0"/>
                <w:szCs w:val="21"/>
              </w:rPr>
              <w:t>产生量</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4000</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spacing w:val="-1"/>
                <w:kern w:val="0"/>
                <w:szCs w:val="21"/>
              </w:rPr>
              <w:t>--</w:t>
            </w:r>
          </w:p>
        </w:tc>
        <w:tc>
          <w:tcPr>
            <w:tcW w:w="2651" w:type="dxa"/>
            <w:vMerge w:val="restart"/>
            <w:vAlign w:val="center"/>
          </w:tcPr>
          <w:p>
            <w:pPr>
              <w:kinsoku w:val="0"/>
              <w:overflowPunct w:val="0"/>
              <w:autoSpaceDE w:val="0"/>
              <w:autoSpaceDN w:val="0"/>
              <w:adjustRightInd w:val="0"/>
              <w:snapToGrid w:val="0"/>
              <w:jc w:val="left"/>
              <w:rPr>
                <w:rFonts w:eastAsia="等线"/>
                <w:kern w:val="0"/>
                <w:szCs w:val="21"/>
              </w:rPr>
            </w:pPr>
            <w:r>
              <w:rPr>
                <w:kern w:val="0"/>
                <w:szCs w:val="21"/>
              </w:rPr>
              <w:t>施工</w:t>
            </w:r>
            <w:r>
              <w:rPr>
                <w:spacing w:val="-3"/>
                <w:kern w:val="0"/>
                <w:szCs w:val="21"/>
              </w:rPr>
              <w:t>场</w:t>
            </w:r>
            <w:r>
              <w:rPr>
                <w:kern w:val="0"/>
                <w:szCs w:val="21"/>
              </w:rPr>
              <w:t>地</w:t>
            </w:r>
            <w:r>
              <w:rPr>
                <w:spacing w:val="-3"/>
                <w:kern w:val="0"/>
                <w:szCs w:val="21"/>
              </w:rPr>
              <w:t>配</w:t>
            </w:r>
            <w:r>
              <w:rPr>
                <w:kern w:val="0"/>
                <w:szCs w:val="21"/>
              </w:rPr>
              <w:t>置移动厕所，</w:t>
            </w:r>
            <w:r>
              <w:rPr>
                <w:spacing w:val="-3"/>
                <w:kern w:val="0"/>
                <w:szCs w:val="21"/>
              </w:rPr>
              <w:t>定</w:t>
            </w:r>
            <w:r>
              <w:rPr>
                <w:kern w:val="0"/>
                <w:szCs w:val="21"/>
              </w:rPr>
              <w:t>期委</w:t>
            </w:r>
            <w:r>
              <w:rPr>
                <w:spacing w:val="-3"/>
                <w:kern w:val="0"/>
                <w:szCs w:val="21"/>
              </w:rPr>
              <w:t>托</w:t>
            </w:r>
            <w:r>
              <w:rPr>
                <w:kern w:val="0"/>
                <w:szCs w:val="21"/>
              </w:rPr>
              <w:t>环卫</w:t>
            </w:r>
            <w:r>
              <w:rPr>
                <w:spacing w:val="-2"/>
                <w:kern w:val="0"/>
                <w:szCs w:val="21"/>
              </w:rPr>
              <w:t>部门清掏。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spacing w:val="-1"/>
                <w:kern w:val="0"/>
                <w:szCs w:val="21"/>
              </w:rPr>
              <w:t>COD</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1.6</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400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spacing w:val="-1"/>
                <w:kern w:val="0"/>
                <w:position w:val="2"/>
                <w:szCs w:val="21"/>
              </w:rPr>
              <w:t>BOD</w:t>
            </w:r>
            <w:r>
              <w:rPr>
                <w:rFonts w:eastAsia="等线"/>
                <w:spacing w:val="-1"/>
                <w:kern w:val="0"/>
                <w:szCs w:val="21"/>
              </w:rPr>
              <w:t>5</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1.0</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250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spacing w:val="-1"/>
                <w:kern w:val="0"/>
                <w:position w:val="2"/>
                <w:szCs w:val="21"/>
              </w:rPr>
              <w:t>NH</w:t>
            </w:r>
            <w:r>
              <w:rPr>
                <w:rFonts w:eastAsia="等线"/>
                <w:spacing w:val="-1"/>
                <w:kern w:val="0"/>
                <w:szCs w:val="21"/>
              </w:rPr>
              <w:t>3</w:t>
            </w:r>
            <w:r>
              <w:rPr>
                <w:rFonts w:eastAsia="等线"/>
                <w:spacing w:val="-1"/>
                <w:kern w:val="0"/>
                <w:position w:val="2"/>
                <w:szCs w:val="21"/>
              </w:rPr>
              <w:t>-N</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0.16</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40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SS</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0.8</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200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restart"/>
            <w:vAlign w:val="center"/>
          </w:tcPr>
          <w:p>
            <w:pPr>
              <w:kinsoku w:val="0"/>
              <w:overflowPunct w:val="0"/>
              <w:autoSpaceDE w:val="0"/>
              <w:autoSpaceDN w:val="0"/>
              <w:adjustRightInd w:val="0"/>
              <w:snapToGrid w:val="0"/>
              <w:jc w:val="center"/>
              <w:rPr>
                <w:rFonts w:eastAsia="等线"/>
                <w:kern w:val="0"/>
                <w:szCs w:val="21"/>
              </w:rPr>
            </w:pPr>
            <w:r>
              <w:rPr>
                <w:spacing w:val="-1"/>
                <w:kern w:val="0"/>
                <w:szCs w:val="21"/>
              </w:rPr>
              <w:t>机械清洗废水</w:t>
            </w:r>
          </w:p>
        </w:tc>
        <w:tc>
          <w:tcPr>
            <w:tcW w:w="1054" w:type="dxa"/>
            <w:vAlign w:val="center"/>
          </w:tcPr>
          <w:p>
            <w:pPr>
              <w:kinsoku w:val="0"/>
              <w:overflowPunct w:val="0"/>
              <w:autoSpaceDE w:val="0"/>
              <w:autoSpaceDN w:val="0"/>
              <w:adjustRightInd w:val="0"/>
              <w:snapToGrid w:val="0"/>
              <w:jc w:val="center"/>
              <w:rPr>
                <w:rFonts w:eastAsia="等线"/>
                <w:kern w:val="0"/>
                <w:szCs w:val="21"/>
              </w:rPr>
            </w:pPr>
            <w:r>
              <w:rPr>
                <w:kern w:val="0"/>
                <w:szCs w:val="21"/>
              </w:rPr>
              <w:t>产生量</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4000</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spacing w:val="-1"/>
                <w:kern w:val="0"/>
                <w:szCs w:val="21"/>
              </w:rPr>
              <w:t>--</w:t>
            </w:r>
          </w:p>
        </w:tc>
        <w:tc>
          <w:tcPr>
            <w:tcW w:w="2651" w:type="dxa"/>
            <w:vMerge w:val="restart"/>
            <w:vAlign w:val="center"/>
          </w:tcPr>
          <w:p>
            <w:pPr>
              <w:kinsoku w:val="0"/>
              <w:overflowPunct w:val="0"/>
              <w:autoSpaceDE w:val="0"/>
              <w:autoSpaceDN w:val="0"/>
              <w:adjustRightInd w:val="0"/>
              <w:snapToGrid w:val="0"/>
              <w:jc w:val="left"/>
              <w:rPr>
                <w:rFonts w:eastAsia="等线"/>
                <w:kern w:val="0"/>
                <w:szCs w:val="21"/>
              </w:rPr>
            </w:pPr>
            <w:r>
              <w:rPr>
                <w:spacing w:val="-2"/>
                <w:kern w:val="0"/>
                <w:szCs w:val="21"/>
              </w:rPr>
              <w:t>经隔油和沉淀后回用于施工区的日常洒水或汽车冲洗，不外排。</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spacing w:val="-1"/>
                <w:kern w:val="0"/>
                <w:szCs w:val="21"/>
              </w:rPr>
              <w:t>COD</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1.4</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350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kern w:val="0"/>
                <w:szCs w:val="21"/>
              </w:rPr>
              <w:t>石油类</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0.4</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100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Merge w:val="continue"/>
            <w:vAlign w:val="center"/>
          </w:tcPr>
          <w:p>
            <w:pPr>
              <w:kinsoku w:val="0"/>
              <w:overflowPunct w:val="0"/>
              <w:autoSpaceDE w:val="0"/>
              <w:autoSpaceDN w:val="0"/>
              <w:adjustRightInd w:val="0"/>
              <w:snapToGrid w:val="0"/>
              <w:jc w:val="center"/>
              <w:rPr>
                <w:rFonts w:eastAsia="等线"/>
                <w:kern w:val="0"/>
                <w:szCs w:val="21"/>
              </w:rPr>
            </w:pP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SS</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1.44</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360</w:t>
            </w:r>
          </w:p>
        </w:tc>
        <w:tc>
          <w:tcPr>
            <w:tcW w:w="2651" w:type="dxa"/>
            <w:vMerge w:val="continue"/>
            <w:vAlign w:val="center"/>
          </w:tcPr>
          <w:p>
            <w:pPr>
              <w:kinsoku w:val="0"/>
              <w:overflowPunct w:val="0"/>
              <w:autoSpaceDE w:val="0"/>
              <w:autoSpaceDN w:val="0"/>
              <w:adjustRightInd w:val="0"/>
              <w:snapToGrid w:val="0"/>
              <w:jc w:val="center"/>
              <w:rPr>
                <w:rFonts w:eastAsia="等线"/>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0" w:type="auto"/>
            <w:vAlign w:val="center"/>
          </w:tcPr>
          <w:p>
            <w:pPr>
              <w:kinsoku w:val="0"/>
              <w:overflowPunct w:val="0"/>
              <w:autoSpaceDE w:val="0"/>
              <w:autoSpaceDN w:val="0"/>
              <w:adjustRightInd w:val="0"/>
              <w:snapToGrid w:val="0"/>
              <w:jc w:val="center"/>
              <w:rPr>
                <w:rFonts w:eastAsia="等线"/>
                <w:kern w:val="0"/>
                <w:szCs w:val="21"/>
              </w:rPr>
            </w:pPr>
            <w:r>
              <w:rPr>
                <w:spacing w:val="-1"/>
                <w:kern w:val="0"/>
                <w:szCs w:val="21"/>
              </w:rPr>
              <w:t>场地及</w:t>
            </w:r>
            <w:r>
              <w:rPr>
                <w:rFonts w:hint="eastAsia"/>
                <w:spacing w:val="-1"/>
                <w:kern w:val="0"/>
                <w:szCs w:val="21"/>
              </w:rPr>
              <w:t>设备</w:t>
            </w:r>
            <w:r>
              <w:rPr>
                <w:spacing w:val="-1"/>
                <w:kern w:val="0"/>
                <w:szCs w:val="21"/>
              </w:rPr>
              <w:t>冲洗废水</w:t>
            </w:r>
          </w:p>
        </w:tc>
        <w:tc>
          <w:tcPr>
            <w:tcW w:w="1054"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w:t>
            </w:r>
          </w:p>
        </w:tc>
        <w:tc>
          <w:tcPr>
            <w:tcW w:w="1559" w:type="dxa"/>
            <w:vAlign w:val="center"/>
          </w:tcPr>
          <w:p>
            <w:pPr>
              <w:kinsoku w:val="0"/>
              <w:overflowPunct w:val="0"/>
              <w:autoSpaceDE w:val="0"/>
              <w:autoSpaceDN w:val="0"/>
              <w:adjustRightInd w:val="0"/>
              <w:snapToGrid w:val="0"/>
              <w:jc w:val="center"/>
              <w:rPr>
                <w:rFonts w:eastAsia="等线"/>
                <w:kern w:val="0"/>
                <w:szCs w:val="21"/>
              </w:rPr>
            </w:pPr>
            <w:r>
              <w:rPr>
                <w:rFonts w:eastAsia="等线"/>
                <w:kern w:val="0"/>
                <w:szCs w:val="21"/>
              </w:rPr>
              <w:t>/</w:t>
            </w:r>
          </w:p>
        </w:tc>
        <w:tc>
          <w:tcPr>
            <w:tcW w:w="2651" w:type="dxa"/>
            <w:vAlign w:val="center"/>
          </w:tcPr>
          <w:p>
            <w:pPr>
              <w:adjustRightInd w:val="0"/>
              <w:snapToGrid w:val="0"/>
              <w:rPr>
                <w:szCs w:val="21"/>
              </w:rPr>
            </w:pPr>
            <w:r>
              <w:rPr>
                <w:szCs w:val="21"/>
              </w:rPr>
              <w:t>设沉砂池沉淀处理后回用，不外排。</w:t>
            </w:r>
          </w:p>
        </w:tc>
      </w:tr>
    </w:tbl>
    <w:p>
      <w:pPr>
        <w:adjustRightInd w:val="0"/>
        <w:snapToGrid w:val="0"/>
        <w:spacing w:line="360" w:lineRule="auto"/>
        <w:ind w:firstLine="482" w:firstLineChars="200"/>
        <w:rPr>
          <w:rFonts w:ascii="宋体" w:hAnsi="宋体" w:cs="宋体"/>
          <w:b/>
          <w:bCs/>
          <w:sz w:val="24"/>
          <w:szCs w:val="24"/>
        </w:rPr>
      </w:pPr>
      <w:r>
        <w:rPr>
          <w:rFonts w:ascii="宋体" w:hAnsi="宋体" w:cs="宋体"/>
          <w:b/>
          <w:bCs/>
          <w:sz w:val="24"/>
          <w:szCs w:val="24"/>
        </w:rPr>
        <w:t>3</w:t>
      </w:r>
      <w:r>
        <w:rPr>
          <w:rFonts w:hint="eastAsia" w:ascii="宋体" w:hAnsi="宋体" w:cs="宋体"/>
          <w:b/>
          <w:bCs/>
          <w:sz w:val="24"/>
          <w:szCs w:val="24"/>
        </w:rPr>
        <w:t>、施工期固废</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（1）施工人员生活垃圾：高峰期总人数约为</w:t>
      </w:r>
      <w:r>
        <w:rPr>
          <w:rFonts w:ascii="宋体" w:hAnsi="宋体" w:cs="宋体"/>
          <w:sz w:val="24"/>
          <w:szCs w:val="24"/>
        </w:rPr>
        <w:t xml:space="preserve"> 40 </w:t>
      </w:r>
      <w:r>
        <w:rPr>
          <w:rFonts w:hint="eastAsia" w:ascii="宋体" w:hAnsi="宋体" w:cs="宋体"/>
          <w:sz w:val="24"/>
          <w:szCs w:val="24"/>
        </w:rPr>
        <w:t>人</w:t>
      </w:r>
      <w:r>
        <w:rPr>
          <w:rFonts w:ascii="宋体" w:hAnsi="宋体" w:cs="宋体"/>
          <w:sz w:val="24"/>
          <w:szCs w:val="24"/>
        </w:rPr>
        <w:t>/</w:t>
      </w:r>
      <w:r>
        <w:rPr>
          <w:rFonts w:hint="eastAsia" w:ascii="宋体" w:hAnsi="宋体" w:cs="宋体"/>
          <w:sz w:val="24"/>
          <w:szCs w:val="24"/>
        </w:rPr>
        <w:t>日，按每人每天</w:t>
      </w:r>
      <w:r>
        <w:rPr>
          <w:rFonts w:ascii="宋体" w:hAnsi="宋体" w:cs="宋体"/>
          <w:sz w:val="24"/>
          <w:szCs w:val="24"/>
        </w:rPr>
        <w:t xml:space="preserve"> 1kg/d </w:t>
      </w:r>
      <w:r>
        <w:rPr>
          <w:rFonts w:hint="eastAsia" w:ascii="宋体" w:hAnsi="宋体" w:cs="宋体"/>
          <w:sz w:val="24"/>
          <w:szCs w:val="24"/>
        </w:rPr>
        <w:t>计，</w:t>
      </w:r>
      <w:r>
        <w:rPr>
          <w:rFonts w:ascii="宋体" w:hAnsi="宋体" w:cs="宋体"/>
          <w:sz w:val="24"/>
          <w:szCs w:val="24"/>
        </w:rPr>
        <w:t xml:space="preserve"> </w:t>
      </w:r>
      <w:r>
        <w:rPr>
          <w:rFonts w:hint="eastAsia" w:ascii="宋体" w:hAnsi="宋体" w:cs="宋体"/>
          <w:sz w:val="24"/>
          <w:szCs w:val="24"/>
        </w:rPr>
        <w:t>则生活垃圾产生量约为</w:t>
      </w:r>
      <w:r>
        <w:rPr>
          <w:rFonts w:ascii="宋体" w:hAnsi="宋体" w:cs="宋体"/>
          <w:sz w:val="24"/>
          <w:szCs w:val="24"/>
        </w:rPr>
        <w:t xml:space="preserve"> 40kg/d</w:t>
      </w:r>
      <w:r>
        <w:rPr>
          <w:rFonts w:hint="eastAsia" w:ascii="宋体" w:hAnsi="宋体" w:cs="宋体"/>
          <w:sz w:val="24"/>
          <w:szCs w:val="24"/>
        </w:rPr>
        <w:t>。</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（2）施工作业固体废物：主要包括建筑材料废弃物。</w:t>
      </w:r>
    </w:p>
    <w:p>
      <w:pPr>
        <w:adjustRightInd w:val="0"/>
        <w:snapToGrid w:val="0"/>
        <w:spacing w:line="360" w:lineRule="auto"/>
        <w:ind w:firstLine="482" w:firstLineChars="200"/>
        <w:rPr>
          <w:rFonts w:ascii="宋体" w:hAnsi="宋体" w:cs="宋体"/>
          <w:b/>
          <w:bCs/>
          <w:sz w:val="24"/>
          <w:szCs w:val="24"/>
        </w:rPr>
      </w:pPr>
      <w:r>
        <w:rPr>
          <w:rFonts w:ascii="宋体" w:hAnsi="宋体" w:cs="宋体"/>
          <w:b/>
          <w:bCs/>
          <w:sz w:val="24"/>
          <w:szCs w:val="24"/>
        </w:rPr>
        <w:t>4</w:t>
      </w:r>
      <w:r>
        <w:rPr>
          <w:rFonts w:hint="eastAsia" w:ascii="宋体" w:hAnsi="宋体" w:cs="宋体"/>
          <w:b/>
          <w:bCs/>
          <w:sz w:val="24"/>
          <w:szCs w:val="24"/>
        </w:rPr>
        <w:t>、施工噪声</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本项目施工期噪声主要来自施工机械的机械噪声，以及运输车辆的运输噪声。根据类比，这些噪声源的噪声级见表</w:t>
      </w:r>
      <w:r>
        <w:rPr>
          <w:rFonts w:ascii="宋体" w:hAnsi="宋体" w:cs="宋体"/>
          <w:sz w:val="24"/>
          <w:szCs w:val="24"/>
        </w:rPr>
        <w:t>3.9-3</w:t>
      </w:r>
      <w:r>
        <w:rPr>
          <w:rFonts w:hint="eastAsia" w:ascii="宋体" w:hAnsi="宋体" w:cs="宋体"/>
          <w:sz w:val="24"/>
          <w:szCs w:val="24"/>
        </w:rPr>
        <w:t>。</w:t>
      </w:r>
    </w:p>
    <w:p>
      <w:pPr>
        <w:adjustRightInd w:val="0"/>
        <w:snapToGrid w:val="0"/>
        <w:jc w:val="center"/>
        <w:rPr>
          <w:b/>
          <w:sz w:val="24"/>
        </w:rPr>
      </w:pPr>
      <w:r>
        <w:rPr>
          <w:rFonts w:hint="eastAsia"/>
          <w:b/>
          <w:sz w:val="24"/>
        </w:rPr>
        <w:t>表</w:t>
      </w:r>
      <w:r>
        <w:rPr>
          <w:b/>
          <w:sz w:val="24"/>
        </w:rPr>
        <w:t xml:space="preserve">3.9-3  </w:t>
      </w:r>
      <w:r>
        <w:rPr>
          <w:rFonts w:hint="eastAsia"/>
          <w:b/>
          <w:sz w:val="24"/>
        </w:rPr>
        <w:t>施工期主要机械设备噪声源强（</w:t>
      </w:r>
      <w:r>
        <w:rPr>
          <w:b/>
          <w:sz w:val="24"/>
        </w:rPr>
        <w:t xml:space="preserve">5m </w:t>
      </w:r>
      <w:r>
        <w:rPr>
          <w:rFonts w:hint="eastAsia"/>
          <w:b/>
          <w:sz w:val="24"/>
        </w:rPr>
        <w:t>外）</w:t>
      </w:r>
    </w:p>
    <w:p>
      <w:pPr>
        <w:kinsoku w:val="0"/>
        <w:overflowPunct w:val="0"/>
        <w:autoSpaceDE w:val="0"/>
        <w:autoSpaceDN w:val="0"/>
        <w:adjustRightInd w:val="0"/>
        <w:spacing w:before="13" w:line="80" w:lineRule="exact"/>
        <w:jc w:val="left"/>
        <w:rPr>
          <w:rFonts w:eastAsia="等线"/>
          <w:kern w:val="0"/>
          <w:sz w:val="8"/>
          <w:szCs w:val="8"/>
        </w:rPr>
      </w:pPr>
    </w:p>
    <w:tbl>
      <w:tblPr>
        <w:tblStyle w:val="39"/>
        <w:tblW w:w="0" w:type="auto"/>
        <w:tblInd w:w="103"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774"/>
        <w:gridCol w:w="2343"/>
        <w:gridCol w:w="2079"/>
        <w:gridCol w:w="234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2" w:hRule="exact"/>
        </w:trPr>
        <w:tc>
          <w:tcPr>
            <w:tcW w:w="1774" w:type="dxa"/>
          </w:tcPr>
          <w:p>
            <w:pPr>
              <w:kinsoku w:val="0"/>
              <w:overflowPunct w:val="0"/>
              <w:autoSpaceDE w:val="0"/>
              <w:autoSpaceDN w:val="0"/>
              <w:adjustRightInd w:val="0"/>
              <w:spacing w:before="4"/>
              <w:ind w:left="472"/>
              <w:jc w:val="left"/>
              <w:rPr>
                <w:rFonts w:eastAsia="等线"/>
                <w:kern w:val="0"/>
                <w:sz w:val="24"/>
                <w:szCs w:val="24"/>
              </w:rPr>
            </w:pPr>
            <w:r>
              <w:rPr>
                <w:rFonts w:hint="eastAsia" w:ascii="宋体" w:cs="宋体"/>
                <w:b/>
                <w:bCs/>
                <w:kern w:val="0"/>
                <w:szCs w:val="21"/>
              </w:rPr>
              <w:t>机械设备</w:t>
            </w:r>
          </w:p>
        </w:tc>
        <w:tc>
          <w:tcPr>
            <w:tcW w:w="2343" w:type="dxa"/>
          </w:tcPr>
          <w:p>
            <w:pPr>
              <w:kinsoku w:val="0"/>
              <w:overflowPunct w:val="0"/>
              <w:autoSpaceDE w:val="0"/>
              <w:autoSpaceDN w:val="0"/>
              <w:adjustRightInd w:val="0"/>
              <w:spacing w:before="4"/>
              <w:ind w:left="459"/>
              <w:jc w:val="left"/>
              <w:rPr>
                <w:rFonts w:eastAsia="等线"/>
                <w:kern w:val="0"/>
                <w:sz w:val="24"/>
                <w:szCs w:val="24"/>
              </w:rPr>
            </w:pPr>
            <w:r>
              <w:rPr>
                <w:rFonts w:hint="eastAsia" w:ascii="宋体" w:cs="宋体"/>
                <w:b/>
                <w:bCs/>
                <w:spacing w:val="-1"/>
                <w:kern w:val="0"/>
                <w:szCs w:val="21"/>
              </w:rPr>
              <w:t>声级范围</w:t>
            </w:r>
            <w:r>
              <w:rPr>
                <w:b/>
                <w:bCs/>
                <w:spacing w:val="-1"/>
                <w:kern w:val="0"/>
                <w:szCs w:val="21"/>
              </w:rPr>
              <w:t>(</w:t>
            </w:r>
            <w:r>
              <w:rPr>
                <w:rFonts w:hint="eastAsia" w:ascii="宋体" w:cs="宋体"/>
                <w:b/>
                <w:bCs/>
                <w:spacing w:val="-1"/>
                <w:kern w:val="0"/>
                <w:szCs w:val="21"/>
              </w:rPr>
              <w:t>dB</w:t>
            </w:r>
            <w:r>
              <w:rPr>
                <w:b/>
                <w:bCs/>
                <w:spacing w:val="-1"/>
                <w:kern w:val="0"/>
                <w:szCs w:val="21"/>
              </w:rPr>
              <w:t>)</w:t>
            </w:r>
          </w:p>
        </w:tc>
        <w:tc>
          <w:tcPr>
            <w:tcW w:w="2079" w:type="dxa"/>
          </w:tcPr>
          <w:p>
            <w:pPr>
              <w:kinsoku w:val="0"/>
              <w:overflowPunct w:val="0"/>
              <w:autoSpaceDE w:val="0"/>
              <w:autoSpaceDN w:val="0"/>
              <w:adjustRightInd w:val="0"/>
              <w:spacing w:before="4"/>
              <w:ind w:left="608"/>
              <w:jc w:val="left"/>
              <w:rPr>
                <w:rFonts w:eastAsia="等线"/>
                <w:kern w:val="0"/>
                <w:sz w:val="24"/>
                <w:szCs w:val="24"/>
              </w:rPr>
            </w:pPr>
            <w:r>
              <w:rPr>
                <w:rFonts w:hint="eastAsia" w:ascii="宋体" w:cs="宋体"/>
                <w:b/>
                <w:bCs/>
                <w:kern w:val="0"/>
                <w:szCs w:val="21"/>
              </w:rPr>
              <w:t>机械设备</w:t>
            </w:r>
          </w:p>
        </w:tc>
        <w:tc>
          <w:tcPr>
            <w:tcW w:w="2342" w:type="dxa"/>
          </w:tcPr>
          <w:p>
            <w:pPr>
              <w:kinsoku w:val="0"/>
              <w:overflowPunct w:val="0"/>
              <w:autoSpaceDE w:val="0"/>
              <w:autoSpaceDN w:val="0"/>
              <w:adjustRightInd w:val="0"/>
              <w:spacing w:before="4"/>
              <w:ind w:left="459"/>
              <w:jc w:val="left"/>
              <w:rPr>
                <w:rFonts w:eastAsia="等线"/>
                <w:kern w:val="0"/>
                <w:sz w:val="24"/>
                <w:szCs w:val="24"/>
              </w:rPr>
            </w:pPr>
            <w:r>
              <w:rPr>
                <w:rFonts w:hint="eastAsia" w:ascii="宋体" w:cs="宋体"/>
                <w:b/>
                <w:bCs/>
                <w:spacing w:val="-1"/>
                <w:kern w:val="0"/>
                <w:szCs w:val="21"/>
              </w:rPr>
              <w:t>声级范围</w:t>
            </w:r>
            <w:r>
              <w:rPr>
                <w:b/>
                <w:bCs/>
                <w:spacing w:val="-1"/>
                <w:kern w:val="0"/>
                <w:szCs w:val="21"/>
              </w:rPr>
              <w:t>(</w:t>
            </w:r>
            <w:r>
              <w:rPr>
                <w:rFonts w:hint="eastAsia" w:ascii="宋体" w:cs="宋体"/>
                <w:b/>
                <w:bCs/>
                <w:spacing w:val="-1"/>
                <w:kern w:val="0"/>
                <w:szCs w:val="21"/>
              </w:rPr>
              <w:t>dB</w:t>
            </w:r>
            <w:r>
              <w:rPr>
                <w:b/>
                <w:bCs/>
                <w:spacing w:val="-1"/>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6" w:hRule="exact"/>
        </w:trPr>
        <w:tc>
          <w:tcPr>
            <w:tcW w:w="1774" w:type="dxa"/>
          </w:tcPr>
          <w:p>
            <w:pPr>
              <w:kinsoku w:val="0"/>
              <w:overflowPunct w:val="0"/>
              <w:autoSpaceDE w:val="0"/>
              <w:autoSpaceDN w:val="0"/>
              <w:adjustRightInd w:val="0"/>
              <w:spacing w:before="4"/>
              <w:ind w:left="578"/>
              <w:jc w:val="left"/>
              <w:rPr>
                <w:rFonts w:eastAsia="等线"/>
                <w:kern w:val="0"/>
                <w:sz w:val="24"/>
                <w:szCs w:val="24"/>
              </w:rPr>
            </w:pPr>
            <w:r>
              <w:rPr>
                <w:rFonts w:hint="eastAsia" w:ascii="宋体" w:cs="宋体"/>
                <w:kern w:val="0"/>
                <w:szCs w:val="21"/>
              </w:rPr>
              <w:t>挖掘机</w:t>
            </w:r>
          </w:p>
        </w:tc>
        <w:tc>
          <w:tcPr>
            <w:tcW w:w="2343" w:type="dxa"/>
          </w:tcPr>
          <w:p>
            <w:pPr>
              <w:kinsoku w:val="0"/>
              <w:overflowPunct w:val="0"/>
              <w:autoSpaceDE w:val="0"/>
              <w:autoSpaceDN w:val="0"/>
              <w:adjustRightInd w:val="0"/>
              <w:spacing w:before="50"/>
              <w:ind w:left="879" w:right="878"/>
              <w:jc w:val="center"/>
              <w:rPr>
                <w:rFonts w:eastAsia="等线"/>
                <w:kern w:val="0"/>
                <w:sz w:val="24"/>
                <w:szCs w:val="24"/>
              </w:rPr>
            </w:pPr>
            <w:r>
              <w:rPr>
                <w:rFonts w:eastAsia="等线"/>
                <w:spacing w:val="-1"/>
                <w:kern w:val="0"/>
                <w:szCs w:val="21"/>
              </w:rPr>
              <w:t>85~90</w:t>
            </w:r>
          </w:p>
        </w:tc>
        <w:tc>
          <w:tcPr>
            <w:tcW w:w="2079" w:type="dxa"/>
          </w:tcPr>
          <w:p>
            <w:pPr>
              <w:kinsoku w:val="0"/>
              <w:overflowPunct w:val="0"/>
              <w:autoSpaceDE w:val="0"/>
              <w:autoSpaceDN w:val="0"/>
              <w:adjustRightInd w:val="0"/>
              <w:spacing w:before="4"/>
              <w:jc w:val="center"/>
              <w:rPr>
                <w:rFonts w:eastAsia="等线"/>
                <w:kern w:val="0"/>
                <w:sz w:val="24"/>
                <w:szCs w:val="24"/>
              </w:rPr>
            </w:pPr>
            <w:r>
              <w:rPr>
                <w:rFonts w:hint="eastAsia" w:ascii="宋体" w:cs="宋体"/>
                <w:kern w:val="0"/>
                <w:szCs w:val="21"/>
              </w:rPr>
              <w:t>翻斗车</w:t>
            </w:r>
          </w:p>
        </w:tc>
        <w:tc>
          <w:tcPr>
            <w:tcW w:w="2342" w:type="dxa"/>
          </w:tcPr>
          <w:p>
            <w:pPr>
              <w:kinsoku w:val="0"/>
              <w:overflowPunct w:val="0"/>
              <w:autoSpaceDE w:val="0"/>
              <w:autoSpaceDN w:val="0"/>
              <w:adjustRightInd w:val="0"/>
              <w:spacing w:before="50"/>
              <w:ind w:left="810" w:right="816"/>
              <w:jc w:val="center"/>
              <w:rPr>
                <w:rFonts w:eastAsia="等线"/>
                <w:kern w:val="0"/>
                <w:sz w:val="24"/>
                <w:szCs w:val="24"/>
              </w:rPr>
            </w:pPr>
            <w:r>
              <w:rPr>
                <w:rFonts w:eastAsia="等线"/>
                <w:spacing w:val="-1"/>
                <w:kern w:val="0"/>
                <w:szCs w:val="21"/>
              </w:rPr>
              <w:t>85~95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55" w:hRule="exact"/>
        </w:trPr>
        <w:tc>
          <w:tcPr>
            <w:tcW w:w="1774" w:type="dxa"/>
          </w:tcPr>
          <w:p>
            <w:pPr>
              <w:kinsoku w:val="0"/>
              <w:overflowPunct w:val="0"/>
              <w:autoSpaceDE w:val="0"/>
              <w:autoSpaceDN w:val="0"/>
              <w:adjustRightInd w:val="0"/>
              <w:spacing w:before="4"/>
              <w:ind w:left="578"/>
              <w:jc w:val="left"/>
              <w:rPr>
                <w:rFonts w:eastAsia="等线"/>
                <w:kern w:val="0"/>
                <w:sz w:val="24"/>
                <w:szCs w:val="24"/>
              </w:rPr>
            </w:pPr>
            <w:r>
              <w:rPr>
                <w:rFonts w:hint="eastAsia" w:ascii="宋体" w:cs="宋体"/>
                <w:kern w:val="0"/>
                <w:szCs w:val="21"/>
              </w:rPr>
              <w:t>推土机</w:t>
            </w:r>
          </w:p>
        </w:tc>
        <w:tc>
          <w:tcPr>
            <w:tcW w:w="2343" w:type="dxa"/>
          </w:tcPr>
          <w:p>
            <w:pPr>
              <w:kinsoku w:val="0"/>
              <w:overflowPunct w:val="0"/>
              <w:autoSpaceDE w:val="0"/>
              <w:autoSpaceDN w:val="0"/>
              <w:adjustRightInd w:val="0"/>
              <w:spacing w:before="50"/>
              <w:ind w:left="879" w:right="878"/>
              <w:jc w:val="center"/>
              <w:rPr>
                <w:rFonts w:eastAsia="等线"/>
                <w:kern w:val="0"/>
                <w:sz w:val="24"/>
                <w:szCs w:val="24"/>
              </w:rPr>
            </w:pPr>
            <w:r>
              <w:rPr>
                <w:rFonts w:eastAsia="等线"/>
                <w:spacing w:val="-1"/>
                <w:kern w:val="0"/>
                <w:szCs w:val="21"/>
              </w:rPr>
              <w:t>80~85</w:t>
            </w:r>
          </w:p>
        </w:tc>
        <w:tc>
          <w:tcPr>
            <w:tcW w:w="2079" w:type="dxa"/>
          </w:tcPr>
          <w:p>
            <w:pPr>
              <w:kinsoku w:val="0"/>
              <w:overflowPunct w:val="0"/>
              <w:autoSpaceDE w:val="0"/>
              <w:autoSpaceDN w:val="0"/>
              <w:adjustRightInd w:val="0"/>
              <w:spacing w:before="2"/>
              <w:ind w:left="418"/>
              <w:jc w:val="left"/>
              <w:rPr>
                <w:rFonts w:eastAsia="等线"/>
                <w:kern w:val="0"/>
                <w:sz w:val="24"/>
                <w:szCs w:val="24"/>
              </w:rPr>
            </w:pPr>
            <w:r>
              <w:rPr>
                <w:rFonts w:hint="eastAsia" w:ascii="宋体" w:cs="宋体"/>
                <w:spacing w:val="8"/>
                <w:kern w:val="0"/>
                <w:szCs w:val="21"/>
              </w:rPr>
              <w:t>混凝土罐车</w:t>
            </w:r>
          </w:p>
        </w:tc>
        <w:tc>
          <w:tcPr>
            <w:tcW w:w="2342" w:type="dxa"/>
          </w:tcPr>
          <w:p>
            <w:pPr>
              <w:kinsoku w:val="0"/>
              <w:overflowPunct w:val="0"/>
              <w:autoSpaceDE w:val="0"/>
              <w:autoSpaceDN w:val="0"/>
              <w:adjustRightInd w:val="0"/>
              <w:spacing w:before="47"/>
              <w:ind w:left="809" w:right="935"/>
              <w:jc w:val="center"/>
              <w:rPr>
                <w:rFonts w:eastAsia="等线"/>
                <w:kern w:val="0"/>
                <w:sz w:val="24"/>
                <w:szCs w:val="24"/>
              </w:rPr>
            </w:pPr>
            <w:r>
              <w:rPr>
                <w:rFonts w:eastAsia="等线"/>
                <w:spacing w:val="3"/>
                <w:kern w:val="0"/>
                <w:szCs w:val="21"/>
              </w:rPr>
              <w:t>80~85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5" w:hRule="exact"/>
        </w:trPr>
        <w:tc>
          <w:tcPr>
            <w:tcW w:w="1774" w:type="dxa"/>
          </w:tcPr>
          <w:p>
            <w:pPr>
              <w:kinsoku w:val="0"/>
              <w:overflowPunct w:val="0"/>
              <w:autoSpaceDE w:val="0"/>
              <w:autoSpaceDN w:val="0"/>
              <w:adjustRightInd w:val="0"/>
              <w:spacing w:before="4"/>
              <w:ind w:left="578"/>
              <w:jc w:val="left"/>
              <w:rPr>
                <w:rFonts w:eastAsia="等线"/>
                <w:kern w:val="0"/>
                <w:sz w:val="24"/>
                <w:szCs w:val="24"/>
              </w:rPr>
            </w:pPr>
            <w:r>
              <w:rPr>
                <w:rFonts w:hint="eastAsia" w:ascii="宋体" w:cs="宋体"/>
                <w:kern w:val="0"/>
                <w:szCs w:val="21"/>
              </w:rPr>
              <w:t>铲运机</w:t>
            </w:r>
          </w:p>
        </w:tc>
        <w:tc>
          <w:tcPr>
            <w:tcW w:w="2343" w:type="dxa"/>
          </w:tcPr>
          <w:p>
            <w:pPr>
              <w:kinsoku w:val="0"/>
              <w:overflowPunct w:val="0"/>
              <w:autoSpaceDE w:val="0"/>
              <w:autoSpaceDN w:val="0"/>
              <w:adjustRightInd w:val="0"/>
              <w:spacing w:before="50"/>
              <w:ind w:left="879" w:right="878"/>
              <w:jc w:val="center"/>
              <w:rPr>
                <w:rFonts w:eastAsia="等线"/>
                <w:kern w:val="0"/>
                <w:sz w:val="24"/>
                <w:szCs w:val="24"/>
              </w:rPr>
            </w:pPr>
            <w:r>
              <w:rPr>
                <w:rFonts w:eastAsia="等线"/>
                <w:spacing w:val="-1"/>
                <w:kern w:val="0"/>
                <w:szCs w:val="21"/>
              </w:rPr>
              <w:t>80~85</w:t>
            </w:r>
          </w:p>
        </w:tc>
        <w:tc>
          <w:tcPr>
            <w:tcW w:w="2079" w:type="dxa"/>
          </w:tcPr>
          <w:p>
            <w:pPr>
              <w:kinsoku w:val="0"/>
              <w:overflowPunct w:val="0"/>
              <w:autoSpaceDE w:val="0"/>
              <w:autoSpaceDN w:val="0"/>
              <w:adjustRightInd w:val="0"/>
              <w:spacing w:before="2"/>
              <w:ind w:left="639"/>
              <w:jc w:val="left"/>
              <w:rPr>
                <w:rFonts w:eastAsia="等线"/>
                <w:kern w:val="0"/>
                <w:sz w:val="24"/>
                <w:szCs w:val="24"/>
              </w:rPr>
            </w:pPr>
            <w:r>
              <w:rPr>
                <w:rFonts w:hint="eastAsia" w:ascii="宋体" w:cs="宋体"/>
                <w:spacing w:val="12"/>
                <w:kern w:val="0"/>
                <w:szCs w:val="21"/>
              </w:rPr>
              <w:t>电焊机</w:t>
            </w:r>
          </w:p>
        </w:tc>
        <w:tc>
          <w:tcPr>
            <w:tcW w:w="2342" w:type="dxa"/>
          </w:tcPr>
          <w:p>
            <w:pPr>
              <w:kinsoku w:val="0"/>
              <w:overflowPunct w:val="0"/>
              <w:autoSpaceDE w:val="0"/>
              <w:autoSpaceDN w:val="0"/>
              <w:adjustRightInd w:val="0"/>
              <w:spacing w:before="47"/>
              <w:ind w:left="765" w:right="886"/>
              <w:jc w:val="center"/>
              <w:rPr>
                <w:rFonts w:eastAsia="等线"/>
                <w:kern w:val="0"/>
                <w:sz w:val="24"/>
                <w:szCs w:val="24"/>
              </w:rPr>
            </w:pPr>
            <w:r>
              <w:rPr>
                <w:rFonts w:eastAsia="等线"/>
                <w:spacing w:val="4"/>
                <w:kern w:val="0"/>
                <w:szCs w:val="21"/>
              </w:rPr>
              <w:t>80~85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2" w:hRule="exact"/>
        </w:trPr>
        <w:tc>
          <w:tcPr>
            <w:tcW w:w="1774" w:type="dxa"/>
          </w:tcPr>
          <w:p>
            <w:pPr>
              <w:kinsoku w:val="0"/>
              <w:overflowPunct w:val="0"/>
              <w:autoSpaceDE w:val="0"/>
              <w:autoSpaceDN w:val="0"/>
              <w:adjustRightInd w:val="0"/>
              <w:spacing w:before="4"/>
              <w:ind w:left="472"/>
              <w:jc w:val="left"/>
              <w:rPr>
                <w:rFonts w:eastAsia="等线"/>
                <w:kern w:val="0"/>
                <w:sz w:val="24"/>
                <w:szCs w:val="24"/>
              </w:rPr>
            </w:pPr>
            <w:r>
              <w:rPr>
                <w:rFonts w:hint="eastAsia" w:ascii="宋体" w:cs="宋体"/>
                <w:spacing w:val="-1"/>
                <w:kern w:val="0"/>
                <w:szCs w:val="21"/>
              </w:rPr>
              <w:t>自卸汽车</w:t>
            </w:r>
          </w:p>
        </w:tc>
        <w:tc>
          <w:tcPr>
            <w:tcW w:w="2343" w:type="dxa"/>
          </w:tcPr>
          <w:p>
            <w:pPr>
              <w:kinsoku w:val="0"/>
              <w:overflowPunct w:val="0"/>
              <w:autoSpaceDE w:val="0"/>
              <w:autoSpaceDN w:val="0"/>
              <w:adjustRightInd w:val="0"/>
              <w:spacing w:before="50"/>
              <w:jc w:val="center"/>
              <w:rPr>
                <w:rFonts w:eastAsia="等线"/>
                <w:kern w:val="0"/>
                <w:sz w:val="24"/>
                <w:szCs w:val="24"/>
              </w:rPr>
            </w:pPr>
            <w:r>
              <w:rPr>
                <w:rFonts w:eastAsia="等线"/>
                <w:spacing w:val="-2"/>
                <w:kern w:val="0"/>
                <w:szCs w:val="21"/>
              </w:rPr>
              <w:t>85~95</w:t>
            </w:r>
          </w:p>
        </w:tc>
        <w:tc>
          <w:tcPr>
            <w:tcW w:w="2079" w:type="dxa"/>
          </w:tcPr>
          <w:p>
            <w:pPr>
              <w:kinsoku w:val="0"/>
              <w:overflowPunct w:val="0"/>
              <w:autoSpaceDE w:val="0"/>
              <w:autoSpaceDN w:val="0"/>
              <w:adjustRightInd w:val="0"/>
              <w:spacing w:before="2"/>
              <w:ind w:left="529"/>
              <w:jc w:val="left"/>
              <w:rPr>
                <w:rFonts w:eastAsia="等线"/>
                <w:kern w:val="0"/>
                <w:sz w:val="24"/>
                <w:szCs w:val="24"/>
              </w:rPr>
            </w:pPr>
            <w:r>
              <w:rPr>
                <w:rFonts w:hint="eastAsia" w:ascii="宋体" w:cs="宋体"/>
                <w:spacing w:val="7"/>
                <w:kern w:val="0"/>
                <w:szCs w:val="21"/>
              </w:rPr>
              <w:t>运输车辆</w:t>
            </w:r>
          </w:p>
        </w:tc>
        <w:tc>
          <w:tcPr>
            <w:tcW w:w="2342" w:type="dxa"/>
          </w:tcPr>
          <w:p>
            <w:pPr>
              <w:kinsoku w:val="0"/>
              <w:overflowPunct w:val="0"/>
              <w:autoSpaceDE w:val="0"/>
              <w:autoSpaceDN w:val="0"/>
              <w:adjustRightInd w:val="0"/>
              <w:spacing w:before="47"/>
              <w:ind w:left="809" w:right="935"/>
              <w:jc w:val="center"/>
              <w:rPr>
                <w:rFonts w:eastAsia="等线"/>
                <w:kern w:val="0"/>
                <w:sz w:val="24"/>
                <w:szCs w:val="24"/>
              </w:rPr>
            </w:pPr>
            <w:r>
              <w:rPr>
                <w:rFonts w:eastAsia="等线"/>
                <w:spacing w:val="3"/>
                <w:kern w:val="0"/>
                <w:szCs w:val="21"/>
              </w:rPr>
              <w:t>70~80</w:t>
            </w:r>
          </w:p>
        </w:tc>
      </w:tr>
    </w:tbl>
    <w:p>
      <w:pPr>
        <w:pStyle w:val="61"/>
        <w:numPr>
          <w:ilvl w:val="1"/>
          <w:numId w:val="5"/>
        </w:numPr>
        <w:tabs>
          <w:tab w:val="left" w:pos="567"/>
          <w:tab w:val="clear" w:pos="432"/>
        </w:tabs>
        <w:spacing w:before="120" w:after="120"/>
        <w:ind w:left="0" w:firstLine="0"/>
        <w:rPr>
          <w:rFonts w:ascii="Times New Roman" w:hAnsi="Times New Roman"/>
        </w:rPr>
      </w:pPr>
      <w:bookmarkStart w:id="95" w:name="_Toc94101215"/>
      <w:r>
        <w:rPr>
          <w:rFonts w:hint="eastAsia" w:ascii="Times New Roman" w:hAnsi="Times New Roman"/>
        </w:rPr>
        <w:t>营运期</w:t>
      </w:r>
      <w:r>
        <w:rPr>
          <w:rFonts w:ascii="Times New Roman" w:hAnsi="Times New Roman"/>
        </w:rPr>
        <w:t>工程</w:t>
      </w:r>
      <w:r>
        <w:rPr>
          <w:rFonts w:hint="eastAsia" w:ascii="Times New Roman" w:hAnsi="Times New Roman"/>
        </w:rPr>
        <w:t>分析</w:t>
      </w:r>
      <w:bookmarkEnd w:id="95"/>
    </w:p>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 xml:space="preserve"> 填埋工艺流程</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填埋作业方式</w:t>
      </w:r>
      <w:r>
        <w:rPr>
          <w:rFonts w:ascii="Times New Roman" w:hAnsi="Times New Roman"/>
        </w:rPr>
        <w:t xml:space="preserve"> </w:t>
      </w:r>
    </w:p>
    <w:p>
      <w:pPr>
        <w:adjustRightInd w:val="0"/>
        <w:snapToGrid w:val="0"/>
        <w:spacing w:line="360" w:lineRule="auto"/>
        <w:ind w:firstLine="480" w:firstLineChars="200"/>
        <w:rPr>
          <w:sz w:val="24"/>
          <w:szCs w:val="21"/>
        </w:rPr>
      </w:pPr>
      <w:r>
        <w:rPr>
          <w:rFonts w:hint="eastAsia"/>
          <w:sz w:val="24"/>
          <w:szCs w:val="21"/>
        </w:rPr>
        <w:t>固化飞灰由运输车辆运至填埋场，经计量后进入填埋区作业面进行分区填埋，按作业顺序进行</w:t>
      </w:r>
      <w:r>
        <w:rPr>
          <w:sz w:val="24"/>
          <w:szCs w:val="21"/>
        </w:rPr>
        <w:t xml:space="preserve"> </w:t>
      </w:r>
      <w:r>
        <w:rPr>
          <w:rFonts w:hint="eastAsia"/>
          <w:sz w:val="24"/>
          <w:szCs w:val="21"/>
        </w:rPr>
        <w:t>卸料、堆放、压实和覆盖。</w:t>
      </w:r>
    </w:p>
    <w:p>
      <w:pPr>
        <w:adjustRightInd w:val="0"/>
        <w:snapToGrid w:val="0"/>
        <w:spacing w:line="360" w:lineRule="auto"/>
        <w:ind w:firstLine="480" w:firstLineChars="200"/>
        <w:rPr>
          <w:sz w:val="24"/>
          <w:szCs w:val="21"/>
        </w:rPr>
      </w:pPr>
      <w:r>
        <w:rPr>
          <w:rFonts w:hint="eastAsia"/>
          <w:sz w:val="24"/>
          <w:szCs w:val="21"/>
        </w:rPr>
        <w:t>固化后飞灰采用吨袋形式，吨袋内飞灰为颗粒、块状物料。飞灰经地磅计量后，飞灰吨袋用装载机运至填埋场，然后利用叉车辅助人工码放。码放的方式采用平铺、搭砌及退台的方式，在填埋作业叉车码放不方便的情况下，可采用人工辅助的方式，但尽量以机械填埋作业为主。在填埋过程中需破袋用螯合稳定化飞灰颗粒填充吨袋之间的空隙，以减少填埋体积，增加填埋量，同时增加堆体的稳定性。</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填埋工艺流程</w:t>
      </w:r>
    </w:p>
    <w:p>
      <w:pPr>
        <w:adjustRightInd w:val="0"/>
        <w:snapToGrid w:val="0"/>
        <w:spacing w:line="360" w:lineRule="auto"/>
        <w:ind w:firstLine="480" w:firstLineChars="200"/>
        <w:rPr>
          <w:sz w:val="24"/>
          <w:szCs w:val="21"/>
        </w:rPr>
      </w:pPr>
      <w:r>
        <w:rPr>
          <w:rFonts w:hint="eastAsia"/>
          <w:sz w:val="24"/>
          <w:szCs w:val="21"/>
        </w:rPr>
        <w:t>固化飞灰由输车辆运至填埋场，经计量后进入填埋区作业面进行分区填埋，然后使用机械叉车卸料，并人工配备专业夹具，按作业顺序进行卸料、堆放、压实和覆盖，形成填埋堆体，在形成的堆体上修筑临时道路和临时卸车平台，以便向前、向左或向右开展新单元的填埋作业。以此方式完成一个单元层的填埋作业，然后再进行上面单元层的填埋作业。一般情况下，单元层坡面的坡度以</w:t>
      </w:r>
      <w:r>
        <w:rPr>
          <w:sz w:val="24"/>
          <w:szCs w:val="21"/>
        </w:rPr>
        <w:t>1:3</w:t>
      </w:r>
      <w:r>
        <w:rPr>
          <w:rFonts w:hint="eastAsia"/>
          <w:sz w:val="24"/>
          <w:szCs w:val="21"/>
        </w:rPr>
        <w:t>～</w:t>
      </w:r>
      <w:r>
        <w:rPr>
          <w:sz w:val="24"/>
          <w:szCs w:val="21"/>
        </w:rPr>
        <w:t xml:space="preserve">1:6 </w:t>
      </w:r>
      <w:r>
        <w:rPr>
          <w:rFonts w:hint="eastAsia"/>
          <w:sz w:val="24"/>
          <w:szCs w:val="21"/>
        </w:rPr>
        <w:t>为宜。雨天不作业。</w:t>
      </w:r>
    </w:p>
    <w:p>
      <w:pPr>
        <w:tabs>
          <w:tab w:val="left" w:pos="495"/>
        </w:tabs>
        <w:adjustRightInd w:val="0"/>
        <w:snapToGrid w:val="0"/>
        <w:spacing w:line="360" w:lineRule="auto"/>
        <w:ind w:firstLine="480" w:firstLineChars="200"/>
        <w:rPr>
          <w:bCs/>
          <w:kern w:val="0"/>
          <w:sz w:val="24"/>
          <w:szCs w:val="24"/>
        </w:rPr>
      </w:pPr>
      <w:r>
        <w:rPr>
          <w:rFonts w:hint="eastAsia"/>
          <w:bCs/>
          <w:kern w:val="0"/>
          <w:sz w:val="24"/>
          <w:szCs w:val="24"/>
        </w:rPr>
        <w:t>（1）</w:t>
      </w:r>
      <w:r>
        <w:rPr>
          <w:bCs/>
          <w:kern w:val="0"/>
          <w:sz w:val="24"/>
          <w:szCs w:val="24"/>
        </w:rPr>
        <w:t>进场及计量</w:t>
      </w:r>
    </w:p>
    <w:p>
      <w:pPr>
        <w:tabs>
          <w:tab w:val="left" w:pos="495"/>
        </w:tabs>
        <w:adjustRightInd w:val="0"/>
        <w:snapToGrid w:val="0"/>
        <w:spacing w:line="360" w:lineRule="auto"/>
        <w:ind w:firstLine="480" w:firstLineChars="200"/>
        <w:rPr>
          <w:bCs/>
          <w:kern w:val="0"/>
          <w:sz w:val="24"/>
          <w:szCs w:val="24"/>
        </w:rPr>
      </w:pPr>
      <w:r>
        <w:rPr>
          <w:bCs/>
          <w:kern w:val="0"/>
          <w:sz w:val="24"/>
          <w:szCs w:val="24"/>
        </w:rPr>
        <w:t xml:space="preserve"> 飞灰</w:t>
      </w:r>
      <w:r>
        <w:rPr>
          <w:rFonts w:hint="eastAsia"/>
          <w:bCs/>
          <w:kern w:val="0"/>
          <w:sz w:val="24"/>
          <w:szCs w:val="24"/>
        </w:rPr>
        <w:t>采用</w:t>
      </w:r>
      <w:r>
        <w:rPr>
          <w:bCs/>
          <w:kern w:val="0"/>
          <w:sz w:val="24"/>
          <w:szCs w:val="24"/>
        </w:rPr>
        <w:t>吨袋包装，经运输车辆运输进场。在进场时，首先核对</w:t>
      </w:r>
      <w:r>
        <w:rPr>
          <w:rFonts w:hint="eastAsia"/>
          <w:bCs/>
          <w:kern w:val="0"/>
          <w:sz w:val="24"/>
          <w:szCs w:val="24"/>
        </w:rPr>
        <w:t>固化飞灰检测报告是否合格，</w:t>
      </w:r>
      <w:r>
        <w:rPr>
          <w:bCs/>
          <w:kern w:val="0"/>
          <w:sz w:val="24"/>
          <w:szCs w:val="24"/>
        </w:rPr>
        <w:t>运输车辆是否具有相应的资质文件</w:t>
      </w:r>
      <w:r>
        <w:rPr>
          <w:rFonts w:hint="eastAsia"/>
          <w:bCs/>
          <w:kern w:val="0"/>
          <w:sz w:val="24"/>
          <w:szCs w:val="24"/>
        </w:rPr>
        <w:t>，</w:t>
      </w:r>
      <w:r>
        <w:rPr>
          <w:bCs/>
          <w:kern w:val="0"/>
          <w:sz w:val="24"/>
          <w:szCs w:val="24"/>
        </w:rPr>
        <w:t>满足要求后经地磅房计量登记并核对重量，并将信息反馈主管部门。</w:t>
      </w:r>
    </w:p>
    <w:p>
      <w:pPr>
        <w:tabs>
          <w:tab w:val="left" w:pos="495"/>
        </w:tabs>
        <w:adjustRightInd w:val="0"/>
        <w:snapToGrid w:val="0"/>
        <w:spacing w:line="360" w:lineRule="auto"/>
        <w:ind w:firstLine="480" w:firstLineChars="200"/>
        <w:rPr>
          <w:bCs/>
          <w:kern w:val="0"/>
          <w:sz w:val="24"/>
          <w:szCs w:val="24"/>
        </w:rPr>
      </w:pPr>
      <w:r>
        <w:rPr>
          <w:rFonts w:hint="eastAsia"/>
          <w:bCs/>
          <w:kern w:val="0"/>
          <w:sz w:val="24"/>
          <w:szCs w:val="24"/>
        </w:rPr>
        <w:t>（2）</w:t>
      </w:r>
      <w:r>
        <w:rPr>
          <w:bCs/>
          <w:kern w:val="0"/>
          <w:sz w:val="24"/>
          <w:szCs w:val="24"/>
        </w:rPr>
        <w:t>卸车堆码</w:t>
      </w:r>
    </w:p>
    <w:p>
      <w:pPr>
        <w:tabs>
          <w:tab w:val="left" w:pos="495"/>
        </w:tabs>
        <w:adjustRightInd w:val="0"/>
        <w:snapToGrid w:val="0"/>
        <w:spacing w:line="360" w:lineRule="auto"/>
        <w:ind w:firstLine="480" w:firstLineChars="200"/>
        <w:rPr>
          <w:sz w:val="24"/>
          <w:szCs w:val="21"/>
        </w:rPr>
      </w:pPr>
      <w:r>
        <w:rPr>
          <w:bCs/>
          <w:kern w:val="0"/>
          <w:sz w:val="24"/>
          <w:szCs w:val="24"/>
        </w:rPr>
        <w:t>装载固化稳定化飞灰的车辆进入场区的速度控制在5km/h以内，</w:t>
      </w:r>
      <w:r>
        <w:rPr>
          <w:rFonts w:hint="eastAsia"/>
          <w:bCs/>
          <w:kern w:val="0"/>
          <w:sz w:val="24"/>
          <w:szCs w:val="24"/>
        </w:rPr>
        <w:t>进入</w:t>
      </w:r>
      <w:r>
        <w:rPr>
          <w:bCs/>
          <w:kern w:val="0"/>
          <w:sz w:val="24"/>
          <w:szCs w:val="24"/>
        </w:rPr>
        <w:t>库区内临时作业道路运输至填埋区指定的倾卸平台，不进入填理作业区域，利用汽车吊将运输车辆上的固化稳定化飞灰吨包袋卸下，并吊起码放至指定的填埋区，填埋库区防</w:t>
      </w:r>
      <w:r>
        <w:rPr>
          <w:sz w:val="24"/>
          <w:szCs w:val="21"/>
        </w:rPr>
        <w:t>渗层上部为级配碎石和土工滤网，填理的吨包袋直接接触的是填埋库区的土工滤网，不会直接接触防渗层。</w:t>
      </w:r>
    </w:p>
    <w:p>
      <w:pPr>
        <w:adjustRightInd w:val="0"/>
        <w:snapToGrid w:val="0"/>
        <w:spacing w:line="360" w:lineRule="auto"/>
        <w:ind w:firstLine="480" w:firstLineChars="200"/>
        <w:rPr>
          <w:sz w:val="24"/>
          <w:szCs w:val="21"/>
        </w:rPr>
      </w:pPr>
      <w:r>
        <w:rPr>
          <w:rFonts w:hint="eastAsia"/>
          <w:sz w:val="24"/>
          <w:szCs w:val="21"/>
        </w:rPr>
        <w:t>本项目</w:t>
      </w:r>
      <w:r>
        <w:rPr>
          <w:sz w:val="24"/>
          <w:szCs w:val="21"/>
        </w:rPr>
        <w:t>填埋工艺流程见图 3.10-1。</w:t>
      </w:r>
    </w:p>
    <w:p>
      <w:pPr>
        <w:adjustRightInd w:val="0"/>
        <w:snapToGrid w:val="0"/>
        <w:spacing w:line="360" w:lineRule="auto"/>
        <w:rPr>
          <w:sz w:val="24"/>
          <w:szCs w:val="21"/>
        </w:rPr>
      </w:pPr>
      <w:r>
        <w:rPr>
          <w:sz w:val="24"/>
          <w:szCs w:val="21"/>
        </w:rPr>
        <mc:AlternateContent>
          <mc:Choice Requires="wps">
            <w:drawing>
              <wp:anchor distT="0" distB="0" distL="114300" distR="114300" simplePos="0" relativeHeight="251717632" behindDoc="0" locked="0" layoutInCell="1" allowOverlap="1">
                <wp:simplePos x="0" y="0"/>
                <wp:positionH relativeFrom="column">
                  <wp:posOffset>4785360</wp:posOffset>
                </wp:positionH>
                <wp:positionV relativeFrom="paragraph">
                  <wp:posOffset>2354580</wp:posOffset>
                </wp:positionV>
                <wp:extent cx="0" cy="329565"/>
                <wp:effectExtent l="76200" t="0" r="76200" b="51435"/>
                <wp:wrapNone/>
                <wp:docPr id="40" name="直接箭头连接符 40"/>
                <wp:cNvGraphicFramePr/>
                <a:graphic xmlns:a="http://schemas.openxmlformats.org/drawingml/2006/main">
                  <a:graphicData uri="http://schemas.microsoft.com/office/word/2010/wordprocessingShape">
                    <wps:wsp>
                      <wps:cNvCnPr/>
                      <wps:spPr>
                        <a:xfrm>
                          <a:off x="0" y="0"/>
                          <a:ext cx="0" cy="3298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76.8pt;margin-top:185.4pt;height:25.95pt;width:0pt;z-index:251717632;mso-width-relative:page;mso-height-relative:page;" filled="f" stroked="t" coordsize="21600,21600" o:gfxdata="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3/pZ9oAAAALAQAADwAAAAAAAAABACAAAAAiAAAAZHJzL2Rvd25yZXYu&#10;eG1sUEsBAhQAFAAAAAgAh07iQHjIWQr5AQAAywMAAA4AAAAAAAAAAQAgAAAAKQEAAGRycy9lMm9E&#10;b2MueG1sUEsFBgAAAAAGAAYAWQEAAJQFAAAAAA==&#10;">
                <v:fill on="f" focussize="0,0"/>
                <v:stroke color="#000000 [3213]" joinstyle="round" endarrow="block"/>
                <v:imagedata o:title=""/>
                <o:lock v:ext="edit" aspectratio="f"/>
              </v:shape>
            </w:pict>
          </mc:Fallback>
        </mc:AlternateContent>
      </w:r>
      <w:r>
        <w:rPr>
          <w:sz w:val="24"/>
          <w:szCs w:val="21"/>
        </w:rPr>
        <mc:AlternateContent>
          <mc:Choice Requires="wps">
            <w:drawing>
              <wp:anchor distT="45720" distB="45720" distL="114300" distR="114300" simplePos="0" relativeHeight="251703296" behindDoc="0" locked="0" layoutInCell="1" allowOverlap="1">
                <wp:simplePos x="0" y="0"/>
                <wp:positionH relativeFrom="column">
                  <wp:posOffset>4159885</wp:posOffset>
                </wp:positionH>
                <wp:positionV relativeFrom="paragraph">
                  <wp:posOffset>2682875</wp:posOffset>
                </wp:positionV>
                <wp:extent cx="1327785" cy="1404620"/>
                <wp:effectExtent l="0" t="0" r="5715" b="0"/>
                <wp:wrapNone/>
                <wp:docPr id="3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27868" cy="1404620"/>
                        </a:xfrm>
                        <a:prstGeom prst="rect">
                          <a:avLst/>
                        </a:prstGeom>
                        <a:solidFill>
                          <a:srgbClr val="FFFFFF"/>
                        </a:solidFill>
                        <a:ln w="9525">
                          <a:noFill/>
                          <a:miter lim="800000"/>
                        </a:ln>
                      </wps:spPr>
                      <wps:txbx>
                        <w:txbxContent>
                          <w:p>
                            <w:pPr>
                              <w:rPr>
                                <w:b/>
                                <w:bCs/>
                              </w:rPr>
                            </w:pPr>
                            <w:r>
                              <w:rPr>
                                <w:rFonts w:hint="eastAsia"/>
                                <w:b/>
                                <w:bCs/>
                              </w:rPr>
                              <w:t>焚烧厂污水处理站</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27.55pt;margin-top:211.25pt;height:110.6pt;width:104.55pt;z-index:251703296;mso-width-relative:page;mso-height-relative:margin;mso-height-percent:200;" fillcolor="#FFFFFF" filled="t" stroked="f" coordsize="21600,21600" o:gfxdata="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xfKeV2QAAAAsBAAAPAAAAAAAAAAEAIAAAACIAAABkcnMv&#10;ZG93bnJldi54bWxQSwECFAAUAAAACACHTuJAFiy7wzsCAABUBAAADgAAAAAAAAABACAAAAAoAQAA&#10;ZHJzL2Uyb0RvYy54bWxQSwUGAAAAAAYABgBZAQAA1QUAAAAA&#10;">
                <v:fill on="t" focussize="0,0"/>
                <v:stroke on="f" miterlimit="8" joinstyle="miter"/>
                <v:imagedata o:title=""/>
                <o:lock v:ext="edit" aspectratio="f"/>
                <v:textbox style="mso-fit-shape-to-text:t;">
                  <w:txbxContent>
                    <w:p>
                      <w:pPr>
                        <w:rPr>
                          <w:b/>
                          <w:bCs/>
                        </w:rPr>
                      </w:pPr>
                      <w:r>
                        <w:rPr>
                          <w:rFonts w:hint="eastAsia"/>
                          <w:b/>
                          <w:bCs/>
                        </w:rPr>
                        <w:t>焚烧厂污水处理站</w:t>
                      </w:r>
                    </w:p>
                  </w:txbxContent>
                </v:textbox>
              </v:shape>
            </w:pict>
          </mc:Fallback>
        </mc:AlternateContent>
      </w:r>
      <w:r>
        <w:rPr>
          <w:sz w:val="24"/>
          <w:szCs w:val="21"/>
        </w:rPr>
        <w:drawing>
          <wp:inline distT="0" distB="0" distL="0" distR="0">
            <wp:extent cx="5542915" cy="3609340"/>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542915" cy="3609340"/>
                    </a:xfrm>
                    <a:prstGeom prst="rect">
                      <a:avLst/>
                    </a:prstGeom>
                    <a:noFill/>
                    <a:ln>
                      <a:noFill/>
                    </a:ln>
                  </pic:spPr>
                </pic:pic>
              </a:graphicData>
            </a:graphic>
          </wp:inline>
        </w:drawing>
      </w:r>
    </w:p>
    <w:p>
      <w:pPr>
        <w:adjustRightInd w:val="0"/>
        <w:snapToGrid w:val="0"/>
        <w:spacing w:line="360" w:lineRule="auto"/>
        <w:ind w:firstLine="482" w:firstLineChars="200"/>
        <w:jc w:val="center"/>
        <w:rPr>
          <w:b/>
          <w:bCs/>
          <w:sz w:val="24"/>
          <w:szCs w:val="21"/>
        </w:rPr>
      </w:pPr>
      <w:r>
        <w:rPr>
          <w:rFonts w:hint="eastAsia"/>
          <w:b/>
          <w:bCs/>
          <w:sz w:val="24"/>
          <w:szCs w:val="21"/>
        </w:rPr>
        <w:t>图3</w:t>
      </w:r>
      <w:r>
        <w:rPr>
          <w:b/>
          <w:bCs/>
          <w:sz w:val="24"/>
          <w:szCs w:val="21"/>
        </w:rPr>
        <w:t xml:space="preserve">.10-1  </w:t>
      </w:r>
      <w:r>
        <w:rPr>
          <w:rFonts w:hint="eastAsia"/>
          <w:b/>
          <w:bCs/>
          <w:sz w:val="24"/>
          <w:szCs w:val="21"/>
        </w:rPr>
        <w:t>本项目填埋工艺流程图</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填埋工艺要求</w:t>
      </w:r>
      <w:r>
        <w:rPr>
          <w:rFonts w:ascii="Times New Roman" w:hAnsi="Times New Roman"/>
        </w:rPr>
        <w:t xml:space="preserve"> </w:t>
      </w:r>
    </w:p>
    <w:p>
      <w:pPr>
        <w:adjustRightInd w:val="0"/>
        <w:snapToGrid w:val="0"/>
        <w:spacing w:line="360" w:lineRule="auto"/>
        <w:ind w:firstLine="480" w:firstLineChars="200"/>
        <w:rPr>
          <w:sz w:val="24"/>
          <w:szCs w:val="21"/>
        </w:rPr>
      </w:pPr>
      <w:r>
        <w:rPr>
          <w:rFonts w:hint="eastAsia"/>
          <w:sz w:val="24"/>
          <w:szCs w:val="21"/>
        </w:rPr>
        <w:t>为了提高作业效率，减少渗滤液产生量，固化飞灰填埋作业采用条型单元分区法，单元数量和大小视每天的填埋量和具体情况而定。填埋作业应符合《生活垃圾卫生填埋处理技术规范》（</w:t>
      </w:r>
      <w:r>
        <w:rPr>
          <w:sz w:val="24"/>
          <w:szCs w:val="21"/>
        </w:rPr>
        <w:t>GB 50869-2013</w:t>
      </w:r>
      <w:r>
        <w:rPr>
          <w:rFonts w:hint="eastAsia"/>
          <w:sz w:val="24"/>
          <w:szCs w:val="21"/>
        </w:rPr>
        <w:t>）的有关规定：</w:t>
      </w:r>
    </w:p>
    <w:p>
      <w:pPr>
        <w:adjustRightInd w:val="0"/>
        <w:snapToGrid w:val="0"/>
        <w:spacing w:line="360" w:lineRule="auto"/>
        <w:ind w:firstLine="480" w:firstLineChars="200"/>
        <w:rPr>
          <w:sz w:val="24"/>
          <w:szCs w:val="21"/>
        </w:rPr>
      </w:pPr>
      <w:r>
        <w:rPr>
          <w:rFonts w:hint="eastAsia"/>
          <w:sz w:val="24"/>
          <w:szCs w:val="21"/>
        </w:rPr>
        <w:t>（</w:t>
      </w:r>
      <w:r>
        <w:rPr>
          <w:sz w:val="24"/>
          <w:szCs w:val="21"/>
        </w:rPr>
        <w:t>1</w:t>
      </w:r>
      <w:r>
        <w:rPr>
          <w:rFonts w:hint="eastAsia"/>
          <w:sz w:val="24"/>
          <w:szCs w:val="21"/>
        </w:rPr>
        <w:t>）填埋物进入填埋场填埋前应进行检测和计量，检测符合要求的方能入场填埋。运输车辆离开填埋场前宜冲洗轮胎和底盘。</w:t>
      </w:r>
    </w:p>
    <w:p>
      <w:pPr>
        <w:adjustRightInd w:val="0"/>
        <w:snapToGrid w:val="0"/>
        <w:spacing w:line="360" w:lineRule="auto"/>
        <w:ind w:firstLine="480" w:firstLineChars="200"/>
        <w:rPr>
          <w:sz w:val="24"/>
          <w:szCs w:val="21"/>
        </w:rPr>
      </w:pPr>
      <w:r>
        <w:rPr>
          <w:rFonts w:hint="eastAsia"/>
          <w:sz w:val="24"/>
          <w:szCs w:val="21"/>
        </w:rPr>
        <w:t>（</w:t>
      </w:r>
      <w:r>
        <w:rPr>
          <w:sz w:val="24"/>
          <w:szCs w:val="21"/>
        </w:rPr>
        <w:t>2</w:t>
      </w:r>
      <w:r>
        <w:rPr>
          <w:rFonts w:hint="eastAsia"/>
          <w:sz w:val="24"/>
          <w:szCs w:val="21"/>
        </w:rPr>
        <w:t>）填埋应根据分区填埋原则进行日常填埋操作，填埋工作面应尽可能小，方便及时得到覆盖，填埋单元作业工序应为卸车、分层摊铺、压实，达到规定高</w:t>
      </w:r>
      <w:r>
        <w:rPr>
          <w:sz w:val="24"/>
          <w:szCs w:val="21"/>
        </w:rPr>
        <w:t xml:space="preserve"> </w:t>
      </w:r>
      <w:r>
        <w:rPr>
          <w:rFonts w:hint="eastAsia"/>
          <w:sz w:val="24"/>
          <w:szCs w:val="21"/>
        </w:rPr>
        <w:t>度后应进行覆盖、再压实。</w:t>
      </w:r>
    </w:p>
    <w:p>
      <w:pPr>
        <w:adjustRightInd w:val="0"/>
        <w:snapToGrid w:val="0"/>
        <w:spacing w:line="360" w:lineRule="auto"/>
        <w:ind w:firstLine="480" w:firstLineChars="200"/>
        <w:rPr>
          <w:sz w:val="24"/>
          <w:szCs w:val="21"/>
        </w:rPr>
      </w:pPr>
      <w:r>
        <w:rPr>
          <w:rFonts w:hint="eastAsia"/>
          <w:sz w:val="24"/>
          <w:szCs w:val="21"/>
        </w:rPr>
        <w:t>（</w:t>
      </w:r>
      <w:r>
        <w:rPr>
          <w:sz w:val="24"/>
          <w:szCs w:val="21"/>
        </w:rPr>
        <w:t>3</w:t>
      </w:r>
      <w:r>
        <w:rPr>
          <w:rFonts w:hint="eastAsia"/>
          <w:sz w:val="24"/>
          <w:szCs w:val="21"/>
        </w:rPr>
        <w:t>）每一单元作业完成后，采用</w:t>
      </w:r>
      <w:r>
        <w:rPr>
          <w:sz w:val="24"/>
          <w:szCs w:val="21"/>
        </w:rPr>
        <w:t xml:space="preserve"> HDPE </w:t>
      </w:r>
      <w:r>
        <w:rPr>
          <w:rFonts w:hint="eastAsia"/>
          <w:sz w:val="24"/>
          <w:szCs w:val="21"/>
        </w:rPr>
        <w:t>土工膜进行覆盖，</w:t>
      </w:r>
      <w:r>
        <w:rPr>
          <w:sz w:val="24"/>
          <w:szCs w:val="21"/>
        </w:rPr>
        <w:t xml:space="preserve">HDPE </w:t>
      </w:r>
      <w:r>
        <w:rPr>
          <w:rFonts w:hint="eastAsia"/>
          <w:sz w:val="24"/>
          <w:szCs w:val="21"/>
        </w:rPr>
        <w:t>土工膜的性能指标应符合现行行业标准《垃圾填埋场用高密度聚乙烯土工膜》</w:t>
      </w:r>
      <w:r>
        <w:rPr>
          <w:sz w:val="24"/>
          <w:szCs w:val="21"/>
        </w:rPr>
        <w:t xml:space="preserve">CJ/T 234 </w:t>
      </w:r>
      <w:r>
        <w:rPr>
          <w:rFonts w:hint="eastAsia"/>
          <w:sz w:val="24"/>
          <w:szCs w:val="21"/>
        </w:rPr>
        <w:t>的要求。</w:t>
      </w:r>
    </w:p>
    <w:p>
      <w:pPr>
        <w:adjustRightInd w:val="0"/>
        <w:snapToGrid w:val="0"/>
        <w:spacing w:line="360" w:lineRule="auto"/>
        <w:ind w:firstLine="480" w:firstLineChars="200"/>
        <w:rPr>
          <w:sz w:val="24"/>
          <w:szCs w:val="21"/>
        </w:rPr>
      </w:pPr>
      <w:r>
        <w:rPr>
          <w:rFonts w:hint="eastAsia"/>
          <w:sz w:val="24"/>
          <w:szCs w:val="21"/>
        </w:rPr>
        <w:t>（</w:t>
      </w:r>
      <w:r>
        <w:rPr>
          <w:sz w:val="24"/>
          <w:szCs w:val="21"/>
        </w:rPr>
        <w:t>4</w:t>
      </w:r>
      <w:r>
        <w:rPr>
          <w:rFonts w:hint="eastAsia"/>
          <w:sz w:val="24"/>
          <w:szCs w:val="21"/>
        </w:rPr>
        <w:t>）每一作业区完成阶段性高度后，暂时不在其上继续进行填埋时，应进行中间覆盖，覆盖层采用</w:t>
      </w:r>
      <w:r>
        <w:rPr>
          <w:sz w:val="24"/>
          <w:szCs w:val="21"/>
        </w:rPr>
        <w:t xml:space="preserve"> HDPE </w:t>
      </w:r>
      <w:r>
        <w:rPr>
          <w:rFonts w:hint="eastAsia"/>
          <w:sz w:val="24"/>
          <w:szCs w:val="21"/>
        </w:rPr>
        <w:t>土工膜。</w:t>
      </w:r>
    </w:p>
    <w:p>
      <w:pPr>
        <w:adjustRightInd w:val="0"/>
        <w:snapToGrid w:val="0"/>
        <w:spacing w:line="360" w:lineRule="auto"/>
        <w:ind w:firstLine="480" w:firstLineChars="200"/>
        <w:rPr>
          <w:sz w:val="24"/>
          <w:szCs w:val="21"/>
        </w:rPr>
      </w:pPr>
      <w:r>
        <w:rPr>
          <w:rFonts w:hint="eastAsia"/>
          <w:sz w:val="24"/>
          <w:szCs w:val="21"/>
        </w:rPr>
        <w:t>（</w:t>
      </w:r>
      <w:r>
        <w:rPr>
          <w:sz w:val="24"/>
          <w:szCs w:val="21"/>
        </w:rPr>
        <w:t>5</w:t>
      </w:r>
      <w:r>
        <w:rPr>
          <w:rFonts w:hint="eastAsia"/>
          <w:sz w:val="24"/>
          <w:szCs w:val="21"/>
        </w:rPr>
        <w:t>）填埋作业达到设计标高后，应及时进行封场覆盖。</w:t>
      </w:r>
    </w:p>
    <w:p>
      <w:pPr>
        <w:adjustRightInd w:val="0"/>
        <w:snapToGrid w:val="0"/>
        <w:spacing w:line="360" w:lineRule="auto"/>
        <w:ind w:firstLine="480" w:firstLineChars="200"/>
        <w:rPr>
          <w:sz w:val="24"/>
          <w:szCs w:val="21"/>
        </w:rPr>
      </w:pPr>
      <w:r>
        <w:rPr>
          <w:rFonts w:hint="eastAsia"/>
          <w:sz w:val="24"/>
          <w:szCs w:val="21"/>
        </w:rPr>
        <w:t>（</w:t>
      </w:r>
      <w:r>
        <w:rPr>
          <w:sz w:val="24"/>
          <w:szCs w:val="21"/>
        </w:rPr>
        <w:t>6</w:t>
      </w:r>
      <w:r>
        <w:rPr>
          <w:rFonts w:hint="eastAsia"/>
          <w:sz w:val="24"/>
          <w:szCs w:val="21"/>
        </w:rPr>
        <w:t>）填埋场作业过程的安全卫生管理应符合现行国家标准《生产过程安全</w:t>
      </w:r>
      <w:r>
        <w:rPr>
          <w:sz w:val="24"/>
          <w:szCs w:val="21"/>
        </w:rPr>
        <w:t xml:space="preserve"> </w:t>
      </w:r>
      <w:r>
        <w:rPr>
          <w:rFonts w:hint="eastAsia"/>
          <w:sz w:val="24"/>
          <w:szCs w:val="21"/>
        </w:rPr>
        <w:t>卫生要求总则》（</w:t>
      </w:r>
      <w:r>
        <w:rPr>
          <w:sz w:val="24"/>
          <w:szCs w:val="21"/>
        </w:rPr>
        <w:t>GB/T 12801</w:t>
      </w:r>
      <w:r>
        <w:rPr>
          <w:rFonts w:hint="eastAsia"/>
          <w:sz w:val="24"/>
          <w:szCs w:val="21"/>
        </w:rPr>
        <w:t>）的有关规定。</w:t>
      </w:r>
    </w:p>
    <w:p>
      <w:pPr>
        <w:adjustRightInd w:val="0"/>
        <w:snapToGrid w:val="0"/>
        <w:spacing w:line="360" w:lineRule="auto"/>
        <w:ind w:firstLine="480" w:firstLineChars="200"/>
        <w:rPr>
          <w:sz w:val="24"/>
          <w:szCs w:val="21"/>
        </w:rPr>
      </w:pPr>
      <w:r>
        <w:rPr>
          <w:rFonts w:hint="eastAsia"/>
          <w:sz w:val="24"/>
          <w:szCs w:val="21"/>
        </w:rPr>
        <w:t>（</w:t>
      </w:r>
      <w:r>
        <w:rPr>
          <w:sz w:val="24"/>
          <w:szCs w:val="21"/>
        </w:rPr>
        <w:t>7</w:t>
      </w:r>
      <w:r>
        <w:rPr>
          <w:rFonts w:hint="eastAsia"/>
          <w:sz w:val="24"/>
          <w:szCs w:val="21"/>
        </w:rPr>
        <w:t>）</w:t>
      </w:r>
      <w:r>
        <w:rPr>
          <w:sz w:val="24"/>
          <w:szCs w:val="21"/>
        </w:rPr>
        <w:t>为利于排除层面上的地表径流，减少</w:t>
      </w:r>
      <w:r>
        <w:rPr>
          <w:rFonts w:hint="eastAsia"/>
          <w:sz w:val="24"/>
          <w:szCs w:val="21"/>
        </w:rPr>
        <w:t>渗滤液</w:t>
      </w:r>
      <w:r>
        <w:rPr>
          <w:sz w:val="24"/>
          <w:szCs w:val="21"/>
        </w:rPr>
        <w:t>产生量，分层要形成一个坡向填埋区边沿截洪沟或集水管的弧面。填埋阶段高度设计为10m，分层的外坡坡度为1</w:t>
      </w:r>
      <w:r>
        <w:rPr>
          <w:rFonts w:hint="eastAsia" w:ascii="宋体" w:hAnsi="宋体" w:cs="宋体"/>
          <w:sz w:val="24"/>
          <w:szCs w:val="21"/>
        </w:rPr>
        <w:t>∶</w:t>
      </w:r>
      <w:r>
        <w:rPr>
          <w:sz w:val="24"/>
          <w:szCs w:val="21"/>
        </w:rPr>
        <w:t>3，填埋高度每升高10m设宽度为3m的马道平台，以通行填埋机械。</w:t>
      </w:r>
    </w:p>
    <w:p>
      <w:pPr>
        <w:adjustRightInd w:val="0"/>
        <w:snapToGrid w:val="0"/>
        <w:spacing w:line="360" w:lineRule="auto"/>
        <w:ind w:firstLine="480" w:firstLineChars="200"/>
        <w:rPr>
          <w:sz w:val="24"/>
          <w:szCs w:val="21"/>
        </w:rPr>
      </w:pPr>
      <w:r>
        <w:rPr>
          <w:sz w:val="24"/>
          <w:szCs w:val="21"/>
        </w:rPr>
        <w:t>马道平台上布置有截排坡面径流的排水管。排水管收集的雨水接入环库截洪沟，填埋完成后堆体的坡面总坡度为1</w:t>
      </w:r>
      <w:r>
        <w:rPr>
          <w:rFonts w:hint="eastAsia" w:ascii="宋体" w:hAnsi="宋体" w:cs="宋体"/>
          <w:sz w:val="24"/>
          <w:szCs w:val="21"/>
        </w:rPr>
        <w:t>∶</w:t>
      </w:r>
      <w:r>
        <w:rPr>
          <w:sz w:val="24"/>
          <w:szCs w:val="21"/>
        </w:rPr>
        <w:t>3</w:t>
      </w:r>
      <w:r>
        <w:rPr>
          <w:rFonts w:hint="eastAsia"/>
          <w:sz w:val="24"/>
          <w:szCs w:val="21"/>
        </w:rPr>
        <w:t>.5</w:t>
      </w:r>
      <w:r>
        <w:rPr>
          <w:sz w:val="24"/>
          <w:szCs w:val="21"/>
        </w:rPr>
        <w:t>，水平顶面的坡度≥5％。</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ascii="Times New Roman" w:hAnsi="Times New Roman"/>
        </w:rPr>
        <w:t>覆盖作业</w:t>
      </w:r>
    </w:p>
    <w:p>
      <w:pPr>
        <w:adjustRightInd w:val="0"/>
        <w:snapToGrid w:val="0"/>
        <w:spacing w:line="360" w:lineRule="auto"/>
        <w:ind w:firstLine="480" w:firstLineChars="200"/>
        <w:rPr>
          <w:sz w:val="24"/>
          <w:szCs w:val="21"/>
        </w:rPr>
      </w:pPr>
      <w:r>
        <w:rPr>
          <w:sz w:val="24"/>
          <w:szCs w:val="21"/>
        </w:rPr>
        <w:t>覆盖作业是填埋场运行作业中重要的一环</w:t>
      </w:r>
      <w:r>
        <w:rPr>
          <w:rFonts w:hint="eastAsia"/>
          <w:sz w:val="24"/>
          <w:szCs w:val="21"/>
        </w:rPr>
        <w:t>，</w:t>
      </w:r>
      <w:r>
        <w:rPr>
          <w:sz w:val="24"/>
          <w:szCs w:val="21"/>
        </w:rPr>
        <w:t>填埋场的覆盖有三种：每日覆盖、中间覆盖和最终覆盖。</w:t>
      </w:r>
    </w:p>
    <w:p>
      <w:pPr>
        <w:adjustRightInd w:val="0"/>
        <w:snapToGrid w:val="0"/>
        <w:spacing w:line="360" w:lineRule="auto"/>
        <w:ind w:firstLine="480" w:firstLineChars="200"/>
        <w:rPr>
          <w:sz w:val="24"/>
          <w:szCs w:val="21"/>
        </w:rPr>
      </w:pPr>
      <w:r>
        <w:rPr>
          <w:rFonts w:hint="eastAsia"/>
          <w:sz w:val="24"/>
          <w:szCs w:val="21"/>
        </w:rPr>
        <w:t>考虑到每日处理的飞灰量和推土机的有效作业距离，以一日作业量为一个作业单元，进行填埋单元操作。作业法采用平面分层法，当完成一个单元的填埋，即进行覆盖，并用压实机予以最终压实。压实的飞灰保持1-2%以上坡度以利于排水。待场底所有单元全部覆盖后，再上升一层进行填埋，逐渐达到填埋高度。</w:t>
      </w:r>
    </w:p>
    <w:p>
      <w:pPr>
        <w:adjustRightInd w:val="0"/>
        <w:snapToGrid w:val="0"/>
        <w:spacing w:line="360" w:lineRule="auto"/>
        <w:ind w:firstLine="480" w:firstLineChars="200"/>
        <w:rPr>
          <w:sz w:val="24"/>
          <w:szCs w:val="21"/>
        </w:rPr>
      </w:pPr>
      <w:r>
        <w:rPr>
          <w:sz w:val="24"/>
          <w:szCs w:val="21"/>
        </w:rPr>
        <w:t>中间覆盖是在填埋场在完成一个区域较长时间段内不填埋</w:t>
      </w:r>
      <w:r>
        <w:rPr>
          <w:rFonts w:hint="eastAsia"/>
          <w:sz w:val="24"/>
          <w:szCs w:val="21"/>
        </w:rPr>
        <w:t>飞灰的</w:t>
      </w:r>
      <w:r>
        <w:rPr>
          <w:sz w:val="24"/>
          <w:szCs w:val="21"/>
        </w:rPr>
        <w:t>情况下，为减少</w:t>
      </w:r>
      <w:r>
        <w:rPr>
          <w:rFonts w:hint="eastAsia"/>
          <w:sz w:val="24"/>
          <w:szCs w:val="21"/>
        </w:rPr>
        <w:t>渗滤液</w:t>
      </w:r>
      <w:r>
        <w:rPr>
          <w:sz w:val="24"/>
          <w:szCs w:val="21"/>
        </w:rPr>
        <w:t>的产生而采取的措施。5个单元层组成一个高度为近10m的填埋分层，进行中间覆盖，覆盖材料常用天然土壤，厚度通常为1m左右。</w:t>
      </w:r>
    </w:p>
    <w:p>
      <w:pPr>
        <w:adjustRightInd w:val="0"/>
        <w:snapToGrid w:val="0"/>
        <w:spacing w:line="360" w:lineRule="auto"/>
        <w:ind w:firstLine="480" w:firstLineChars="200"/>
        <w:rPr>
          <w:sz w:val="24"/>
          <w:szCs w:val="21"/>
        </w:rPr>
      </w:pPr>
      <w:r>
        <w:rPr>
          <w:sz w:val="24"/>
          <w:szCs w:val="21"/>
        </w:rPr>
        <w:t>最终覆盖即封场覆盖。</w:t>
      </w:r>
      <w:r>
        <w:rPr>
          <w:rFonts w:hint="eastAsia"/>
          <w:sz w:val="24"/>
          <w:szCs w:val="21"/>
        </w:rPr>
        <w:t>填埋场到使用年限后，另行封场设计。</w:t>
      </w:r>
    </w:p>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排污节点分析</w:t>
      </w:r>
    </w:p>
    <w:p>
      <w:pPr>
        <w:adjustRightInd w:val="0"/>
        <w:snapToGrid w:val="0"/>
        <w:spacing w:line="360" w:lineRule="auto"/>
        <w:ind w:firstLine="480" w:firstLineChars="200"/>
        <w:jc w:val="left"/>
        <w:rPr>
          <w:sz w:val="24"/>
          <w:szCs w:val="21"/>
        </w:rPr>
      </w:pPr>
      <w:r>
        <w:rPr>
          <w:rFonts w:hint="eastAsia"/>
          <w:sz w:val="24"/>
          <w:szCs w:val="21"/>
        </w:rPr>
        <w:t>本项目填埋固化飞灰主要成分为无机物，不含有机物，性状比较稳定、含水率低，填埋过程中基本不产生渗滤液，下雨时会产生淋溶渗滤液。具体见表</w:t>
      </w:r>
      <w:r>
        <w:rPr>
          <w:sz w:val="24"/>
          <w:szCs w:val="21"/>
        </w:rPr>
        <w:t>3</w:t>
      </w:r>
      <w:r>
        <w:rPr>
          <w:rFonts w:hint="eastAsia"/>
          <w:sz w:val="24"/>
          <w:szCs w:val="21"/>
        </w:rPr>
        <w:t>.1</w:t>
      </w:r>
      <w:r>
        <w:rPr>
          <w:sz w:val="24"/>
          <w:szCs w:val="21"/>
        </w:rPr>
        <w:t>0</w:t>
      </w:r>
      <w:r>
        <w:rPr>
          <w:rFonts w:hint="eastAsia"/>
          <w:sz w:val="24"/>
          <w:szCs w:val="21"/>
        </w:rPr>
        <w:t>-</w:t>
      </w:r>
      <w:r>
        <w:rPr>
          <w:sz w:val="24"/>
          <w:szCs w:val="21"/>
        </w:rPr>
        <w:t>1</w:t>
      </w:r>
      <w:r>
        <w:rPr>
          <w:rFonts w:hint="eastAsia"/>
          <w:sz w:val="24"/>
          <w:szCs w:val="21"/>
        </w:rPr>
        <w:t>。</w:t>
      </w:r>
    </w:p>
    <w:p>
      <w:pPr>
        <w:jc w:val="center"/>
        <w:rPr>
          <w:b/>
          <w:sz w:val="24"/>
          <w:szCs w:val="24"/>
        </w:rPr>
      </w:pPr>
      <w:r>
        <w:rPr>
          <w:rFonts w:hint="eastAsia"/>
          <w:b/>
          <w:sz w:val="24"/>
          <w:szCs w:val="24"/>
        </w:rPr>
        <w:t>表3</w:t>
      </w:r>
      <w:r>
        <w:rPr>
          <w:b/>
          <w:sz w:val="24"/>
          <w:szCs w:val="24"/>
        </w:rPr>
        <w:t xml:space="preserve">.10-1 </w:t>
      </w:r>
      <w:r>
        <w:rPr>
          <w:rFonts w:hint="eastAsia"/>
          <w:b/>
          <w:sz w:val="24"/>
          <w:szCs w:val="24"/>
        </w:rPr>
        <w:t>本项目主要产污环节一览表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5"/>
        <w:gridCol w:w="591"/>
        <w:gridCol w:w="1745"/>
        <w:gridCol w:w="1701"/>
        <w:gridCol w:w="1842"/>
        <w:gridCol w:w="21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Align w:val="center"/>
          </w:tcPr>
          <w:p>
            <w:pPr>
              <w:adjustRightInd w:val="0"/>
              <w:snapToGrid w:val="0"/>
              <w:jc w:val="center"/>
              <w:rPr>
                <w:kern w:val="0"/>
                <w:szCs w:val="21"/>
              </w:rPr>
            </w:pPr>
            <w:r>
              <w:rPr>
                <w:kern w:val="0"/>
                <w:szCs w:val="21"/>
              </w:rPr>
              <w:t>类别</w:t>
            </w:r>
          </w:p>
        </w:tc>
        <w:tc>
          <w:tcPr>
            <w:tcW w:w="347" w:type="pct"/>
            <w:vAlign w:val="center"/>
          </w:tcPr>
          <w:p>
            <w:pPr>
              <w:adjustRightInd w:val="0"/>
              <w:snapToGrid w:val="0"/>
              <w:jc w:val="center"/>
              <w:rPr>
                <w:kern w:val="0"/>
                <w:szCs w:val="21"/>
              </w:rPr>
            </w:pPr>
            <w:r>
              <w:rPr>
                <w:kern w:val="0"/>
                <w:szCs w:val="21"/>
              </w:rPr>
              <w:t>序号</w:t>
            </w:r>
          </w:p>
        </w:tc>
        <w:tc>
          <w:tcPr>
            <w:tcW w:w="1024" w:type="pct"/>
            <w:vAlign w:val="center"/>
          </w:tcPr>
          <w:p>
            <w:pPr>
              <w:adjustRightInd w:val="0"/>
              <w:snapToGrid w:val="0"/>
              <w:jc w:val="center"/>
              <w:rPr>
                <w:kern w:val="0"/>
                <w:szCs w:val="21"/>
              </w:rPr>
            </w:pPr>
            <w:r>
              <w:rPr>
                <w:kern w:val="0"/>
                <w:szCs w:val="21"/>
              </w:rPr>
              <w:t>排污节点</w:t>
            </w:r>
          </w:p>
        </w:tc>
        <w:tc>
          <w:tcPr>
            <w:tcW w:w="998" w:type="pct"/>
            <w:vAlign w:val="center"/>
          </w:tcPr>
          <w:p>
            <w:pPr>
              <w:adjustRightInd w:val="0"/>
              <w:snapToGrid w:val="0"/>
              <w:jc w:val="center"/>
              <w:rPr>
                <w:kern w:val="0"/>
                <w:szCs w:val="21"/>
              </w:rPr>
            </w:pPr>
            <w:r>
              <w:rPr>
                <w:kern w:val="0"/>
                <w:szCs w:val="21"/>
              </w:rPr>
              <w:t>主要污染物</w:t>
            </w:r>
          </w:p>
        </w:tc>
        <w:tc>
          <w:tcPr>
            <w:tcW w:w="1081" w:type="pct"/>
            <w:vAlign w:val="center"/>
          </w:tcPr>
          <w:p>
            <w:pPr>
              <w:adjustRightInd w:val="0"/>
              <w:snapToGrid w:val="0"/>
              <w:jc w:val="center"/>
              <w:rPr>
                <w:kern w:val="0"/>
                <w:szCs w:val="21"/>
              </w:rPr>
            </w:pPr>
            <w:r>
              <w:rPr>
                <w:kern w:val="0"/>
                <w:szCs w:val="21"/>
              </w:rPr>
              <w:t>产生环节</w:t>
            </w:r>
          </w:p>
        </w:tc>
        <w:tc>
          <w:tcPr>
            <w:tcW w:w="1277" w:type="pct"/>
            <w:vAlign w:val="center"/>
          </w:tcPr>
          <w:p>
            <w:pPr>
              <w:adjustRightInd w:val="0"/>
              <w:snapToGrid w:val="0"/>
              <w:jc w:val="center"/>
              <w:rPr>
                <w:kern w:val="0"/>
                <w:szCs w:val="21"/>
              </w:rPr>
            </w:pPr>
            <w:r>
              <w:rPr>
                <w:kern w:val="0"/>
                <w:szCs w:val="21"/>
              </w:rPr>
              <w:t>措施及去向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0" w:hRule="atLeast"/>
        </w:trPr>
        <w:tc>
          <w:tcPr>
            <w:tcW w:w="273" w:type="pct"/>
            <w:vMerge w:val="restart"/>
            <w:vAlign w:val="center"/>
          </w:tcPr>
          <w:p>
            <w:pPr>
              <w:adjustRightInd w:val="0"/>
              <w:snapToGrid w:val="0"/>
              <w:jc w:val="center"/>
              <w:rPr>
                <w:kern w:val="0"/>
                <w:szCs w:val="21"/>
              </w:rPr>
            </w:pPr>
            <w:r>
              <w:rPr>
                <w:kern w:val="0"/>
                <w:szCs w:val="21"/>
              </w:rPr>
              <w:t>废气</w:t>
            </w:r>
          </w:p>
        </w:tc>
        <w:tc>
          <w:tcPr>
            <w:tcW w:w="347" w:type="pct"/>
            <w:vAlign w:val="center"/>
          </w:tcPr>
          <w:p>
            <w:pPr>
              <w:adjustRightInd w:val="0"/>
              <w:snapToGrid w:val="0"/>
              <w:jc w:val="center"/>
              <w:rPr>
                <w:kern w:val="0"/>
                <w:szCs w:val="21"/>
              </w:rPr>
            </w:pPr>
            <w:r>
              <w:rPr>
                <w:kern w:val="0"/>
                <w:szCs w:val="21"/>
              </w:rPr>
              <w:t>G1</w:t>
            </w:r>
          </w:p>
        </w:tc>
        <w:tc>
          <w:tcPr>
            <w:tcW w:w="1024" w:type="pct"/>
            <w:vAlign w:val="center"/>
          </w:tcPr>
          <w:p>
            <w:pPr>
              <w:adjustRightInd w:val="0"/>
              <w:snapToGrid w:val="0"/>
              <w:jc w:val="center"/>
              <w:rPr>
                <w:kern w:val="0"/>
                <w:szCs w:val="21"/>
              </w:rPr>
            </w:pPr>
            <w:r>
              <w:rPr>
                <w:kern w:val="0"/>
                <w:szCs w:val="21"/>
              </w:rPr>
              <w:t>渗滤液处理</w:t>
            </w:r>
            <w:r>
              <w:rPr>
                <w:rFonts w:hint="eastAsia"/>
                <w:kern w:val="0"/>
                <w:szCs w:val="21"/>
              </w:rPr>
              <w:t>池</w:t>
            </w:r>
            <w:r>
              <w:rPr>
                <w:kern w:val="0"/>
                <w:szCs w:val="21"/>
              </w:rPr>
              <w:t xml:space="preserve"> </w:t>
            </w:r>
          </w:p>
        </w:tc>
        <w:tc>
          <w:tcPr>
            <w:tcW w:w="998" w:type="pct"/>
            <w:vMerge w:val="restart"/>
            <w:vAlign w:val="center"/>
          </w:tcPr>
          <w:p>
            <w:pPr>
              <w:adjustRightInd w:val="0"/>
              <w:snapToGrid w:val="0"/>
              <w:jc w:val="center"/>
              <w:rPr>
                <w:kern w:val="0"/>
                <w:szCs w:val="21"/>
              </w:rPr>
            </w:pPr>
            <w:r>
              <w:rPr>
                <w:rFonts w:hint="eastAsia"/>
                <w:kern w:val="0"/>
                <w:szCs w:val="21"/>
              </w:rPr>
              <w:t>臭气浓度</w:t>
            </w:r>
          </w:p>
        </w:tc>
        <w:tc>
          <w:tcPr>
            <w:tcW w:w="1081" w:type="pct"/>
            <w:vAlign w:val="center"/>
          </w:tcPr>
          <w:p>
            <w:pPr>
              <w:adjustRightInd w:val="0"/>
              <w:snapToGrid w:val="0"/>
              <w:jc w:val="center"/>
              <w:rPr>
                <w:kern w:val="0"/>
                <w:szCs w:val="21"/>
              </w:rPr>
            </w:pPr>
            <w:r>
              <w:rPr>
                <w:kern w:val="0"/>
                <w:szCs w:val="21"/>
              </w:rPr>
              <w:t>渗滤液处理系统</w:t>
            </w:r>
          </w:p>
        </w:tc>
        <w:tc>
          <w:tcPr>
            <w:tcW w:w="1277" w:type="pct"/>
            <w:vMerge w:val="restart"/>
            <w:vAlign w:val="center"/>
          </w:tcPr>
          <w:p>
            <w:pPr>
              <w:adjustRightInd w:val="0"/>
              <w:snapToGrid w:val="0"/>
              <w:jc w:val="left"/>
              <w:rPr>
                <w:kern w:val="0"/>
                <w:szCs w:val="21"/>
              </w:rPr>
            </w:pPr>
            <w:r>
              <w:rPr>
                <w:kern w:val="0"/>
                <w:szCs w:val="21"/>
              </w:rPr>
              <w:t>渗滤液处理站设置于车间内，</w:t>
            </w:r>
            <w:r>
              <w:rPr>
                <w:rFonts w:hint="eastAsia"/>
                <w:kern w:val="0"/>
                <w:szCs w:val="21"/>
              </w:rPr>
              <w:t>调节池、</w:t>
            </w:r>
            <w:r>
              <w:rPr>
                <w:kern w:val="0"/>
                <w:szCs w:val="21"/>
              </w:rPr>
              <w:t>沉淀池采取加盖措施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G2</w:t>
            </w:r>
          </w:p>
        </w:tc>
        <w:tc>
          <w:tcPr>
            <w:tcW w:w="1024" w:type="pct"/>
            <w:vAlign w:val="center"/>
          </w:tcPr>
          <w:p>
            <w:pPr>
              <w:adjustRightInd w:val="0"/>
              <w:snapToGrid w:val="0"/>
              <w:jc w:val="center"/>
              <w:rPr>
                <w:kern w:val="0"/>
                <w:szCs w:val="21"/>
              </w:rPr>
            </w:pPr>
            <w:r>
              <w:rPr>
                <w:kern w:val="0"/>
                <w:szCs w:val="21"/>
              </w:rPr>
              <w:t>调节池</w:t>
            </w:r>
          </w:p>
        </w:tc>
        <w:tc>
          <w:tcPr>
            <w:tcW w:w="998" w:type="pct"/>
            <w:vMerge w:val="continue"/>
            <w:vAlign w:val="center"/>
          </w:tcPr>
          <w:p>
            <w:pPr>
              <w:adjustRightInd w:val="0"/>
              <w:snapToGrid w:val="0"/>
              <w:jc w:val="center"/>
              <w:rPr>
                <w:kern w:val="0"/>
                <w:szCs w:val="21"/>
              </w:rPr>
            </w:pPr>
          </w:p>
        </w:tc>
        <w:tc>
          <w:tcPr>
            <w:tcW w:w="1081" w:type="pct"/>
            <w:vAlign w:val="center"/>
          </w:tcPr>
          <w:p>
            <w:pPr>
              <w:adjustRightInd w:val="0"/>
              <w:snapToGrid w:val="0"/>
              <w:jc w:val="center"/>
              <w:rPr>
                <w:kern w:val="0"/>
                <w:szCs w:val="21"/>
              </w:rPr>
            </w:pPr>
            <w:r>
              <w:rPr>
                <w:kern w:val="0"/>
                <w:szCs w:val="21"/>
              </w:rPr>
              <w:t>储存</w:t>
            </w:r>
          </w:p>
        </w:tc>
        <w:tc>
          <w:tcPr>
            <w:tcW w:w="1277"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G3</w:t>
            </w:r>
          </w:p>
        </w:tc>
        <w:tc>
          <w:tcPr>
            <w:tcW w:w="1024" w:type="pct"/>
            <w:vAlign w:val="center"/>
          </w:tcPr>
          <w:p>
            <w:pPr>
              <w:adjustRightInd w:val="0"/>
              <w:snapToGrid w:val="0"/>
              <w:jc w:val="center"/>
              <w:rPr>
                <w:kern w:val="0"/>
                <w:szCs w:val="21"/>
              </w:rPr>
            </w:pPr>
            <w:r>
              <w:rPr>
                <w:kern w:val="0"/>
                <w:szCs w:val="21"/>
              </w:rPr>
              <w:t>填埋扬尘</w:t>
            </w:r>
          </w:p>
        </w:tc>
        <w:tc>
          <w:tcPr>
            <w:tcW w:w="998" w:type="pct"/>
            <w:vAlign w:val="center"/>
          </w:tcPr>
          <w:p>
            <w:pPr>
              <w:adjustRightInd w:val="0"/>
              <w:snapToGrid w:val="0"/>
              <w:jc w:val="center"/>
              <w:rPr>
                <w:kern w:val="0"/>
                <w:szCs w:val="21"/>
              </w:rPr>
            </w:pPr>
            <w:r>
              <w:rPr>
                <w:kern w:val="0"/>
                <w:szCs w:val="21"/>
              </w:rPr>
              <w:t>颗粒物</w:t>
            </w:r>
          </w:p>
        </w:tc>
        <w:tc>
          <w:tcPr>
            <w:tcW w:w="1081" w:type="pct"/>
            <w:vAlign w:val="center"/>
          </w:tcPr>
          <w:p>
            <w:pPr>
              <w:adjustRightInd w:val="0"/>
              <w:snapToGrid w:val="0"/>
              <w:jc w:val="center"/>
              <w:rPr>
                <w:kern w:val="0"/>
                <w:szCs w:val="21"/>
              </w:rPr>
            </w:pPr>
            <w:r>
              <w:rPr>
                <w:kern w:val="0"/>
                <w:szCs w:val="21"/>
              </w:rPr>
              <w:t>填埋作业</w:t>
            </w:r>
          </w:p>
        </w:tc>
        <w:tc>
          <w:tcPr>
            <w:tcW w:w="1277" w:type="pct"/>
            <w:vAlign w:val="center"/>
          </w:tcPr>
          <w:p>
            <w:pPr>
              <w:adjustRightInd w:val="0"/>
              <w:snapToGrid w:val="0"/>
              <w:jc w:val="center"/>
              <w:rPr>
                <w:kern w:val="0"/>
                <w:szCs w:val="21"/>
              </w:rPr>
            </w:pPr>
            <w:r>
              <w:rPr>
                <w:kern w:val="0"/>
                <w:szCs w:val="21"/>
              </w:rPr>
              <w:t>及时覆盖、洒水降尘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restart"/>
            <w:vAlign w:val="center"/>
          </w:tcPr>
          <w:p>
            <w:pPr>
              <w:adjustRightInd w:val="0"/>
              <w:snapToGrid w:val="0"/>
              <w:jc w:val="center"/>
              <w:rPr>
                <w:kern w:val="0"/>
                <w:szCs w:val="21"/>
              </w:rPr>
            </w:pPr>
            <w:r>
              <w:rPr>
                <w:kern w:val="0"/>
                <w:szCs w:val="21"/>
              </w:rPr>
              <w:t>废水</w:t>
            </w:r>
          </w:p>
        </w:tc>
        <w:tc>
          <w:tcPr>
            <w:tcW w:w="347" w:type="pct"/>
            <w:vAlign w:val="center"/>
          </w:tcPr>
          <w:p>
            <w:pPr>
              <w:adjustRightInd w:val="0"/>
              <w:snapToGrid w:val="0"/>
              <w:jc w:val="center"/>
              <w:rPr>
                <w:kern w:val="0"/>
                <w:szCs w:val="21"/>
              </w:rPr>
            </w:pPr>
            <w:r>
              <w:rPr>
                <w:kern w:val="0"/>
                <w:szCs w:val="21"/>
              </w:rPr>
              <w:t>W1</w:t>
            </w:r>
          </w:p>
        </w:tc>
        <w:tc>
          <w:tcPr>
            <w:tcW w:w="1024" w:type="pct"/>
            <w:vAlign w:val="center"/>
          </w:tcPr>
          <w:p>
            <w:pPr>
              <w:adjustRightInd w:val="0"/>
              <w:snapToGrid w:val="0"/>
              <w:jc w:val="center"/>
              <w:rPr>
                <w:kern w:val="0"/>
                <w:szCs w:val="21"/>
              </w:rPr>
            </w:pPr>
            <w:r>
              <w:rPr>
                <w:kern w:val="0"/>
                <w:szCs w:val="21"/>
              </w:rPr>
              <w:t>渗滤液</w:t>
            </w:r>
          </w:p>
        </w:tc>
        <w:tc>
          <w:tcPr>
            <w:tcW w:w="998" w:type="pct"/>
            <w:vAlign w:val="center"/>
          </w:tcPr>
          <w:p>
            <w:pPr>
              <w:adjustRightInd w:val="0"/>
              <w:snapToGrid w:val="0"/>
              <w:jc w:val="center"/>
              <w:rPr>
                <w:kern w:val="0"/>
                <w:szCs w:val="21"/>
              </w:rPr>
            </w:pPr>
            <w:r>
              <w:rPr>
                <w:kern w:val="0"/>
                <w:szCs w:val="21"/>
              </w:rPr>
              <w:t>SS、重金属</w:t>
            </w:r>
          </w:p>
        </w:tc>
        <w:tc>
          <w:tcPr>
            <w:tcW w:w="1081" w:type="pct"/>
            <w:vAlign w:val="center"/>
          </w:tcPr>
          <w:p>
            <w:pPr>
              <w:adjustRightInd w:val="0"/>
              <w:snapToGrid w:val="0"/>
              <w:jc w:val="center"/>
              <w:rPr>
                <w:kern w:val="0"/>
                <w:szCs w:val="21"/>
              </w:rPr>
            </w:pPr>
            <w:r>
              <w:rPr>
                <w:kern w:val="0"/>
                <w:szCs w:val="21"/>
              </w:rPr>
              <w:t>库区</w:t>
            </w:r>
          </w:p>
        </w:tc>
        <w:tc>
          <w:tcPr>
            <w:tcW w:w="1277" w:type="pct"/>
            <w:vMerge w:val="restart"/>
            <w:vAlign w:val="center"/>
          </w:tcPr>
          <w:p>
            <w:pPr>
              <w:adjustRightInd w:val="0"/>
              <w:snapToGrid w:val="0"/>
              <w:jc w:val="center"/>
              <w:rPr>
                <w:kern w:val="0"/>
                <w:szCs w:val="21"/>
              </w:rPr>
            </w:pPr>
            <w:r>
              <w:rPr>
                <w:kern w:val="0"/>
                <w:szCs w:val="21"/>
              </w:rPr>
              <w:t>预处理后通过密闭管道泵送至围场生活垃圾焚烧厂渗滤液处理站处理达标后回用，不外排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W2</w:t>
            </w:r>
          </w:p>
        </w:tc>
        <w:tc>
          <w:tcPr>
            <w:tcW w:w="1024" w:type="pct"/>
            <w:vAlign w:val="center"/>
          </w:tcPr>
          <w:p>
            <w:pPr>
              <w:adjustRightInd w:val="0"/>
              <w:snapToGrid w:val="0"/>
              <w:jc w:val="center"/>
              <w:rPr>
                <w:kern w:val="0"/>
                <w:szCs w:val="21"/>
              </w:rPr>
            </w:pPr>
            <w:r>
              <w:rPr>
                <w:kern w:val="0"/>
                <w:szCs w:val="21"/>
              </w:rPr>
              <w:t>冲洗废水</w:t>
            </w:r>
          </w:p>
        </w:tc>
        <w:tc>
          <w:tcPr>
            <w:tcW w:w="998" w:type="pct"/>
            <w:vAlign w:val="center"/>
          </w:tcPr>
          <w:p>
            <w:pPr>
              <w:adjustRightInd w:val="0"/>
              <w:snapToGrid w:val="0"/>
              <w:jc w:val="center"/>
              <w:rPr>
                <w:kern w:val="0"/>
                <w:szCs w:val="21"/>
              </w:rPr>
            </w:pPr>
            <w:r>
              <w:rPr>
                <w:rFonts w:hint="eastAsia"/>
                <w:kern w:val="0"/>
                <w:szCs w:val="21"/>
              </w:rPr>
              <w:t>SS</w:t>
            </w:r>
          </w:p>
        </w:tc>
        <w:tc>
          <w:tcPr>
            <w:tcW w:w="1081" w:type="pct"/>
            <w:vAlign w:val="center"/>
          </w:tcPr>
          <w:p>
            <w:pPr>
              <w:adjustRightInd w:val="0"/>
              <w:snapToGrid w:val="0"/>
              <w:jc w:val="center"/>
              <w:rPr>
                <w:kern w:val="0"/>
                <w:szCs w:val="21"/>
              </w:rPr>
            </w:pPr>
            <w:r>
              <w:rPr>
                <w:kern w:val="0"/>
                <w:szCs w:val="21"/>
              </w:rPr>
              <w:t>汽车、地面冲洗</w:t>
            </w:r>
          </w:p>
        </w:tc>
        <w:tc>
          <w:tcPr>
            <w:tcW w:w="1277"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W3</w:t>
            </w:r>
          </w:p>
        </w:tc>
        <w:tc>
          <w:tcPr>
            <w:tcW w:w="1024" w:type="pct"/>
            <w:vAlign w:val="center"/>
          </w:tcPr>
          <w:p>
            <w:pPr>
              <w:adjustRightInd w:val="0"/>
              <w:snapToGrid w:val="0"/>
              <w:jc w:val="center"/>
              <w:rPr>
                <w:kern w:val="0"/>
                <w:szCs w:val="21"/>
              </w:rPr>
            </w:pPr>
            <w:r>
              <w:rPr>
                <w:kern w:val="0"/>
                <w:szCs w:val="21"/>
              </w:rPr>
              <w:t>生活污水</w:t>
            </w:r>
          </w:p>
        </w:tc>
        <w:tc>
          <w:tcPr>
            <w:tcW w:w="998" w:type="pct"/>
            <w:vAlign w:val="center"/>
          </w:tcPr>
          <w:p>
            <w:pPr>
              <w:adjustRightInd w:val="0"/>
              <w:snapToGrid w:val="0"/>
              <w:jc w:val="center"/>
              <w:rPr>
                <w:kern w:val="0"/>
                <w:szCs w:val="21"/>
              </w:rPr>
            </w:pPr>
            <w:r>
              <w:rPr>
                <w:kern w:val="0"/>
                <w:szCs w:val="21"/>
              </w:rPr>
              <w:t>COD、BOD</w:t>
            </w:r>
            <w:r>
              <w:rPr>
                <w:kern w:val="0"/>
                <w:szCs w:val="21"/>
                <w:vertAlign w:val="subscript"/>
              </w:rPr>
              <w:t>5</w:t>
            </w:r>
            <w:r>
              <w:rPr>
                <w:kern w:val="0"/>
                <w:szCs w:val="21"/>
              </w:rPr>
              <w:t>、NH</w:t>
            </w:r>
            <w:r>
              <w:rPr>
                <w:kern w:val="0"/>
                <w:szCs w:val="21"/>
                <w:vertAlign w:val="subscript"/>
              </w:rPr>
              <w:t>3</w:t>
            </w:r>
            <w:r>
              <w:rPr>
                <w:kern w:val="0"/>
                <w:szCs w:val="21"/>
              </w:rPr>
              <w:t>-N、SS</w:t>
            </w:r>
          </w:p>
        </w:tc>
        <w:tc>
          <w:tcPr>
            <w:tcW w:w="1081" w:type="pct"/>
            <w:vAlign w:val="center"/>
          </w:tcPr>
          <w:p>
            <w:pPr>
              <w:adjustRightInd w:val="0"/>
              <w:snapToGrid w:val="0"/>
              <w:jc w:val="center"/>
              <w:rPr>
                <w:kern w:val="0"/>
                <w:szCs w:val="21"/>
              </w:rPr>
            </w:pPr>
            <w:r>
              <w:rPr>
                <w:kern w:val="0"/>
                <w:szCs w:val="21"/>
              </w:rPr>
              <w:t>办公区域</w:t>
            </w:r>
          </w:p>
        </w:tc>
        <w:tc>
          <w:tcPr>
            <w:tcW w:w="1277"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restart"/>
            <w:vAlign w:val="center"/>
          </w:tcPr>
          <w:p>
            <w:pPr>
              <w:adjustRightInd w:val="0"/>
              <w:snapToGrid w:val="0"/>
              <w:jc w:val="center"/>
              <w:rPr>
                <w:kern w:val="0"/>
                <w:szCs w:val="21"/>
              </w:rPr>
            </w:pPr>
            <w:r>
              <w:rPr>
                <w:kern w:val="0"/>
                <w:szCs w:val="21"/>
              </w:rPr>
              <w:t>噪声</w:t>
            </w:r>
          </w:p>
        </w:tc>
        <w:tc>
          <w:tcPr>
            <w:tcW w:w="347" w:type="pct"/>
            <w:vAlign w:val="center"/>
          </w:tcPr>
          <w:p>
            <w:pPr>
              <w:adjustRightInd w:val="0"/>
              <w:snapToGrid w:val="0"/>
              <w:jc w:val="center"/>
              <w:rPr>
                <w:kern w:val="0"/>
                <w:szCs w:val="21"/>
              </w:rPr>
            </w:pPr>
            <w:r>
              <w:rPr>
                <w:kern w:val="0"/>
                <w:szCs w:val="21"/>
              </w:rPr>
              <w:t>N1</w:t>
            </w:r>
          </w:p>
        </w:tc>
        <w:tc>
          <w:tcPr>
            <w:tcW w:w="1024" w:type="pct"/>
            <w:vAlign w:val="center"/>
          </w:tcPr>
          <w:p>
            <w:pPr>
              <w:adjustRightInd w:val="0"/>
              <w:snapToGrid w:val="0"/>
              <w:jc w:val="center"/>
              <w:rPr>
                <w:kern w:val="0"/>
                <w:szCs w:val="21"/>
              </w:rPr>
            </w:pPr>
            <w:r>
              <w:rPr>
                <w:kern w:val="0"/>
                <w:szCs w:val="21"/>
              </w:rPr>
              <w:t>填埋作业机械</w:t>
            </w:r>
          </w:p>
        </w:tc>
        <w:tc>
          <w:tcPr>
            <w:tcW w:w="998" w:type="pct"/>
            <w:vAlign w:val="center"/>
          </w:tcPr>
          <w:p>
            <w:pPr>
              <w:adjustRightInd w:val="0"/>
              <w:snapToGrid w:val="0"/>
              <w:jc w:val="center"/>
              <w:rPr>
                <w:kern w:val="0"/>
                <w:szCs w:val="21"/>
              </w:rPr>
            </w:pPr>
            <w:r>
              <w:rPr>
                <w:kern w:val="0"/>
                <w:szCs w:val="21"/>
              </w:rPr>
              <w:t>设备噪声</w:t>
            </w:r>
          </w:p>
        </w:tc>
        <w:tc>
          <w:tcPr>
            <w:tcW w:w="1081" w:type="pct"/>
            <w:vAlign w:val="center"/>
          </w:tcPr>
          <w:p>
            <w:pPr>
              <w:adjustRightInd w:val="0"/>
              <w:snapToGrid w:val="0"/>
              <w:jc w:val="center"/>
              <w:rPr>
                <w:kern w:val="0"/>
                <w:szCs w:val="21"/>
              </w:rPr>
            </w:pPr>
            <w:r>
              <w:rPr>
                <w:kern w:val="0"/>
                <w:szCs w:val="21"/>
              </w:rPr>
              <w:t>起重机、运输车辆</w:t>
            </w:r>
          </w:p>
        </w:tc>
        <w:tc>
          <w:tcPr>
            <w:tcW w:w="1277" w:type="pct"/>
            <w:vAlign w:val="center"/>
          </w:tcPr>
          <w:p>
            <w:pPr>
              <w:adjustRightInd w:val="0"/>
              <w:snapToGrid w:val="0"/>
              <w:jc w:val="center"/>
              <w:rPr>
                <w:kern w:val="0"/>
                <w:szCs w:val="21"/>
              </w:rPr>
            </w:pPr>
            <w:r>
              <w:rPr>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N2</w:t>
            </w:r>
          </w:p>
        </w:tc>
        <w:tc>
          <w:tcPr>
            <w:tcW w:w="1024" w:type="pct"/>
            <w:vAlign w:val="center"/>
          </w:tcPr>
          <w:p>
            <w:pPr>
              <w:adjustRightInd w:val="0"/>
              <w:snapToGrid w:val="0"/>
              <w:jc w:val="center"/>
              <w:rPr>
                <w:kern w:val="0"/>
                <w:szCs w:val="21"/>
              </w:rPr>
            </w:pPr>
            <w:r>
              <w:rPr>
                <w:kern w:val="0"/>
                <w:szCs w:val="21"/>
              </w:rPr>
              <w:t>渗滤液处理站</w:t>
            </w:r>
          </w:p>
        </w:tc>
        <w:tc>
          <w:tcPr>
            <w:tcW w:w="998" w:type="pct"/>
            <w:vAlign w:val="center"/>
          </w:tcPr>
          <w:p>
            <w:pPr>
              <w:adjustRightInd w:val="0"/>
              <w:snapToGrid w:val="0"/>
              <w:jc w:val="center"/>
              <w:rPr>
                <w:kern w:val="0"/>
                <w:szCs w:val="21"/>
              </w:rPr>
            </w:pPr>
            <w:r>
              <w:rPr>
                <w:kern w:val="0"/>
                <w:szCs w:val="21"/>
              </w:rPr>
              <w:t>设备噪声</w:t>
            </w:r>
          </w:p>
        </w:tc>
        <w:tc>
          <w:tcPr>
            <w:tcW w:w="1081" w:type="pct"/>
            <w:vAlign w:val="center"/>
          </w:tcPr>
          <w:p>
            <w:pPr>
              <w:adjustRightInd w:val="0"/>
              <w:snapToGrid w:val="0"/>
              <w:jc w:val="center"/>
              <w:rPr>
                <w:kern w:val="0"/>
                <w:szCs w:val="21"/>
              </w:rPr>
            </w:pPr>
            <w:r>
              <w:rPr>
                <w:kern w:val="0"/>
                <w:szCs w:val="21"/>
              </w:rPr>
              <w:t>泵</w:t>
            </w:r>
          </w:p>
        </w:tc>
        <w:tc>
          <w:tcPr>
            <w:tcW w:w="1277" w:type="pct"/>
            <w:vAlign w:val="center"/>
          </w:tcPr>
          <w:p>
            <w:pPr>
              <w:adjustRightInd w:val="0"/>
              <w:snapToGrid w:val="0"/>
              <w:jc w:val="center"/>
              <w:rPr>
                <w:kern w:val="0"/>
                <w:szCs w:val="21"/>
              </w:rPr>
            </w:pPr>
            <w:r>
              <w:rPr>
                <w:kern w:val="0"/>
                <w:szCs w:val="21"/>
              </w:rPr>
              <w:t>室内布置，隔声减振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restart"/>
            <w:vAlign w:val="center"/>
          </w:tcPr>
          <w:p>
            <w:pPr>
              <w:adjustRightInd w:val="0"/>
              <w:snapToGrid w:val="0"/>
              <w:jc w:val="center"/>
              <w:rPr>
                <w:kern w:val="0"/>
                <w:szCs w:val="21"/>
              </w:rPr>
            </w:pPr>
            <w:r>
              <w:rPr>
                <w:kern w:val="0"/>
                <w:szCs w:val="21"/>
              </w:rPr>
              <w:t>固废</w:t>
            </w:r>
          </w:p>
        </w:tc>
        <w:tc>
          <w:tcPr>
            <w:tcW w:w="347" w:type="pct"/>
            <w:vAlign w:val="center"/>
          </w:tcPr>
          <w:p>
            <w:pPr>
              <w:adjustRightInd w:val="0"/>
              <w:snapToGrid w:val="0"/>
              <w:jc w:val="center"/>
              <w:rPr>
                <w:kern w:val="0"/>
                <w:szCs w:val="21"/>
              </w:rPr>
            </w:pPr>
            <w:r>
              <w:rPr>
                <w:kern w:val="0"/>
                <w:szCs w:val="21"/>
              </w:rPr>
              <w:t>S1</w:t>
            </w:r>
          </w:p>
        </w:tc>
        <w:tc>
          <w:tcPr>
            <w:tcW w:w="1024" w:type="pct"/>
            <w:vAlign w:val="center"/>
          </w:tcPr>
          <w:p>
            <w:pPr>
              <w:adjustRightInd w:val="0"/>
              <w:snapToGrid w:val="0"/>
              <w:jc w:val="center"/>
              <w:rPr>
                <w:kern w:val="0"/>
                <w:szCs w:val="21"/>
              </w:rPr>
            </w:pPr>
            <w:r>
              <w:rPr>
                <w:kern w:val="0"/>
                <w:szCs w:val="21"/>
              </w:rPr>
              <w:t>渗滤液处理污泥</w:t>
            </w:r>
          </w:p>
        </w:tc>
        <w:tc>
          <w:tcPr>
            <w:tcW w:w="998" w:type="pct"/>
            <w:vAlign w:val="center"/>
          </w:tcPr>
          <w:p>
            <w:pPr>
              <w:adjustRightInd w:val="0"/>
              <w:snapToGrid w:val="0"/>
              <w:jc w:val="center"/>
              <w:rPr>
                <w:kern w:val="0"/>
                <w:szCs w:val="21"/>
              </w:rPr>
            </w:pPr>
            <w:r>
              <w:rPr>
                <w:kern w:val="0"/>
                <w:szCs w:val="21"/>
              </w:rPr>
              <w:t>污泥</w:t>
            </w:r>
          </w:p>
        </w:tc>
        <w:tc>
          <w:tcPr>
            <w:tcW w:w="1081" w:type="pct"/>
            <w:vAlign w:val="center"/>
          </w:tcPr>
          <w:p>
            <w:pPr>
              <w:adjustRightInd w:val="0"/>
              <w:snapToGrid w:val="0"/>
              <w:jc w:val="center"/>
              <w:rPr>
                <w:kern w:val="0"/>
                <w:szCs w:val="21"/>
              </w:rPr>
            </w:pPr>
            <w:r>
              <w:rPr>
                <w:kern w:val="0"/>
                <w:szCs w:val="21"/>
              </w:rPr>
              <w:t>渗滤液处理站</w:t>
            </w:r>
          </w:p>
        </w:tc>
        <w:tc>
          <w:tcPr>
            <w:tcW w:w="1277" w:type="pct"/>
            <w:vAlign w:val="center"/>
          </w:tcPr>
          <w:p>
            <w:pPr>
              <w:adjustRightInd w:val="0"/>
              <w:snapToGrid w:val="0"/>
              <w:jc w:val="center"/>
              <w:rPr>
                <w:kern w:val="0"/>
                <w:szCs w:val="21"/>
              </w:rPr>
            </w:pPr>
            <w:r>
              <w:rPr>
                <w:kern w:val="0"/>
                <w:szCs w:val="21"/>
              </w:rPr>
              <w:t>脱水后送围场生活垃圾焚烧厂处理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S2</w:t>
            </w:r>
          </w:p>
        </w:tc>
        <w:tc>
          <w:tcPr>
            <w:tcW w:w="1024" w:type="pct"/>
            <w:vAlign w:val="center"/>
          </w:tcPr>
          <w:p>
            <w:pPr>
              <w:adjustRightInd w:val="0"/>
              <w:snapToGrid w:val="0"/>
              <w:jc w:val="center"/>
              <w:rPr>
                <w:kern w:val="0"/>
                <w:szCs w:val="21"/>
              </w:rPr>
            </w:pPr>
            <w:r>
              <w:rPr>
                <w:kern w:val="0"/>
                <w:szCs w:val="21"/>
              </w:rPr>
              <w:t>生活垃圾</w:t>
            </w:r>
          </w:p>
        </w:tc>
        <w:tc>
          <w:tcPr>
            <w:tcW w:w="998" w:type="pct"/>
            <w:vAlign w:val="center"/>
          </w:tcPr>
          <w:p>
            <w:pPr>
              <w:adjustRightInd w:val="0"/>
              <w:snapToGrid w:val="0"/>
              <w:jc w:val="center"/>
              <w:rPr>
                <w:kern w:val="0"/>
                <w:szCs w:val="21"/>
              </w:rPr>
            </w:pPr>
            <w:r>
              <w:rPr>
                <w:kern w:val="0"/>
                <w:szCs w:val="21"/>
              </w:rPr>
              <w:t>生活垃圾</w:t>
            </w:r>
          </w:p>
        </w:tc>
        <w:tc>
          <w:tcPr>
            <w:tcW w:w="1081" w:type="pct"/>
            <w:vAlign w:val="center"/>
          </w:tcPr>
          <w:p>
            <w:pPr>
              <w:adjustRightInd w:val="0"/>
              <w:snapToGrid w:val="0"/>
              <w:jc w:val="center"/>
              <w:rPr>
                <w:kern w:val="0"/>
                <w:szCs w:val="21"/>
              </w:rPr>
            </w:pPr>
            <w:r>
              <w:rPr>
                <w:kern w:val="0"/>
                <w:szCs w:val="21"/>
              </w:rPr>
              <w:t>职工生活</w:t>
            </w:r>
          </w:p>
        </w:tc>
        <w:tc>
          <w:tcPr>
            <w:tcW w:w="1277" w:type="pct"/>
            <w:vAlign w:val="center"/>
          </w:tcPr>
          <w:p>
            <w:pPr>
              <w:adjustRightInd w:val="0"/>
              <w:snapToGrid w:val="0"/>
              <w:jc w:val="center"/>
              <w:rPr>
                <w:kern w:val="0"/>
                <w:szCs w:val="21"/>
              </w:rPr>
            </w:pPr>
            <w:r>
              <w:rPr>
                <w:rFonts w:hint="eastAsia"/>
                <w:kern w:val="0"/>
                <w:szCs w:val="21"/>
              </w:rPr>
              <w:t>送</w:t>
            </w:r>
            <w:r>
              <w:rPr>
                <w:kern w:val="0"/>
                <w:szCs w:val="21"/>
              </w:rPr>
              <w:t>围场生活垃圾焚烧处理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73" w:type="pct"/>
            <w:vMerge w:val="continue"/>
            <w:vAlign w:val="center"/>
          </w:tcPr>
          <w:p>
            <w:pPr>
              <w:adjustRightInd w:val="0"/>
              <w:snapToGrid w:val="0"/>
              <w:jc w:val="center"/>
              <w:rPr>
                <w:kern w:val="0"/>
                <w:szCs w:val="21"/>
              </w:rPr>
            </w:pPr>
          </w:p>
        </w:tc>
        <w:tc>
          <w:tcPr>
            <w:tcW w:w="347" w:type="pct"/>
            <w:vAlign w:val="center"/>
          </w:tcPr>
          <w:p>
            <w:pPr>
              <w:adjustRightInd w:val="0"/>
              <w:snapToGrid w:val="0"/>
              <w:jc w:val="center"/>
              <w:rPr>
                <w:kern w:val="0"/>
                <w:szCs w:val="21"/>
              </w:rPr>
            </w:pPr>
            <w:r>
              <w:rPr>
                <w:kern w:val="0"/>
                <w:szCs w:val="21"/>
              </w:rPr>
              <w:t>S3</w:t>
            </w:r>
          </w:p>
        </w:tc>
        <w:tc>
          <w:tcPr>
            <w:tcW w:w="1024" w:type="pct"/>
            <w:vAlign w:val="center"/>
          </w:tcPr>
          <w:p>
            <w:pPr>
              <w:adjustRightInd w:val="0"/>
              <w:snapToGrid w:val="0"/>
              <w:jc w:val="center"/>
              <w:rPr>
                <w:kern w:val="0"/>
                <w:szCs w:val="21"/>
              </w:rPr>
            </w:pPr>
            <w:r>
              <w:rPr>
                <w:kern w:val="0"/>
                <w:szCs w:val="21"/>
              </w:rPr>
              <w:t>废机油</w:t>
            </w:r>
          </w:p>
        </w:tc>
        <w:tc>
          <w:tcPr>
            <w:tcW w:w="998" w:type="pct"/>
            <w:vAlign w:val="center"/>
          </w:tcPr>
          <w:p>
            <w:pPr>
              <w:adjustRightInd w:val="0"/>
              <w:snapToGrid w:val="0"/>
              <w:jc w:val="center"/>
              <w:rPr>
                <w:kern w:val="0"/>
                <w:szCs w:val="21"/>
              </w:rPr>
            </w:pPr>
            <w:r>
              <w:rPr>
                <w:kern w:val="0"/>
                <w:szCs w:val="21"/>
              </w:rPr>
              <w:t>机油</w:t>
            </w:r>
          </w:p>
        </w:tc>
        <w:tc>
          <w:tcPr>
            <w:tcW w:w="1081" w:type="pct"/>
            <w:vAlign w:val="center"/>
          </w:tcPr>
          <w:p>
            <w:pPr>
              <w:adjustRightInd w:val="0"/>
              <w:snapToGrid w:val="0"/>
              <w:jc w:val="center"/>
              <w:rPr>
                <w:kern w:val="0"/>
                <w:szCs w:val="21"/>
              </w:rPr>
            </w:pPr>
            <w:r>
              <w:rPr>
                <w:kern w:val="0"/>
                <w:szCs w:val="21"/>
              </w:rPr>
              <w:t>机械维修</w:t>
            </w:r>
          </w:p>
        </w:tc>
        <w:tc>
          <w:tcPr>
            <w:tcW w:w="1277" w:type="pct"/>
            <w:vAlign w:val="center"/>
          </w:tcPr>
          <w:p>
            <w:pPr>
              <w:adjustRightInd w:val="0"/>
              <w:snapToGrid w:val="0"/>
              <w:jc w:val="center"/>
              <w:rPr>
                <w:kern w:val="0"/>
                <w:szCs w:val="21"/>
              </w:rPr>
            </w:pPr>
            <w:r>
              <w:rPr>
                <w:rFonts w:hint="eastAsia"/>
                <w:kern w:val="0"/>
                <w:szCs w:val="21"/>
              </w:rPr>
              <w:t>依托</w:t>
            </w:r>
            <w:r>
              <w:rPr>
                <w:kern w:val="0"/>
                <w:szCs w:val="21"/>
              </w:rPr>
              <w:t>焚烧厂危废间，委托有资质单位处理</w:t>
            </w:r>
          </w:p>
        </w:tc>
      </w:tr>
    </w:tbl>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废气源强分析</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粉（扬）尘</w:t>
      </w:r>
    </w:p>
    <w:p>
      <w:pPr>
        <w:pStyle w:val="20"/>
        <w:adjustRightInd w:val="0"/>
        <w:snapToGrid w:val="0"/>
        <w:spacing w:after="0"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1、固化飞灰填埋产生粉尘</w:t>
      </w:r>
    </w:p>
    <w:p>
      <w:pPr>
        <w:pStyle w:val="20"/>
        <w:adjustRightInd w:val="0"/>
        <w:snapToGrid w:val="0"/>
        <w:spacing w:after="0"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飞灰采用吨袋包装方式，填埋过程中不再进行解袋作业，以吨袋形式直接进行填埋，根据工程分析，项目采用日覆盖工艺，工作时，汽车送入场地，吊车卸车，铲车转入作业区码放，预计每天工作</w:t>
      </w:r>
      <w:r>
        <w:rPr>
          <w:rFonts w:asciiTheme="minorEastAsia" w:hAnsiTheme="minorEastAsia" w:eastAsiaTheme="minorEastAsia"/>
          <w:bCs/>
          <w:sz w:val="24"/>
        </w:rPr>
        <w:t>8h</w:t>
      </w:r>
      <w:r>
        <w:rPr>
          <w:rFonts w:hint="eastAsia" w:asciiTheme="minorEastAsia" w:hAnsiTheme="minorEastAsia" w:eastAsiaTheme="minorEastAsia"/>
          <w:bCs/>
          <w:sz w:val="24"/>
        </w:rPr>
        <w:t>，同时采用洒水车洒水抑尘，工作结束后采用</w:t>
      </w:r>
      <w:r>
        <w:rPr>
          <w:rFonts w:asciiTheme="minorEastAsia" w:hAnsiTheme="minorEastAsia" w:eastAsiaTheme="minorEastAsia"/>
          <w:bCs/>
          <w:sz w:val="24"/>
        </w:rPr>
        <w:t>HDPE</w:t>
      </w:r>
      <w:r>
        <w:rPr>
          <w:rFonts w:hint="eastAsia" w:asciiTheme="minorEastAsia" w:hAnsiTheme="minorEastAsia" w:eastAsiaTheme="minorEastAsia"/>
          <w:bCs/>
          <w:sz w:val="24"/>
        </w:rPr>
        <w:t>膜覆盖。参照陕西环保科研所、武汉水运工程学院提出的经验公式进行估算。如下所示：</w:t>
      </w:r>
    </w:p>
    <w:p>
      <w:pPr>
        <w:pStyle w:val="20"/>
        <w:adjustRightInd w:val="0"/>
        <w:snapToGrid w:val="0"/>
        <w:spacing w:after="0" w:line="360" w:lineRule="auto"/>
        <w:ind w:firstLine="480" w:firstLineChars="200"/>
        <w:jc w:val="center"/>
        <w:rPr>
          <w:rFonts w:asciiTheme="minorEastAsia" w:hAnsiTheme="minorEastAsia" w:eastAsiaTheme="minorEastAsia"/>
          <w:bCs/>
          <w:sz w:val="24"/>
        </w:rPr>
      </w:pPr>
      <w:r>
        <w:rPr>
          <w:rFonts w:asciiTheme="minorEastAsia" w:hAnsiTheme="minorEastAsia" w:eastAsiaTheme="minorEastAsia"/>
          <w:bCs/>
          <w:sz w:val="24"/>
        </w:rPr>
        <w:drawing>
          <wp:inline distT="0" distB="0" distL="0" distR="0">
            <wp:extent cx="1318260" cy="337820"/>
            <wp:effectExtent l="0" t="0" r="0" b="508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1318260" cy="337820"/>
                    </a:xfrm>
                    <a:prstGeom prst="rect">
                      <a:avLst/>
                    </a:prstGeom>
                    <a:noFill/>
                    <a:ln>
                      <a:noFill/>
                    </a:ln>
                  </pic:spPr>
                </pic:pic>
              </a:graphicData>
            </a:graphic>
          </wp:inline>
        </w:drawing>
      </w:r>
    </w:p>
    <w:p>
      <w:pPr>
        <w:pStyle w:val="20"/>
        <w:adjustRightInd w:val="0"/>
        <w:snapToGrid w:val="0"/>
        <w:spacing w:after="0" w:line="360" w:lineRule="auto"/>
        <w:ind w:firstLine="849" w:firstLineChars="354"/>
        <w:rPr>
          <w:rFonts w:asciiTheme="minorEastAsia" w:hAnsiTheme="minorEastAsia" w:eastAsiaTheme="minorEastAsia"/>
          <w:bCs/>
          <w:sz w:val="24"/>
        </w:rPr>
      </w:pPr>
      <w:r>
        <w:rPr>
          <w:rFonts w:hint="eastAsia" w:asciiTheme="minorEastAsia" w:hAnsiTheme="minorEastAsia" w:eastAsiaTheme="minorEastAsia"/>
          <w:bCs/>
          <w:sz w:val="24"/>
        </w:rPr>
        <w:t>式中：</w:t>
      </w:r>
      <w:r>
        <w:rPr>
          <w:rFonts w:asciiTheme="minorEastAsia" w:hAnsiTheme="minorEastAsia" w:eastAsiaTheme="minorEastAsia"/>
          <w:bCs/>
          <w:sz w:val="24"/>
        </w:rPr>
        <w:t>Q</w:t>
      </w:r>
      <w:r>
        <w:rPr>
          <w:rFonts w:hint="eastAsia" w:asciiTheme="minorEastAsia" w:hAnsiTheme="minorEastAsia" w:eastAsiaTheme="minorEastAsia"/>
          <w:bCs/>
          <w:sz w:val="24"/>
        </w:rPr>
        <w:t>：装卸起尘量，</w:t>
      </w:r>
      <w:r>
        <w:rPr>
          <w:rFonts w:asciiTheme="minorEastAsia" w:hAnsiTheme="minorEastAsia" w:eastAsiaTheme="minorEastAsia"/>
          <w:bCs/>
          <w:sz w:val="24"/>
        </w:rPr>
        <w:t>g/</w:t>
      </w:r>
      <w:r>
        <w:rPr>
          <w:rFonts w:hint="eastAsia" w:asciiTheme="minorEastAsia" w:hAnsiTheme="minorEastAsia" w:eastAsiaTheme="minorEastAsia"/>
          <w:bCs/>
          <w:sz w:val="24"/>
        </w:rPr>
        <w:t>次；</w:t>
      </w:r>
    </w:p>
    <w:p>
      <w:pPr>
        <w:pStyle w:val="20"/>
        <w:adjustRightInd w:val="0"/>
        <w:snapToGrid w:val="0"/>
        <w:spacing w:after="0" w:line="360" w:lineRule="auto"/>
        <w:ind w:firstLine="1560" w:firstLineChars="650"/>
        <w:rPr>
          <w:rFonts w:asciiTheme="minorEastAsia" w:hAnsiTheme="minorEastAsia" w:eastAsiaTheme="minorEastAsia"/>
          <w:bCs/>
          <w:sz w:val="24"/>
        </w:rPr>
      </w:pPr>
      <w:r>
        <w:rPr>
          <w:rFonts w:asciiTheme="minorEastAsia" w:hAnsiTheme="minorEastAsia" w:eastAsiaTheme="minorEastAsia"/>
          <w:bCs/>
          <w:sz w:val="24"/>
        </w:rPr>
        <w:t>u</w:t>
      </w:r>
      <w:r>
        <w:rPr>
          <w:rFonts w:hint="eastAsia" w:asciiTheme="minorEastAsia" w:hAnsiTheme="minorEastAsia" w:eastAsiaTheme="minorEastAsia"/>
          <w:bCs/>
          <w:sz w:val="24"/>
        </w:rPr>
        <w:t>：平均风速，</w:t>
      </w:r>
      <w:r>
        <w:rPr>
          <w:rFonts w:asciiTheme="minorEastAsia" w:hAnsiTheme="minorEastAsia" w:eastAsiaTheme="minorEastAsia"/>
          <w:bCs/>
          <w:sz w:val="24"/>
        </w:rPr>
        <w:t>m/s</w:t>
      </w:r>
      <w:r>
        <w:rPr>
          <w:rFonts w:hint="eastAsia" w:asciiTheme="minorEastAsia" w:hAnsiTheme="minorEastAsia" w:eastAsiaTheme="minorEastAsia"/>
          <w:bCs/>
          <w:sz w:val="24"/>
        </w:rPr>
        <w:t>；围场多年平均风速为</w:t>
      </w:r>
      <w:r>
        <w:rPr>
          <w:rFonts w:asciiTheme="minorEastAsia" w:hAnsiTheme="minorEastAsia" w:eastAsiaTheme="minorEastAsia"/>
          <w:bCs/>
          <w:sz w:val="24"/>
        </w:rPr>
        <w:t>2.17m/s</w:t>
      </w:r>
      <w:r>
        <w:rPr>
          <w:rFonts w:hint="eastAsia" w:asciiTheme="minorEastAsia" w:hAnsiTheme="minorEastAsia" w:eastAsiaTheme="minorEastAsia"/>
          <w:bCs/>
          <w:sz w:val="24"/>
        </w:rPr>
        <w:t>。</w:t>
      </w:r>
    </w:p>
    <w:p>
      <w:pPr>
        <w:pStyle w:val="20"/>
        <w:adjustRightInd w:val="0"/>
        <w:snapToGrid w:val="0"/>
        <w:spacing w:after="0" w:line="360" w:lineRule="auto"/>
        <w:ind w:firstLine="1560" w:firstLineChars="650"/>
        <w:rPr>
          <w:rFonts w:asciiTheme="minorEastAsia" w:hAnsiTheme="minorEastAsia" w:eastAsiaTheme="minorEastAsia"/>
          <w:bCs/>
          <w:sz w:val="24"/>
        </w:rPr>
      </w:pPr>
      <w:r>
        <w:rPr>
          <w:rFonts w:asciiTheme="minorEastAsia" w:hAnsiTheme="minorEastAsia" w:eastAsiaTheme="minorEastAsia"/>
          <w:bCs/>
          <w:sz w:val="24"/>
        </w:rPr>
        <w:t>M</w:t>
      </w:r>
      <w:r>
        <w:rPr>
          <w:rFonts w:hint="eastAsia" w:asciiTheme="minorEastAsia" w:hAnsiTheme="minorEastAsia" w:eastAsiaTheme="minorEastAsia"/>
          <w:bCs/>
          <w:sz w:val="24"/>
        </w:rPr>
        <w:t>：汽车载重量，</w:t>
      </w:r>
      <w:r>
        <w:rPr>
          <w:rFonts w:asciiTheme="minorEastAsia" w:hAnsiTheme="minorEastAsia" w:eastAsiaTheme="minorEastAsia"/>
          <w:bCs/>
          <w:sz w:val="24"/>
        </w:rPr>
        <w:t>t</w:t>
      </w:r>
      <w:r>
        <w:rPr>
          <w:rFonts w:hint="eastAsia" w:asciiTheme="minorEastAsia" w:hAnsiTheme="minorEastAsia" w:eastAsiaTheme="minorEastAsia"/>
          <w:bCs/>
          <w:sz w:val="24"/>
        </w:rPr>
        <w:t>；取1</w:t>
      </w:r>
      <w:r>
        <w:rPr>
          <w:rFonts w:asciiTheme="minorEastAsia" w:hAnsiTheme="minorEastAsia" w:eastAsiaTheme="minorEastAsia"/>
          <w:bCs/>
          <w:sz w:val="24"/>
        </w:rPr>
        <w:t>0</w:t>
      </w:r>
      <w:r>
        <w:rPr>
          <w:rFonts w:hint="eastAsia" w:asciiTheme="minorEastAsia" w:hAnsiTheme="minorEastAsia" w:eastAsiaTheme="minorEastAsia"/>
          <w:bCs/>
          <w:sz w:val="24"/>
        </w:rPr>
        <w:t>t。</w:t>
      </w:r>
    </w:p>
    <w:p>
      <w:pPr>
        <w:pStyle w:val="20"/>
        <w:adjustRightInd w:val="0"/>
        <w:snapToGrid w:val="0"/>
        <w:spacing w:after="0"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本项目</w:t>
      </w:r>
      <w:r>
        <w:rPr>
          <w:rFonts w:asciiTheme="minorEastAsia" w:hAnsiTheme="minorEastAsia" w:eastAsiaTheme="minorEastAsia"/>
          <w:bCs/>
          <w:sz w:val="24"/>
        </w:rPr>
        <w:t xml:space="preserve">M </w:t>
      </w:r>
      <w:r>
        <w:rPr>
          <w:rFonts w:hint="eastAsia" w:asciiTheme="minorEastAsia" w:hAnsiTheme="minorEastAsia" w:eastAsiaTheme="minorEastAsia"/>
          <w:bCs/>
          <w:sz w:val="24"/>
        </w:rPr>
        <w:t>取</w:t>
      </w:r>
      <w:r>
        <w:rPr>
          <w:rFonts w:asciiTheme="minorEastAsia" w:hAnsiTheme="minorEastAsia" w:eastAsiaTheme="minorEastAsia"/>
          <w:bCs/>
          <w:sz w:val="24"/>
        </w:rPr>
        <w:t>10t</w:t>
      </w:r>
      <w:r>
        <w:rPr>
          <w:rFonts w:hint="eastAsia" w:asciiTheme="minorEastAsia" w:hAnsiTheme="minorEastAsia" w:eastAsiaTheme="minorEastAsia"/>
          <w:bCs/>
          <w:sz w:val="24"/>
        </w:rPr>
        <w:t>，则根据公式推断出装卸粉尘产生量为</w:t>
      </w:r>
      <w:r>
        <w:rPr>
          <w:rFonts w:asciiTheme="minorEastAsia" w:hAnsiTheme="minorEastAsia" w:eastAsiaTheme="minorEastAsia"/>
          <w:bCs/>
          <w:sz w:val="24"/>
        </w:rPr>
        <w:t>2.78g/</w:t>
      </w:r>
      <w:r>
        <w:rPr>
          <w:rFonts w:hint="eastAsia" w:asciiTheme="minorEastAsia" w:hAnsiTheme="minorEastAsia" w:eastAsiaTheme="minorEastAsia"/>
          <w:bCs/>
          <w:sz w:val="24"/>
        </w:rPr>
        <w:t>次，本项目填埋物料重量为</w:t>
      </w:r>
      <w:r>
        <w:rPr>
          <w:rFonts w:asciiTheme="minorEastAsia" w:hAnsiTheme="minorEastAsia" w:eastAsiaTheme="minorEastAsia"/>
          <w:bCs/>
          <w:sz w:val="24"/>
        </w:rPr>
        <w:t>3960t/a</w:t>
      </w:r>
      <w:r>
        <w:rPr>
          <w:rFonts w:hint="eastAsia" w:asciiTheme="minorEastAsia" w:hAnsiTheme="minorEastAsia" w:eastAsiaTheme="minorEastAsia"/>
          <w:bCs/>
          <w:sz w:val="24"/>
        </w:rPr>
        <w:t>，需运输装卸约</w:t>
      </w:r>
      <w:r>
        <w:rPr>
          <w:rFonts w:asciiTheme="minorEastAsia" w:hAnsiTheme="minorEastAsia" w:eastAsiaTheme="minorEastAsia"/>
          <w:bCs/>
          <w:sz w:val="24"/>
        </w:rPr>
        <w:t>397</w:t>
      </w:r>
      <w:r>
        <w:rPr>
          <w:rFonts w:hint="eastAsia" w:asciiTheme="minorEastAsia" w:hAnsiTheme="minorEastAsia" w:eastAsiaTheme="minorEastAsia"/>
          <w:bCs/>
          <w:sz w:val="24"/>
        </w:rPr>
        <w:t>次，则装卸固废产生的扬尘约1</w:t>
      </w:r>
      <w:r>
        <w:rPr>
          <w:rFonts w:asciiTheme="minorEastAsia" w:hAnsiTheme="minorEastAsia" w:eastAsiaTheme="minorEastAsia"/>
          <w:bCs/>
          <w:sz w:val="24"/>
        </w:rPr>
        <w:t>.104</w:t>
      </w:r>
      <w:r>
        <w:rPr>
          <w:rFonts w:hint="eastAsia" w:asciiTheme="minorEastAsia" w:hAnsiTheme="minorEastAsia" w:eastAsiaTheme="minorEastAsia"/>
          <w:bCs/>
          <w:sz w:val="24"/>
        </w:rPr>
        <w:t>kg</w:t>
      </w:r>
      <w:r>
        <w:rPr>
          <w:rFonts w:asciiTheme="minorEastAsia" w:hAnsiTheme="minorEastAsia" w:eastAsiaTheme="minorEastAsia"/>
          <w:bCs/>
          <w:sz w:val="24"/>
        </w:rPr>
        <w:t>/a</w:t>
      </w:r>
      <w:r>
        <w:rPr>
          <w:rFonts w:hint="eastAsia" w:asciiTheme="minorEastAsia" w:hAnsiTheme="minorEastAsia" w:eastAsiaTheme="minorEastAsia"/>
          <w:bCs/>
          <w:sz w:val="24"/>
        </w:rPr>
        <w:t>。装卸时间较短，每天约</w:t>
      </w:r>
      <w:r>
        <w:rPr>
          <w:rFonts w:asciiTheme="minorEastAsia" w:hAnsiTheme="minorEastAsia" w:eastAsiaTheme="minorEastAsia"/>
          <w:bCs/>
          <w:sz w:val="24"/>
        </w:rPr>
        <w:t>1h</w:t>
      </w:r>
      <w:r>
        <w:rPr>
          <w:rFonts w:hint="eastAsia" w:asciiTheme="minorEastAsia" w:hAnsiTheme="minorEastAsia" w:eastAsiaTheme="minorEastAsia"/>
          <w:bCs/>
          <w:sz w:val="24"/>
        </w:rPr>
        <w:t>，则扬尘产生的速率平均约为</w:t>
      </w:r>
      <w:r>
        <w:rPr>
          <w:rFonts w:asciiTheme="minorEastAsia" w:hAnsiTheme="minorEastAsia" w:eastAsiaTheme="minorEastAsia"/>
          <w:bCs/>
          <w:sz w:val="24"/>
        </w:rPr>
        <w:t>0.003kg/h</w:t>
      </w:r>
      <w:r>
        <w:rPr>
          <w:rFonts w:hint="eastAsia" w:asciiTheme="minorEastAsia" w:hAnsiTheme="minorEastAsia" w:eastAsiaTheme="minorEastAsia"/>
          <w:bCs/>
          <w:sz w:val="24"/>
        </w:rPr>
        <w:t>。</w:t>
      </w:r>
    </w:p>
    <w:p>
      <w:pPr>
        <w:pStyle w:val="20"/>
        <w:snapToGrid w:val="0"/>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填埋作业面积约5</w:t>
      </w:r>
      <w:r>
        <w:rPr>
          <w:rFonts w:asciiTheme="minorEastAsia" w:hAnsiTheme="minorEastAsia" w:eastAsiaTheme="minorEastAsia"/>
          <w:bCs/>
          <w:sz w:val="24"/>
        </w:rPr>
        <w:t>0</w:t>
      </w:r>
      <w:r>
        <w:rPr>
          <w:rFonts w:hint="eastAsia" w:asciiTheme="minorEastAsia" w:hAnsiTheme="minorEastAsia" w:eastAsiaTheme="minorEastAsia"/>
          <w:bCs/>
          <w:sz w:val="24"/>
        </w:rPr>
        <w:t>m</w:t>
      </w:r>
      <w:r>
        <w:rPr>
          <w:rFonts w:asciiTheme="minorEastAsia" w:hAnsiTheme="minorEastAsia" w:eastAsiaTheme="minorEastAsia"/>
          <w:bCs/>
          <w:sz w:val="24"/>
          <w:vertAlign w:val="superscript"/>
        </w:rPr>
        <w:t>2</w:t>
      </w:r>
      <w:r>
        <w:rPr>
          <w:rFonts w:hint="eastAsia" w:asciiTheme="minorEastAsia" w:hAnsiTheme="minorEastAsia" w:eastAsiaTheme="minorEastAsia"/>
          <w:bCs/>
          <w:sz w:val="24"/>
        </w:rPr>
        <w:t>，建设单位采取覆盖措施，同时配套洒水降尘设施，对粉尘有效去除率一般可达到</w:t>
      </w:r>
      <w:r>
        <w:rPr>
          <w:rFonts w:asciiTheme="minorEastAsia" w:hAnsiTheme="minorEastAsia" w:eastAsiaTheme="minorEastAsia"/>
          <w:bCs/>
          <w:sz w:val="24"/>
        </w:rPr>
        <w:t>80%</w:t>
      </w:r>
      <w:r>
        <w:rPr>
          <w:rFonts w:hint="eastAsia" w:asciiTheme="minorEastAsia" w:hAnsiTheme="minorEastAsia" w:eastAsiaTheme="minorEastAsia"/>
          <w:bCs/>
          <w:sz w:val="24"/>
        </w:rPr>
        <w:t>，故本项目卸料粉尘年排放量为0</w:t>
      </w:r>
      <w:r>
        <w:rPr>
          <w:rFonts w:asciiTheme="minorEastAsia" w:hAnsiTheme="minorEastAsia" w:eastAsiaTheme="minorEastAsia"/>
          <w:bCs/>
          <w:sz w:val="24"/>
        </w:rPr>
        <w:t>.0006kg/h</w:t>
      </w:r>
      <w:r>
        <w:rPr>
          <w:rFonts w:hint="eastAsia" w:asciiTheme="minorEastAsia" w:hAnsiTheme="minorEastAsia" w:eastAsiaTheme="minorEastAsia"/>
          <w:bCs/>
          <w:sz w:val="24"/>
        </w:rPr>
        <w:t>（</w:t>
      </w:r>
      <w:r>
        <w:rPr>
          <w:rFonts w:asciiTheme="minorEastAsia" w:hAnsiTheme="minorEastAsia" w:eastAsiaTheme="minorEastAsia"/>
          <w:bCs/>
          <w:sz w:val="24"/>
        </w:rPr>
        <w:t>0.00022t/a</w:t>
      </w:r>
      <w:r>
        <w:rPr>
          <w:rFonts w:hint="eastAsia" w:asciiTheme="minorEastAsia" w:hAnsiTheme="minorEastAsia" w:eastAsiaTheme="minorEastAsia"/>
          <w:bCs/>
          <w:sz w:val="24"/>
        </w:rPr>
        <w:t>）。</w:t>
      </w:r>
    </w:p>
    <w:p>
      <w:pPr>
        <w:pStyle w:val="20"/>
        <w:snapToGrid w:val="0"/>
        <w:spacing w:line="360" w:lineRule="auto"/>
        <w:ind w:firstLine="480" w:firstLineChars="200"/>
        <w:rPr>
          <w:rFonts w:asciiTheme="minorEastAsia" w:hAnsiTheme="minorEastAsia" w:eastAsiaTheme="minorEastAsia"/>
          <w:bCs/>
          <w:sz w:val="24"/>
        </w:rPr>
      </w:pPr>
      <w:r>
        <w:rPr>
          <w:rFonts w:asciiTheme="minorEastAsia" w:hAnsiTheme="minorEastAsia" w:eastAsiaTheme="minorEastAsia"/>
          <w:bCs/>
          <w:sz w:val="24"/>
        </w:rPr>
        <w:t>2</w:t>
      </w:r>
      <w:r>
        <w:rPr>
          <w:rFonts w:hint="eastAsia" w:asciiTheme="minorEastAsia" w:hAnsiTheme="minorEastAsia" w:eastAsiaTheme="minorEastAsia"/>
          <w:bCs/>
          <w:sz w:val="24"/>
        </w:rPr>
        <w:t>、运输车辆行驶在路面上产生的扬尘</w:t>
      </w:r>
    </w:p>
    <w:p>
      <w:pPr>
        <w:pStyle w:val="20"/>
        <w:adjustRightInd w:val="0"/>
        <w:snapToGrid w:val="0"/>
        <w:spacing w:after="0"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在道路完全干燥的情况下，运输车辆行驶在路面上造成的扬尘可按《大气环境影响评价实用技术》</w:t>
      </w:r>
      <w:r>
        <w:rPr>
          <w:rFonts w:asciiTheme="minorEastAsia" w:hAnsiTheme="minorEastAsia" w:eastAsiaTheme="minorEastAsia"/>
          <w:bCs/>
          <w:sz w:val="24"/>
        </w:rPr>
        <w:t>(</w:t>
      </w:r>
      <w:r>
        <w:rPr>
          <w:rFonts w:hint="eastAsia" w:asciiTheme="minorEastAsia" w:hAnsiTheme="minorEastAsia" w:eastAsiaTheme="minorEastAsia"/>
          <w:bCs/>
          <w:sz w:val="24"/>
        </w:rPr>
        <w:t>王栋成主编</w:t>
      </w:r>
      <w:r>
        <w:rPr>
          <w:rFonts w:asciiTheme="minorEastAsia" w:hAnsiTheme="minorEastAsia" w:eastAsiaTheme="minorEastAsia"/>
          <w:bCs/>
          <w:sz w:val="24"/>
        </w:rPr>
        <w:t>)</w:t>
      </w:r>
      <w:r>
        <w:rPr>
          <w:rFonts w:hint="eastAsia" w:asciiTheme="minorEastAsia" w:hAnsiTheme="minorEastAsia" w:eastAsiaTheme="minorEastAsia"/>
          <w:bCs/>
          <w:sz w:val="24"/>
        </w:rPr>
        <w:t>中列出的上海港环境保护中心和武汉水运工程学院提出的经验公式进行估算，如下所示：</w:t>
      </w:r>
    </w:p>
    <w:p>
      <w:pPr>
        <w:pStyle w:val="20"/>
        <w:adjustRightInd w:val="0"/>
        <w:snapToGrid w:val="0"/>
        <w:spacing w:after="0" w:line="360" w:lineRule="auto"/>
        <w:ind w:firstLine="1560" w:firstLineChars="650"/>
        <w:rPr>
          <w:rFonts w:eastAsiaTheme="minorEastAsia"/>
          <w:bCs/>
          <w:sz w:val="24"/>
        </w:rPr>
      </w:pPr>
      <w:r>
        <w:rPr>
          <w:rFonts w:eastAsiaTheme="minorEastAsia"/>
          <w:bCs/>
          <w:sz w:val="24"/>
        </w:rPr>
        <w:t>Q=0.123(V/5) (W/6.8)</w:t>
      </w:r>
      <w:r>
        <w:rPr>
          <w:rFonts w:eastAsiaTheme="minorEastAsia"/>
          <w:bCs/>
          <w:sz w:val="24"/>
          <w:vertAlign w:val="superscript"/>
        </w:rPr>
        <w:t>0.85</w:t>
      </w:r>
      <w:r>
        <w:rPr>
          <w:rFonts w:eastAsiaTheme="minorEastAsia"/>
          <w:bCs/>
          <w:sz w:val="24"/>
        </w:rPr>
        <w:t>(P/0.5)</w:t>
      </w:r>
      <w:r>
        <w:rPr>
          <w:rFonts w:eastAsiaTheme="minorEastAsia"/>
          <w:bCs/>
          <w:sz w:val="24"/>
          <w:vertAlign w:val="superscript"/>
        </w:rPr>
        <w:t>0.75</w:t>
      </w:r>
    </w:p>
    <w:p>
      <w:pPr>
        <w:pStyle w:val="20"/>
        <w:adjustRightInd w:val="0"/>
        <w:snapToGrid w:val="0"/>
        <w:spacing w:after="0" w:line="360" w:lineRule="auto"/>
        <w:ind w:firstLine="566" w:firstLineChars="236"/>
        <w:rPr>
          <w:rFonts w:asciiTheme="minorEastAsia" w:hAnsiTheme="minorEastAsia" w:eastAsiaTheme="minorEastAsia"/>
          <w:bCs/>
          <w:sz w:val="24"/>
        </w:rPr>
      </w:pPr>
      <w:r>
        <w:rPr>
          <w:rFonts w:hint="eastAsia" w:asciiTheme="minorEastAsia" w:hAnsiTheme="minorEastAsia" w:eastAsiaTheme="minorEastAsia"/>
          <w:bCs/>
          <w:sz w:val="24"/>
        </w:rPr>
        <w:t>式中：</w:t>
      </w:r>
      <w:r>
        <w:rPr>
          <w:rFonts w:asciiTheme="minorEastAsia" w:hAnsiTheme="minorEastAsia" w:eastAsiaTheme="minorEastAsia"/>
          <w:bCs/>
          <w:sz w:val="24"/>
        </w:rPr>
        <w:t>Q</w:t>
      </w:r>
      <w:r>
        <w:rPr>
          <w:rFonts w:hint="eastAsia" w:asciiTheme="minorEastAsia" w:hAnsiTheme="minorEastAsia" w:eastAsiaTheme="minorEastAsia"/>
          <w:bCs/>
          <w:sz w:val="24"/>
        </w:rPr>
        <w:t>：汽车行驶时的扬尘，</w:t>
      </w:r>
      <w:r>
        <w:rPr>
          <w:rFonts w:asciiTheme="minorEastAsia" w:hAnsiTheme="minorEastAsia" w:eastAsiaTheme="minorEastAsia"/>
          <w:bCs/>
          <w:sz w:val="24"/>
        </w:rPr>
        <w:t>kg/(km·</w:t>
      </w:r>
      <w:r>
        <w:rPr>
          <w:rFonts w:hint="eastAsia" w:asciiTheme="minorEastAsia" w:hAnsiTheme="minorEastAsia" w:eastAsiaTheme="minorEastAsia"/>
          <w:bCs/>
          <w:sz w:val="24"/>
        </w:rPr>
        <w:t>辆</w:t>
      </w:r>
      <w:r>
        <w:rPr>
          <w:rFonts w:asciiTheme="minorEastAsia" w:hAnsiTheme="minorEastAsia" w:eastAsiaTheme="minorEastAsia"/>
          <w:bCs/>
          <w:sz w:val="24"/>
        </w:rPr>
        <w:t>)</w:t>
      </w:r>
      <w:r>
        <w:rPr>
          <w:rFonts w:hint="eastAsia" w:asciiTheme="minorEastAsia" w:hAnsiTheme="minorEastAsia" w:eastAsiaTheme="minorEastAsia"/>
          <w:bCs/>
          <w:sz w:val="24"/>
        </w:rPr>
        <w:t>；</w:t>
      </w:r>
    </w:p>
    <w:p>
      <w:pPr>
        <w:pStyle w:val="20"/>
        <w:adjustRightInd w:val="0"/>
        <w:snapToGrid w:val="0"/>
        <w:spacing w:after="0" w:line="360" w:lineRule="auto"/>
        <w:ind w:firstLine="1274" w:firstLineChars="531"/>
        <w:rPr>
          <w:rFonts w:asciiTheme="minorEastAsia" w:hAnsiTheme="minorEastAsia" w:eastAsiaTheme="minorEastAsia"/>
          <w:bCs/>
          <w:sz w:val="24"/>
        </w:rPr>
      </w:pPr>
      <w:r>
        <w:rPr>
          <w:rFonts w:asciiTheme="minorEastAsia" w:hAnsiTheme="minorEastAsia" w:eastAsiaTheme="minorEastAsia"/>
          <w:bCs/>
          <w:sz w:val="24"/>
        </w:rPr>
        <w:t>V</w:t>
      </w:r>
      <w:r>
        <w:rPr>
          <w:rFonts w:hint="eastAsia" w:asciiTheme="minorEastAsia" w:hAnsiTheme="minorEastAsia" w:eastAsiaTheme="minorEastAsia"/>
          <w:bCs/>
          <w:sz w:val="24"/>
        </w:rPr>
        <w:t>：汽车速度，</w:t>
      </w:r>
      <w:r>
        <w:rPr>
          <w:rFonts w:asciiTheme="minorEastAsia" w:hAnsiTheme="minorEastAsia" w:eastAsiaTheme="minorEastAsia"/>
          <w:bCs/>
          <w:sz w:val="24"/>
        </w:rPr>
        <w:t>km/h</w:t>
      </w:r>
      <w:r>
        <w:rPr>
          <w:rFonts w:hint="eastAsia" w:asciiTheme="minorEastAsia" w:hAnsiTheme="minorEastAsia" w:eastAsiaTheme="minorEastAsia"/>
          <w:bCs/>
          <w:sz w:val="24"/>
        </w:rPr>
        <w:t>；</w:t>
      </w:r>
    </w:p>
    <w:p>
      <w:pPr>
        <w:pStyle w:val="20"/>
        <w:adjustRightInd w:val="0"/>
        <w:snapToGrid w:val="0"/>
        <w:spacing w:after="0" w:line="360" w:lineRule="auto"/>
        <w:ind w:firstLine="1274" w:firstLineChars="531"/>
        <w:rPr>
          <w:rFonts w:asciiTheme="minorEastAsia" w:hAnsiTheme="minorEastAsia" w:eastAsiaTheme="minorEastAsia"/>
          <w:bCs/>
          <w:sz w:val="24"/>
        </w:rPr>
      </w:pPr>
      <w:r>
        <w:rPr>
          <w:rFonts w:asciiTheme="minorEastAsia" w:hAnsiTheme="minorEastAsia" w:eastAsiaTheme="minorEastAsia"/>
          <w:bCs/>
          <w:sz w:val="24"/>
        </w:rPr>
        <w:t>W</w:t>
      </w:r>
      <w:r>
        <w:rPr>
          <w:rFonts w:hint="eastAsia" w:asciiTheme="minorEastAsia" w:hAnsiTheme="minorEastAsia" w:eastAsiaTheme="minorEastAsia"/>
          <w:bCs/>
          <w:sz w:val="24"/>
        </w:rPr>
        <w:t>：汽车载重量，吨；</w:t>
      </w:r>
    </w:p>
    <w:p>
      <w:pPr>
        <w:pStyle w:val="20"/>
        <w:adjustRightInd w:val="0"/>
        <w:snapToGrid w:val="0"/>
        <w:spacing w:after="0" w:line="360" w:lineRule="auto"/>
        <w:ind w:firstLine="1274" w:firstLineChars="531"/>
        <w:rPr>
          <w:rFonts w:asciiTheme="minorEastAsia" w:hAnsiTheme="minorEastAsia" w:eastAsiaTheme="minorEastAsia"/>
          <w:bCs/>
          <w:sz w:val="24"/>
        </w:rPr>
      </w:pPr>
      <w:r>
        <w:rPr>
          <w:rFonts w:asciiTheme="minorEastAsia" w:hAnsiTheme="minorEastAsia" w:eastAsiaTheme="minorEastAsia"/>
          <w:bCs/>
          <w:sz w:val="24"/>
        </w:rPr>
        <w:t>P</w:t>
      </w:r>
      <w:r>
        <w:rPr>
          <w:rFonts w:hint="eastAsia" w:asciiTheme="minorEastAsia" w:hAnsiTheme="minorEastAsia" w:eastAsiaTheme="minorEastAsia"/>
          <w:bCs/>
          <w:sz w:val="24"/>
        </w:rPr>
        <w:t>：道路表面粉尘量，</w:t>
      </w:r>
      <w:r>
        <w:rPr>
          <w:rFonts w:asciiTheme="minorEastAsia" w:hAnsiTheme="minorEastAsia" w:eastAsiaTheme="minorEastAsia"/>
          <w:bCs/>
          <w:sz w:val="24"/>
        </w:rPr>
        <w:t>kg/m</w:t>
      </w:r>
      <w:r>
        <w:rPr>
          <w:rFonts w:asciiTheme="minorEastAsia" w:hAnsiTheme="minorEastAsia" w:eastAsiaTheme="minorEastAsia"/>
          <w:bCs/>
          <w:sz w:val="24"/>
          <w:vertAlign w:val="superscript"/>
        </w:rPr>
        <w:t>2</w:t>
      </w:r>
      <w:r>
        <w:rPr>
          <w:rFonts w:hint="eastAsia" w:asciiTheme="minorEastAsia" w:hAnsiTheme="minorEastAsia" w:eastAsiaTheme="minorEastAsia"/>
          <w:bCs/>
          <w:sz w:val="24"/>
        </w:rPr>
        <w:t>。</w:t>
      </w:r>
    </w:p>
    <w:p>
      <w:pPr>
        <w:pStyle w:val="20"/>
        <w:snapToGrid w:val="0"/>
        <w:spacing w:line="360" w:lineRule="auto"/>
        <w:ind w:firstLine="480" w:firstLineChars="200"/>
        <w:rPr>
          <w:rFonts w:eastAsiaTheme="minorEastAsia"/>
          <w:bCs/>
          <w:sz w:val="24"/>
        </w:rPr>
      </w:pPr>
      <w:r>
        <w:rPr>
          <w:rFonts w:eastAsiaTheme="minorEastAsia"/>
          <w:bCs/>
          <w:sz w:val="24"/>
        </w:rPr>
        <w:t>填埋场内道路1km，平均每天发车空、重载各2 辆次</w:t>
      </w:r>
      <w:r>
        <w:rPr>
          <w:rFonts w:hint="eastAsia" w:eastAsiaTheme="minorEastAsia"/>
          <w:bCs/>
          <w:sz w:val="24"/>
        </w:rPr>
        <w:t>计</w:t>
      </w:r>
      <w:r>
        <w:rPr>
          <w:rFonts w:eastAsiaTheme="minorEastAsia"/>
          <w:bCs/>
          <w:sz w:val="24"/>
        </w:rPr>
        <w:t>；空车重约6.5t，载重量约15.0t，以速度20km/h行驶，本项目采用封闭式自卸卡车运输，场区道路为混凝土路面，路况较好，同时填埋场配备洒水车，设置专人负责定期洒水并清扫，在大风日加大洒水频次。道路路况</w:t>
      </w:r>
      <w:r>
        <w:rPr>
          <w:rFonts w:hint="eastAsia" w:eastAsiaTheme="minorEastAsia"/>
          <w:bCs/>
          <w:sz w:val="24"/>
        </w:rPr>
        <w:t>起尘量P</w:t>
      </w:r>
      <w:r>
        <w:rPr>
          <w:rFonts w:eastAsiaTheme="minorEastAsia"/>
          <w:bCs/>
          <w:sz w:val="24"/>
        </w:rPr>
        <w:t>以0.01kg/m</w:t>
      </w:r>
      <w:r>
        <w:rPr>
          <w:rFonts w:eastAsiaTheme="minorEastAsia"/>
          <w:bCs/>
          <w:sz w:val="24"/>
          <w:vertAlign w:val="superscript"/>
        </w:rPr>
        <w:t>2</w:t>
      </w:r>
      <w:r>
        <w:rPr>
          <w:rFonts w:eastAsiaTheme="minorEastAsia"/>
          <w:bCs/>
          <w:sz w:val="24"/>
        </w:rPr>
        <w:t xml:space="preserve"> 计，则</w:t>
      </w:r>
      <w:r>
        <w:rPr>
          <w:rFonts w:hint="eastAsia" w:eastAsiaTheme="minorEastAsia"/>
          <w:bCs/>
          <w:sz w:val="24"/>
        </w:rPr>
        <w:t>每天产生扬尘量约</w:t>
      </w:r>
      <w:r>
        <w:rPr>
          <w:rFonts w:eastAsiaTheme="minorEastAsia"/>
          <w:bCs/>
          <w:sz w:val="24"/>
        </w:rPr>
        <w:t>0.153</w:t>
      </w:r>
      <w:r>
        <w:rPr>
          <w:rFonts w:hint="eastAsia" w:eastAsiaTheme="minorEastAsia"/>
          <w:bCs/>
          <w:sz w:val="24"/>
        </w:rPr>
        <w:t>kg</w:t>
      </w:r>
      <w:r>
        <w:rPr>
          <w:rFonts w:eastAsiaTheme="minorEastAsia"/>
          <w:bCs/>
          <w:sz w:val="24"/>
        </w:rPr>
        <w:t>/</w:t>
      </w:r>
      <w:r>
        <w:rPr>
          <w:rFonts w:hint="eastAsia" w:eastAsiaTheme="minorEastAsia"/>
          <w:bCs/>
          <w:sz w:val="24"/>
        </w:rPr>
        <w:t>d。每年按3</w:t>
      </w:r>
      <w:r>
        <w:rPr>
          <w:rFonts w:eastAsiaTheme="minorEastAsia"/>
          <w:bCs/>
          <w:sz w:val="24"/>
        </w:rPr>
        <w:t>65</w:t>
      </w:r>
      <w:r>
        <w:rPr>
          <w:rFonts w:hint="eastAsia" w:eastAsiaTheme="minorEastAsia"/>
          <w:bCs/>
          <w:sz w:val="24"/>
        </w:rPr>
        <w:t>天计，产生扬尘量约0</w:t>
      </w:r>
      <w:r>
        <w:rPr>
          <w:rFonts w:eastAsiaTheme="minorEastAsia"/>
          <w:bCs/>
          <w:sz w:val="24"/>
        </w:rPr>
        <w:t>.056</w:t>
      </w:r>
      <w:r>
        <w:rPr>
          <w:rFonts w:hint="eastAsia" w:eastAsiaTheme="minorEastAsia"/>
          <w:bCs/>
          <w:sz w:val="24"/>
        </w:rPr>
        <w:t xml:space="preserve"> t</w:t>
      </w:r>
      <w:r>
        <w:rPr>
          <w:rFonts w:eastAsiaTheme="minorEastAsia"/>
          <w:bCs/>
          <w:sz w:val="24"/>
        </w:rPr>
        <w:t>/</w:t>
      </w:r>
      <w:r>
        <w:rPr>
          <w:rFonts w:hint="eastAsia" w:eastAsiaTheme="minorEastAsia"/>
          <w:bCs/>
          <w:sz w:val="24"/>
        </w:rPr>
        <w:t>a。</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填埋气</w:t>
      </w:r>
    </w:p>
    <w:p>
      <w:pPr>
        <w:pStyle w:val="20"/>
        <w:adjustRightInd w:val="0"/>
        <w:snapToGrid w:val="0"/>
        <w:spacing w:after="0"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飞灰填埋场的填埋物为固化飞灰，有机物含量极少，基本不产生填埋气体。</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填埋机械尾气</w:t>
      </w:r>
    </w:p>
    <w:p>
      <w:pPr>
        <w:pStyle w:val="20"/>
        <w:adjustRightInd w:val="0"/>
        <w:snapToGrid w:val="0"/>
        <w:spacing w:after="0" w:line="360" w:lineRule="auto"/>
        <w:ind w:firstLine="480" w:firstLineChars="200"/>
        <w:rPr>
          <w:bCs/>
          <w:sz w:val="24"/>
        </w:rPr>
      </w:pPr>
      <w:r>
        <w:rPr>
          <w:rFonts w:hint="eastAsia"/>
          <w:bCs/>
          <w:sz w:val="24"/>
        </w:rPr>
        <w:t>填埋作业时车辆尾气主要来自推土机和叉车。</w:t>
      </w:r>
      <w:r>
        <w:rPr>
          <w:bCs/>
          <w:sz w:val="24"/>
        </w:rPr>
        <w:t>机械废气排放属于无组织排放，排放量较少</w:t>
      </w:r>
      <w:r>
        <w:rPr>
          <w:rFonts w:hint="eastAsia"/>
          <w:bCs/>
          <w:sz w:val="24"/>
        </w:rPr>
        <w:t>。以上海</w:t>
      </w:r>
      <w:r>
        <w:rPr>
          <w:bCs/>
          <w:sz w:val="24"/>
        </w:rPr>
        <w:t>120</w:t>
      </w:r>
      <w:r>
        <w:rPr>
          <w:rFonts w:hint="eastAsia"/>
          <w:bCs/>
          <w:sz w:val="24"/>
        </w:rPr>
        <w:t>型推土机为例，耗油量为</w:t>
      </w:r>
      <w:r>
        <w:rPr>
          <w:bCs/>
          <w:sz w:val="24"/>
        </w:rPr>
        <w:t>158g/min</w:t>
      </w:r>
      <w:r>
        <w:rPr>
          <w:rFonts w:hint="eastAsia"/>
          <w:bCs/>
          <w:sz w:val="24"/>
        </w:rPr>
        <w:t>。如考虑</w:t>
      </w:r>
      <w:r>
        <w:rPr>
          <w:bCs/>
          <w:sz w:val="24"/>
        </w:rPr>
        <w:t>1</w:t>
      </w:r>
      <w:r>
        <w:rPr>
          <w:rFonts w:hint="eastAsia"/>
          <w:bCs/>
          <w:sz w:val="24"/>
        </w:rPr>
        <w:t>台推土机和</w:t>
      </w:r>
      <w:r>
        <w:rPr>
          <w:bCs/>
          <w:sz w:val="24"/>
        </w:rPr>
        <w:t>1</w:t>
      </w:r>
      <w:r>
        <w:rPr>
          <w:rFonts w:hint="eastAsia"/>
          <w:bCs/>
          <w:sz w:val="24"/>
        </w:rPr>
        <w:t>台叉车同时工作，叉车耗油量与推土机相当，则工作耗油量为</w:t>
      </w:r>
      <w:r>
        <w:rPr>
          <w:bCs/>
          <w:sz w:val="24"/>
        </w:rPr>
        <w:t>19.0kg/h</w:t>
      </w:r>
      <w:r>
        <w:rPr>
          <w:rFonts w:hint="eastAsia"/>
          <w:bCs/>
          <w:sz w:val="24"/>
        </w:rPr>
        <w:t>，</w:t>
      </w:r>
      <w:r>
        <w:rPr>
          <w:bCs/>
          <w:sz w:val="24"/>
        </w:rPr>
        <w:t>CO</w:t>
      </w:r>
      <w:r>
        <w:rPr>
          <w:rFonts w:hint="eastAsia"/>
          <w:bCs/>
          <w:sz w:val="24"/>
        </w:rPr>
        <w:t>排放量为</w:t>
      </w:r>
      <w:r>
        <w:rPr>
          <w:bCs/>
          <w:sz w:val="24"/>
        </w:rPr>
        <w:t>532g/h</w:t>
      </w:r>
      <w:r>
        <w:rPr>
          <w:rFonts w:hint="eastAsia"/>
          <w:bCs/>
          <w:sz w:val="24"/>
        </w:rPr>
        <w:t>，</w:t>
      </w:r>
      <w:r>
        <w:rPr>
          <w:bCs/>
          <w:sz w:val="24"/>
        </w:rPr>
        <w:t>CH</w:t>
      </w:r>
      <w:r>
        <w:rPr>
          <w:rFonts w:hint="eastAsia"/>
          <w:bCs/>
          <w:sz w:val="24"/>
        </w:rPr>
        <w:t>排放量为</w:t>
      </w:r>
      <w:r>
        <w:rPr>
          <w:bCs/>
          <w:sz w:val="24"/>
        </w:rPr>
        <w:t>171g/h</w:t>
      </w:r>
      <w:r>
        <w:rPr>
          <w:rFonts w:hint="eastAsia"/>
          <w:bCs/>
          <w:sz w:val="24"/>
        </w:rPr>
        <w:t>，</w:t>
      </w:r>
      <w:r>
        <w:rPr>
          <w:bCs/>
          <w:sz w:val="24"/>
        </w:rPr>
        <w:t>NOx</w:t>
      </w:r>
      <w:r>
        <w:rPr>
          <w:rFonts w:hint="eastAsia"/>
          <w:bCs/>
          <w:sz w:val="24"/>
        </w:rPr>
        <w:t>排放量为</w:t>
      </w:r>
      <w:r>
        <w:rPr>
          <w:bCs/>
          <w:sz w:val="24"/>
        </w:rPr>
        <w:t>775g/h</w:t>
      </w:r>
      <w:r>
        <w:rPr>
          <w:rFonts w:hint="eastAsia"/>
          <w:bCs/>
          <w:sz w:val="24"/>
        </w:rPr>
        <w:t>，烟尘的排放量为</w:t>
      </w:r>
      <w:r>
        <w:rPr>
          <w:bCs/>
          <w:sz w:val="24"/>
        </w:rPr>
        <w:t>62g/h</w:t>
      </w:r>
      <w:r>
        <w:rPr>
          <w:rFonts w:hint="eastAsia"/>
          <w:bCs/>
          <w:sz w:val="24"/>
        </w:rPr>
        <w:t>。排放浓度为：</w:t>
      </w:r>
      <w:r>
        <w:rPr>
          <w:bCs/>
          <w:sz w:val="24"/>
        </w:rPr>
        <w:t>NOx 排放浓度＜0.12mg/m</w:t>
      </w:r>
      <w:r>
        <w:rPr>
          <w:bCs/>
          <w:sz w:val="24"/>
          <w:vertAlign w:val="superscript"/>
        </w:rPr>
        <w:t>3</w:t>
      </w:r>
      <w:r>
        <w:rPr>
          <w:bCs/>
          <w:sz w:val="24"/>
        </w:rPr>
        <w:t>、CO 排放浓度＜3.0mg/m</w:t>
      </w:r>
      <w:r>
        <w:rPr>
          <w:bCs/>
          <w:sz w:val="24"/>
          <w:vertAlign w:val="superscript"/>
        </w:rPr>
        <w:t>3</w:t>
      </w:r>
      <w:r>
        <w:rPr>
          <w:bCs/>
          <w:sz w:val="24"/>
        </w:rPr>
        <w:t>， HC排放浓度＜2.0mg/m</w:t>
      </w:r>
      <w:r>
        <w:rPr>
          <w:bCs/>
          <w:sz w:val="24"/>
          <w:vertAlign w:val="superscript"/>
        </w:rPr>
        <w:t>3</w:t>
      </w:r>
      <w:r>
        <w:rPr>
          <w:bCs/>
          <w:sz w:val="24"/>
        </w:rPr>
        <w:t>。</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恶臭气体</w:t>
      </w:r>
    </w:p>
    <w:p>
      <w:pPr>
        <w:pStyle w:val="20"/>
        <w:adjustRightInd w:val="0"/>
        <w:snapToGrid w:val="0"/>
        <w:spacing w:after="0" w:line="360" w:lineRule="auto"/>
        <w:ind w:firstLine="480" w:firstLineChars="200"/>
        <w:rPr>
          <w:bCs/>
          <w:sz w:val="24"/>
        </w:rPr>
      </w:pPr>
      <w:r>
        <w:rPr>
          <w:rFonts w:hint="eastAsia"/>
          <w:bCs/>
          <w:sz w:val="24"/>
        </w:rPr>
        <w:t>（1）渗滤液处理车间恶臭</w:t>
      </w:r>
    </w:p>
    <w:p>
      <w:pPr>
        <w:pStyle w:val="20"/>
        <w:adjustRightInd w:val="0"/>
        <w:snapToGrid w:val="0"/>
        <w:spacing w:after="0" w:line="360" w:lineRule="auto"/>
        <w:ind w:firstLine="480" w:firstLineChars="200"/>
        <w:rPr>
          <w:bCs/>
          <w:sz w:val="24"/>
        </w:rPr>
      </w:pPr>
      <w:r>
        <w:rPr>
          <w:rFonts w:hint="eastAsia"/>
          <w:bCs/>
          <w:sz w:val="24"/>
        </w:rPr>
        <w:t>本项目填埋物为</w:t>
      </w:r>
      <w:r>
        <w:rPr>
          <w:rFonts w:hint="eastAsia" w:asciiTheme="minorEastAsia" w:hAnsiTheme="minorEastAsia" w:eastAsiaTheme="minorEastAsia"/>
          <w:bCs/>
          <w:sz w:val="24"/>
        </w:rPr>
        <w:t>生活垃圾经高温焚烧后产生的</w:t>
      </w:r>
      <w:r>
        <w:rPr>
          <w:rFonts w:hint="eastAsia"/>
          <w:bCs/>
          <w:sz w:val="24"/>
        </w:rPr>
        <w:t>固化后飞灰，其中</w:t>
      </w:r>
      <w:r>
        <w:rPr>
          <w:rFonts w:hint="eastAsia" w:asciiTheme="minorEastAsia" w:hAnsiTheme="minorEastAsia" w:eastAsiaTheme="minorEastAsia"/>
          <w:bCs/>
          <w:sz w:val="24"/>
        </w:rPr>
        <w:t>含有的有机物基本燃尽，其渗滤液可生化性极差，本项目采用“絮凝沉淀”预处理，因此在渗滤液处理过程中基本产生的恶臭气体极少。</w:t>
      </w:r>
      <w:r>
        <w:rPr>
          <w:rFonts w:hint="eastAsia"/>
          <w:bCs/>
          <w:sz w:val="24"/>
        </w:rPr>
        <w:t>本评价不进行定量分析。</w:t>
      </w:r>
    </w:p>
    <w:p>
      <w:pPr>
        <w:pStyle w:val="20"/>
        <w:adjustRightInd w:val="0"/>
        <w:snapToGrid w:val="0"/>
        <w:spacing w:after="0" w:line="360" w:lineRule="auto"/>
        <w:ind w:firstLine="480" w:firstLineChars="200"/>
        <w:rPr>
          <w:bCs/>
          <w:sz w:val="24"/>
        </w:rPr>
      </w:pPr>
      <w:r>
        <w:rPr>
          <w:rFonts w:hint="eastAsia"/>
          <w:bCs/>
          <w:sz w:val="24"/>
        </w:rPr>
        <w:t>（2）调节池恶臭气体</w:t>
      </w:r>
    </w:p>
    <w:p>
      <w:pPr>
        <w:pStyle w:val="20"/>
        <w:adjustRightInd w:val="0"/>
        <w:snapToGrid w:val="0"/>
        <w:spacing w:after="0" w:line="360" w:lineRule="auto"/>
        <w:ind w:firstLine="480" w:firstLineChars="200"/>
        <w:rPr>
          <w:bCs/>
          <w:sz w:val="24"/>
        </w:rPr>
      </w:pPr>
      <w:r>
        <w:rPr>
          <w:rFonts w:hint="eastAsia"/>
          <w:bCs/>
          <w:sz w:val="24"/>
        </w:rPr>
        <w:t>本项目配套建设容积为</w:t>
      </w:r>
      <w:r>
        <w:rPr>
          <w:bCs/>
          <w:sz w:val="24"/>
        </w:rPr>
        <w:t>3000m</w:t>
      </w:r>
      <w:r>
        <w:rPr>
          <w:bCs/>
          <w:sz w:val="24"/>
          <w:vertAlign w:val="superscript"/>
        </w:rPr>
        <w:t>3</w:t>
      </w:r>
      <w:r>
        <w:rPr>
          <w:rFonts w:hint="eastAsia"/>
          <w:bCs/>
          <w:sz w:val="24"/>
        </w:rPr>
        <w:t>的调节池，用于收集填埋区渗滤液。本项目填埋物为固化飞灰，产生的渗滤液污染因子主要为重金属和悬浮物，恶臭气体产生量较少，同时，调节池通过加盖后可以有效减少恶臭气体的散发，本评价不对调节池废水恶臭气体进行定量分析。</w:t>
      </w:r>
    </w:p>
    <w:p>
      <w:pPr>
        <w:pStyle w:val="62"/>
        <w:numPr>
          <w:ilvl w:val="3"/>
          <w:numId w:val="5"/>
        </w:numPr>
        <w:tabs>
          <w:tab w:val="left" w:pos="851"/>
          <w:tab w:val="clear" w:pos="1021"/>
        </w:tabs>
        <w:spacing w:before="120" w:after="120"/>
        <w:ind w:left="1290" w:hanging="1290" w:hangingChars="459"/>
        <w:outlineLvl w:val="3"/>
        <w:rPr>
          <w:rFonts w:ascii="Times New Roman" w:hAnsi="Times New Roman"/>
        </w:rPr>
      </w:pPr>
      <w:r>
        <w:rPr>
          <w:rFonts w:hint="eastAsia" w:ascii="Times New Roman" w:hAnsi="Times New Roman"/>
        </w:rPr>
        <w:t>废气污染源汇总</w:t>
      </w:r>
    </w:p>
    <w:p>
      <w:pPr>
        <w:pStyle w:val="20"/>
        <w:adjustRightInd w:val="0"/>
        <w:snapToGrid w:val="0"/>
        <w:spacing w:after="0" w:line="360" w:lineRule="auto"/>
        <w:ind w:firstLine="480" w:firstLineChars="200"/>
        <w:rPr>
          <w:bCs/>
          <w:sz w:val="24"/>
        </w:rPr>
      </w:pPr>
      <w:r>
        <w:rPr>
          <w:rFonts w:hint="eastAsia"/>
          <w:bCs/>
          <w:sz w:val="24"/>
        </w:rPr>
        <w:t>项目废气污染源产生、排放情况见表</w:t>
      </w:r>
      <w:r>
        <w:rPr>
          <w:bCs/>
          <w:sz w:val="24"/>
        </w:rPr>
        <w:t>3</w:t>
      </w:r>
      <w:r>
        <w:rPr>
          <w:rFonts w:hint="eastAsia"/>
          <w:bCs/>
          <w:sz w:val="24"/>
        </w:rPr>
        <w:t>.1</w:t>
      </w:r>
      <w:r>
        <w:rPr>
          <w:bCs/>
          <w:sz w:val="24"/>
        </w:rPr>
        <w:t>0</w:t>
      </w:r>
      <w:r>
        <w:rPr>
          <w:rFonts w:hint="eastAsia"/>
          <w:bCs/>
          <w:sz w:val="24"/>
        </w:rPr>
        <w:t>-</w:t>
      </w:r>
      <w:r>
        <w:rPr>
          <w:bCs/>
          <w:sz w:val="24"/>
        </w:rPr>
        <w:t>2</w:t>
      </w:r>
      <w:r>
        <w:rPr>
          <w:rFonts w:hint="eastAsia"/>
          <w:bCs/>
          <w:sz w:val="24"/>
        </w:rPr>
        <w:t>。</w:t>
      </w:r>
    </w:p>
    <w:p>
      <w:pPr>
        <w:pStyle w:val="20"/>
        <w:adjustRightInd w:val="0"/>
        <w:snapToGrid w:val="0"/>
        <w:spacing w:after="0"/>
        <w:jc w:val="center"/>
        <w:rPr>
          <w:b/>
          <w:sz w:val="24"/>
        </w:rPr>
      </w:pPr>
      <w:r>
        <w:rPr>
          <w:rFonts w:hint="eastAsia"/>
          <w:b/>
          <w:sz w:val="24"/>
        </w:rPr>
        <w:t>表</w:t>
      </w:r>
      <w:r>
        <w:rPr>
          <w:b/>
          <w:sz w:val="24"/>
        </w:rPr>
        <w:t xml:space="preserve">3.10-2 </w:t>
      </w:r>
      <w:r>
        <w:rPr>
          <w:rFonts w:hint="eastAsia"/>
          <w:b/>
          <w:sz w:val="24"/>
        </w:rPr>
        <w:t>无组织废气污染源产生排放情况一览表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008"/>
        <w:gridCol w:w="657"/>
        <w:gridCol w:w="754"/>
        <w:gridCol w:w="710"/>
        <w:gridCol w:w="2294"/>
        <w:gridCol w:w="860"/>
        <w:gridCol w:w="704"/>
        <w:gridCol w:w="134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05" w:type="pct"/>
            <w:vMerge w:val="restart"/>
            <w:vAlign w:val="center"/>
          </w:tcPr>
          <w:p>
            <w:pPr>
              <w:adjustRightInd w:val="0"/>
              <w:snapToGrid w:val="0"/>
              <w:jc w:val="center"/>
              <w:rPr>
                <w:rFonts w:eastAsiaTheme="minorEastAsia"/>
              </w:rPr>
            </w:pPr>
            <w:r>
              <w:rPr>
                <w:rFonts w:eastAsiaTheme="minorEastAsia"/>
              </w:rPr>
              <w:t>污染源</w:t>
            </w:r>
          </w:p>
        </w:tc>
        <w:tc>
          <w:tcPr>
            <w:tcW w:w="394" w:type="pct"/>
            <w:vMerge w:val="restart"/>
            <w:vAlign w:val="center"/>
          </w:tcPr>
          <w:p>
            <w:pPr>
              <w:adjustRightInd w:val="0"/>
              <w:snapToGrid w:val="0"/>
              <w:jc w:val="center"/>
              <w:rPr>
                <w:rFonts w:eastAsiaTheme="minorEastAsia"/>
              </w:rPr>
            </w:pPr>
            <w:r>
              <w:rPr>
                <w:rFonts w:eastAsiaTheme="minorEastAsia"/>
              </w:rPr>
              <w:t>污染</w:t>
            </w:r>
          </w:p>
          <w:p>
            <w:pPr>
              <w:adjustRightInd w:val="0"/>
              <w:snapToGrid w:val="0"/>
              <w:jc w:val="center"/>
              <w:rPr>
                <w:rFonts w:eastAsiaTheme="minorEastAsia"/>
              </w:rPr>
            </w:pPr>
            <w:r>
              <w:rPr>
                <w:rFonts w:eastAsiaTheme="minorEastAsia"/>
              </w:rPr>
              <w:t>因子</w:t>
            </w:r>
          </w:p>
        </w:tc>
        <w:tc>
          <w:tcPr>
            <w:tcW w:w="878" w:type="pct"/>
            <w:gridSpan w:val="2"/>
            <w:vAlign w:val="center"/>
          </w:tcPr>
          <w:p>
            <w:pPr>
              <w:adjustRightInd w:val="0"/>
              <w:snapToGrid w:val="0"/>
              <w:jc w:val="center"/>
              <w:rPr>
                <w:rFonts w:eastAsiaTheme="minorEastAsia"/>
              </w:rPr>
            </w:pPr>
            <w:r>
              <w:rPr>
                <w:rFonts w:eastAsiaTheme="minorEastAsia"/>
              </w:rPr>
              <w:t>产生量</w:t>
            </w:r>
          </w:p>
        </w:tc>
        <w:tc>
          <w:tcPr>
            <w:tcW w:w="1376" w:type="pct"/>
            <w:vMerge w:val="restart"/>
            <w:vAlign w:val="center"/>
          </w:tcPr>
          <w:p>
            <w:pPr>
              <w:adjustRightInd w:val="0"/>
              <w:snapToGrid w:val="0"/>
              <w:jc w:val="center"/>
              <w:rPr>
                <w:rFonts w:eastAsiaTheme="minorEastAsia"/>
              </w:rPr>
            </w:pPr>
            <w:r>
              <w:rPr>
                <w:rFonts w:eastAsiaTheme="minorEastAsia"/>
              </w:rPr>
              <w:t>治理措施</w:t>
            </w:r>
          </w:p>
        </w:tc>
        <w:tc>
          <w:tcPr>
            <w:tcW w:w="938" w:type="pct"/>
            <w:gridSpan w:val="2"/>
            <w:vAlign w:val="center"/>
          </w:tcPr>
          <w:p>
            <w:pPr>
              <w:adjustRightInd w:val="0"/>
              <w:snapToGrid w:val="0"/>
              <w:jc w:val="center"/>
              <w:rPr>
                <w:rFonts w:eastAsiaTheme="minorEastAsia"/>
              </w:rPr>
            </w:pPr>
            <w:r>
              <w:rPr>
                <w:rFonts w:eastAsiaTheme="minorEastAsia"/>
              </w:rPr>
              <w:t>排放量</w:t>
            </w:r>
          </w:p>
        </w:tc>
        <w:tc>
          <w:tcPr>
            <w:tcW w:w="809" w:type="pct"/>
            <w:vMerge w:val="restart"/>
            <w:vAlign w:val="center"/>
          </w:tcPr>
          <w:p>
            <w:pPr>
              <w:adjustRightInd w:val="0"/>
              <w:snapToGrid w:val="0"/>
              <w:jc w:val="center"/>
              <w:rPr>
                <w:rFonts w:eastAsiaTheme="minorEastAsia"/>
              </w:rPr>
            </w:pPr>
            <w:r>
              <w:rPr>
                <w:rFonts w:eastAsiaTheme="minorEastAsia"/>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05" w:type="pct"/>
            <w:vMerge w:val="continue"/>
            <w:vAlign w:val="center"/>
          </w:tcPr>
          <w:p>
            <w:pPr>
              <w:adjustRightInd w:val="0"/>
              <w:snapToGrid w:val="0"/>
              <w:jc w:val="center"/>
              <w:rPr>
                <w:rFonts w:eastAsiaTheme="minorEastAsia"/>
              </w:rPr>
            </w:pPr>
          </w:p>
        </w:tc>
        <w:tc>
          <w:tcPr>
            <w:tcW w:w="394" w:type="pct"/>
            <w:vMerge w:val="continue"/>
            <w:vAlign w:val="center"/>
          </w:tcPr>
          <w:p>
            <w:pPr>
              <w:adjustRightInd w:val="0"/>
              <w:snapToGrid w:val="0"/>
              <w:jc w:val="center"/>
              <w:rPr>
                <w:rFonts w:eastAsiaTheme="minorEastAsia"/>
              </w:rPr>
            </w:pPr>
          </w:p>
        </w:tc>
        <w:tc>
          <w:tcPr>
            <w:tcW w:w="452" w:type="pct"/>
            <w:vAlign w:val="center"/>
          </w:tcPr>
          <w:p>
            <w:pPr>
              <w:adjustRightInd w:val="0"/>
              <w:snapToGrid w:val="0"/>
              <w:jc w:val="center"/>
              <w:rPr>
                <w:rFonts w:eastAsiaTheme="minorEastAsia"/>
              </w:rPr>
            </w:pPr>
            <w:r>
              <w:rPr>
                <w:rFonts w:eastAsiaTheme="minorEastAsia"/>
              </w:rPr>
              <w:t>小时kg/h</w:t>
            </w:r>
          </w:p>
        </w:tc>
        <w:tc>
          <w:tcPr>
            <w:tcW w:w="426" w:type="pct"/>
            <w:vAlign w:val="center"/>
          </w:tcPr>
          <w:p>
            <w:pPr>
              <w:adjustRightInd w:val="0"/>
              <w:snapToGrid w:val="0"/>
              <w:jc w:val="center"/>
              <w:rPr>
                <w:rFonts w:eastAsiaTheme="minorEastAsia"/>
              </w:rPr>
            </w:pPr>
            <w:r>
              <w:rPr>
                <w:rFonts w:eastAsiaTheme="minorEastAsia"/>
              </w:rPr>
              <w:t>全年</w:t>
            </w:r>
          </w:p>
          <w:p>
            <w:pPr>
              <w:adjustRightInd w:val="0"/>
              <w:snapToGrid w:val="0"/>
              <w:jc w:val="center"/>
              <w:rPr>
                <w:rFonts w:eastAsiaTheme="minorEastAsia"/>
              </w:rPr>
            </w:pPr>
            <w:r>
              <w:rPr>
                <w:rFonts w:eastAsiaTheme="minorEastAsia"/>
              </w:rPr>
              <w:t>t/a</w:t>
            </w:r>
          </w:p>
        </w:tc>
        <w:tc>
          <w:tcPr>
            <w:tcW w:w="1376" w:type="pct"/>
            <w:vMerge w:val="continue"/>
            <w:vAlign w:val="center"/>
          </w:tcPr>
          <w:p>
            <w:pPr>
              <w:adjustRightInd w:val="0"/>
              <w:snapToGrid w:val="0"/>
              <w:jc w:val="center"/>
              <w:rPr>
                <w:rFonts w:eastAsiaTheme="minorEastAsia"/>
              </w:rPr>
            </w:pPr>
          </w:p>
        </w:tc>
        <w:tc>
          <w:tcPr>
            <w:tcW w:w="516" w:type="pct"/>
            <w:vAlign w:val="center"/>
          </w:tcPr>
          <w:p>
            <w:pPr>
              <w:adjustRightInd w:val="0"/>
              <w:snapToGrid w:val="0"/>
              <w:jc w:val="center"/>
              <w:rPr>
                <w:rFonts w:eastAsiaTheme="minorEastAsia"/>
              </w:rPr>
            </w:pPr>
            <w:r>
              <w:rPr>
                <w:rFonts w:eastAsiaTheme="minorEastAsia"/>
              </w:rPr>
              <w:t>小时</w:t>
            </w:r>
          </w:p>
          <w:p>
            <w:pPr>
              <w:adjustRightInd w:val="0"/>
              <w:snapToGrid w:val="0"/>
              <w:jc w:val="center"/>
              <w:rPr>
                <w:rFonts w:eastAsiaTheme="minorEastAsia"/>
              </w:rPr>
            </w:pPr>
            <w:r>
              <w:rPr>
                <w:rFonts w:eastAsiaTheme="minorEastAsia"/>
              </w:rPr>
              <w:t>kg/h</w:t>
            </w:r>
          </w:p>
        </w:tc>
        <w:tc>
          <w:tcPr>
            <w:tcW w:w="422" w:type="pct"/>
            <w:vAlign w:val="center"/>
          </w:tcPr>
          <w:p>
            <w:pPr>
              <w:adjustRightInd w:val="0"/>
              <w:snapToGrid w:val="0"/>
              <w:jc w:val="center"/>
              <w:rPr>
                <w:rFonts w:eastAsiaTheme="minorEastAsia"/>
              </w:rPr>
            </w:pPr>
            <w:r>
              <w:rPr>
                <w:rFonts w:eastAsiaTheme="minorEastAsia"/>
              </w:rPr>
              <w:t>全年</w:t>
            </w:r>
          </w:p>
          <w:p>
            <w:pPr>
              <w:adjustRightInd w:val="0"/>
              <w:snapToGrid w:val="0"/>
              <w:jc w:val="center"/>
              <w:rPr>
                <w:rFonts w:eastAsiaTheme="minorEastAsia"/>
              </w:rPr>
            </w:pPr>
            <w:r>
              <w:rPr>
                <w:rFonts w:eastAsiaTheme="minorEastAsia"/>
              </w:rPr>
              <w:t>t/a</w:t>
            </w:r>
          </w:p>
        </w:tc>
        <w:tc>
          <w:tcPr>
            <w:tcW w:w="809" w:type="pct"/>
            <w:vMerge w:val="continue"/>
            <w:vAlign w:val="center"/>
          </w:tcPr>
          <w:p>
            <w:pPr>
              <w:adjustRightInd w:val="0"/>
              <w:snapToGrid w:val="0"/>
              <w:jc w:val="center"/>
              <w:rPr>
                <w:rFonts w:eastAsiaTheme="minorEastAsia"/>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05" w:type="pct"/>
            <w:vAlign w:val="center"/>
          </w:tcPr>
          <w:p>
            <w:pPr>
              <w:adjustRightInd w:val="0"/>
              <w:snapToGrid w:val="0"/>
              <w:jc w:val="center"/>
              <w:rPr>
                <w:rFonts w:eastAsiaTheme="minorEastAsia"/>
              </w:rPr>
            </w:pPr>
            <w:r>
              <w:rPr>
                <w:rFonts w:eastAsiaTheme="minorEastAsia"/>
              </w:rPr>
              <w:t>飞灰填埋作业</w:t>
            </w:r>
          </w:p>
        </w:tc>
        <w:tc>
          <w:tcPr>
            <w:tcW w:w="394" w:type="pct"/>
            <w:vAlign w:val="center"/>
          </w:tcPr>
          <w:p>
            <w:pPr>
              <w:adjustRightInd w:val="0"/>
              <w:snapToGrid w:val="0"/>
              <w:jc w:val="center"/>
              <w:rPr>
                <w:rFonts w:eastAsiaTheme="minorEastAsia"/>
              </w:rPr>
            </w:pPr>
            <w:r>
              <w:rPr>
                <w:rFonts w:eastAsiaTheme="minorEastAsia"/>
              </w:rPr>
              <w:t>颗粒物</w:t>
            </w:r>
          </w:p>
        </w:tc>
        <w:tc>
          <w:tcPr>
            <w:tcW w:w="452" w:type="pct"/>
            <w:vAlign w:val="center"/>
          </w:tcPr>
          <w:p>
            <w:pPr>
              <w:adjustRightInd w:val="0"/>
              <w:snapToGrid w:val="0"/>
              <w:jc w:val="center"/>
              <w:rPr>
                <w:rFonts w:eastAsiaTheme="minorEastAsia"/>
              </w:rPr>
            </w:pPr>
            <w:r>
              <w:rPr>
                <w:rFonts w:eastAsiaTheme="minorEastAsia"/>
              </w:rPr>
              <w:t>0.003</w:t>
            </w:r>
          </w:p>
        </w:tc>
        <w:tc>
          <w:tcPr>
            <w:tcW w:w="426" w:type="pct"/>
            <w:vAlign w:val="center"/>
          </w:tcPr>
          <w:p>
            <w:pPr>
              <w:adjustRightInd w:val="0"/>
              <w:snapToGrid w:val="0"/>
              <w:jc w:val="center"/>
              <w:rPr>
                <w:rFonts w:eastAsiaTheme="minorEastAsia"/>
              </w:rPr>
            </w:pPr>
            <w:r>
              <w:rPr>
                <w:rFonts w:hint="eastAsia" w:eastAsiaTheme="minorEastAsia"/>
              </w:rPr>
              <w:t>0</w:t>
            </w:r>
            <w:r>
              <w:rPr>
                <w:rFonts w:eastAsiaTheme="minorEastAsia"/>
              </w:rPr>
              <w:t>.0011</w:t>
            </w:r>
          </w:p>
        </w:tc>
        <w:tc>
          <w:tcPr>
            <w:tcW w:w="1376" w:type="pct"/>
            <w:vAlign w:val="center"/>
          </w:tcPr>
          <w:p>
            <w:pPr>
              <w:adjustRightInd w:val="0"/>
              <w:snapToGrid w:val="0"/>
              <w:jc w:val="center"/>
              <w:rPr>
                <w:rFonts w:eastAsiaTheme="minorEastAsia"/>
              </w:rPr>
            </w:pPr>
            <w:r>
              <w:rPr>
                <w:rFonts w:eastAsiaTheme="minorEastAsia"/>
              </w:rPr>
              <w:t>及时遮盖、洒水降尘，抑尘率80%</w:t>
            </w:r>
          </w:p>
        </w:tc>
        <w:tc>
          <w:tcPr>
            <w:tcW w:w="516" w:type="pct"/>
            <w:shd w:val="clear" w:color="auto" w:fill="auto"/>
            <w:vAlign w:val="center"/>
          </w:tcPr>
          <w:p>
            <w:pPr>
              <w:adjustRightInd w:val="0"/>
              <w:snapToGrid w:val="0"/>
              <w:jc w:val="center"/>
              <w:rPr>
                <w:rFonts w:eastAsiaTheme="minorEastAsia"/>
              </w:rPr>
            </w:pPr>
            <w:r>
              <w:rPr>
                <w:rFonts w:eastAsia="等线"/>
                <w:szCs w:val="21"/>
              </w:rPr>
              <w:t>0.0006</w:t>
            </w:r>
          </w:p>
        </w:tc>
        <w:tc>
          <w:tcPr>
            <w:tcW w:w="422" w:type="pct"/>
            <w:shd w:val="clear" w:color="auto" w:fill="auto"/>
            <w:vAlign w:val="center"/>
          </w:tcPr>
          <w:p>
            <w:pPr>
              <w:adjustRightInd w:val="0"/>
              <w:snapToGrid w:val="0"/>
              <w:jc w:val="center"/>
              <w:rPr>
                <w:rFonts w:eastAsiaTheme="minorEastAsia"/>
              </w:rPr>
            </w:pPr>
            <w:r>
              <w:rPr>
                <w:rFonts w:eastAsia="等线"/>
                <w:szCs w:val="21"/>
              </w:rPr>
              <w:t>0.00022</w:t>
            </w:r>
          </w:p>
        </w:tc>
        <w:tc>
          <w:tcPr>
            <w:tcW w:w="809" w:type="pct"/>
            <w:vAlign w:val="center"/>
          </w:tcPr>
          <w:p>
            <w:pPr>
              <w:adjustRightInd w:val="0"/>
              <w:snapToGrid w:val="0"/>
              <w:jc w:val="center"/>
              <w:rPr>
                <w:rFonts w:eastAsiaTheme="minorEastAsia"/>
              </w:rPr>
            </w:pPr>
            <w:r>
              <w:rPr>
                <w:rFonts w:eastAsiaTheme="minorEastAsia"/>
              </w:rPr>
              <w:t>每天1h，365天计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05" w:type="pct"/>
            <w:vAlign w:val="center"/>
          </w:tcPr>
          <w:p>
            <w:pPr>
              <w:adjustRightInd w:val="0"/>
              <w:snapToGrid w:val="0"/>
              <w:jc w:val="center"/>
              <w:rPr>
                <w:rFonts w:eastAsiaTheme="minorEastAsia"/>
              </w:rPr>
            </w:pPr>
            <w:r>
              <w:rPr>
                <w:rFonts w:eastAsiaTheme="minorEastAsia"/>
              </w:rPr>
              <w:t>运输车辆</w:t>
            </w:r>
          </w:p>
        </w:tc>
        <w:tc>
          <w:tcPr>
            <w:tcW w:w="394" w:type="pct"/>
            <w:vAlign w:val="center"/>
          </w:tcPr>
          <w:p>
            <w:pPr>
              <w:adjustRightInd w:val="0"/>
              <w:snapToGrid w:val="0"/>
              <w:jc w:val="center"/>
              <w:rPr>
                <w:rFonts w:eastAsiaTheme="minorEastAsia"/>
              </w:rPr>
            </w:pPr>
            <w:r>
              <w:rPr>
                <w:rFonts w:eastAsiaTheme="minorEastAsia"/>
              </w:rPr>
              <w:t>颗粒物</w:t>
            </w:r>
          </w:p>
        </w:tc>
        <w:tc>
          <w:tcPr>
            <w:tcW w:w="452" w:type="pct"/>
            <w:tcBorders>
              <w:top w:val="nil"/>
              <w:left w:val="nil"/>
              <w:bottom w:val="single" w:color="000000" w:sz="8" w:space="0"/>
              <w:right w:val="single" w:color="000000" w:sz="8" w:space="0"/>
            </w:tcBorders>
            <w:shd w:val="clear" w:color="auto" w:fill="auto"/>
            <w:vAlign w:val="center"/>
          </w:tcPr>
          <w:p>
            <w:pPr>
              <w:adjustRightInd w:val="0"/>
              <w:snapToGrid w:val="0"/>
              <w:jc w:val="center"/>
              <w:rPr>
                <w:rFonts w:eastAsiaTheme="minorEastAsia"/>
              </w:rPr>
            </w:pPr>
            <w:r>
              <w:rPr>
                <w:rFonts w:eastAsia="等线"/>
                <w:szCs w:val="21"/>
              </w:rPr>
              <w:t>0.076</w:t>
            </w:r>
          </w:p>
        </w:tc>
        <w:tc>
          <w:tcPr>
            <w:tcW w:w="426" w:type="pct"/>
            <w:tcBorders>
              <w:top w:val="nil"/>
              <w:left w:val="nil"/>
              <w:bottom w:val="single" w:color="000000" w:sz="8" w:space="0"/>
              <w:right w:val="single" w:color="000000" w:sz="8" w:space="0"/>
            </w:tcBorders>
            <w:shd w:val="clear" w:color="auto" w:fill="auto"/>
            <w:vAlign w:val="center"/>
          </w:tcPr>
          <w:p>
            <w:pPr>
              <w:adjustRightInd w:val="0"/>
              <w:snapToGrid w:val="0"/>
              <w:jc w:val="center"/>
              <w:rPr>
                <w:rFonts w:eastAsiaTheme="minorEastAsia"/>
              </w:rPr>
            </w:pPr>
            <w:r>
              <w:rPr>
                <w:rFonts w:eastAsia="等线"/>
                <w:szCs w:val="21"/>
              </w:rPr>
              <w:t>0.112</w:t>
            </w:r>
          </w:p>
        </w:tc>
        <w:tc>
          <w:tcPr>
            <w:tcW w:w="1376" w:type="pct"/>
            <w:vAlign w:val="center"/>
          </w:tcPr>
          <w:p>
            <w:pPr>
              <w:adjustRightInd w:val="0"/>
              <w:snapToGrid w:val="0"/>
              <w:jc w:val="center"/>
              <w:rPr>
                <w:rFonts w:eastAsiaTheme="minorEastAsia"/>
              </w:rPr>
            </w:pPr>
            <w:r>
              <w:rPr>
                <w:rFonts w:eastAsiaTheme="minorEastAsia"/>
              </w:rPr>
              <w:t>洒水降尘</w:t>
            </w:r>
          </w:p>
        </w:tc>
        <w:tc>
          <w:tcPr>
            <w:tcW w:w="516" w:type="pct"/>
            <w:vAlign w:val="center"/>
          </w:tcPr>
          <w:p>
            <w:pPr>
              <w:adjustRightInd w:val="0"/>
              <w:snapToGrid w:val="0"/>
              <w:jc w:val="center"/>
              <w:rPr>
                <w:rFonts w:eastAsiaTheme="minorEastAsia"/>
              </w:rPr>
            </w:pPr>
            <w:r>
              <w:rPr>
                <w:rFonts w:eastAsiaTheme="minorEastAsia"/>
              </w:rPr>
              <w:t>0.038</w:t>
            </w:r>
          </w:p>
        </w:tc>
        <w:tc>
          <w:tcPr>
            <w:tcW w:w="422" w:type="pct"/>
            <w:vAlign w:val="center"/>
          </w:tcPr>
          <w:p>
            <w:pPr>
              <w:adjustRightInd w:val="0"/>
              <w:snapToGrid w:val="0"/>
              <w:jc w:val="center"/>
              <w:rPr>
                <w:rFonts w:eastAsiaTheme="minorEastAsia"/>
              </w:rPr>
            </w:pPr>
            <w:r>
              <w:rPr>
                <w:rFonts w:eastAsiaTheme="minorEastAsia"/>
              </w:rPr>
              <w:t>0.056</w:t>
            </w:r>
          </w:p>
        </w:tc>
        <w:tc>
          <w:tcPr>
            <w:tcW w:w="809" w:type="pct"/>
            <w:vAlign w:val="center"/>
          </w:tcPr>
          <w:p>
            <w:pPr>
              <w:adjustRightInd w:val="0"/>
              <w:snapToGrid w:val="0"/>
              <w:jc w:val="center"/>
              <w:rPr>
                <w:rFonts w:eastAsiaTheme="minorEastAsia"/>
              </w:rPr>
            </w:pPr>
            <w:r>
              <w:rPr>
                <w:rFonts w:hint="eastAsia" w:eastAsiaTheme="minorEastAsia"/>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3253" w:type="pct"/>
            <w:gridSpan w:val="5"/>
            <w:vAlign w:val="center"/>
          </w:tcPr>
          <w:p>
            <w:pPr>
              <w:adjustRightInd w:val="0"/>
              <w:snapToGrid w:val="0"/>
              <w:jc w:val="center"/>
              <w:rPr>
                <w:rFonts w:eastAsiaTheme="minorEastAsia"/>
              </w:rPr>
            </w:pPr>
            <w:r>
              <w:rPr>
                <w:rFonts w:hint="eastAsia" w:eastAsiaTheme="minorEastAsia"/>
              </w:rPr>
              <w:t>合计</w:t>
            </w:r>
          </w:p>
        </w:tc>
        <w:tc>
          <w:tcPr>
            <w:tcW w:w="516" w:type="pct"/>
            <w:shd w:val="clear" w:color="auto" w:fill="auto"/>
            <w:vAlign w:val="center"/>
          </w:tcPr>
          <w:p>
            <w:pPr>
              <w:adjustRightInd w:val="0"/>
              <w:snapToGrid w:val="0"/>
              <w:jc w:val="center"/>
              <w:rPr>
                <w:rFonts w:eastAsia="等线"/>
                <w:szCs w:val="21"/>
              </w:rPr>
            </w:pPr>
            <w:r>
              <w:rPr>
                <w:rFonts w:hint="eastAsia" w:eastAsia="等线"/>
                <w:szCs w:val="21"/>
              </w:rPr>
              <w:t>0.0386</w:t>
            </w:r>
          </w:p>
        </w:tc>
        <w:tc>
          <w:tcPr>
            <w:tcW w:w="422" w:type="pct"/>
            <w:shd w:val="clear" w:color="auto" w:fill="auto"/>
            <w:vAlign w:val="center"/>
          </w:tcPr>
          <w:p>
            <w:pPr>
              <w:adjustRightInd w:val="0"/>
              <w:snapToGrid w:val="0"/>
              <w:jc w:val="center"/>
              <w:rPr>
                <w:rFonts w:eastAsia="等线"/>
                <w:szCs w:val="21"/>
              </w:rPr>
            </w:pPr>
            <w:r>
              <w:rPr>
                <w:rFonts w:hint="eastAsia" w:eastAsia="等线"/>
                <w:szCs w:val="21"/>
              </w:rPr>
              <w:t>0.05622</w:t>
            </w:r>
          </w:p>
        </w:tc>
        <w:tc>
          <w:tcPr>
            <w:tcW w:w="809" w:type="pct"/>
            <w:vAlign w:val="center"/>
          </w:tcPr>
          <w:p>
            <w:pPr>
              <w:adjustRightInd w:val="0"/>
              <w:snapToGrid w:val="0"/>
              <w:jc w:val="center"/>
              <w:rPr>
                <w:rFonts w:eastAsiaTheme="minorEastAsia"/>
              </w:rPr>
            </w:pPr>
          </w:p>
        </w:tc>
      </w:tr>
    </w:tbl>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bookmarkStart w:id="96" w:name="_Toc518025844"/>
      <w:r>
        <w:rPr>
          <w:b/>
          <w:bCs/>
          <w:snapToGrid w:val="0"/>
          <w:sz w:val="28"/>
          <w:szCs w:val="28"/>
        </w:rPr>
        <w:t>废水</w:t>
      </w:r>
      <w:bookmarkEnd w:id="96"/>
      <w:r>
        <w:rPr>
          <w:rFonts w:hint="eastAsia"/>
          <w:b/>
          <w:bCs/>
          <w:snapToGrid w:val="0"/>
          <w:sz w:val="28"/>
          <w:szCs w:val="28"/>
        </w:rPr>
        <w:t>源强分析</w:t>
      </w:r>
    </w:p>
    <w:p>
      <w:pPr>
        <w:pStyle w:val="62"/>
        <w:numPr>
          <w:ilvl w:val="3"/>
          <w:numId w:val="5"/>
        </w:numPr>
        <w:tabs>
          <w:tab w:val="left" w:pos="851"/>
          <w:tab w:val="clear" w:pos="1021"/>
        </w:tabs>
        <w:spacing w:before="0" w:beforeLines="0" w:after="0" w:afterLines="0"/>
        <w:ind w:left="1290" w:hanging="1290" w:hangingChars="459"/>
        <w:outlineLvl w:val="3"/>
        <w:rPr>
          <w:rFonts w:ascii="Times New Roman" w:hAnsi="Times New Roman"/>
        </w:rPr>
      </w:pPr>
      <w:r>
        <w:rPr>
          <w:rFonts w:hint="eastAsia" w:ascii="Times New Roman" w:hAnsi="Times New Roman"/>
        </w:rPr>
        <w:t>废水种类</w:t>
      </w:r>
    </w:p>
    <w:p>
      <w:pPr>
        <w:pStyle w:val="20"/>
        <w:adjustRightInd w:val="0"/>
        <w:snapToGrid w:val="0"/>
        <w:spacing w:after="0" w:line="360" w:lineRule="auto"/>
        <w:ind w:firstLine="480" w:firstLineChars="200"/>
        <w:rPr>
          <w:sz w:val="24"/>
          <w:szCs w:val="24"/>
        </w:rPr>
      </w:pPr>
      <w:r>
        <w:rPr>
          <w:rFonts w:hint="eastAsia"/>
          <w:sz w:val="24"/>
          <w:szCs w:val="24"/>
        </w:rPr>
        <w:t>本项目运营期主要水污染源为生活污水、冲洗废水和填埋区产生的固废渗滤液及初期雨水。</w:t>
      </w:r>
    </w:p>
    <w:p>
      <w:pPr>
        <w:pStyle w:val="20"/>
        <w:adjustRightInd w:val="0"/>
        <w:snapToGrid w:val="0"/>
        <w:spacing w:after="0" w:line="360" w:lineRule="auto"/>
        <w:ind w:firstLine="482" w:firstLineChars="200"/>
        <w:rPr>
          <w:b/>
          <w:bCs/>
          <w:sz w:val="24"/>
          <w:szCs w:val="24"/>
        </w:rPr>
      </w:pPr>
      <w:r>
        <w:rPr>
          <w:rFonts w:hint="eastAsia"/>
          <w:b/>
          <w:bCs/>
          <w:sz w:val="24"/>
          <w:szCs w:val="24"/>
        </w:rPr>
        <w:t>1、生活污水</w:t>
      </w:r>
    </w:p>
    <w:p>
      <w:pPr>
        <w:pStyle w:val="20"/>
        <w:adjustRightInd w:val="0"/>
        <w:snapToGrid w:val="0"/>
        <w:spacing w:after="0" w:line="360" w:lineRule="auto"/>
        <w:ind w:firstLine="480" w:firstLineChars="200"/>
        <w:rPr>
          <w:sz w:val="24"/>
          <w:szCs w:val="24"/>
        </w:rPr>
      </w:pPr>
      <w:r>
        <w:rPr>
          <w:rFonts w:hint="eastAsia"/>
          <w:sz w:val="24"/>
          <w:szCs w:val="24"/>
        </w:rPr>
        <w:t>本项目劳动定员约</w:t>
      </w:r>
      <w:r>
        <w:rPr>
          <w:sz w:val="24"/>
          <w:szCs w:val="24"/>
        </w:rPr>
        <w:t>12</w:t>
      </w:r>
      <w:r>
        <w:rPr>
          <w:rFonts w:hint="eastAsia"/>
          <w:sz w:val="24"/>
          <w:szCs w:val="24"/>
        </w:rPr>
        <w:t>人，厂内不设食堂，用水量</w:t>
      </w:r>
      <w:r>
        <w:rPr>
          <w:sz w:val="24"/>
          <w:szCs w:val="24"/>
        </w:rPr>
        <w:t>80L/d.p</w:t>
      </w:r>
      <w:r>
        <w:rPr>
          <w:rFonts w:hint="eastAsia"/>
          <w:sz w:val="24"/>
          <w:szCs w:val="24"/>
        </w:rPr>
        <w:t>，总生活用水量为</w:t>
      </w:r>
      <w:r>
        <w:rPr>
          <w:sz w:val="24"/>
          <w:szCs w:val="24"/>
        </w:rPr>
        <w:t>0.96</w:t>
      </w:r>
      <w:r>
        <w:rPr>
          <w:rFonts w:hint="eastAsia"/>
          <w:sz w:val="24"/>
          <w:szCs w:val="24"/>
        </w:rPr>
        <w:t xml:space="preserve"> m</w:t>
      </w:r>
      <w:r>
        <w:rPr>
          <w:sz w:val="24"/>
          <w:szCs w:val="24"/>
          <w:vertAlign w:val="superscript"/>
        </w:rPr>
        <w:t>3</w:t>
      </w:r>
      <w:r>
        <w:rPr>
          <w:sz w:val="24"/>
          <w:szCs w:val="24"/>
        </w:rPr>
        <w:t>/d</w:t>
      </w:r>
      <w:r>
        <w:rPr>
          <w:rFonts w:hint="eastAsia"/>
          <w:sz w:val="24"/>
          <w:szCs w:val="24"/>
        </w:rPr>
        <w:t>，排水系数取</w:t>
      </w:r>
      <w:r>
        <w:rPr>
          <w:sz w:val="24"/>
          <w:szCs w:val="24"/>
        </w:rPr>
        <w:t>0.8</w:t>
      </w:r>
      <w:r>
        <w:rPr>
          <w:rFonts w:hint="eastAsia"/>
          <w:sz w:val="24"/>
          <w:szCs w:val="24"/>
        </w:rPr>
        <w:t>，则排水量为</w:t>
      </w:r>
      <w:r>
        <w:rPr>
          <w:sz w:val="24"/>
          <w:szCs w:val="24"/>
        </w:rPr>
        <w:t>0.77</w:t>
      </w:r>
      <w:r>
        <w:rPr>
          <w:rFonts w:hint="eastAsia"/>
          <w:sz w:val="24"/>
          <w:szCs w:val="24"/>
        </w:rPr>
        <w:t xml:space="preserve"> m</w:t>
      </w:r>
      <w:r>
        <w:rPr>
          <w:sz w:val="24"/>
          <w:szCs w:val="24"/>
          <w:vertAlign w:val="superscript"/>
        </w:rPr>
        <w:t>3</w:t>
      </w:r>
      <w:r>
        <w:rPr>
          <w:sz w:val="24"/>
          <w:szCs w:val="24"/>
        </w:rPr>
        <w:t>/d</w:t>
      </w:r>
      <w:r>
        <w:rPr>
          <w:rFonts w:hint="eastAsia"/>
          <w:sz w:val="24"/>
          <w:szCs w:val="24"/>
        </w:rPr>
        <w:t>，主要污染物为</w:t>
      </w:r>
      <w:r>
        <w:rPr>
          <w:sz w:val="24"/>
          <w:szCs w:val="24"/>
        </w:rPr>
        <w:t>COD</w:t>
      </w:r>
      <w:r>
        <w:rPr>
          <w:rFonts w:hint="eastAsia"/>
          <w:sz w:val="24"/>
          <w:szCs w:val="24"/>
        </w:rPr>
        <w:t>、</w:t>
      </w:r>
      <w:r>
        <w:rPr>
          <w:sz w:val="24"/>
          <w:szCs w:val="24"/>
        </w:rPr>
        <w:t>BOD</w:t>
      </w:r>
      <w:r>
        <w:rPr>
          <w:rFonts w:hint="eastAsia"/>
          <w:sz w:val="24"/>
          <w:szCs w:val="24"/>
        </w:rPr>
        <w:t>、</w:t>
      </w:r>
      <w:r>
        <w:rPr>
          <w:sz w:val="24"/>
          <w:szCs w:val="24"/>
        </w:rPr>
        <w:t>NH</w:t>
      </w:r>
      <w:r>
        <w:rPr>
          <w:sz w:val="24"/>
          <w:szCs w:val="24"/>
          <w:vertAlign w:val="subscript"/>
        </w:rPr>
        <w:t>3</w:t>
      </w:r>
      <w:r>
        <w:rPr>
          <w:sz w:val="24"/>
          <w:szCs w:val="24"/>
        </w:rPr>
        <w:t>-N</w:t>
      </w:r>
      <w:r>
        <w:rPr>
          <w:rFonts w:hint="eastAsia"/>
          <w:sz w:val="24"/>
          <w:szCs w:val="24"/>
        </w:rPr>
        <w:t>、</w:t>
      </w:r>
      <w:r>
        <w:rPr>
          <w:sz w:val="24"/>
          <w:szCs w:val="24"/>
        </w:rPr>
        <w:t xml:space="preserve">SS </w:t>
      </w:r>
      <w:r>
        <w:rPr>
          <w:rFonts w:hint="eastAsia"/>
          <w:sz w:val="24"/>
          <w:szCs w:val="24"/>
        </w:rPr>
        <w:t>等，浓度为</w:t>
      </w:r>
      <w:r>
        <w:rPr>
          <w:sz w:val="24"/>
          <w:szCs w:val="24"/>
        </w:rPr>
        <w:t>COD</w:t>
      </w:r>
      <w:r>
        <w:rPr>
          <w:rFonts w:hint="eastAsia"/>
          <w:sz w:val="24"/>
          <w:szCs w:val="24"/>
        </w:rPr>
        <w:t>≤</w:t>
      </w:r>
      <w:r>
        <w:rPr>
          <w:sz w:val="24"/>
          <w:szCs w:val="24"/>
        </w:rPr>
        <w:t>400mg/L</w:t>
      </w:r>
      <w:r>
        <w:rPr>
          <w:rFonts w:hint="eastAsia"/>
          <w:sz w:val="24"/>
          <w:szCs w:val="24"/>
        </w:rPr>
        <w:t>、</w:t>
      </w:r>
      <w:r>
        <w:rPr>
          <w:sz w:val="24"/>
          <w:szCs w:val="24"/>
        </w:rPr>
        <w:t>BOD</w:t>
      </w:r>
      <w:r>
        <w:rPr>
          <w:sz w:val="24"/>
          <w:szCs w:val="24"/>
          <w:vertAlign w:val="subscript"/>
        </w:rPr>
        <w:t>5</w:t>
      </w:r>
      <w:r>
        <w:rPr>
          <w:rFonts w:hint="eastAsia"/>
          <w:sz w:val="24"/>
          <w:szCs w:val="24"/>
        </w:rPr>
        <w:t>≤</w:t>
      </w:r>
      <w:r>
        <w:rPr>
          <w:sz w:val="24"/>
          <w:szCs w:val="24"/>
        </w:rPr>
        <w:t>250mg/L</w:t>
      </w:r>
      <w:r>
        <w:rPr>
          <w:rFonts w:hint="eastAsia"/>
          <w:sz w:val="24"/>
          <w:szCs w:val="24"/>
        </w:rPr>
        <w:t>、</w:t>
      </w:r>
      <w:r>
        <w:rPr>
          <w:sz w:val="24"/>
          <w:szCs w:val="24"/>
        </w:rPr>
        <w:t>NH</w:t>
      </w:r>
      <w:r>
        <w:rPr>
          <w:sz w:val="24"/>
          <w:szCs w:val="24"/>
          <w:vertAlign w:val="subscript"/>
        </w:rPr>
        <w:t>3</w:t>
      </w:r>
      <w:r>
        <w:rPr>
          <w:sz w:val="24"/>
          <w:szCs w:val="24"/>
        </w:rPr>
        <w:t>-N</w:t>
      </w:r>
      <w:r>
        <w:rPr>
          <w:rFonts w:hint="eastAsia"/>
          <w:sz w:val="24"/>
          <w:szCs w:val="24"/>
        </w:rPr>
        <w:t>≤</w:t>
      </w:r>
      <w:r>
        <w:rPr>
          <w:sz w:val="24"/>
          <w:szCs w:val="24"/>
        </w:rPr>
        <w:t>45mg/L</w:t>
      </w:r>
      <w:r>
        <w:rPr>
          <w:rFonts w:hint="eastAsia"/>
          <w:sz w:val="24"/>
          <w:szCs w:val="24"/>
        </w:rPr>
        <w:t>、</w:t>
      </w:r>
      <w:r>
        <w:rPr>
          <w:sz w:val="24"/>
          <w:szCs w:val="24"/>
        </w:rPr>
        <w:t>SS</w:t>
      </w:r>
      <w:r>
        <w:rPr>
          <w:rFonts w:hint="eastAsia"/>
          <w:sz w:val="24"/>
          <w:szCs w:val="24"/>
        </w:rPr>
        <w:t>≤</w:t>
      </w:r>
      <w:r>
        <w:rPr>
          <w:sz w:val="24"/>
          <w:szCs w:val="24"/>
        </w:rPr>
        <w:t>220mg/L</w:t>
      </w:r>
      <w:r>
        <w:rPr>
          <w:rFonts w:hint="eastAsia"/>
          <w:sz w:val="24"/>
          <w:szCs w:val="24"/>
        </w:rPr>
        <w:t>。</w:t>
      </w:r>
    </w:p>
    <w:p>
      <w:pPr>
        <w:pStyle w:val="20"/>
        <w:adjustRightInd w:val="0"/>
        <w:snapToGrid w:val="0"/>
        <w:spacing w:after="0" w:line="360" w:lineRule="auto"/>
        <w:ind w:firstLine="482" w:firstLineChars="200"/>
        <w:rPr>
          <w:b/>
          <w:bCs/>
          <w:sz w:val="24"/>
          <w:szCs w:val="24"/>
        </w:rPr>
      </w:pPr>
      <w:r>
        <w:rPr>
          <w:rFonts w:hint="eastAsia"/>
          <w:b/>
          <w:bCs/>
          <w:sz w:val="24"/>
          <w:szCs w:val="24"/>
        </w:rPr>
        <w:t>2、填埋区产生的渗滤液</w:t>
      </w:r>
    </w:p>
    <w:p>
      <w:pPr>
        <w:pStyle w:val="20"/>
        <w:adjustRightInd w:val="0"/>
        <w:snapToGrid w:val="0"/>
        <w:spacing w:after="0" w:line="360" w:lineRule="auto"/>
        <w:ind w:firstLine="480" w:firstLineChars="200"/>
        <w:rPr>
          <w:sz w:val="24"/>
          <w:szCs w:val="24"/>
        </w:rPr>
      </w:pPr>
      <w:r>
        <w:rPr>
          <w:rFonts w:hint="eastAsia"/>
          <w:sz w:val="24"/>
          <w:szCs w:val="24"/>
        </w:rPr>
        <w:t>固废填埋场渗滤液的产量来源于三个方面，一是填埋物本身所带的水分；二是填埋作业过程中的洒水；三是各种途径进入填埋场的大气降水和地下水。与后者相比，前两者的量要少得多，因此项目固废填埋场渗滤液主要是外界进入填埋场的水量。由于本项目填埋库区采用水平防渗，因此，从外界进入填埋场的水量主要是降雨。对于汇入填埋场库区的降雨，其中有部分降雨蒸发和地表径流，其余部分则渗入填埋场。</w:t>
      </w:r>
    </w:p>
    <w:p>
      <w:pPr>
        <w:adjustRightInd w:val="0"/>
        <w:snapToGrid w:val="0"/>
        <w:spacing w:line="360" w:lineRule="auto"/>
        <w:ind w:firstLine="480" w:firstLineChars="200"/>
        <w:rPr>
          <w:sz w:val="24"/>
          <w:szCs w:val="21"/>
        </w:rPr>
      </w:pPr>
      <w:r>
        <w:rPr>
          <w:rFonts w:hint="eastAsia"/>
          <w:sz w:val="24"/>
          <w:szCs w:val="21"/>
        </w:rPr>
        <w:t>为</w:t>
      </w:r>
      <w:r>
        <w:rPr>
          <w:sz w:val="24"/>
          <w:szCs w:val="21"/>
        </w:rPr>
        <w:t>实现未被污染的迳流（清水）和流经堆体的迳流（污水）分流。本项目设计采取的清污分流系统即洪雨水导排工程措施主要有：</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（1）</w:t>
      </w:r>
      <w:r>
        <w:rPr>
          <w:sz w:val="24"/>
          <w:szCs w:val="21"/>
        </w:rPr>
        <w:t>场外径流截排设施：包括沿填埋区边界设置的永久性环库截洪沟和设置在锚固平台内侧及道路上的排水边沟。</w:t>
      </w:r>
    </w:p>
    <w:p>
      <w:pPr>
        <w:adjustRightInd w:val="0"/>
        <w:snapToGrid w:val="0"/>
        <w:spacing w:line="360" w:lineRule="auto"/>
        <w:ind w:firstLine="480" w:firstLineChars="200"/>
        <w:rPr>
          <w:sz w:val="24"/>
          <w:szCs w:val="21"/>
        </w:rPr>
      </w:pPr>
      <w:r>
        <w:rPr>
          <w:rFonts w:hint="eastAsia" w:ascii="Cambria Math" w:hAnsi="Cambria Math" w:cs="Cambria Math"/>
          <w:sz w:val="24"/>
          <w:szCs w:val="21"/>
        </w:rPr>
        <w:t>（2）</w:t>
      </w:r>
      <w:r>
        <w:rPr>
          <w:sz w:val="24"/>
          <w:szCs w:val="21"/>
        </w:rPr>
        <w:t>场内径流截排设施：设置在垃圾填埋平台面与终了坡面上的排水设施。</w:t>
      </w:r>
    </w:p>
    <w:p>
      <w:pPr>
        <w:pStyle w:val="20"/>
        <w:adjustRightInd w:val="0"/>
        <w:snapToGrid w:val="0"/>
        <w:spacing w:after="0" w:line="360" w:lineRule="auto"/>
        <w:ind w:firstLine="480" w:firstLineChars="200"/>
        <w:rPr>
          <w:bCs/>
          <w:kern w:val="0"/>
          <w:sz w:val="24"/>
          <w:szCs w:val="24"/>
        </w:rPr>
      </w:pPr>
      <w:r>
        <w:rPr>
          <w:rFonts w:hint="eastAsia"/>
          <w:sz w:val="24"/>
          <w:szCs w:val="24"/>
        </w:rPr>
        <w:t>根据《生活垃圾卫生填埋处理技术规范》（</w:t>
      </w:r>
      <w:r>
        <w:rPr>
          <w:sz w:val="24"/>
          <w:szCs w:val="24"/>
        </w:rPr>
        <w:t>GB50869-2013</w:t>
      </w:r>
      <w:r>
        <w:rPr>
          <w:rFonts w:hint="eastAsia"/>
          <w:sz w:val="24"/>
          <w:szCs w:val="24"/>
        </w:rPr>
        <w:t>）附录</w:t>
      </w:r>
      <w:r>
        <w:rPr>
          <w:sz w:val="24"/>
          <w:szCs w:val="24"/>
        </w:rPr>
        <w:t>B</w:t>
      </w:r>
      <w:r>
        <w:rPr>
          <w:rFonts w:hint="eastAsia"/>
          <w:sz w:val="24"/>
          <w:szCs w:val="24"/>
        </w:rPr>
        <w:t>中对渗滤液产生量分析计算方法，由降雨产生的渗滤液最大日产量、日平均产生量及逐月平均产生量宜按下式计算，其中浸出系数应结合填埋场实际情况选取。</w:t>
      </w:r>
      <w:r>
        <w:rPr>
          <w:rFonts w:hint="eastAsia"/>
          <w:bCs/>
          <w:kern w:val="0"/>
          <w:sz w:val="24"/>
          <w:szCs w:val="24"/>
        </w:rPr>
        <w:t>渗滤液产量计算公式如下：</w:t>
      </w:r>
    </w:p>
    <w:p>
      <w:pPr>
        <w:kinsoku w:val="0"/>
        <w:overflowPunct w:val="0"/>
        <w:adjustRightInd w:val="0"/>
        <w:snapToGrid w:val="0"/>
        <w:spacing w:line="360" w:lineRule="auto"/>
        <w:ind w:left="619" w:hanging="618" w:hangingChars="260"/>
        <w:jc w:val="center"/>
        <w:rPr>
          <w:sz w:val="24"/>
          <w:szCs w:val="24"/>
        </w:rPr>
      </w:pPr>
      <w:r>
        <w:rPr>
          <w:spacing w:val="-1"/>
          <w:position w:val="2"/>
          <w:sz w:val="24"/>
          <w:szCs w:val="24"/>
        </w:rPr>
        <w:t>Q</w:t>
      </w:r>
      <w:r>
        <w:rPr>
          <w:spacing w:val="-1"/>
          <w:sz w:val="24"/>
          <w:szCs w:val="24"/>
        </w:rPr>
        <w:t>1</w:t>
      </w:r>
      <w:r>
        <w:rPr>
          <w:spacing w:val="-1"/>
          <w:position w:val="2"/>
          <w:sz w:val="24"/>
          <w:szCs w:val="24"/>
        </w:rPr>
        <w:t>=I</w:t>
      </w:r>
      <w:r>
        <w:rPr>
          <w:spacing w:val="-1"/>
          <w:sz w:val="24"/>
          <w:szCs w:val="24"/>
        </w:rPr>
        <w:t>1</w:t>
      </w:r>
      <w:r>
        <w:rPr>
          <w:spacing w:val="-1"/>
          <w:position w:val="2"/>
          <w:sz w:val="24"/>
          <w:szCs w:val="24"/>
        </w:rPr>
        <w:t>(C</w:t>
      </w:r>
      <w:r>
        <w:rPr>
          <w:spacing w:val="-1"/>
          <w:sz w:val="24"/>
          <w:szCs w:val="24"/>
        </w:rPr>
        <w:t>1</w:t>
      </w:r>
      <w:r>
        <w:rPr>
          <w:spacing w:val="-1"/>
          <w:position w:val="2"/>
          <w:sz w:val="24"/>
          <w:szCs w:val="24"/>
        </w:rPr>
        <w:t>A</w:t>
      </w:r>
      <w:r>
        <w:rPr>
          <w:spacing w:val="-1"/>
          <w:sz w:val="24"/>
          <w:szCs w:val="24"/>
        </w:rPr>
        <w:t>1</w:t>
      </w:r>
      <w:r>
        <w:rPr>
          <w:spacing w:val="-1"/>
          <w:position w:val="2"/>
          <w:sz w:val="24"/>
          <w:szCs w:val="24"/>
        </w:rPr>
        <w:t>+C</w:t>
      </w:r>
      <w:r>
        <w:rPr>
          <w:spacing w:val="-1"/>
          <w:sz w:val="24"/>
          <w:szCs w:val="24"/>
        </w:rPr>
        <w:t>2</w:t>
      </w:r>
      <w:r>
        <w:rPr>
          <w:spacing w:val="-1"/>
          <w:position w:val="2"/>
          <w:sz w:val="24"/>
          <w:szCs w:val="24"/>
        </w:rPr>
        <w:t>A</w:t>
      </w:r>
      <w:r>
        <w:rPr>
          <w:spacing w:val="-1"/>
          <w:sz w:val="24"/>
          <w:szCs w:val="24"/>
        </w:rPr>
        <w:t>2</w:t>
      </w:r>
      <w:r>
        <w:rPr>
          <w:spacing w:val="-1"/>
          <w:position w:val="2"/>
          <w:sz w:val="24"/>
          <w:szCs w:val="24"/>
        </w:rPr>
        <w:t>+C</w:t>
      </w:r>
      <w:r>
        <w:rPr>
          <w:spacing w:val="-1"/>
          <w:sz w:val="24"/>
          <w:szCs w:val="24"/>
        </w:rPr>
        <w:t>3</w:t>
      </w:r>
      <w:r>
        <w:rPr>
          <w:spacing w:val="-1"/>
          <w:position w:val="2"/>
          <w:sz w:val="24"/>
          <w:szCs w:val="24"/>
        </w:rPr>
        <w:t>A</w:t>
      </w:r>
      <w:r>
        <w:rPr>
          <w:spacing w:val="-1"/>
          <w:sz w:val="24"/>
          <w:szCs w:val="24"/>
        </w:rPr>
        <w:t>3</w:t>
      </w:r>
      <w:r>
        <w:rPr>
          <w:spacing w:val="-1"/>
          <w:position w:val="2"/>
          <w:sz w:val="24"/>
          <w:szCs w:val="24"/>
        </w:rPr>
        <w:t>+C</w:t>
      </w:r>
      <w:r>
        <w:rPr>
          <w:spacing w:val="-1"/>
          <w:sz w:val="24"/>
          <w:szCs w:val="24"/>
        </w:rPr>
        <w:t>4</w:t>
      </w:r>
      <w:r>
        <w:rPr>
          <w:spacing w:val="-1"/>
          <w:position w:val="2"/>
          <w:sz w:val="24"/>
          <w:szCs w:val="24"/>
        </w:rPr>
        <w:t>A</w:t>
      </w:r>
      <w:r>
        <w:rPr>
          <w:spacing w:val="-1"/>
          <w:sz w:val="24"/>
          <w:szCs w:val="24"/>
        </w:rPr>
        <w:t>4</w:t>
      </w:r>
      <w:r>
        <w:rPr>
          <w:spacing w:val="-1"/>
          <w:position w:val="2"/>
          <w:sz w:val="24"/>
          <w:szCs w:val="24"/>
        </w:rPr>
        <w:t>)/1000</w:t>
      </w:r>
    </w:p>
    <w:p>
      <w:pPr>
        <w:pStyle w:val="20"/>
        <w:adjustRightInd w:val="0"/>
        <w:snapToGrid w:val="0"/>
        <w:spacing w:after="0" w:line="360" w:lineRule="auto"/>
        <w:rPr>
          <w:sz w:val="24"/>
          <w:szCs w:val="24"/>
        </w:rPr>
      </w:pPr>
      <w:r>
        <w:rPr>
          <w:rFonts w:hint="eastAsia"/>
          <w:sz w:val="24"/>
          <w:szCs w:val="24"/>
        </w:rPr>
        <w:t>式中：</w:t>
      </w:r>
      <w:r>
        <w:rPr>
          <w:sz w:val="24"/>
          <w:szCs w:val="24"/>
        </w:rPr>
        <w:t>Q</w:t>
      </w:r>
      <w:r>
        <w:rPr>
          <w:rFonts w:hint="eastAsia"/>
          <w:sz w:val="24"/>
          <w:szCs w:val="24"/>
        </w:rPr>
        <w:t>—渗滤液产生量，</w:t>
      </w:r>
      <w:r>
        <w:rPr>
          <w:sz w:val="24"/>
          <w:szCs w:val="24"/>
        </w:rPr>
        <w:t>m³/d</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I</w:t>
      </w:r>
      <w:r>
        <w:rPr>
          <w:rFonts w:hint="eastAsia"/>
          <w:sz w:val="24"/>
          <w:szCs w:val="24"/>
        </w:rPr>
        <w:t>—降雨量（</w:t>
      </w:r>
      <w:r>
        <w:rPr>
          <w:sz w:val="24"/>
          <w:szCs w:val="24"/>
        </w:rPr>
        <w:t>mm/d</w:t>
      </w:r>
      <w:r>
        <w:rPr>
          <w:rFonts w:hint="eastAsia"/>
          <w:sz w:val="24"/>
          <w:szCs w:val="24"/>
        </w:rPr>
        <w:t>）；取围场县多年年均降水量5</w:t>
      </w:r>
      <w:r>
        <w:rPr>
          <w:sz w:val="24"/>
          <w:szCs w:val="24"/>
        </w:rPr>
        <w:t>59.70</w:t>
      </w:r>
      <w:r>
        <w:rPr>
          <w:rFonts w:hint="eastAsia"/>
          <w:sz w:val="24"/>
          <w:szCs w:val="24"/>
        </w:rPr>
        <w:t>mm</w:t>
      </w:r>
      <w:r>
        <w:rPr>
          <w:sz w:val="24"/>
          <w:szCs w:val="24"/>
        </w:rPr>
        <w:t>/</w:t>
      </w:r>
      <w:r>
        <w:rPr>
          <w:rFonts w:hint="eastAsia"/>
          <w:sz w:val="24"/>
          <w:szCs w:val="24"/>
        </w:rPr>
        <w:t>a；</w:t>
      </w:r>
      <w:r>
        <w:rPr>
          <w:sz w:val="24"/>
          <w:szCs w:val="24"/>
        </w:rPr>
        <w:t xml:space="preserve"> </w:t>
      </w:r>
    </w:p>
    <w:p>
      <w:pPr>
        <w:pStyle w:val="20"/>
        <w:adjustRightInd w:val="0"/>
        <w:snapToGrid w:val="0"/>
        <w:spacing w:after="0" w:line="360" w:lineRule="auto"/>
        <w:ind w:firstLine="708" w:firstLineChars="295"/>
        <w:rPr>
          <w:sz w:val="24"/>
          <w:szCs w:val="24"/>
        </w:rPr>
      </w:pPr>
      <w:r>
        <w:rPr>
          <w:sz w:val="24"/>
          <w:szCs w:val="24"/>
        </w:rPr>
        <w:t>C1</w:t>
      </w:r>
      <w:r>
        <w:rPr>
          <w:rFonts w:hint="eastAsia"/>
          <w:sz w:val="24"/>
          <w:szCs w:val="24"/>
        </w:rPr>
        <w:t>—正在填埋作业区浸出系数，宜取</w:t>
      </w:r>
      <w:r>
        <w:rPr>
          <w:sz w:val="24"/>
          <w:szCs w:val="24"/>
        </w:rPr>
        <w:t>0.4</w:t>
      </w:r>
      <w:r>
        <w:rPr>
          <w:rFonts w:hint="eastAsia"/>
          <w:sz w:val="24"/>
          <w:szCs w:val="24"/>
        </w:rPr>
        <w:t>～</w:t>
      </w:r>
      <w:r>
        <w:rPr>
          <w:sz w:val="24"/>
          <w:szCs w:val="24"/>
        </w:rPr>
        <w:t>1.0</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A1</w:t>
      </w:r>
      <w:r>
        <w:rPr>
          <w:rFonts w:hint="eastAsia"/>
          <w:sz w:val="24"/>
          <w:szCs w:val="24"/>
        </w:rPr>
        <w:t>—正在填埋作业区汇水面积（</w:t>
      </w:r>
      <w:r>
        <w:rPr>
          <w:sz w:val="24"/>
          <w:szCs w:val="24"/>
        </w:rPr>
        <w:t>m</w:t>
      </w:r>
      <w:r>
        <w:rPr>
          <w:sz w:val="24"/>
          <w:szCs w:val="24"/>
          <w:vertAlign w:val="superscript"/>
        </w:rPr>
        <w:t>2</w:t>
      </w:r>
      <w:r>
        <w:rPr>
          <w:rFonts w:hint="eastAsia"/>
          <w:sz w:val="24"/>
          <w:szCs w:val="24"/>
        </w:rPr>
        <w:t>）；为1</w:t>
      </w:r>
      <w:r>
        <w:rPr>
          <w:sz w:val="24"/>
          <w:szCs w:val="24"/>
        </w:rPr>
        <w:t>00</w:t>
      </w:r>
      <w:r>
        <w:rPr>
          <w:rFonts w:hint="eastAsia"/>
          <w:sz w:val="24"/>
          <w:szCs w:val="24"/>
        </w:rPr>
        <w:t>m</w:t>
      </w:r>
      <w:r>
        <w:rPr>
          <w:sz w:val="24"/>
          <w:szCs w:val="24"/>
          <w:vertAlign w:val="superscript"/>
        </w:rPr>
        <w:t>2</w:t>
      </w:r>
    </w:p>
    <w:p>
      <w:pPr>
        <w:pStyle w:val="20"/>
        <w:adjustRightInd w:val="0"/>
        <w:snapToGrid w:val="0"/>
        <w:spacing w:after="0" w:line="360" w:lineRule="auto"/>
        <w:ind w:firstLine="708" w:firstLineChars="295"/>
        <w:rPr>
          <w:sz w:val="24"/>
          <w:szCs w:val="24"/>
        </w:rPr>
      </w:pPr>
      <w:r>
        <w:rPr>
          <w:sz w:val="24"/>
          <w:szCs w:val="24"/>
        </w:rPr>
        <w:t>C2</w:t>
      </w:r>
      <w:r>
        <w:rPr>
          <w:rFonts w:hint="eastAsia"/>
          <w:sz w:val="24"/>
          <w:szCs w:val="24"/>
        </w:rPr>
        <w:t>—已中间覆盖区浸出系数，采用膜覆盖时宜取</w:t>
      </w:r>
      <w:r>
        <w:rPr>
          <w:sz w:val="24"/>
          <w:szCs w:val="24"/>
        </w:rPr>
        <w:t>0.2</w:t>
      </w:r>
      <w:r>
        <w:rPr>
          <w:rFonts w:hint="eastAsia"/>
          <w:sz w:val="24"/>
          <w:szCs w:val="24"/>
        </w:rPr>
        <w:t>～</w:t>
      </w:r>
      <w:r>
        <w:rPr>
          <w:sz w:val="24"/>
          <w:szCs w:val="24"/>
        </w:rPr>
        <w:t>0.3</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A2</w:t>
      </w:r>
      <w:r>
        <w:rPr>
          <w:rFonts w:hint="eastAsia"/>
          <w:sz w:val="24"/>
          <w:szCs w:val="24"/>
        </w:rPr>
        <w:t>—已中间覆盖区汇水面积（</w:t>
      </w:r>
      <w:r>
        <w:rPr>
          <w:sz w:val="24"/>
          <w:szCs w:val="24"/>
        </w:rPr>
        <w:t>m</w:t>
      </w:r>
      <w:r>
        <w:rPr>
          <w:sz w:val="24"/>
          <w:szCs w:val="24"/>
          <w:vertAlign w:val="superscript"/>
        </w:rPr>
        <w:t>2</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C3</w:t>
      </w:r>
      <w:r>
        <w:rPr>
          <w:rFonts w:hint="eastAsia"/>
          <w:sz w:val="24"/>
          <w:szCs w:val="24"/>
        </w:rPr>
        <w:t>—已封场覆盖区浸出系数，宜取</w:t>
      </w:r>
      <w:r>
        <w:rPr>
          <w:sz w:val="24"/>
          <w:szCs w:val="24"/>
        </w:rPr>
        <w:t>0.1</w:t>
      </w:r>
      <w:r>
        <w:rPr>
          <w:rFonts w:hint="eastAsia"/>
          <w:sz w:val="24"/>
          <w:szCs w:val="24"/>
        </w:rPr>
        <w:t>～</w:t>
      </w:r>
      <w:r>
        <w:rPr>
          <w:sz w:val="24"/>
          <w:szCs w:val="24"/>
        </w:rPr>
        <w:t>0.2</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A3</w:t>
      </w:r>
      <w:r>
        <w:rPr>
          <w:rFonts w:hint="eastAsia"/>
          <w:sz w:val="24"/>
          <w:szCs w:val="24"/>
        </w:rPr>
        <w:t>—已封场覆盖区汇水面积（</w:t>
      </w:r>
      <w:r>
        <w:rPr>
          <w:sz w:val="24"/>
          <w:szCs w:val="24"/>
        </w:rPr>
        <w:t>m</w:t>
      </w:r>
      <w:r>
        <w:rPr>
          <w:sz w:val="24"/>
          <w:szCs w:val="24"/>
          <w:vertAlign w:val="superscript"/>
        </w:rPr>
        <w:t>2</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C4</w:t>
      </w:r>
      <w:r>
        <w:rPr>
          <w:rFonts w:hint="eastAsia"/>
          <w:sz w:val="24"/>
          <w:szCs w:val="24"/>
        </w:rPr>
        <w:t>—调节池浸出系数，取</w:t>
      </w:r>
      <w:r>
        <w:rPr>
          <w:sz w:val="24"/>
          <w:szCs w:val="24"/>
        </w:rPr>
        <w:t>0</w:t>
      </w:r>
      <w:r>
        <w:rPr>
          <w:rFonts w:hint="eastAsia"/>
          <w:sz w:val="24"/>
          <w:szCs w:val="24"/>
        </w:rPr>
        <w:t>或</w:t>
      </w:r>
      <w:r>
        <w:rPr>
          <w:sz w:val="24"/>
          <w:szCs w:val="24"/>
        </w:rPr>
        <w:t>1.0</w:t>
      </w:r>
      <w:r>
        <w:rPr>
          <w:rFonts w:hint="eastAsia"/>
          <w:sz w:val="24"/>
          <w:szCs w:val="24"/>
        </w:rPr>
        <w:t>（若调节池设置有覆盖系统取</w:t>
      </w:r>
      <w:r>
        <w:rPr>
          <w:sz w:val="24"/>
          <w:szCs w:val="24"/>
        </w:rPr>
        <w:t>0</w:t>
      </w:r>
      <w:r>
        <w:rPr>
          <w:rFonts w:hint="eastAsia"/>
          <w:sz w:val="24"/>
          <w:szCs w:val="24"/>
        </w:rPr>
        <w:t>，若调节池未设置覆盖系统取</w:t>
      </w:r>
      <w:r>
        <w:rPr>
          <w:sz w:val="24"/>
          <w:szCs w:val="24"/>
        </w:rPr>
        <w:t>1.0</w:t>
      </w:r>
      <w:r>
        <w:rPr>
          <w:rFonts w:hint="eastAsia"/>
          <w:sz w:val="24"/>
          <w:szCs w:val="24"/>
        </w:rPr>
        <w:t>）；</w:t>
      </w:r>
    </w:p>
    <w:p>
      <w:pPr>
        <w:pStyle w:val="20"/>
        <w:adjustRightInd w:val="0"/>
        <w:snapToGrid w:val="0"/>
        <w:spacing w:after="0" w:line="360" w:lineRule="auto"/>
        <w:ind w:firstLine="708" w:firstLineChars="295"/>
        <w:rPr>
          <w:sz w:val="24"/>
          <w:szCs w:val="24"/>
        </w:rPr>
      </w:pPr>
      <w:r>
        <w:rPr>
          <w:sz w:val="24"/>
          <w:szCs w:val="24"/>
        </w:rPr>
        <w:t>A4</w:t>
      </w:r>
      <w:r>
        <w:rPr>
          <w:rFonts w:hint="eastAsia"/>
          <w:sz w:val="24"/>
          <w:szCs w:val="24"/>
        </w:rPr>
        <w:t>—调节池汇水面积（</w:t>
      </w:r>
      <w:r>
        <w:rPr>
          <w:sz w:val="24"/>
          <w:szCs w:val="24"/>
        </w:rPr>
        <w:t>m</w:t>
      </w:r>
      <w:r>
        <w:rPr>
          <w:sz w:val="24"/>
          <w:szCs w:val="24"/>
          <w:vertAlign w:val="superscript"/>
        </w:rPr>
        <w:t>2</w:t>
      </w:r>
      <w:r>
        <w:rPr>
          <w:rFonts w:hint="eastAsia"/>
          <w:sz w:val="24"/>
          <w:szCs w:val="24"/>
        </w:rPr>
        <w:t>）。</w:t>
      </w:r>
    </w:p>
    <w:p>
      <w:pPr>
        <w:pStyle w:val="20"/>
        <w:adjustRightInd w:val="0"/>
        <w:snapToGrid w:val="0"/>
        <w:spacing w:after="0" w:line="360" w:lineRule="auto"/>
        <w:ind w:firstLine="708" w:firstLineChars="295"/>
        <w:rPr>
          <w:sz w:val="24"/>
          <w:szCs w:val="24"/>
        </w:rPr>
      </w:pPr>
      <w:r>
        <w:rPr>
          <w:rFonts w:hint="eastAsia"/>
          <w:sz w:val="24"/>
          <w:szCs w:val="24"/>
        </w:rPr>
        <w:t>根据当地多年气象资料统计，围场地区年平均降水量为</w:t>
      </w:r>
      <w:r>
        <w:rPr>
          <w:sz w:val="24"/>
          <w:szCs w:val="24"/>
        </w:rPr>
        <w:t>559.70mm</w:t>
      </w:r>
      <w:r>
        <w:rPr>
          <w:rFonts w:hint="eastAsia"/>
          <w:sz w:val="24"/>
          <w:szCs w:val="24"/>
        </w:rPr>
        <w:t>。浸出系数</w:t>
      </w:r>
      <w:r>
        <w:rPr>
          <w:sz w:val="24"/>
          <w:szCs w:val="24"/>
        </w:rPr>
        <w:t>C1</w:t>
      </w:r>
      <w:r>
        <w:rPr>
          <w:rFonts w:hint="eastAsia"/>
          <w:sz w:val="24"/>
          <w:szCs w:val="24"/>
        </w:rPr>
        <w:t>取</w:t>
      </w:r>
      <w:r>
        <w:rPr>
          <w:sz w:val="24"/>
          <w:szCs w:val="24"/>
        </w:rPr>
        <w:t>0.6</w:t>
      </w:r>
      <w:r>
        <w:rPr>
          <w:rFonts w:hint="eastAsia"/>
          <w:sz w:val="24"/>
          <w:szCs w:val="24"/>
        </w:rPr>
        <w:t>，</w:t>
      </w:r>
      <w:r>
        <w:rPr>
          <w:sz w:val="24"/>
          <w:szCs w:val="24"/>
        </w:rPr>
        <w:t>C2</w:t>
      </w:r>
      <w:r>
        <w:rPr>
          <w:rFonts w:hint="eastAsia"/>
          <w:sz w:val="24"/>
          <w:szCs w:val="24"/>
        </w:rPr>
        <w:t>取</w:t>
      </w:r>
      <w:r>
        <w:rPr>
          <w:sz w:val="24"/>
          <w:szCs w:val="24"/>
        </w:rPr>
        <w:t>0.2</w:t>
      </w:r>
      <w:r>
        <w:rPr>
          <w:rFonts w:hint="eastAsia"/>
          <w:sz w:val="24"/>
          <w:szCs w:val="24"/>
        </w:rPr>
        <w:t>，</w:t>
      </w:r>
      <w:r>
        <w:rPr>
          <w:sz w:val="24"/>
          <w:szCs w:val="24"/>
        </w:rPr>
        <w:t>C3</w:t>
      </w:r>
      <w:r>
        <w:rPr>
          <w:rFonts w:hint="eastAsia"/>
          <w:sz w:val="24"/>
          <w:szCs w:val="24"/>
        </w:rPr>
        <w:t>取</w:t>
      </w:r>
      <w:r>
        <w:rPr>
          <w:sz w:val="24"/>
          <w:szCs w:val="24"/>
        </w:rPr>
        <w:t>0.1</w:t>
      </w:r>
      <w:r>
        <w:rPr>
          <w:rFonts w:hint="eastAsia"/>
          <w:sz w:val="24"/>
          <w:szCs w:val="24"/>
        </w:rPr>
        <w:t>，</w:t>
      </w:r>
      <w:r>
        <w:rPr>
          <w:sz w:val="24"/>
          <w:szCs w:val="24"/>
        </w:rPr>
        <w:t>C4</w:t>
      </w:r>
      <w:r>
        <w:rPr>
          <w:rFonts w:hint="eastAsia"/>
          <w:sz w:val="24"/>
          <w:szCs w:val="24"/>
        </w:rPr>
        <w:t>取</w:t>
      </w:r>
      <w:r>
        <w:rPr>
          <w:sz w:val="24"/>
          <w:szCs w:val="24"/>
        </w:rPr>
        <w:t>0</w:t>
      </w:r>
      <w:r>
        <w:rPr>
          <w:rFonts w:hint="eastAsia"/>
          <w:sz w:val="24"/>
          <w:szCs w:val="24"/>
        </w:rPr>
        <w:t>。</w:t>
      </w:r>
    </w:p>
    <w:p>
      <w:pPr>
        <w:pStyle w:val="20"/>
        <w:adjustRightInd w:val="0"/>
        <w:snapToGrid w:val="0"/>
        <w:spacing w:after="0" w:line="360" w:lineRule="auto"/>
        <w:ind w:firstLine="482" w:firstLineChars="200"/>
        <w:rPr>
          <w:b/>
          <w:bCs/>
          <w:sz w:val="24"/>
          <w:szCs w:val="24"/>
        </w:rPr>
      </w:pPr>
      <w:r>
        <w:rPr>
          <w:rFonts w:hint="eastAsia"/>
          <w:b/>
          <w:bCs/>
          <w:sz w:val="24"/>
          <w:szCs w:val="24"/>
        </w:rPr>
        <w:t>（1）固化飞灰渗滤液产生量：</w:t>
      </w:r>
    </w:p>
    <w:p>
      <w:pPr>
        <w:pStyle w:val="20"/>
        <w:adjustRightInd w:val="0"/>
        <w:snapToGrid w:val="0"/>
        <w:spacing w:after="0" w:line="360" w:lineRule="auto"/>
        <w:ind w:firstLine="480" w:firstLineChars="200"/>
        <w:rPr>
          <w:sz w:val="24"/>
          <w:szCs w:val="24"/>
        </w:rPr>
      </w:pPr>
      <w:r>
        <w:rPr>
          <w:rFonts w:hint="eastAsia"/>
          <w:sz w:val="24"/>
          <w:szCs w:val="24"/>
        </w:rPr>
        <w:t>固化飞灰填埋分区汇水面积为</w:t>
      </w:r>
      <w:r>
        <w:rPr>
          <w:sz w:val="24"/>
          <w:szCs w:val="24"/>
        </w:rPr>
        <w:t>5.8</w:t>
      </w:r>
      <w:r>
        <w:rPr>
          <w:rFonts w:hint="eastAsia"/>
          <w:sz w:val="24"/>
          <w:szCs w:val="24"/>
        </w:rPr>
        <w:t>万</w:t>
      </w:r>
      <w:r>
        <w:rPr>
          <w:sz w:val="24"/>
          <w:szCs w:val="24"/>
        </w:rPr>
        <w:t>m</w:t>
      </w:r>
      <w:r>
        <w:rPr>
          <w:sz w:val="24"/>
          <w:szCs w:val="24"/>
          <w:vertAlign w:val="superscript"/>
        </w:rPr>
        <w:t>2</w:t>
      </w:r>
      <w:r>
        <w:rPr>
          <w:rFonts w:hint="eastAsia"/>
          <w:sz w:val="24"/>
          <w:szCs w:val="24"/>
        </w:rPr>
        <w:t>，调节池设置有覆盖系统。由于雨天不进行填埋作业，正在填埋作业区汇水面积</w:t>
      </w:r>
      <w:r>
        <w:rPr>
          <w:sz w:val="24"/>
          <w:szCs w:val="24"/>
        </w:rPr>
        <w:t>A1=0</w:t>
      </w:r>
      <w:r>
        <w:rPr>
          <w:rFonts w:hint="eastAsia"/>
          <w:sz w:val="24"/>
          <w:szCs w:val="24"/>
        </w:rPr>
        <w:t>，无封场覆盖区汇水面积</w:t>
      </w:r>
      <w:r>
        <w:rPr>
          <w:sz w:val="24"/>
          <w:szCs w:val="24"/>
        </w:rPr>
        <w:t>A</w:t>
      </w:r>
      <w:r>
        <w:rPr>
          <w:sz w:val="24"/>
          <w:szCs w:val="24"/>
          <w:vertAlign w:val="subscript"/>
        </w:rPr>
        <w:t>3</w:t>
      </w:r>
      <w:r>
        <w:rPr>
          <w:sz w:val="24"/>
          <w:szCs w:val="24"/>
        </w:rPr>
        <w:t>=0</w:t>
      </w:r>
      <w:r>
        <w:rPr>
          <w:rFonts w:hint="eastAsia"/>
          <w:sz w:val="24"/>
          <w:szCs w:val="24"/>
        </w:rPr>
        <w:t>。</w:t>
      </w:r>
    </w:p>
    <w:p>
      <w:pPr>
        <w:pStyle w:val="20"/>
        <w:adjustRightInd w:val="0"/>
        <w:snapToGrid w:val="0"/>
        <w:spacing w:after="0" w:line="360" w:lineRule="auto"/>
        <w:ind w:firstLine="480" w:firstLineChars="200"/>
        <w:rPr>
          <w:sz w:val="24"/>
          <w:szCs w:val="24"/>
        </w:rPr>
      </w:pPr>
      <w:r>
        <w:rPr>
          <w:rFonts w:hint="eastAsia"/>
          <w:sz w:val="24"/>
          <w:szCs w:val="24"/>
        </w:rPr>
        <w:t>根据以上参数，近期工程固化飞灰渗滤液产生量计算如下：</w:t>
      </w:r>
    </w:p>
    <w:p>
      <w:pPr>
        <w:pStyle w:val="20"/>
        <w:adjustRightInd w:val="0"/>
        <w:snapToGrid w:val="0"/>
        <w:spacing w:after="0" w:line="360" w:lineRule="auto"/>
        <w:ind w:firstLine="1132" w:firstLineChars="472"/>
        <w:rPr>
          <w:sz w:val="24"/>
          <w:szCs w:val="24"/>
        </w:rPr>
      </w:pPr>
      <w:r>
        <w:rPr>
          <w:sz w:val="24"/>
          <w:szCs w:val="24"/>
        </w:rPr>
        <w:t>Q=I×</w:t>
      </w:r>
      <w:r>
        <w:rPr>
          <w:rFonts w:hint="eastAsia"/>
          <w:sz w:val="24"/>
          <w:szCs w:val="24"/>
        </w:rPr>
        <w:t>（</w:t>
      </w:r>
      <w:r>
        <w:rPr>
          <w:sz w:val="24"/>
          <w:szCs w:val="24"/>
        </w:rPr>
        <w:t>C1A1+ C2A2+ C3A3+ C4A4</w:t>
      </w:r>
      <w:r>
        <w:rPr>
          <w:rFonts w:hint="eastAsia"/>
          <w:sz w:val="24"/>
          <w:szCs w:val="24"/>
        </w:rPr>
        <w:t>）</w:t>
      </w:r>
      <w:r>
        <w:rPr>
          <w:sz w:val="24"/>
          <w:szCs w:val="24"/>
        </w:rPr>
        <w:t>/1000</w:t>
      </w:r>
    </w:p>
    <w:p>
      <w:pPr>
        <w:pStyle w:val="20"/>
        <w:adjustRightInd w:val="0"/>
        <w:snapToGrid w:val="0"/>
        <w:spacing w:after="0" w:line="360" w:lineRule="auto"/>
        <w:ind w:firstLine="1132" w:firstLineChars="472"/>
        <w:rPr>
          <w:sz w:val="24"/>
          <w:szCs w:val="24"/>
        </w:rPr>
      </w:pPr>
      <w:r>
        <w:rPr>
          <w:sz w:val="24"/>
          <w:szCs w:val="24"/>
        </w:rPr>
        <w:t>=599.70/365×</w:t>
      </w:r>
      <w:r>
        <w:rPr>
          <w:rFonts w:hint="eastAsia"/>
          <w:sz w:val="24"/>
          <w:szCs w:val="24"/>
        </w:rPr>
        <w:t>（0</w:t>
      </w:r>
      <w:r>
        <w:rPr>
          <w:sz w:val="24"/>
          <w:szCs w:val="24"/>
        </w:rPr>
        <w:t>+0.2×58000+0+0</w:t>
      </w:r>
      <w:r>
        <w:rPr>
          <w:rFonts w:hint="eastAsia"/>
          <w:sz w:val="24"/>
          <w:szCs w:val="24"/>
        </w:rPr>
        <w:t>）</w:t>
      </w:r>
      <w:r>
        <w:rPr>
          <w:sz w:val="24"/>
          <w:szCs w:val="24"/>
        </w:rPr>
        <w:t>/1000</w:t>
      </w:r>
    </w:p>
    <w:p>
      <w:pPr>
        <w:pStyle w:val="20"/>
        <w:adjustRightInd w:val="0"/>
        <w:snapToGrid w:val="0"/>
        <w:spacing w:after="0" w:line="360" w:lineRule="auto"/>
        <w:ind w:firstLine="1132" w:firstLineChars="472"/>
        <w:rPr>
          <w:sz w:val="24"/>
          <w:szCs w:val="24"/>
        </w:rPr>
      </w:pPr>
      <w:r>
        <w:rPr>
          <w:sz w:val="24"/>
          <w:szCs w:val="24"/>
        </w:rPr>
        <w:t>=19.06m</w:t>
      </w:r>
      <w:r>
        <w:rPr>
          <w:sz w:val="24"/>
          <w:szCs w:val="24"/>
          <w:vertAlign w:val="superscript"/>
        </w:rPr>
        <w:t>3</w:t>
      </w:r>
      <w:r>
        <w:rPr>
          <w:sz w:val="24"/>
          <w:szCs w:val="24"/>
        </w:rPr>
        <w:t>/d</w:t>
      </w:r>
    </w:p>
    <w:p>
      <w:pPr>
        <w:pStyle w:val="20"/>
        <w:adjustRightInd w:val="0"/>
        <w:snapToGrid w:val="0"/>
        <w:spacing w:after="0" w:line="360" w:lineRule="auto"/>
        <w:ind w:firstLine="480" w:firstLineChars="200"/>
        <w:rPr>
          <w:sz w:val="24"/>
          <w:szCs w:val="24"/>
        </w:rPr>
      </w:pPr>
      <w:r>
        <w:rPr>
          <w:rFonts w:hint="eastAsia"/>
          <w:sz w:val="24"/>
          <w:szCs w:val="24"/>
        </w:rPr>
        <w:t>根据计算，本项目固化飞灰渗滤液产生量为</w:t>
      </w:r>
      <w:r>
        <w:rPr>
          <w:sz w:val="24"/>
          <w:szCs w:val="24"/>
        </w:rPr>
        <w:t>19.06m</w:t>
      </w:r>
      <w:r>
        <w:rPr>
          <w:sz w:val="24"/>
          <w:szCs w:val="24"/>
          <w:vertAlign w:val="superscript"/>
        </w:rPr>
        <w:t>3</w:t>
      </w:r>
      <w:r>
        <w:rPr>
          <w:sz w:val="24"/>
          <w:szCs w:val="24"/>
        </w:rPr>
        <w:t>/d</w:t>
      </w:r>
      <w:r>
        <w:rPr>
          <w:rFonts w:hint="eastAsia"/>
          <w:sz w:val="24"/>
          <w:szCs w:val="24"/>
        </w:rPr>
        <w:t>。全部排入项目渗滤液调节池（容积3</w:t>
      </w:r>
      <w:r>
        <w:rPr>
          <w:sz w:val="24"/>
          <w:szCs w:val="24"/>
        </w:rPr>
        <w:t>000 m</w:t>
      </w:r>
      <w:r>
        <w:rPr>
          <w:sz w:val="24"/>
          <w:szCs w:val="24"/>
          <w:vertAlign w:val="superscript"/>
        </w:rPr>
        <w:t>3</w:t>
      </w:r>
      <w:r>
        <w:rPr>
          <w:rFonts w:hint="eastAsia"/>
          <w:sz w:val="24"/>
          <w:szCs w:val="24"/>
        </w:rPr>
        <w:t>）。</w:t>
      </w:r>
    </w:p>
    <w:p>
      <w:pPr>
        <w:pStyle w:val="20"/>
        <w:adjustRightInd w:val="0"/>
        <w:snapToGrid w:val="0"/>
        <w:spacing w:after="0" w:line="360" w:lineRule="auto"/>
        <w:ind w:firstLine="482" w:firstLineChars="200"/>
        <w:rPr>
          <w:b/>
          <w:bCs/>
          <w:sz w:val="24"/>
          <w:szCs w:val="24"/>
        </w:rPr>
      </w:pPr>
      <w:r>
        <w:rPr>
          <w:rFonts w:hint="eastAsia"/>
          <w:b/>
          <w:bCs/>
          <w:sz w:val="24"/>
          <w:szCs w:val="24"/>
        </w:rPr>
        <w:t>（</w:t>
      </w:r>
      <w:r>
        <w:rPr>
          <w:b/>
          <w:bCs/>
          <w:sz w:val="24"/>
          <w:szCs w:val="24"/>
        </w:rPr>
        <w:t>2</w:t>
      </w:r>
      <w:r>
        <w:rPr>
          <w:rFonts w:hint="eastAsia"/>
          <w:b/>
          <w:bCs/>
          <w:sz w:val="24"/>
          <w:szCs w:val="24"/>
        </w:rPr>
        <w:t>）</w:t>
      </w:r>
      <w:r>
        <w:rPr>
          <w:b/>
          <w:bCs/>
          <w:sz w:val="24"/>
          <w:szCs w:val="24"/>
        </w:rPr>
        <w:t>渗滤液水质</w:t>
      </w:r>
    </w:p>
    <w:p>
      <w:pPr>
        <w:pStyle w:val="20"/>
        <w:adjustRightInd w:val="0"/>
        <w:snapToGrid w:val="0"/>
        <w:spacing w:after="0" w:line="360" w:lineRule="auto"/>
        <w:ind w:firstLine="480" w:firstLineChars="200"/>
        <w:rPr>
          <w:sz w:val="24"/>
          <w:szCs w:val="24"/>
        </w:rPr>
      </w:pPr>
      <w:r>
        <w:rPr>
          <w:sz w:val="24"/>
          <w:szCs w:val="24"/>
        </w:rPr>
        <w:t>固化稳定化飞灰含水率低，渗滤液均只考虑降雨产生的渗滤液，渗滤液中 COD</w:t>
      </w:r>
      <w:r>
        <w:rPr>
          <w:rFonts w:hint="eastAsia"/>
          <w:sz w:val="24"/>
          <w:szCs w:val="24"/>
        </w:rPr>
        <w:t>、氨氮、</w:t>
      </w:r>
      <w:r>
        <w:rPr>
          <w:sz w:val="24"/>
          <w:szCs w:val="24"/>
        </w:rPr>
        <w:t>SS污染物浓度参照国内类似飞灰填埋场渗滤液水质指标。考虑到拟建项目进场填埋的飞灰均经过固化/稳定化处理，</w:t>
      </w:r>
      <w:r>
        <w:rPr>
          <w:rFonts w:hint="eastAsia"/>
          <w:sz w:val="24"/>
          <w:szCs w:val="24"/>
        </w:rPr>
        <w:t>本</w:t>
      </w:r>
      <w:r>
        <w:rPr>
          <w:sz w:val="24"/>
          <w:szCs w:val="24"/>
        </w:rPr>
        <w:t>项目渗滤液中重金属污染物浓度须低于《生活垃圾填埋场污染控制标准》（GB16889-2008）表1要</w:t>
      </w:r>
      <w:r>
        <w:rPr>
          <w:rFonts w:hint="eastAsia"/>
          <w:sz w:val="24"/>
          <w:szCs w:val="24"/>
        </w:rPr>
        <w:t>求 。</w:t>
      </w:r>
    </w:p>
    <w:p>
      <w:pPr>
        <w:pStyle w:val="20"/>
        <w:adjustRightInd w:val="0"/>
        <w:snapToGrid w:val="0"/>
        <w:spacing w:after="0" w:line="360" w:lineRule="auto"/>
        <w:ind w:firstLine="480" w:firstLineChars="200"/>
        <w:rPr>
          <w:sz w:val="24"/>
          <w:szCs w:val="24"/>
        </w:rPr>
      </w:pPr>
      <w:r>
        <w:rPr>
          <w:rFonts w:hint="eastAsia"/>
          <w:sz w:val="24"/>
          <w:szCs w:val="24"/>
        </w:rPr>
        <w:t xml:space="preserve"> 故按保守考虑，重金属污染物浓度取《生活垃圾填埋场污染控制标准》（GB16889-2008）表1标准限值。本项目</w:t>
      </w:r>
      <w:r>
        <w:rPr>
          <w:sz w:val="24"/>
          <w:szCs w:val="24"/>
        </w:rPr>
        <w:t>渗滤液</w:t>
      </w:r>
      <w:r>
        <w:rPr>
          <w:rFonts w:hint="eastAsia"/>
          <w:sz w:val="24"/>
          <w:szCs w:val="24"/>
        </w:rPr>
        <w:t>水质具体见3</w:t>
      </w:r>
      <w:r>
        <w:rPr>
          <w:sz w:val="24"/>
          <w:szCs w:val="24"/>
        </w:rPr>
        <w:t>.10-3</w:t>
      </w:r>
      <w:r>
        <w:rPr>
          <w:rFonts w:hint="eastAsia"/>
          <w:sz w:val="24"/>
          <w:szCs w:val="24"/>
        </w:rPr>
        <w:t>。</w:t>
      </w:r>
    </w:p>
    <w:p>
      <w:pPr>
        <w:pStyle w:val="20"/>
        <w:adjustRightInd w:val="0"/>
        <w:snapToGrid w:val="0"/>
        <w:spacing w:after="0"/>
        <w:jc w:val="center"/>
        <w:rPr>
          <w:b/>
          <w:sz w:val="24"/>
        </w:rPr>
      </w:pPr>
      <w:r>
        <w:rPr>
          <w:b/>
          <w:sz w:val="24"/>
        </w:rPr>
        <w:t>表 3.10-3</w:t>
      </w:r>
      <w:r>
        <w:rPr>
          <w:b/>
          <w:sz w:val="24"/>
        </w:rPr>
        <w:tab/>
      </w:r>
      <w:r>
        <w:rPr>
          <w:rFonts w:hint="eastAsia"/>
          <w:b/>
          <w:sz w:val="24"/>
        </w:rPr>
        <w:t>本项目混合</w:t>
      </w:r>
      <w:r>
        <w:rPr>
          <w:b/>
          <w:sz w:val="24"/>
        </w:rPr>
        <w:t>渗滤液废水污染物源强</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496"/>
        <w:gridCol w:w="2483"/>
        <w:gridCol w:w="454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序号</w:t>
            </w:r>
          </w:p>
        </w:tc>
        <w:tc>
          <w:tcPr>
            <w:tcW w:w="1457" w:type="pct"/>
          </w:tcPr>
          <w:p>
            <w:pPr>
              <w:adjustRightInd w:val="0"/>
              <w:snapToGrid w:val="0"/>
              <w:jc w:val="center"/>
            </w:pPr>
            <w:r>
              <w:t>指标名称</w:t>
            </w:r>
          </w:p>
        </w:tc>
        <w:tc>
          <w:tcPr>
            <w:tcW w:w="2665" w:type="pct"/>
          </w:tcPr>
          <w:p>
            <w:pPr>
              <w:adjustRightInd w:val="0"/>
              <w:snapToGrid w:val="0"/>
              <w:jc w:val="center"/>
            </w:pPr>
            <w:r>
              <w:rPr>
                <w:rFonts w:hint="eastAsia"/>
              </w:rPr>
              <w:t>浓度</w:t>
            </w:r>
            <w:r>
              <w:t>（mg/L）</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w:t>
            </w:r>
          </w:p>
        </w:tc>
        <w:tc>
          <w:tcPr>
            <w:tcW w:w="1457" w:type="pct"/>
          </w:tcPr>
          <w:p>
            <w:pPr>
              <w:adjustRightInd w:val="0"/>
              <w:snapToGrid w:val="0"/>
              <w:jc w:val="center"/>
            </w:pPr>
            <w:r>
              <w:t>COD</w:t>
            </w:r>
          </w:p>
        </w:tc>
        <w:tc>
          <w:tcPr>
            <w:tcW w:w="2665" w:type="pct"/>
          </w:tcPr>
          <w:p>
            <w:pPr>
              <w:adjustRightInd w:val="0"/>
              <w:snapToGrid w:val="0"/>
              <w:jc w:val="center"/>
            </w:pPr>
            <w:r>
              <w:t>600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2</w:t>
            </w:r>
          </w:p>
        </w:tc>
        <w:tc>
          <w:tcPr>
            <w:tcW w:w="1457" w:type="pct"/>
          </w:tcPr>
          <w:p>
            <w:pPr>
              <w:adjustRightInd w:val="0"/>
              <w:snapToGrid w:val="0"/>
              <w:jc w:val="center"/>
            </w:pPr>
            <w:r>
              <w:t>氨氮</w:t>
            </w:r>
          </w:p>
        </w:tc>
        <w:tc>
          <w:tcPr>
            <w:tcW w:w="2665" w:type="pct"/>
          </w:tcPr>
          <w:p>
            <w:pPr>
              <w:adjustRightInd w:val="0"/>
              <w:snapToGrid w:val="0"/>
              <w:jc w:val="center"/>
            </w:pPr>
            <w:r>
              <w:t>35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3</w:t>
            </w:r>
          </w:p>
        </w:tc>
        <w:tc>
          <w:tcPr>
            <w:tcW w:w="1457" w:type="pct"/>
          </w:tcPr>
          <w:p>
            <w:pPr>
              <w:adjustRightInd w:val="0"/>
              <w:snapToGrid w:val="0"/>
              <w:jc w:val="center"/>
            </w:pPr>
            <w:r>
              <w:t>SS</w:t>
            </w:r>
          </w:p>
        </w:tc>
        <w:tc>
          <w:tcPr>
            <w:tcW w:w="2665" w:type="pct"/>
          </w:tcPr>
          <w:p>
            <w:pPr>
              <w:adjustRightInd w:val="0"/>
              <w:snapToGrid w:val="0"/>
              <w:jc w:val="center"/>
            </w:pPr>
            <w:r>
              <w:t>400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4</w:t>
            </w:r>
          </w:p>
        </w:tc>
        <w:tc>
          <w:tcPr>
            <w:tcW w:w="1457" w:type="pct"/>
          </w:tcPr>
          <w:p>
            <w:pPr>
              <w:adjustRightInd w:val="0"/>
              <w:snapToGrid w:val="0"/>
              <w:jc w:val="center"/>
            </w:pPr>
            <w:r>
              <w:t>汞</w:t>
            </w:r>
          </w:p>
        </w:tc>
        <w:tc>
          <w:tcPr>
            <w:tcW w:w="2665" w:type="pct"/>
          </w:tcPr>
          <w:p>
            <w:pPr>
              <w:adjustRightInd w:val="0"/>
              <w:snapToGrid w:val="0"/>
              <w:jc w:val="center"/>
            </w:pPr>
            <w:r>
              <w:t>0.05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5</w:t>
            </w:r>
          </w:p>
        </w:tc>
        <w:tc>
          <w:tcPr>
            <w:tcW w:w="1457" w:type="pct"/>
          </w:tcPr>
          <w:p>
            <w:pPr>
              <w:adjustRightInd w:val="0"/>
              <w:snapToGrid w:val="0"/>
              <w:jc w:val="center"/>
            </w:pPr>
            <w:r>
              <w:t>铜</w:t>
            </w:r>
          </w:p>
        </w:tc>
        <w:tc>
          <w:tcPr>
            <w:tcW w:w="2665" w:type="pct"/>
          </w:tcPr>
          <w:p>
            <w:pPr>
              <w:adjustRightInd w:val="0"/>
              <w:snapToGrid w:val="0"/>
              <w:jc w:val="center"/>
            </w:pPr>
            <w:r>
              <w:t>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6</w:t>
            </w:r>
          </w:p>
        </w:tc>
        <w:tc>
          <w:tcPr>
            <w:tcW w:w="1457" w:type="pct"/>
          </w:tcPr>
          <w:p>
            <w:pPr>
              <w:adjustRightInd w:val="0"/>
              <w:snapToGrid w:val="0"/>
              <w:jc w:val="center"/>
            </w:pPr>
            <w:r>
              <w:t>锌</w:t>
            </w:r>
          </w:p>
        </w:tc>
        <w:tc>
          <w:tcPr>
            <w:tcW w:w="2665" w:type="pct"/>
          </w:tcPr>
          <w:p>
            <w:pPr>
              <w:adjustRightInd w:val="0"/>
              <w:snapToGrid w:val="0"/>
              <w:jc w:val="center"/>
            </w:pPr>
            <w: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7</w:t>
            </w:r>
          </w:p>
        </w:tc>
        <w:tc>
          <w:tcPr>
            <w:tcW w:w="1457" w:type="pct"/>
          </w:tcPr>
          <w:p>
            <w:pPr>
              <w:adjustRightInd w:val="0"/>
              <w:snapToGrid w:val="0"/>
              <w:jc w:val="center"/>
            </w:pPr>
            <w:r>
              <w:t>铅</w:t>
            </w:r>
          </w:p>
        </w:tc>
        <w:tc>
          <w:tcPr>
            <w:tcW w:w="2665" w:type="pct"/>
          </w:tcPr>
          <w:p>
            <w:pPr>
              <w:adjustRightInd w:val="0"/>
              <w:snapToGrid w:val="0"/>
              <w:jc w:val="center"/>
            </w:pPr>
            <w:r>
              <w:t>0.25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8</w:t>
            </w:r>
          </w:p>
        </w:tc>
        <w:tc>
          <w:tcPr>
            <w:tcW w:w="1457" w:type="pct"/>
          </w:tcPr>
          <w:p>
            <w:pPr>
              <w:adjustRightInd w:val="0"/>
              <w:snapToGrid w:val="0"/>
              <w:jc w:val="center"/>
            </w:pPr>
            <w:r>
              <w:t>镉</w:t>
            </w:r>
          </w:p>
        </w:tc>
        <w:tc>
          <w:tcPr>
            <w:tcW w:w="2665" w:type="pct"/>
          </w:tcPr>
          <w:p>
            <w:pPr>
              <w:adjustRightInd w:val="0"/>
              <w:snapToGrid w:val="0"/>
              <w:jc w:val="center"/>
            </w:pPr>
            <w:r>
              <w:t>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9</w:t>
            </w:r>
          </w:p>
        </w:tc>
        <w:tc>
          <w:tcPr>
            <w:tcW w:w="1457" w:type="pct"/>
          </w:tcPr>
          <w:p>
            <w:pPr>
              <w:adjustRightInd w:val="0"/>
              <w:snapToGrid w:val="0"/>
              <w:jc w:val="center"/>
            </w:pPr>
            <w:r>
              <w:t>铍</w:t>
            </w:r>
          </w:p>
        </w:tc>
        <w:tc>
          <w:tcPr>
            <w:tcW w:w="2665" w:type="pct"/>
          </w:tcPr>
          <w:p>
            <w:pPr>
              <w:adjustRightInd w:val="0"/>
              <w:snapToGrid w:val="0"/>
              <w:jc w:val="center"/>
            </w:pPr>
            <w:r>
              <w:t>0.02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10</w:t>
            </w:r>
          </w:p>
        </w:tc>
        <w:tc>
          <w:tcPr>
            <w:tcW w:w="1457" w:type="pct"/>
          </w:tcPr>
          <w:p>
            <w:pPr>
              <w:adjustRightInd w:val="0"/>
              <w:snapToGrid w:val="0"/>
              <w:jc w:val="center"/>
            </w:pPr>
            <w:r>
              <w:t>钡</w:t>
            </w:r>
          </w:p>
        </w:tc>
        <w:tc>
          <w:tcPr>
            <w:tcW w:w="2665" w:type="pct"/>
          </w:tcPr>
          <w:p>
            <w:pPr>
              <w:adjustRightInd w:val="0"/>
              <w:snapToGrid w:val="0"/>
              <w:jc w:val="center"/>
            </w:pPr>
            <w: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11</w:t>
            </w:r>
          </w:p>
        </w:tc>
        <w:tc>
          <w:tcPr>
            <w:tcW w:w="1457" w:type="pct"/>
          </w:tcPr>
          <w:p>
            <w:pPr>
              <w:adjustRightInd w:val="0"/>
              <w:snapToGrid w:val="0"/>
              <w:jc w:val="center"/>
            </w:pPr>
            <w:r>
              <w:t>镍</w:t>
            </w:r>
          </w:p>
        </w:tc>
        <w:tc>
          <w:tcPr>
            <w:tcW w:w="2665" w:type="pct"/>
          </w:tcPr>
          <w:p>
            <w:pPr>
              <w:adjustRightInd w:val="0"/>
              <w:snapToGrid w:val="0"/>
              <w:jc w:val="center"/>
            </w:pPr>
            <w:r>
              <w:t>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12</w:t>
            </w:r>
          </w:p>
        </w:tc>
        <w:tc>
          <w:tcPr>
            <w:tcW w:w="1457" w:type="pct"/>
          </w:tcPr>
          <w:p>
            <w:pPr>
              <w:adjustRightInd w:val="0"/>
              <w:snapToGrid w:val="0"/>
              <w:jc w:val="center"/>
            </w:pPr>
            <w:r>
              <w:t>砷</w:t>
            </w:r>
          </w:p>
        </w:tc>
        <w:tc>
          <w:tcPr>
            <w:tcW w:w="2665" w:type="pct"/>
          </w:tcPr>
          <w:p>
            <w:pPr>
              <w:adjustRightInd w:val="0"/>
              <w:snapToGrid w:val="0"/>
              <w:jc w:val="center"/>
            </w:pPr>
            <w:r>
              <w:t>0.3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13</w:t>
            </w:r>
          </w:p>
        </w:tc>
        <w:tc>
          <w:tcPr>
            <w:tcW w:w="1457" w:type="pct"/>
          </w:tcPr>
          <w:p>
            <w:pPr>
              <w:adjustRightInd w:val="0"/>
              <w:snapToGrid w:val="0"/>
              <w:jc w:val="center"/>
            </w:pPr>
            <w:r>
              <w:t>总铬</w:t>
            </w:r>
          </w:p>
        </w:tc>
        <w:tc>
          <w:tcPr>
            <w:tcW w:w="2665" w:type="pct"/>
          </w:tcPr>
          <w:p>
            <w:pPr>
              <w:adjustRightInd w:val="0"/>
              <w:snapToGrid w:val="0"/>
              <w:jc w:val="center"/>
            </w:pPr>
            <w:r>
              <w:t>4.5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14</w:t>
            </w:r>
          </w:p>
        </w:tc>
        <w:tc>
          <w:tcPr>
            <w:tcW w:w="1457" w:type="pct"/>
          </w:tcPr>
          <w:p>
            <w:pPr>
              <w:adjustRightInd w:val="0"/>
              <w:snapToGrid w:val="0"/>
              <w:jc w:val="center"/>
            </w:pPr>
            <w:r>
              <w:t>六价铬</w:t>
            </w:r>
          </w:p>
        </w:tc>
        <w:tc>
          <w:tcPr>
            <w:tcW w:w="2665" w:type="pct"/>
          </w:tcPr>
          <w:p>
            <w:pPr>
              <w:adjustRightInd w:val="0"/>
              <w:snapToGrid w:val="0"/>
              <w:jc w:val="center"/>
            </w:pPr>
            <w:r>
              <w:t>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878" w:type="pct"/>
          </w:tcPr>
          <w:p>
            <w:pPr>
              <w:adjustRightInd w:val="0"/>
              <w:snapToGrid w:val="0"/>
              <w:jc w:val="center"/>
            </w:pPr>
            <w:r>
              <w:t>15</w:t>
            </w:r>
          </w:p>
        </w:tc>
        <w:tc>
          <w:tcPr>
            <w:tcW w:w="1457" w:type="pct"/>
          </w:tcPr>
          <w:p>
            <w:pPr>
              <w:adjustRightInd w:val="0"/>
              <w:snapToGrid w:val="0"/>
              <w:jc w:val="center"/>
            </w:pPr>
            <w:r>
              <w:t>硒</w:t>
            </w:r>
          </w:p>
        </w:tc>
        <w:tc>
          <w:tcPr>
            <w:tcW w:w="2665" w:type="pct"/>
          </w:tcPr>
          <w:p>
            <w:pPr>
              <w:adjustRightInd w:val="0"/>
              <w:snapToGrid w:val="0"/>
              <w:jc w:val="center"/>
            </w:pPr>
            <w:r>
              <w:t>0.1</w:t>
            </w:r>
          </w:p>
        </w:tc>
      </w:tr>
    </w:tbl>
    <w:p>
      <w:pPr>
        <w:pStyle w:val="20"/>
        <w:adjustRightInd w:val="0"/>
        <w:snapToGrid w:val="0"/>
        <w:spacing w:after="0" w:line="360" w:lineRule="auto"/>
        <w:ind w:firstLine="482" w:firstLineChars="200"/>
        <w:rPr>
          <w:b/>
          <w:bCs/>
          <w:sz w:val="24"/>
          <w:szCs w:val="24"/>
        </w:rPr>
      </w:pPr>
      <w:r>
        <w:rPr>
          <w:rFonts w:hint="eastAsia"/>
          <w:b/>
          <w:bCs/>
          <w:sz w:val="24"/>
          <w:szCs w:val="24"/>
        </w:rPr>
        <w:t>3、冲洗废水</w:t>
      </w:r>
    </w:p>
    <w:p>
      <w:pPr>
        <w:pStyle w:val="20"/>
        <w:adjustRightInd w:val="0"/>
        <w:snapToGrid w:val="0"/>
        <w:spacing w:after="0" w:line="360" w:lineRule="auto"/>
        <w:ind w:firstLine="480" w:firstLineChars="200"/>
        <w:rPr>
          <w:sz w:val="24"/>
          <w:szCs w:val="24"/>
        </w:rPr>
      </w:pPr>
      <w:r>
        <w:rPr>
          <w:sz w:val="24"/>
          <w:szCs w:val="24"/>
        </w:rPr>
        <w:t>填埋机械、车辆清洗废水与洗车方式、洗车装置、垃圾性质有关，一般需 10~500L/辆，本项目设定 240L/辆.d 计。</w:t>
      </w:r>
      <w:r>
        <w:rPr>
          <w:rFonts w:hint="eastAsia"/>
          <w:sz w:val="24"/>
          <w:szCs w:val="24"/>
        </w:rPr>
        <w:t>根据可研报告，本项目车辆冲洗和进场道路冲洗废水约</w:t>
      </w:r>
      <w:r>
        <w:rPr>
          <w:sz w:val="24"/>
          <w:szCs w:val="24"/>
        </w:rPr>
        <w:t>0.9</w:t>
      </w:r>
      <w:r>
        <w:rPr>
          <w:rFonts w:hint="eastAsia"/>
          <w:sz w:val="24"/>
          <w:szCs w:val="24"/>
        </w:rPr>
        <w:t xml:space="preserve"> m</w:t>
      </w:r>
      <w:r>
        <w:rPr>
          <w:sz w:val="24"/>
          <w:szCs w:val="24"/>
          <w:vertAlign w:val="superscript"/>
        </w:rPr>
        <w:t>3</w:t>
      </w:r>
      <w:r>
        <w:rPr>
          <w:sz w:val="24"/>
          <w:szCs w:val="24"/>
        </w:rPr>
        <w:t>/d</w:t>
      </w:r>
      <w:r>
        <w:rPr>
          <w:rFonts w:hint="eastAsia"/>
          <w:sz w:val="24"/>
          <w:szCs w:val="24"/>
        </w:rPr>
        <w:t>，冲洗废水主要污染物为</w:t>
      </w:r>
      <w:r>
        <w:rPr>
          <w:sz w:val="24"/>
          <w:szCs w:val="24"/>
        </w:rPr>
        <w:t>SS</w:t>
      </w:r>
      <w:r>
        <w:rPr>
          <w:rFonts w:hint="eastAsia"/>
          <w:sz w:val="24"/>
          <w:szCs w:val="24"/>
        </w:rPr>
        <w:t>，冲洗废水收集后进入渗滤液调节池一并处理。</w:t>
      </w:r>
      <w:r>
        <w:rPr>
          <w:sz w:val="24"/>
          <w:szCs w:val="24"/>
        </w:rPr>
        <w:t>类比同类型项目</w:t>
      </w:r>
      <w:r>
        <w:rPr>
          <w:rFonts w:hint="eastAsia"/>
          <w:sz w:val="24"/>
          <w:szCs w:val="24"/>
        </w:rPr>
        <w:t>，</w:t>
      </w:r>
      <w:r>
        <w:rPr>
          <w:sz w:val="24"/>
          <w:szCs w:val="24"/>
        </w:rPr>
        <w:t>车辆冲洗废水中 COD、SS 浓度分别为 800mg/L、600mg/L。</w:t>
      </w:r>
    </w:p>
    <w:p>
      <w:pPr>
        <w:pStyle w:val="20"/>
        <w:adjustRightInd w:val="0"/>
        <w:snapToGrid w:val="0"/>
        <w:spacing w:after="0" w:line="360" w:lineRule="auto"/>
        <w:ind w:firstLine="482" w:firstLineChars="200"/>
        <w:rPr>
          <w:b/>
          <w:bCs/>
          <w:sz w:val="24"/>
          <w:szCs w:val="24"/>
        </w:rPr>
      </w:pPr>
      <w:r>
        <w:rPr>
          <w:rFonts w:hint="eastAsia"/>
          <w:b/>
          <w:bCs/>
          <w:sz w:val="24"/>
          <w:szCs w:val="24"/>
        </w:rPr>
        <w:t>4、初期雨水</w:t>
      </w:r>
    </w:p>
    <w:p>
      <w:pPr>
        <w:pStyle w:val="20"/>
        <w:adjustRightInd w:val="0"/>
        <w:snapToGrid w:val="0"/>
        <w:spacing w:after="0" w:line="360" w:lineRule="auto"/>
        <w:ind w:firstLine="480" w:firstLineChars="200"/>
        <w:rPr>
          <w:sz w:val="24"/>
        </w:rPr>
      </w:pPr>
      <w:r>
        <w:rPr>
          <w:rFonts w:hint="eastAsia"/>
          <w:sz w:val="24"/>
          <w:szCs w:val="24"/>
        </w:rPr>
        <w:t>本项目填埋场设防雨土工膜，可避免降雨进入堆填区内，填埋区周边建设防雨挡水墙及排水沟，做到雨污水分流。因此本项目初期雨水只针对厂区内运输道路进行计算分析。</w:t>
      </w:r>
    </w:p>
    <w:p>
      <w:pPr>
        <w:tabs>
          <w:tab w:val="left" w:pos="495"/>
        </w:tabs>
        <w:topLinePunct/>
        <w:adjustRightInd w:val="0"/>
        <w:snapToGrid w:val="0"/>
        <w:spacing w:line="360" w:lineRule="auto"/>
        <w:ind w:firstLine="480" w:firstLineChars="200"/>
        <w:rPr>
          <w:sz w:val="24"/>
          <w:szCs w:val="24"/>
        </w:rPr>
      </w:pPr>
      <w:r>
        <w:rPr>
          <w:sz w:val="24"/>
          <w:szCs w:val="24"/>
        </w:rPr>
        <w:t>对</w:t>
      </w:r>
      <w:r>
        <w:rPr>
          <w:rFonts w:hint="eastAsia"/>
          <w:sz w:val="24"/>
          <w:szCs w:val="24"/>
        </w:rPr>
        <w:t>场区内</w:t>
      </w:r>
      <w:r>
        <w:rPr>
          <w:sz w:val="24"/>
          <w:szCs w:val="24"/>
        </w:rPr>
        <w:t>运输易造成污染的道路、地磅区域的前15分钟初期雨水设雨水收集池收集。15分钟后雨水可切换溢流排入厂区雨水管。初期雨水收集汇水面积约5000m</w:t>
      </w:r>
      <w:r>
        <w:rPr>
          <w:sz w:val="24"/>
          <w:szCs w:val="24"/>
          <w:vertAlign w:val="superscript"/>
        </w:rPr>
        <w:t>2</w:t>
      </w:r>
      <w:r>
        <w:rPr>
          <w:sz w:val="24"/>
          <w:szCs w:val="24"/>
        </w:rPr>
        <w:t>（0.5ha）。</w:t>
      </w:r>
    </w:p>
    <w:p>
      <w:pPr>
        <w:tabs>
          <w:tab w:val="left" w:pos="495"/>
        </w:tabs>
        <w:adjustRightInd w:val="0"/>
        <w:snapToGrid w:val="0"/>
        <w:spacing w:line="360" w:lineRule="auto"/>
        <w:ind w:firstLine="480" w:firstLineChars="200"/>
        <w:jc w:val="left"/>
        <w:rPr>
          <w:kern w:val="0"/>
          <w:sz w:val="24"/>
          <w:szCs w:val="24"/>
        </w:rPr>
      </w:pPr>
      <w:r>
        <w:rPr>
          <w:kern w:val="0"/>
          <w:sz w:val="24"/>
          <w:szCs w:val="24"/>
        </w:rPr>
        <w:t>本项目</w:t>
      </w:r>
      <w:r>
        <w:rPr>
          <w:rFonts w:hint="eastAsia"/>
          <w:kern w:val="0"/>
          <w:sz w:val="24"/>
          <w:szCs w:val="24"/>
        </w:rPr>
        <w:t>厂区雨水设计重现期2</w:t>
      </w:r>
      <w:r>
        <w:rPr>
          <w:kern w:val="0"/>
          <w:sz w:val="24"/>
          <w:szCs w:val="24"/>
        </w:rPr>
        <w:t>5</w:t>
      </w:r>
      <w:r>
        <w:rPr>
          <w:rFonts w:hint="eastAsia"/>
          <w:kern w:val="0"/>
          <w:sz w:val="24"/>
          <w:szCs w:val="24"/>
        </w:rPr>
        <w:t>年，采用临近的承德市暴雨强度公式</w:t>
      </w:r>
      <w:r>
        <w:rPr>
          <w:kern w:val="0"/>
          <w:sz w:val="24"/>
          <w:szCs w:val="24"/>
        </w:rPr>
        <w:t>计算：</w:t>
      </w:r>
    </w:p>
    <w:p>
      <w:pPr>
        <w:tabs>
          <w:tab w:val="left" w:pos="495"/>
        </w:tabs>
        <w:adjustRightInd w:val="0"/>
        <w:snapToGrid w:val="0"/>
        <w:spacing w:line="360" w:lineRule="auto"/>
        <w:ind w:firstLine="1132" w:firstLineChars="472"/>
        <w:jc w:val="left"/>
        <w:rPr>
          <w:kern w:val="0"/>
          <w:sz w:val="24"/>
          <w:szCs w:val="24"/>
        </w:rPr>
      </w:pPr>
      <w:r>
        <w:rPr>
          <w:rFonts w:hint="eastAsia" w:ascii="宋体" w:hAnsi="宋体" w:cs="宋体"/>
          <w:sz w:val="24"/>
          <w:szCs w:val="24"/>
        </w:rPr>
        <w:drawing>
          <wp:inline distT="0" distB="0" distL="0" distR="0">
            <wp:extent cx="3125470" cy="573405"/>
            <wp:effectExtent l="0" t="0" r="0" b="0"/>
            <wp:docPr id="21" name="图片 21" desc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125470" cy="573405"/>
                    </a:xfrm>
                    <a:prstGeom prst="rect">
                      <a:avLst/>
                    </a:prstGeom>
                    <a:noFill/>
                    <a:ln>
                      <a:noFill/>
                    </a:ln>
                  </pic:spPr>
                </pic:pic>
              </a:graphicData>
            </a:graphic>
          </wp:inline>
        </w:drawing>
      </w:r>
    </w:p>
    <w:p>
      <w:pPr>
        <w:tabs>
          <w:tab w:val="left" w:pos="495"/>
        </w:tabs>
        <w:adjustRightInd w:val="0"/>
        <w:snapToGrid w:val="0"/>
        <w:spacing w:line="360" w:lineRule="auto"/>
        <w:ind w:firstLine="424" w:firstLineChars="177"/>
        <w:jc w:val="left"/>
        <w:rPr>
          <w:kern w:val="0"/>
          <w:sz w:val="24"/>
          <w:szCs w:val="24"/>
        </w:rPr>
      </w:pPr>
      <w:r>
        <w:rPr>
          <w:kern w:val="0"/>
          <w:sz w:val="24"/>
          <w:szCs w:val="24"/>
        </w:rPr>
        <w:t>式中：q——暴雨强度（L/S*ha）</w:t>
      </w:r>
    </w:p>
    <w:p>
      <w:pPr>
        <w:tabs>
          <w:tab w:val="left" w:pos="495"/>
        </w:tabs>
        <w:adjustRightInd w:val="0"/>
        <w:snapToGrid w:val="0"/>
        <w:spacing w:line="360" w:lineRule="auto"/>
        <w:ind w:firstLine="1132" w:firstLineChars="472"/>
        <w:jc w:val="left"/>
        <w:rPr>
          <w:kern w:val="0"/>
          <w:sz w:val="24"/>
          <w:szCs w:val="24"/>
        </w:rPr>
      </w:pPr>
      <w:r>
        <w:rPr>
          <w:kern w:val="0"/>
          <w:sz w:val="24"/>
          <w:szCs w:val="24"/>
        </w:rPr>
        <w:t>P——设计重现期（a），采用25年。</w:t>
      </w:r>
    </w:p>
    <w:p>
      <w:pPr>
        <w:tabs>
          <w:tab w:val="left" w:pos="495"/>
        </w:tabs>
        <w:adjustRightInd w:val="0"/>
        <w:snapToGrid w:val="0"/>
        <w:spacing w:line="360" w:lineRule="auto"/>
        <w:ind w:firstLine="1132" w:firstLineChars="472"/>
        <w:jc w:val="left"/>
        <w:rPr>
          <w:kern w:val="0"/>
          <w:sz w:val="24"/>
          <w:szCs w:val="24"/>
        </w:rPr>
      </w:pPr>
      <w:r>
        <w:rPr>
          <w:kern w:val="0"/>
          <w:sz w:val="24"/>
          <w:szCs w:val="24"/>
        </w:rPr>
        <w:t>t--降雨历时，25min</w:t>
      </w:r>
    </w:p>
    <w:p>
      <w:pPr>
        <w:tabs>
          <w:tab w:val="left" w:pos="495"/>
        </w:tabs>
        <w:adjustRightInd w:val="0"/>
        <w:snapToGrid w:val="0"/>
        <w:spacing w:line="360" w:lineRule="auto"/>
        <w:ind w:firstLine="1132" w:firstLineChars="472"/>
        <w:jc w:val="left"/>
        <w:rPr>
          <w:kern w:val="0"/>
          <w:sz w:val="24"/>
          <w:szCs w:val="24"/>
        </w:rPr>
      </w:pPr>
      <w:r>
        <w:rPr>
          <w:kern w:val="0"/>
          <w:sz w:val="24"/>
          <w:szCs w:val="24"/>
        </w:rPr>
        <w:t>则暴雨强度：q=262.23（L/S*ha）</w:t>
      </w:r>
    </w:p>
    <w:p>
      <w:pPr>
        <w:tabs>
          <w:tab w:val="left" w:pos="495"/>
        </w:tabs>
        <w:topLinePunct/>
        <w:adjustRightInd w:val="0"/>
        <w:snapToGrid w:val="0"/>
        <w:spacing w:line="360" w:lineRule="auto"/>
        <w:ind w:firstLine="480" w:firstLineChars="200"/>
        <w:rPr>
          <w:kern w:val="0"/>
          <w:sz w:val="24"/>
          <w:szCs w:val="24"/>
        </w:rPr>
      </w:pPr>
      <w:r>
        <w:rPr>
          <w:kern w:val="0"/>
          <w:sz w:val="24"/>
          <w:szCs w:val="24"/>
        </w:rPr>
        <w:t>雨水设计流量按下列公式计算：</w:t>
      </w:r>
    </w:p>
    <w:p>
      <w:pPr>
        <w:tabs>
          <w:tab w:val="left" w:pos="495"/>
        </w:tabs>
        <w:topLinePunct/>
        <w:adjustRightInd w:val="0"/>
        <w:snapToGrid w:val="0"/>
        <w:spacing w:line="360" w:lineRule="auto"/>
        <w:ind w:firstLine="2234" w:firstLineChars="931"/>
        <w:rPr>
          <w:kern w:val="0"/>
          <w:sz w:val="24"/>
          <w:szCs w:val="24"/>
        </w:rPr>
      </w:pPr>
      <w:r>
        <w:rPr>
          <w:kern w:val="0"/>
          <w:sz w:val="24"/>
          <w:szCs w:val="24"/>
        </w:rPr>
        <w:t>Q=qΨF</w:t>
      </w:r>
    </w:p>
    <w:p>
      <w:pPr>
        <w:tabs>
          <w:tab w:val="left" w:pos="495"/>
        </w:tabs>
        <w:topLinePunct/>
        <w:adjustRightInd w:val="0"/>
        <w:snapToGrid w:val="0"/>
        <w:spacing w:line="360" w:lineRule="auto"/>
        <w:ind w:firstLine="1274" w:firstLineChars="531"/>
        <w:rPr>
          <w:kern w:val="0"/>
          <w:sz w:val="24"/>
          <w:szCs w:val="24"/>
        </w:rPr>
      </w:pPr>
      <w:r>
        <w:rPr>
          <w:kern w:val="0"/>
          <w:sz w:val="24"/>
          <w:szCs w:val="24"/>
        </w:rPr>
        <w:t>Q——雨水设计流量（L/s）</w:t>
      </w:r>
    </w:p>
    <w:p>
      <w:pPr>
        <w:tabs>
          <w:tab w:val="left" w:pos="495"/>
        </w:tabs>
        <w:topLinePunct/>
        <w:adjustRightInd w:val="0"/>
        <w:snapToGrid w:val="0"/>
        <w:spacing w:line="360" w:lineRule="auto"/>
        <w:ind w:firstLine="1274" w:firstLineChars="531"/>
        <w:rPr>
          <w:kern w:val="0"/>
          <w:sz w:val="24"/>
          <w:szCs w:val="24"/>
        </w:rPr>
      </w:pPr>
      <w:r>
        <w:rPr>
          <w:kern w:val="0"/>
          <w:sz w:val="24"/>
          <w:szCs w:val="24"/>
        </w:rPr>
        <w:t>q——设计暴雨强度（L/（s·ha））</w:t>
      </w:r>
    </w:p>
    <w:p>
      <w:pPr>
        <w:tabs>
          <w:tab w:val="left" w:pos="495"/>
        </w:tabs>
        <w:topLinePunct/>
        <w:adjustRightInd w:val="0"/>
        <w:snapToGrid w:val="0"/>
        <w:spacing w:line="360" w:lineRule="auto"/>
        <w:ind w:firstLine="1274" w:firstLineChars="531"/>
        <w:rPr>
          <w:kern w:val="0"/>
          <w:sz w:val="24"/>
          <w:szCs w:val="24"/>
        </w:rPr>
      </w:pPr>
      <w:r>
        <w:rPr>
          <w:kern w:val="0"/>
          <w:sz w:val="24"/>
          <w:szCs w:val="24"/>
        </w:rPr>
        <w:t>Ψ——径流系数，Ψ=0.9</w:t>
      </w:r>
    </w:p>
    <w:p>
      <w:pPr>
        <w:tabs>
          <w:tab w:val="left" w:pos="495"/>
        </w:tabs>
        <w:adjustRightInd w:val="0"/>
        <w:snapToGrid w:val="0"/>
        <w:spacing w:line="360" w:lineRule="auto"/>
        <w:ind w:firstLine="1372" w:firstLineChars="572"/>
        <w:jc w:val="left"/>
        <w:rPr>
          <w:kern w:val="0"/>
          <w:sz w:val="24"/>
          <w:szCs w:val="24"/>
        </w:rPr>
      </w:pPr>
      <w:r>
        <w:rPr>
          <w:kern w:val="0"/>
          <w:sz w:val="24"/>
          <w:szCs w:val="24"/>
        </w:rPr>
        <w:t>F——汇水面积（ha）</w:t>
      </w:r>
      <w:r>
        <w:rPr>
          <w:rFonts w:hint="eastAsia"/>
          <w:kern w:val="0"/>
          <w:sz w:val="24"/>
          <w:szCs w:val="24"/>
        </w:rPr>
        <w:t>，</w:t>
      </w:r>
      <w:r>
        <w:rPr>
          <w:kern w:val="0"/>
          <w:sz w:val="24"/>
          <w:szCs w:val="24"/>
        </w:rPr>
        <w:t>初期雨水收集汇水面积约5000m</w:t>
      </w:r>
      <w:r>
        <w:rPr>
          <w:kern w:val="0"/>
          <w:sz w:val="24"/>
          <w:szCs w:val="24"/>
          <w:vertAlign w:val="superscript"/>
        </w:rPr>
        <w:t>2</w:t>
      </w:r>
      <w:r>
        <w:rPr>
          <w:kern w:val="0"/>
          <w:sz w:val="24"/>
          <w:szCs w:val="24"/>
        </w:rPr>
        <w:t>。</w:t>
      </w:r>
    </w:p>
    <w:p>
      <w:pPr>
        <w:tabs>
          <w:tab w:val="left" w:pos="495"/>
        </w:tabs>
        <w:adjustRightInd w:val="0"/>
        <w:snapToGrid w:val="0"/>
        <w:spacing w:line="360" w:lineRule="auto"/>
        <w:ind w:firstLine="480" w:firstLineChars="200"/>
        <w:jc w:val="left"/>
        <w:rPr>
          <w:kern w:val="0"/>
          <w:sz w:val="24"/>
          <w:szCs w:val="24"/>
        </w:rPr>
      </w:pPr>
      <w:r>
        <w:rPr>
          <w:kern w:val="0"/>
          <w:sz w:val="24"/>
          <w:szCs w:val="24"/>
        </w:rPr>
        <w:t>设计初期最大雨水收集流量为</w:t>
      </w:r>
      <w:r>
        <w:rPr>
          <w:rFonts w:hint="eastAsia"/>
          <w:kern w:val="0"/>
          <w:sz w:val="24"/>
          <w:szCs w:val="24"/>
        </w:rPr>
        <w:t>：</w:t>
      </w:r>
    </w:p>
    <w:p>
      <w:pPr>
        <w:tabs>
          <w:tab w:val="left" w:pos="495"/>
        </w:tabs>
        <w:topLinePunct/>
        <w:adjustRightInd w:val="0"/>
        <w:snapToGrid w:val="0"/>
        <w:spacing w:line="360" w:lineRule="auto"/>
        <w:ind w:firstLine="1200" w:firstLineChars="500"/>
        <w:rPr>
          <w:kern w:val="0"/>
          <w:sz w:val="24"/>
          <w:szCs w:val="24"/>
          <w:lang w:val="da-DK"/>
        </w:rPr>
      </w:pPr>
      <w:r>
        <w:rPr>
          <w:kern w:val="0"/>
          <w:sz w:val="24"/>
          <w:szCs w:val="24"/>
          <w:lang w:val="da-DK"/>
        </w:rPr>
        <w:t>Q=q</w:t>
      </w:r>
      <w:r>
        <w:rPr>
          <w:kern w:val="0"/>
          <w:sz w:val="24"/>
          <w:szCs w:val="24"/>
        </w:rPr>
        <w:t>Ψ</w:t>
      </w:r>
      <w:r>
        <w:rPr>
          <w:kern w:val="0"/>
          <w:sz w:val="24"/>
          <w:szCs w:val="24"/>
          <w:lang w:val="da-DK"/>
        </w:rPr>
        <w:t>F=262.23×0.9×0.5×60×15/1000</w:t>
      </w:r>
      <w:r>
        <w:rPr>
          <w:kern w:val="0"/>
          <w:sz w:val="24"/>
          <w:szCs w:val="24"/>
        </w:rPr>
        <w:t>=106.2</w:t>
      </w:r>
      <w:r>
        <w:rPr>
          <w:kern w:val="0"/>
          <w:sz w:val="24"/>
          <w:szCs w:val="24"/>
          <w:lang w:val="da-DK"/>
        </w:rPr>
        <w:t>m</w:t>
      </w:r>
      <w:r>
        <w:rPr>
          <w:kern w:val="0"/>
          <w:sz w:val="24"/>
          <w:szCs w:val="24"/>
          <w:vertAlign w:val="superscript"/>
          <w:lang w:val="da-DK"/>
        </w:rPr>
        <w:t>3</w:t>
      </w:r>
    </w:p>
    <w:p>
      <w:pPr>
        <w:pStyle w:val="20"/>
        <w:adjustRightInd w:val="0"/>
        <w:snapToGrid w:val="0"/>
        <w:spacing w:after="0" w:line="360" w:lineRule="auto"/>
        <w:ind w:firstLine="480" w:firstLineChars="200"/>
        <w:rPr>
          <w:kern w:val="0"/>
          <w:sz w:val="24"/>
          <w:szCs w:val="24"/>
          <w:lang w:val="da-DK"/>
        </w:rPr>
      </w:pPr>
      <w:r>
        <w:rPr>
          <w:kern w:val="0"/>
          <w:sz w:val="24"/>
          <w:szCs w:val="24"/>
        </w:rPr>
        <w:t>因此，</w:t>
      </w:r>
      <w:bookmarkStart w:id="97" w:name="_Hlk78548072"/>
      <w:r>
        <w:rPr>
          <w:kern w:val="0"/>
          <w:sz w:val="24"/>
          <w:szCs w:val="24"/>
        </w:rPr>
        <w:t>本项目</w:t>
      </w:r>
      <w:bookmarkStart w:id="98" w:name="_Hlk92376335"/>
      <w:r>
        <w:rPr>
          <w:kern w:val="0"/>
          <w:sz w:val="24"/>
          <w:szCs w:val="24"/>
        </w:rPr>
        <w:t>最大初期雨水需收集量约为106.2</w:t>
      </w:r>
      <w:r>
        <w:rPr>
          <w:kern w:val="0"/>
          <w:sz w:val="24"/>
          <w:szCs w:val="24"/>
          <w:lang w:val="da-DK"/>
        </w:rPr>
        <w:t>m</w:t>
      </w:r>
      <w:r>
        <w:rPr>
          <w:kern w:val="0"/>
          <w:sz w:val="24"/>
          <w:szCs w:val="24"/>
          <w:vertAlign w:val="superscript"/>
          <w:lang w:val="da-DK"/>
        </w:rPr>
        <w:t>3</w:t>
      </w:r>
      <w:bookmarkEnd w:id="98"/>
      <w:r>
        <w:rPr>
          <w:kern w:val="0"/>
          <w:sz w:val="24"/>
          <w:szCs w:val="24"/>
          <w:lang w:val="da-DK"/>
        </w:rPr>
        <w:t>。</w:t>
      </w:r>
      <w:bookmarkEnd w:id="97"/>
    </w:p>
    <w:p>
      <w:pPr>
        <w:pStyle w:val="20"/>
        <w:adjustRightInd w:val="0"/>
        <w:snapToGrid w:val="0"/>
        <w:spacing w:after="0" w:line="360" w:lineRule="auto"/>
        <w:ind w:firstLine="480" w:firstLineChars="200"/>
        <w:rPr>
          <w:kern w:val="0"/>
          <w:sz w:val="24"/>
          <w:szCs w:val="24"/>
        </w:rPr>
      </w:pPr>
      <w:r>
        <w:rPr>
          <w:kern w:val="0"/>
          <w:sz w:val="24"/>
          <w:szCs w:val="24"/>
        </w:rPr>
        <w:t>初期雨水经过专用管道</w:t>
      </w:r>
      <w:r>
        <w:rPr>
          <w:rFonts w:hint="eastAsia"/>
          <w:sz w:val="24"/>
          <w:szCs w:val="24"/>
        </w:rPr>
        <w:t>全部排入项目渗滤液调节池（容积3</w:t>
      </w:r>
      <w:r>
        <w:rPr>
          <w:sz w:val="24"/>
          <w:szCs w:val="24"/>
        </w:rPr>
        <w:t>000 m</w:t>
      </w:r>
      <w:r>
        <w:rPr>
          <w:sz w:val="24"/>
          <w:szCs w:val="24"/>
          <w:vertAlign w:val="superscript"/>
        </w:rPr>
        <w:t>3</w:t>
      </w:r>
      <w:r>
        <w:rPr>
          <w:rFonts w:hint="eastAsia"/>
          <w:sz w:val="24"/>
          <w:szCs w:val="24"/>
        </w:rPr>
        <w:t>），后，根据渗滤液处理站负荷情况分批泵入，分批处理。</w:t>
      </w:r>
      <w:r>
        <w:rPr>
          <w:kern w:val="0"/>
          <w:sz w:val="24"/>
          <w:szCs w:val="24"/>
        </w:rPr>
        <w:t>15分钟后雨水可切换溢流排入雨水管</w:t>
      </w:r>
      <w:r>
        <w:rPr>
          <w:rFonts w:hint="eastAsia"/>
          <w:kern w:val="0"/>
          <w:sz w:val="24"/>
          <w:szCs w:val="24"/>
        </w:rPr>
        <w:t>，排至库区外</w:t>
      </w:r>
      <w:r>
        <w:rPr>
          <w:kern w:val="0"/>
          <w:sz w:val="24"/>
          <w:szCs w:val="24"/>
        </w:rPr>
        <w:t>。</w:t>
      </w:r>
    </w:p>
    <w:p>
      <w:pPr>
        <w:pStyle w:val="62"/>
        <w:numPr>
          <w:ilvl w:val="3"/>
          <w:numId w:val="5"/>
        </w:numPr>
        <w:tabs>
          <w:tab w:val="left" w:pos="851"/>
          <w:tab w:val="clear" w:pos="1021"/>
        </w:tabs>
        <w:spacing w:beforeLines="0" w:afterLines="0"/>
        <w:ind w:left="1290" w:hanging="1290" w:hangingChars="459"/>
        <w:outlineLvl w:val="3"/>
        <w:rPr>
          <w:rFonts w:ascii="Times New Roman" w:hAnsi="Times New Roman"/>
        </w:rPr>
      </w:pPr>
      <w:r>
        <w:rPr>
          <w:rFonts w:hint="eastAsia" w:ascii="Times New Roman" w:hAnsi="Times New Roman"/>
        </w:rPr>
        <w:t>废水处理系统</w:t>
      </w:r>
    </w:p>
    <w:p>
      <w:pPr>
        <w:widowControl/>
        <w:adjustRightInd w:val="0"/>
        <w:snapToGrid w:val="0"/>
        <w:spacing w:line="360" w:lineRule="auto"/>
        <w:ind w:firstLine="480" w:firstLineChars="200"/>
        <w:jc w:val="left"/>
        <w:rPr>
          <w:kern w:val="10"/>
          <w:sz w:val="24"/>
        </w:rPr>
      </w:pPr>
      <w:r>
        <w:rPr>
          <w:rFonts w:hint="eastAsia"/>
          <w:kern w:val="10"/>
          <w:sz w:val="24"/>
        </w:rPr>
        <w:t>本项目渗滤液产生量为</w:t>
      </w:r>
      <w:bookmarkStart w:id="99" w:name="_Hlk92376295"/>
      <w:r>
        <w:rPr>
          <w:kern w:val="10"/>
          <w:sz w:val="24"/>
        </w:rPr>
        <w:t xml:space="preserve">19.06 </w:t>
      </w:r>
      <w:bookmarkEnd w:id="99"/>
      <w:r>
        <w:rPr>
          <w:kern w:val="10"/>
          <w:sz w:val="24"/>
        </w:rPr>
        <w:t>m</w:t>
      </w:r>
      <w:r>
        <w:rPr>
          <w:kern w:val="10"/>
          <w:sz w:val="24"/>
          <w:vertAlign w:val="superscript"/>
        </w:rPr>
        <w:t>3</w:t>
      </w:r>
      <w:r>
        <w:rPr>
          <w:kern w:val="10"/>
          <w:sz w:val="24"/>
        </w:rPr>
        <w:t>/d</w:t>
      </w:r>
      <w:r>
        <w:rPr>
          <w:rFonts w:hint="eastAsia"/>
          <w:kern w:val="10"/>
          <w:sz w:val="24"/>
        </w:rPr>
        <w:t>，冲洗废水约</w:t>
      </w:r>
      <w:r>
        <w:rPr>
          <w:kern w:val="10"/>
          <w:sz w:val="24"/>
        </w:rPr>
        <w:t>0.9</w:t>
      </w:r>
      <w:r>
        <w:rPr>
          <w:rFonts w:hint="eastAsia"/>
          <w:kern w:val="10"/>
          <w:sz w:val="24"/>
        </w:rPr>
        <w:t xml:space="preserve"> m</w:t>
      </w:r>
      <w:r>
        <w:rPr>
          <w:kern w:val="10"/>
          <w:sz w:val="24"/>
          <w:vertAlign w:val="superscript"/>
        </w:rPr>
        <w:t>3</w:t>
      </w:r>
      <w:r>
        <w:rPr>
          <w:kern w:val="10"/>
          <w:sz w:val="24"/>
        </w:rPr>
        <w:t>/d</w:t>
      </w:r>
      <w:r>
        <w:rPr>
          <w:rFonts w:hint="eastAsia"/>
          <w:kern w:val="10"/>
          <w:sz w:val="24"/>
        </w:rPr>
        <w:t>；生活废水排水量为</w:t>
      </w:r>
      <w:r>
        <w:rPr>
          <w:kern w:val="10"/>
          <w:sz w:val="24"/>
        </w:rPr>
        <w:t>0.77</w:t>
      </w:r>
      <w:r>
        <w:rPr>
          <w:rFonts w:hint="eastAsia"/>
          <w:kern w:val="10"/>
          <w:sz w:val="24"/>
        </w:rPr>
        <w:t xml:space="preserve"> m</w:t>
      </w:r>
      <w:r>
        <w:rPr>
          <w:kern w:val="10"/>
          <w:sz w:val="24"/>
          <w:vertAlign w:val="superscript"/>
        </w:rPr>
        <w:t>3</w:t>
      </w:r>
      <w:r>
        <w:rPr>
          <w:kern w:val="10"/>
          <w:sz w:val="24"/>
        </w:rPr>
        <w:t>/d</w:t>
      </w:r>
      <w:r>
        <w:rPr>
          <w:rFonts w:hint="eastAsia"/>
          <w:kern w:val="10"/>
          <w:sz w:val="24"/>
        </w:rPr>
        <w:t>，合计废水量为20.73 m</w:t>
      </w:r>
      <w:r>
        <w:rPr>
          <w:kern w:val="10"/>
          <w:sz w:val="24"/>
          <w:vertAlign w:val="superscript"/>
        </w:rPr>
        <w:t>3</w:t>
      </w:r>
      <w:r>
        <w:rPr>
          <w:kern w:val="10"/>
          <w:sz w:val="24"/>
        </w:rPr>
        <w:t>/d</w:t>
      </w:r>
      <w:r>
        <w:rPr>
          <w:rFonts w:hint="eastAsia"/>
          <w:kern w:val="10"/>
          <w:sz w:val="24"/>
        </w:rPr>
        <w:t>。</w:t>
      </w:r>
      <w:bookmarkStart w:id="100" w:name="_Hlk91692377"/>
      <w:r>
        <w:rPr>
          <w:rFonts w:hint="eastAsia"/>
          <w:kern w:val="10"/>
          <w:sz w:val="24"/>
        </w:rPr>
        <w:t>所有废水先进入</w:t>
      </w:r>
      <w:r>
        <w:rPr>
          <w:rFonts w:hint="eastAsia"/>
          <w:bCs/>
          <w:kern w:val="10"/>
          <w:sz w:val="24"/>
        </w:rPr>
        <w:t>1个3</w:t>
      </w:r>
      <w:r>
        <w:rPr>
          <w:bCs/>
          <w:kern w:val="10"/>
          <w:sz w:val="24"/>
        </w:rPr>
        <w:t>000</w:t>
      </w:r>
      <w:r>
        <w:rPr>
          <w:rFonts w:hint="eastAsia"/>
          <w:bCs/>
          <w:kern w:val="10"/>
          <w:sz w:val="24"/>
        </w:rPr>
        <w:t>m</w:t>
      </w:r>
      <w:r>
        <w:rPr>
          <w:bCs/>
          <w:kern w:val="10"/>
          <w:sz w:val="24"/>
          <w:vertAlign w:val="superscript"/>
        </w:rPr>
        <w:t>3</w:t>
      </w:r>
      <w:r>
        <w:rPr>
          <w:rFonts w:hint="eastAsia"/>
          <w:bCs/>
          <w:kern w:val="10"/>
          <w:sz w:val="24"/>
        </w:rPr>
        <w:t>的渗滤液调节池，然后分批泵入本项目</w:t>
      </w:r>
      <w:r>
        <w:rPr>
          <w:rFonts w:hint="eastAsia"/>
          <w:kern w:val="10"/>
          <w:sz w:val="24"/>
        </w:rPr>
        <w:t>设计规模为3</w:t>
      </w:r>
      <w:r>
        <w:rPr>
          <w:kern w:val="10"/>
          <w:sz w:val="24"/>
        </w:rPr>
        <w:t>0</w:t>
      </w:r>
      <w:r>
        <w:rPr>
          <w:rFonts w:hint="eastAsia"/>
          <w:kern w:val="10"/>
          <w:sz w:val="24"/>
        </w:rPr>
        <w:t>m</w:t>
      </w:r>
      <w:r>
        <w:rPr>
          <w:kern w:val="10"/>
          <w:sz w:val="24"/>
          <w:vertAlign w:val="superscript"/>
        </w:rPr>
        <w:t>3</w:t>
      </w:r>
      <w:r>
        <w:rPr>
          <w:kern w:val="10"/>
          <w:sz w:val="24"/>
        </w:rPr>
        <w:t>/d</w:t>
      </w:r>
      <w:r>
        <w:rPr>
          <w:rFonts w:hint="eastAsia"/>
          <w:kern w:val="10"/>
          <w:sz w:val="24"/>
        </w:rPr>
        <w:t>的</w:t>
      </w:r>
      <w:r>
        <w:rPr>
          <w:rFonts w:hint="eastAsia"/>
          <w:bCs/>
          <w:kern w:val="10"/>
          <w:sz w:val="24"/>
        </w:rPr>
        <w:t>渗滤液处理站。</w:t>
      </w:r>
    </w:p>
    <w:p>
      <w:pPr>
        <w:widowControl/>
        <w:adjustRightInd w:val="0"/>
        <w:snapToGrid w:val="0"/>
        <w:spacing w:line="360" w:lineRule="auto"/>
        <w:ind w:firstLine="480" w:firstLineChars="200"/>
        <w:jc w:val="left"/>
        <w:rPr>
          <w:kern w:val="10"/>
          <w:sz w:val="24"/>
        </w:rPr>
      </w:pPr>
      <w:r>
        <w:rPr>
          <w:rFonts w:hint="eastAsia"/>
          <w:bCs/>
          <w:kern w:val="10"/>
          <w:sz w:val="24"/>
        </w:rPr>
        <w:t>3</w:t>
      </w:r>
      <w:r>
        <w:rPr>
          <w:bCs/>
          <w:kern w:val="10"/>
          <w:sz w:val="24"/>
        </w:rPr>
        <w:t>000</w:t>
      </w:r>
      <w:r>
        <w:rPr>
          <w:rFonts w:hint="eastAsia"/>
          <w:bCs/>
          <w:kern w:val="10"/>
          <w:sz w:val="24"/>
        </w:rPr>
        <w:t>m</w:t>
      </w:r>
      <w:r>
        <w:rPr>
          <w:bCs/>
          <w:kern w:val="10"/>
          <w:sz w:val="24"/>
          <w:vertAlign w:val="superscript"/>
        </w:rPr>
        <w:t>3</w:t>
      </w:r>
      <w:r>
        <w:rPr>
          <w:rFonts w:hint="eastAsia"/>
          <w:bCs/>
          <w:kern w:val="10"/>
          <w:sz w:val="24"/>
        </w:rPr>
        <w:t>的渗滤液调节池位于填埋库区西南侧下游，渗滤液处理站西侧，</w:t>
      </w:r>
      <w:bookmarkStart w:id="101" w:name="_Hlk90021917"/>
      <w:r>
        <w:rPr>
          <w:kern w:val="10"/>
          <w:sz w:val="24"/>
        </w:rPr>
        <w:t>能够容纳正常生产约140天左右产生的生产废水，</w:t>
      </w:r>
      <w:r>
        <w:rPr>
          <w:rFonts w:hint="eastAsia"/>
          <w:bCs/>
          <w:kern w:val="10"/>
          <w:sz w:val="24"/>
        </w:rPr>
        <w:t>调节池作用是存储渗滤液等废水，并对填埋库区各季度渗滤液及初期雨水产量的不均匀性进行调节，</w:t>
      </w:r>
      <w:bookmarkEnd w:id="101"/>
      <w:r>
        <w:rPr>
          <w:rFonts w:hint="eastAsia"/>
          <w:kern w:val="10"/>
          <w:sz w:val="24"/>
          <w:lang w:val="da-DK"/>
        </w:rPr>
        <w:t>然后</w:t>
      </w:r>
      <w:r>
        <w:rPr>
          <w:rFonts w:hint="eastAsia"/>
          <w:kern w:val="10"/>
          <w:sz w:val="24"/>
        </w:rPr>
        <w:t>根据需要分批调节废水</w:t>
      </w:r>
      <w:r>
        <w:rPr>
          <w:kern w:val="10"/>
          <w:sz w:val="24"/>
        </w:rPr>
        <w:t>处理</w:t>
      </w:r>
      <w:r>
        <w:rPr>
          <w:rFonts w:hint="eastAsia"/>
          <w:kern w:val="10"/>
          <w:sz w:val="24"/>
        </w:rPr>
        <w:t>量</w:t>
      </w:r>
      <w:r>
        <w:rPr>
          <w:kern w:val="10"/>
          <w:sz w:val="24"/>
        </w:rPr>
        <w:t>，</w:t>
      </w:r>
      <w:r>
        <w:rPr>
          <w:rFonts w:hint="eastAsia"/>
          <w:kern w:val="10"/>
          <w:sz w:val="24"/>
        </w:rPr>
        <w:t>防止废水量过大对本项目和依托的生活垃圾焚烧项目</w:t>
      </w:r>
      <w:r>
        <w:rPr>
          <w:rFonts w:hint="eastAsia"/>
          <w:bCs/>
          <w:kern w:val="10"/>
          <w:sz w:val="24"/>
        </w:rPr>
        <w:t>渗滤液处理站的冲击</w:t>
      </w:r>
      <w:r>
        <w:rPr>
          <w:kern w:val="10"/>
          <w:sz w:val="24"/>
        </w:rPr>
        <w:t>。</w:t>
      </w:r>
    </w:p>
    <w:p>
      <w:pPr>
        <w:widowControl/>
        <w:adjustRightInd w:val="0"/>
        <w:snapToGrid w:val="0"/>
        <w:spacing w:line="360" w:lineRule="auto"/>
        <w:ind w:firstLine="480" w:firstLineChars="200"/>
        <w:jc w:val="left"/>
        <w:rPr>
          <w:kern w:val="10"/>
          <w:sz w:val="24"/>
        </w:rPr>
      </w:pPr>
      <w:r>
        <w:rPr>
          <w:rFonts w:hint="eastAsia"/>
          <w:kern w:val="10"/>
          <w:sz w:val="24"/>
        </w:rPr>
        <w:t>本项目渗滤液处理站位于</w:t>
      </w:r>
      <w:r>
        <w:rPr>
          <w:rFonts w:hint="eastAsia"/>
          <w:bCs/>
          <w:kern w:val="10"/>
          <w:sz w:val="24"/>
        </w:rPr>
        <w:t>调节池西侧</w:t>
      </w:r>
      <w:r>
        <w:rPr>
          <w:rFonts w:hint="eastAsia"/>
          <w:kern w:val="10"/>
          <w:sz w:val="24"/>
        </w:rPr>
        <w:t>，采用集装箱式一体化混凝沉淀处理渗滤液设备，处理简单，操作简单一体化全自动运行。</w:t>
      </w:r>
      <w:bookmarkEnd w:id="100"/>
      <w:r>
        <w:rPr>
          <w:rFonts w:hint="eastAsia"/>
          <w:kern w:val="10"/>
          <w:sz w:val="24"/>
        </w:rPr>
        <w:t>其工艺流程如下：</w:t>
      </w:r>
    </w:p>
    <w:p>
      <w:pPr>
        <w:widowControl/>
        <w:adjustRightInd w:val="0"/>
        <w:snapToGrid w:val="0"/>
        <w:spacing w:line="360" w:lineRule="auto"/>
        <w:ind w:firstLine="480" w:firstLineChars="200"/>
        <w:jc w:val="left"/>
        <w:rPr>
          <w:kern w:val="10"/>
          <w:sz w:val="24"/>
        </w:rPr>
      </w:pPr>
      <w:r>
        <w:rPr>
          <w:rFonts w:hint="eastAsia"/>
          <w:kern w:val="10"/>
          <w:sz w:val="24"/>
        </w:rPr>
        <w:t>渗滤液原水经调节池均质、均量后，经泵提升、流量计量后进入一体化处理设备，该设备主要采用“混凝+沉淀+过滤”技术，原水进入絮凝池，投加药剂进行混凝，絮凝剂发生水解、架桥、吸附、卷带作用，把原水中和后生成的小颗粒沉淀物网捕成大颗粒矾花，经过混凝反应后进入沉淀池。经过沉淀后，出水经泵送至围场生活垃圾焚烧发电项目的渗滤液处理站进一步深化处理后回用。沉淀污泥，拉至围场垃圾焚烧渗滤液处理站中污泥处理单元进行统一处理，脱水后污泥入炉焚烧，避免产生二次污染。</w:t>
      </w:r>
    </w:p>
    <w:p>
      <w:pPr>
        <w:pStyle w:val="87"/>
        <w:adjustRightInd w:val="0"/>
        <w:snapToGrid w:val="0"/>
        <w:rPr>
          <w:rFonts w:ascii="Times New Roman" w:hAnsi="Times New Roman" w:cs="Times New Roman"/>
        </w:rPr>
      </w:pPr>
      <w:r>
        <w:rPr>
          <w:rFonts w:hint="eastAsia" w:ascii="Times New Roman" w:hAnsi="Times New Roman" w:cs="Times New Roman"/>
        </w:rPr>
        <w:t>焚烧厂</w:t>
      </w:r>
      <w:r>
        <w:rPr>
          <w:rFonts w:ascii="Times New Roman" w:hAnsi="Times New Roman" w:cs="Times New Roman"/>
        </w:rPr>
        <w:t>项目</w:t>
      </w:r>
      <w:r>
        <w:rPr>
          <w:rFonts w:hint="eastAsia"/>
          <w:kern w:val="10"/>
        </w:rPr>
        <w:t>渗滤液处理规模</w:t>
      </w:r>
      <w:r>
        <w:rPr>
          <w:rFonts w:hint="eastAsia" w:ascii="Times New Roman" w:hAnsi="Times New Roman" w:cs="Times New Roman"/>
        </w:rPr>
        <w:t>其设计时候已考虑本项目水处理依托情况，</w:t>
      </w:r>
      <w:r>
        <w:rPr>
          <w:rFonts w:ascii="Times New Roman" w:hAnsi="Times New Roman" w:cs="Times New Roman"/>
        </w:rPr>
        <w:t>项目垃圾渗滤液处理站设计规模为120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，留有约2</w:t>
      </w:r>
      <w:r>
        <w:rPr>
          <w:rFonts w:ascii="Times New Roman" w:hAnsi="Times New Roman" w:cs="Times New Roman"/>
        </w:rPr>
        <w:t>3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的处理规模。具体依托可行性分析见本报告6</w:t>
      </w:r>
      <w:r>
        <w:rPr>
          <w:rFonts w:ascii="Times New Roman" w:hAnsi="Times New Roman" w:cs="Times New Roman"/>
        </w:rPr>
        <w:t>.3.4</w:t>
      </w:r>
      <w:r>
        <w:rPr>
          <w:rFonts w:hint="eastAsia" w:ascii="Times New Roman" w:hAnsi="Times New Roman" w:cs="Times New Roman"/>
        </w:rPr>
        <w:t>章节。</w:t>
      </w:r>
    </w:p>
    <w:p>
      <w:pPr>
        <w:widowControl/>
        <w:adjustRightInd w:val="0"/>
        <w:snapToGrid w:val="0"/>
        <w:spacing w:line="360" w:lineRule="auto"/>
        <w:ind w:firstLine="480" w:firstLineChars="200"/>
        <w:jc w:val="left"/>
        <w:rPr>
          <w:kern w:val="10"/>
          <w:sz w:val="24"/>
        </w:rPr>
      </w:pPr>
      <w:r>
        <w:rPr>
          <w:rFonts w:hint="eastAsia"/>
          <w:kern w:val="10"/>
          <w:sz w:val="24"/>
        </w:rPr>
        <w:t>本项目渗滤液经预处理系统处理后出水满足《生活垃圾填满场污染控制标准》（G</w:t>
      </w:r>
      <w:r>
        <w:rPr>
          <w:kern w:val="10"/>
          <w:sz w:val="24"/>
        </w:rPr>
        <w:t>B-16889-2008</w:t>
      </w:r>
      <w:r>
        <w:rPr>
          <w:rFonts w:hint="eastAsia"/>
          <w:kern w:val="10"/>
          <w:sz w:val="24"/>
        </w:rPr>
        <w:t>）中表2标准。预处理达标后的废水，分批通过压力管道泵入紧邻的围场生活垃圾焚烧发电项目的渗滤液处理站，进一步深化处理达标后，全部回用不外排。废水管道输送距离约2</w:t>
      </w:r>
      <w:r>
        <w:rPr>
          <w:kern w:val="10"/>
          <w:sz w:val="24"/>
        </w:rPr>
        <w:t>00m</w:t>
      </w:r>
      <w:r>
        <w:rPr>
          <w:rFonts w:hint="eastAsia"/>
          <w:kern w:val="10"/>
          <w:sz w:val="24"/>
        </w:rPr>
        <w:t>。</w:t>
      </w:r>
    </w:p>
    <w:p>
      <w:pPr>
        <w:widowControl/>
        <w:spacing w:line="360" w:lineRule="auto"/>
        <w:ind w:firstLine="480"/>
        <w:jc w:val="left"/>
        <w:rPr>
          <w:sz w:val="24"/>
          <w:szCs w:val="21"/>
        </w:rPr>
      </w:pPr>
      <w:r>
        <w:rPr>
          <w:rFonts w:hint="eastAsia"/>
          <w:sz w:val="24"/>
          <w:szCs w:val="21"/>
        </w:rPr>
        <w:t>本项目渗滤液预处理工艺流程见图3</w:t>
      </w:r>
      <w:r>
        <w:rPr>
          <w:sz w:val="24"/>
          <w:szCs w:val="21"/>
        </w:rPr>
        <w:t>.10-1</w:t>
      </w:r>
      <w:r>
        <w:rPr>
          <w:rFonts w:hint="eastAsia"/>
          <w:sz w:val="24"/>
          <w:szCs w:val="21"/>
        </w:rPr>
        <w:t>所示：</w:t>
      </w:r>
    </w:p>
    <w:p>
      <w:pPr>
        <w:adjustRightInd w:val="0"/>
        <w:snapToGrid w:val="0"/>
        <w:spacing w:line="360" w:lineRule="auto"/>
        <w:rPr>
          <w:sz w:val="24"/>
          <w:szCs w:val="21"/>
        </w:rPr>
      </w:pPr>
      <w:r>
        <w:rPr>
          <w:sz w:val="24"/>
          <w:szCs w:val="21"/>
        </w:rPr>
        <mc:AlternateContent>
          <mc:Choice Requires="wps">
            <w:drawing>
              <wp:anchor distT="0" distB="0" distL="114300" distR="114300" simplePos="0" relativeHeight="251742208" behindDoc="0" locked="0" layoutInCell="1" allowOverlap="1">
                <wp:simplePos x="0" y="0"/>
                <wp:positionH relativeFrom="column">
                  <wp:posOffset>2443480</wp:posOffset>
                </wp:positionH>
                <wp:positionV relativeFrom="paragraph">
                  <wp:posOffset>262255</wp:posOffset>
                </wp:positionV>
                <wp:extent cx="0" cy="227330"/>
                <wp:effectExtent l="76200" t="0" r="57150" b="58420"/>
                <wp:wrapNone/>
                <wp:docPr id="28" name="直接箭头连接符 28"/>
                <wp:cNvGraphicFramePr/>
                <a:graphic xmlns:a="http://schemas.openxmlformats.org/drawingml/2006/main">
                  <a:graphicData uri="http://schemas.microsoft.com/office/word/2010/wordprocessingShape">
                    <wps:wsp>
                      <wps:cNvCnPr/>
                      <wps:spPr>
                        <a:xfrm>
                          <a:off x="0" y="0"/>
                          <a:ext cx="0" cy="22733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2.4pt;margin-top:20.65pt;height:17.9pt;width:0pt;z-index:251742208;mso-width-relative:page;mso-height-relative:page;" filled="f" stroked="t" coordsize="21600,21600" o:gfxdata="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cTsL01QAAAAkBAAAPAAAAAAAAAAEAIAAAACIAAABkcnMvZG93bnJldi54bWxQ&#10;SwECFAAUAAAACACHTuJAgEHxW/oBAADKAwAADgAAAAAAAAABACAAAAAkAQAAZHJzL2Uyb0RvYy54&#10;bWxQSwUGAAAAAAYABgBZAQAAkAUAAAAA&#10;">
                <v:fill on="f" focussize="0,0"/>
                <v:stroke color="#000000 [3213]" joinstyle="round" dashstyle="dash" endarrow="block"/>
                <v:imagedata o:title=""/>
                <o:lock v:ext="edit" aspectratio="f"/>
              </v:shape>
            </w:pict>
          </mc:Fallback>
        </mc:AlternateContent>
      </w:r>
      <w:r>
        <w:rPr>
          <w:sz w:val="24"/>
          <w:szCs w:val="21"/>
        </w:rPr>
        <mc:AlternateContent>
          <mc:Choice Requires="wps">
            <w:drawing>
              <wp:anchor distT="0" distB="0" distL="114300" distR="114300" simplePos="0" relativeHeight="251748352" behindDoc="0" locked="0" layoutInCell="1" allowOverlap="1">
                <wp:simplePos x="0" y="0"/>
                <wp:positionH relativeFrom="column">
                  <wp:posOffset>2992755</wp:posOffset>
                </wp:positionH>
                <wp:positionV relativeFrom="paragraph">
                  <wp:posOffset>289560</wp:posOffset>
                </wp:positionV>
                <wp:extent cx="0" cy="227330"/>
                <wp:effectExtent l="76200" t="0" r="57150" b="58420"/>
                <wp:wrapNone/>
                <wp:docPr id="29" name="直接箭头连接符 29"/>
                <wp:cNvGraphicFramePr/>
                <a:graphic xmlns:a="http://schemas.openxmlformats.org/drawingml/2006/main">
                  <a:graphicData uri="http://schemas.microsoft.com/office/word/2010/wordprocessingShape">
                    <wps:wsp>
                      <wps:cNvCnPr/>
                      <wps:spPr>
                        <a:xfrm>
                          <a:off x="0" y="0"/>
                          <a:ext cx="0" cy="22733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5.65pt;margin-top:22.8pt;height:17.9pt;width:0pt;z-index:251748352;mso-width-relative:page;mso-height-relative:page;" filled="f" stroked="t" coordsize="21600,21600" o:gfxdata="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ewScPUAAAACQEAAA8AAAAAAAAAAQAgAAAAIgAAAGRycy9kb3ducmV2LnhtbFBL&#10;AQIUABQAAAAIAIdO4kBYLok/+gEAAMoDAAAOAAAAAAAAAAEAIAAAACMBAABkcnMvZTJvRG9jLnht&#10;bFBLBQYAAAAABgAGAFkBAACPBQAAAAA=&#10;">
                <v:fill on="f" focussize="0,0"/>
                <v:stroke color="#000000 [3213]" joinstyle="round" dashstyle="dash" endarrow="block"/>
                <v:imagedata o:title=""/>
                <o:lock v:ext="edit" aspectratio="f"/>
              </v:shape>
            </w:pict>
          </mc:Fallback>
        </mc:AlternateContent>
      </w:r>
      <w:r>
        <w:rPr>
          <w:sz w:val="24"/>
          <w:szCs w:val="21"/>
        </w:rPr>
        <mc:AlternateContent>
          <mc:Choice Requires="wps">
            <w:drawing>
              <wp:anchor distT="45720" distB="45720" distL="114300" distR="114300" simplePos="0" relativeHeight="251728896" behindDoc="0" locked="0" layoutInCell="1" allowOverlap="1">
                <wp:simplePos x="0" y="0"/>
                <wp:positionH relativeFrom="column">
                  <wp:posOffset>2136775</wp:posOffset>
                </wp:positionH>
                <wp:positionV relativeFrom="paragraph">
                  <wp:posOffset>10795</wp:posOffset>
                </wp:positionV>
                <wp:extent cx="1296035" cy="1404620"/>
                <wp:effectExtent l="0" t="0" r="0" b="0"/>
                <wp:wrapNone/>
                <wp:docPr id="3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6007" cy="1404620"/>
                        </a:xfrm>
                        <a:prstGeom prst="rect">
                          <a:avLst/>
                        </a:prstGeom>
                        <a:solidFill>
                          <a:srgbClr val="FFFFFF"/>
                        </a:solidFill>
                        <a:ln w="9525">
                          <a:noFill/>
                          <a:miter lim="800000"/>
                        </a:ln>
                      </wps:spPr>
                      <wps:txbx>
                        <w:txbxContent>
                          <w:p>
                            <w:pPr>
                              <w:rPr>
                                <w:b/>
                                <w:bCs/>
                              </w:rPr>
                            </w:pPr>
                            <w:r>
                              <w:rPr>
                                <w:rFonts w:hint="eastAsia"/>
                                <w:b/>
                                <w:bCs/>
                              </w:rPr>
                              <w:t xml:space="preserve">混凝剂 </w:t>
                            </w:r>
                            <w:r>
                              <w:rPr>
                                <w:b/>
                                <w:bCs/>
                              </w:rPr>
                              <w:t xml:space="preserve">   </w:t>
                            </w:r>
                            <w:r>
                              <w:rPr>
                                <w:rFonts w:hint="eastAsia"/>
                                <w:b/>
                                <w:bCs/>
                              </w:rPr>
                              <w:t>絮凝剂</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68.25pt;margin-top:0.85pt;height:110.6pt;width:102.05pt;z-index:251728896;mso-width-relative:page;mso-height-relative:margin;mso-height-percent:200;" fillcolor="#FFFFFF" filled="t" stroked="f" coordsize="21600,21600" o:gfxdata="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Pb7XP1wAAAAkBAAAPAAAAAAAAAAEAIAAAACIAAABkcnMvZG93&#10;bnJldi54bWxQSwECFAAUAAAACACHTuJA2ImrozoCAABUBAAADgAAAAAAAAABACAAAAAmAQAAZHJz&#10;L2Uyb0RvYy54bWxQSwUGAAAAAAYABgBZAQAA0gUAAAAA&#10;">
                <v:fill on="t" focussize="0,0"/>
                <v:stroke on="f" miterlimit="8" joinstyle="miter"/>
                <v:imagedata o:title=""/>
                <o:lock v:ext="edit" aspectratio="f"/>
                <v:textbox style="mso-fit-shape-to-text:t;">
                  <w:txbxContent>
                    <w:p>
                      <w:pPr>
                        <w:rPr>
                          <w:b/>
                          <w:bCs/>
                        </w:rPr>
                      </w:pPr>
                      <w:r>
                        <w:rPr>
                          <w:rFonts w:hint="eastAsia"/>
                          <w:b/>
                          <w:bCs/>
                        </w:rPr>
                        <w:t xml:space="preserve">混凝剂 </w:t>
                      </w:r>
                      <w:r>
                        <w:rPr>
                          <w:b/>
                          <w:bCs/>
                        </w:rPr>
                        <w:t xml:space="preserve">   </w:t>
                      </w:r>
                      <w:r>
                        <w:rPr>
                          <w:rFonts w:hint="eastAsia"/>
                          <w:b/>
                          <w:bCs/>
                        </w:rPr>
                        <w:t>絮凝剂</w:t>
                      </w:r>
                    </w:p>
                  </w:txbxContent>
                </v:textbox>
              </v:shape>
            </w:pict>
          </mc:Fallback>
        </mc:AlternateContent>
      </w:r>
      <w:r>
        <w:drawing>
          <wp:inline distT="0" distB="0" distL="0" distR="0">
            <wp:extent cx="5486400" cy="170561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491151" cy="1707185"/>
                    </a:xfrm>
                    <a:prstGeom prst="rect">
                      <a:avLst/>
                    </a:prstGeom>
                    <a:noFill/>
                    <a:ln>
                      <a:noFill/>
                    </a:ln>
                  </pic:spPr>
                </pic:pic>
              </a:graphicData>
            </a:graphic>
          </wp:inline>
        </w:drawing>
      </w:r>
    </w:p>
    <w:p>
      <w:pPr>
        <w:adjustRightInd w:val="0"/>
        <w:snapToGrid w:val="0"/>
        <w:spacing w:line="360" w:lineRule="auto"/>
        <w:ind w:firstLine="482" w:firstLineChars="200"/>
        <w:jc w:val="center"/>
        <w:rPr>
          <w:sz w:val="24"/>
          <w:szCs w:val="21"/>
        </w:rPr>
      </w:pPr>
      <w:r>
        <w:rPr>
          <w:rFonts w:hint="eastAsia"/>
          <w:b/>
          <w:bCs/>
          <w:sz w:val="24"/>
          <w:szCs w:val="21"/>
        </w:rPr>
        <w:t>图</w:t>
      </w:r>
      <w:r>
        <w:rPr>
          <w:b/>
          <w:bCs/>
          <w:sz w:val="24"/>
          <w:szCs w:val="21"/>
        </w:rPr>
        <w:t xml:space="preserve"> 3.8-1</w:t>
      </w:r>
      <w:r>
        <w:rPr>
          <w:b/>
          <w:bCs/>
          <w:sz w:val="24"/>
          <w:szCs w:val="21"/>
        </w:rPr>
        <w:tab/>
      </w:r>
      <w:r>
        <w:rPr>
          <w:rFonts w:hint="eastAsia"/>
          <w:b/>
          <w:bCs/>
          <w:sz w:val="24"/>
          <w:szCs w:val="21"/>
        </w:rPr>
        <w:t>本项目渗滤液预处理工艺流程示意图</w:t>
      </w:r>
    </w:p>
    <w:p>
      <w:pPr>
        <w:pStyle w:val="62"/>
        <w:numPr>
          <w:ilvl w:val="3"/>
          <w:numId w:val="5"/>
        </w:numPr>
        <w:tabs>
          <w:tab w:val="left" w:pos="851"/>
          <w:tab w:val="clear" w:pos="1021"/>
        </w:tabs>
        <w:spacing w:beforeLines="0" w:afterLines="0"/>
        <w:ind w:left="1290" w:hanging="1290" w:hangingChars="459"/>
        <w:outlineLvl w:val="3"/>
        <w:rPr>
          <w:rFonts w:ascii="Times New Roman" w:hAnsi="Times New Roman"/>
        </w:rPr>
      </w:pPr>
      <w:r>
        <w:rPr>
          <w:rFonts w:ascii="Times New Roman" w:hAnsi="Times New Roman"/>
        </w:rPr>
        <w:t>本项目污水源强</w:t>
      </w:r>
    </w:p>
    <w:p>
      <w:pPr>
        <w:pStyle w:val="20"/>
        <w:adjustRightInd w:val="0"/>
        <w:snapToGrid w:val="0"/>
        <w:spacing w:after="0" w:line="360" w:lineRule="auto"/>
        <w:ind w:firstLine="480" w:firstLineChars="200"/>
        <w:rPr>
          <w:sz w:val="24"/>
          <w:szCs w:val="24"/>
        </w:rPr>
      </w:pPr>
      <w:r>
        <w:rPr>
          <w:rFonts w:hint="eastAsia"/>
          <w:sz w:val="24"/>
          <w:szCs w:val="24"/>
        </w:rPr>
        <w:t>考虑到本项目进场填埋的飞灰均经过固化</w:t>
      </w:r>
      <w:r>
        <w:rPr>
          <w:sz w:val="24"/>
          <w:szCs w:val="24"/>
        </w:rPr>
        <w:t>/</w:t>
      </w:r>
      <w:r>
        <w:rPr>
          <w:rFonts w:hint="eastAsia"/>
          <w:sz w:val="24"/>
          <w:szCs w:val="24"/>
        </w:rPr>
        <w:t>稳定化处理，产生的渗滤液中重金属污染物浓度须低于《生活垃圾填埋场污染控制标准》（</w:t>
      </w:r>
      <w:r>
        <w:rPr>
          <w:sz w:val="24"/>
          <w:szCs w:val="24"/>
        </w:rPr>
        <w:t>GB16889-2008</w:t>
      </w:r>
      <w:r>
        <w:rPr>
          <w:rFonts w:hint="eastAsia"/>
          <w:sz w:val="24"/>
          <w:szCs w:val="24"/>
        </w:rPr>
        <w:t>）表</w:t>
      </w:r>
      <w:r>
        <w:rPr>
          <w:sz w:val="24"/>
          <w:szCs w:val="24"/>
        </w:rPr>
        <w:t>1</w:t>
      </w:r>
      <w:r>
        <w:rPr>
          <w:rFonts w:hint="eastAsia"/>
          <w:sz w:val="24"/>
          <w:szCs w:val="24"/>
        </w:rPr>
        <w:t>要求。故按保守考虑，重金属污染物浓度取《生活垃圾填埋场污染控制标准》（</w:t>
      </w:r>
      <w:r>
        <w:rPr>
          <w:sz w:val="24"/>
          <w:szCs w:val="24"/>
        </w:rPr>
        <w:t>GB16889-2008</w:t>
      </w:r>
      <w:r>
        <w:rPr>
          <w:rFonts w:hint="eastAsia"/>
          <w:sz w:val="24"/>
          <w:szCs w:val="24"/>
        </w:rPr>
        <w:t>）表</w:t>
      </w:r>
      <w:r>
        <w:rPr>
          <w:sz w:val="24"/>
          <w:szCs w:val="24"/>
        </w:rPr>
        <w:t>1</w:t>
      </w:r>
      <w:r>
        <w:rPr>
          <w:rFonts w:hint="eastAsia"/>
          <w:sz w:val="24"/>
          <w:szCs w:val="24"/>
        </w:rPr>
        <w:t>标准限值。</w:t>
      </w:r>
    </w:p>
    <w:p>
      <w:pPr>
        <w:pStyle w:val="20"/>
        <w:adjustRightInd w:val="0"/>
        <w:snapToGrid w:val="0"/>
        <w:spacing w:after="0" w:line="360" w:lineRule="auto"/>
        <w:ind w:firstLine="480" w:firstLineChars="200"/>
        <w:rPr>
          <w:sz w:val="24"/>
        </w:rPr>
      </w:pPr>
      <w:r>
        <w:rPr>
          <w:rFonts w:hint="eastAsia"/>
          <w:sz w:val="24"/>
          <w:szCs w:val="24"/>
        </w:rPr>
        <w:t>项目渗滤液中</w:t>
      </w:r>
      <w:r>
        <w:rPr>
          <w:sz w:val="24"/>
          <w:szCs w:val="24"/>
        </w:rPr>
        <w:t>COD</w:t>
      </w:r>
      <w:r>
        <w:rPr>
          <w:rFonts w:hint="eastAsia"/>
          <w:sz w:val="24"/>
          <w:szCs w:val="24"/>
        </w:rPr>
        <w:t>、氨氮、</w:t>
      </w:r>
      <w:r>
        <w:rPr>
          <w:sz w:val="24"/>
          <w:szCs w:val="24"/>
        </w:rPr>
        <w:t>SS</w:t>
      </w:r>
      <w:r>
        <w:rPr>
          <w:rFonts w:hint="eastAsia"/>
          <w:sz w:val="24"/>
          <w:szCs w:val="24"/>
        </w:rPr>
        <w:t>污染物浓度参照《河北迁安市生活垃圾焚烧发电项目配套飞灰填埋工程环境影响报告书》渗滤液取值。</w:t>
      </w:r>
      <w:r>
        <w:rPr>
          <w:rFonts w:hint="eastAsia"/>
          <w:sz w:val="24"/>
        </w:rPr>
        <w:t>河北迁安市</w:t>
      </w:r>
      <w:r>
        <w:fldChar w:fldCharType="begin"/>
      </w:r>
      <w:r>
        <w:instrText xml:space="preserve"> HYPERLINK "https://huanbao.bjx.com.cn/topics/shljfsfdxm/" \t "_blank" \o "生活垃圾焚烧发电项目新闻专题" </w:instrText>
      </w:r>
      <w:r>
        <w:fldChar w:fldCharType="separate"/>
      </w:r>
      <w:r>
        <w:rPr>
          <w:rFonts w:hint="eastAsia"/>
          <w:sz w:val="24"/>
        </w:rPr>
        <w:t>生活垃圾焚烧发电项目</w:t>
      </w:r>
      <w:r>
        <w:rPr>
          <w:rFonts w:hint="eastAsia"/>
          <w:sz w:val="24"/>
        </w:rPr>
        <w:fldChar w:fldCharType="end"/>
      </w:r>
      <w:r>
        <w:rPr>
          <w:rFonts w:hint="eastAsia"/>
          <w:sz w:val="24"/>
        </w:rPr>
        <w:t>建设2台300t/d机械炉排垃圾焚烧炉及2</w:t>
      </w:r>
      <w:r>
        <w:rPr>
          <w:sz w:val="24"/>
        </w:rPr>
        <w:t>套烟气处理系统。采用“SNCR脱硝+半干法脱酸+干法喷射+活性炭吸附+布袋除尘+湿法脱酸+SCR”组合方案</w:t>
      </w:r>
      <w:r>
        <w:rPr>
          <w:rFonts w:hint="eastAsia"/>
          <w:sz w:val="24"/>
        </w:rPr>
        <w:t>。</w:t>
      </w:r>
      <w:r>
        <w:rPr>
          <w:sz w:val="24"/>
        </w:rPr>
        <w:t>采用水泥+螯合剂对飞灰进行固化处理</w:t>
      </w:r>
      <w:r>
        <w:rPr>
          <w:rFonts w:hint="eastAsia"/>
          <w:sz w:val="24"/>
        </w:rPr>
        <w:t>，与本项目填埋飞灰成分基本一致，本</w:t>
      </w:r>
      <w:r>
        <w:rPr>
          <w:rFonts w:hint="eastAsia"/>
          <w:sz w:val="24"/>
          <w:szCs w:val="24"/>
        </w:rPr>
        <w:t>项目渗滤液中</w:t>
      </w:r>
      <w:r>
        <w:rPr>
          <w:sz w:val="24"/>
          <w:szCs w:val="24"/>
        </w:rPr>
        <w:t>COD</w:t>
      </w:r>
      <w:r>
        <w:rPr>
          <w:rFonts w:hint="eastAsia"/>
          <w:sz w:val="24"/>
          <w:szCs w:val="24"/>
        </w:rPr>
        <w:t>、氨氮、</w:t>
      </w:r>
      <w:r>
        <w:rPr>
          <w:sz w:val="24"/>
          <w:szCs w:val="24"/>
        </w:rPr>
        <w:t>SS</w:t>
      </w:r>
      <w:r>
        <w:rPr>
          <w:rFonts w:hint="eastAsia"/>
          <w:sz w:val="24"/>
          <w:szCs w:val="24"/>
        </w:rPr>
        <w:t>污染物浓度与其飞灰填埋工程渗滤液检测值具有可比性。</w:t>
      </w:r>
    </w:p>
    <w:p>
      <w:pPr>
        <w:pStyle w:val="20"/>
        <w:adjustRightInd w:val="0"/>
        <w:snapToGrid w:val="0"/>
        <w:spacing w:after="0" w:line="360" w:lineRule="auto"/>
        <w:ind w:firstLine="480" w:firstLineChars="200"/>
      </w:pPr>
      <w:r>
        <w:rPr>
          <w:rFonts w:hint="eastAsia"/>
          <w:sz w:val="24"/>
        </w:rPr>
        <w:t>根据类比，</w:t>
      </w:r>
      <w:r>
        <w:rPr>
          <w:sz w:val="24"/>
        </w:rPr>
        <w:t>本项目废水源强及处理后水质及去向具体见表3.10-4。</w:t>
      </w:r>
    </w:p>
    <w:p>
      <w:pPr>
        <w:pStyle w:val="20"/>
        <w:adjustRightInd w:val="0"/>
        <w:snapToGrid w:val="0"/>
        <w:spacing w:after="0"/>
        <w:jc w:val="center"/>
        <w:rPr>
          <w:b/>
          <w:sz w:val="24"/>
        </w:rPr>
      </w:pPr>
      <w:bookmarkStart w:id="102" w:name="_Toc518025845"/>
      <w:r>
        <w:rPr>
          <w:rFonts w:hint="eastAsia"/>
          <w:b/>
          <w:sz w:val="24"/>
        </w:rPr>
        <w:t xml:space="preserve">表 </w:t>
      </w:r>
      <w:r>
        <w:rPr>
          <w:b/>
          <w:sz w:val="24"/>
        </w:rPr>
        <w:t xml:space="preserve">3.10-4 </w:t>
      </w:r>
      <w:r>
        <w:rPr>
          <w:rFonts w:hint="eastAsia"/>
          <w:b/>
          <w:sz w:val="24"/>
        </w:rPr>
        <w:t xml:space="preserve"> 本项目废水污染物产生情况一览表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43"/>
        <w:gridCol w:w="963"/>
        <w:gridCol w:w="739"/>
        <w:gridCol w:w="1049"/>
        <w:gridCol w:w="666"/>
        <w:gridCol w:w="920"/>
        <w:gridCol w:w="993"/>
        <w:gridCol w:w="964"/>
        <w:gridCol w:w="11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12" w:type="dxa"/>
            <w:gridSpan w:val="2"/>
            <w:vMerge w:val="restart"/>
            <w:vAlign w:val="center"/>
          </w:tcPr>
          <w:p>
            <w:pPr>
              <w:adjustRightInd w:val="0"/>
              <w:snapToGrid w:val="0"/>
              <w:jc w:val="center"/>
              <w:rPr>
                <w:kern w:val="0"/>
                <w:sz w:val="20"/>
              </w:rPr>
            </w:pPr>
            <w:r>
              <w:rPr>
                <w:kern w:val="0"/>
                <w:sz w:val="20"/>
              </w:rPr>
              <w:t>项目</w:t>
            </w:r>
          </w:p>
        </w:tc>
        <w:tc>
          <w:tcPr>
            <w:tcW w:w="1793" w:type="dxa"/>
            <w:gridSpan w:val="2"/>
            <w:vAlign w:val="center"/>
          </w:tcPr>
          <w:p>
            <w:pPr>
              <w:adjustRightInd w:val="0"/>
              <w:snapToGrid w:val="0"/>
              <w:jc w:val="center"/>
              <w:rPr>
                <w:kern w:val="0"/>
                <w:sz w:val="20"/>
              </w:rPr>
            </w:pPr>
            <w:r>
              <w:rPr>
                <w:kern w:val="0"/>
                <w:sz w:val="20"/>
              </w:rPr>
              <w:t>产生量</w:t>
            </w:r>
          </w:p>
        </w:tc>
        <w:tc>
          <w:tcPr>
            <w:tcW w:w="1565" w:type="dxa"/>
            <w:gridSpan w:val="2"/>
            <w:vMerge w:val="restart"/>
            <w:vAlign w:val="center"/>
          </w:tcPr>
          <w:p>
            <w:pPr>
              <w:adjustRightInd w:val="0"/>
              <w:snapToGrid w:val="0"/>
              <w:jc w:val="center"/>
              <w:rPr>
                <w:kern w:val="0"/>
                <w:sz w:val="20"/>
              </w:rPr>
            </w:pPr>
            <w:r>
              <w:rPr>
                <w:kern w:val="0"/>
                <w:sz w:val="20"/>
              </w:rPr>
              <w:t>项目</w:t>
            </w:r>
          </w:p>
        </w:tc>
        <w:tc>
          <w:tcPr>
            <w:tcW w:w="1962" w:type="dxa"/>
            <w:gridSpan w:val="2"/>
            <w:vAlign w:val="center"/>
          </w:tcPr>
          <w:p>
            <w:pPr>
              <w:adjustRightInd w:val="0"/>
              <w:snapToGrid w:val="0"/>
              <w:jc w:val="center"/>
              <w:rPr>
                <w:kern w:val="0"/>
                <w:sz w:val="20"/>
              </w:rPr>
            </w:pPr>
            <w:r>
              <w:rPr>
                <w:kern w:val="0"/>
                <w:sz w:val="20"/>
              </w:rPr>
              <w:t>产生量</w:t>
            </w:r>
          </w:p>
        </w:tc>
        <w:tc>
          <w:tcPr>
            <w:tcW w:w="1190" w:type="dxa"/>
            <w:vMerge w:val="restart"/>
          </w:tcPr>
          <w:p>
            <w:pPr>
              <w:adjustRightInd w:val="0"/>
              <w:snapToGrid w:val="0"/>
              <w:jc w:val="center"/>
              <w:rPr>
                <w:kern w:val="0"/>
                <w:sz w:val="20"/>
              </w:rPr>
            </w:pPr>
            <w:r>
              <w:rPr>
                <w:rFonts w:hint="eastAsia"/>
                <w:kern w:val="0"/>
                <w:sz w:val="20"/>
              </w:rPr>
              <w:t>废水去向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12" w:type="dxa"/>
            <w:gridSpan w:val="2"/>
            <w:vMerge w:val="continue"/>
            <w:vAlign w:val="center"/>
          </w:tcPr>
          <w:p>
            <w:pPr>
              <w:adjustRightInd w:val="0"/>
              <w:snapToGrid w:val="0"/>
              <w:jc w:val="center"/>
              <w:rPr>
                <w:kern w:val="0"/>
                <w:sz w:val="20"/>
              </w:rPr>
            </w:pPr>
          </w:p>
        </w:tc>
        <w:tc>
          <w:tcPr>
            <w:tcW w:w="741" w:type="dxa"/>
            <w:vAlign w:val="center"/>
          </w:tcPr>
          <w:p>
            <w:pPr>
              <w:adjustRightInd w:val="0"/>
              <w:snapToGrid w:val="0"/>
              <w:jc w:val="center"/>
              <w:rPr>
                <w:kern w:val="0"/>
                <w:sz w:val="20"/>
              </w:rPr>
            </w:pPr>
            <w:r>
              <w:rPr>
                <w:kern w:val="0"/>
                <w:sz w:val="20"/>
              </w:rPr>
              <w:t>mg/L</w:t>
            </w:r>
          </w:p>
        </w:tc>
        <w:tc>
          <w:tcPr>
            <w:tcW w:w="1052" w:type="dxa"/>
            <w:vAlign w:val="center"/>
          </w:tcPr>
          <w:p>
            <w:pPr>
              <w:adjustRightInd w:val="0"/>
              <w:snapToGrid w:val="0"/>
              <w:jc w:val="center"/>
              <w:rPr>
                <w:kern w:val="0"/>
                <w:sz w:val="20"/>
              </w:rPr>
            </w:pPr>
            <w:r>
              <w:rPr>
                <w:kern w:val="0"/>
                <w:sz w:val="20"/>
              </w:rPr>
              <w:t>t/a</w:t>
            </w:r>
          </w:p>
        </w:tc>
        <w:tc>
          <w:tcPr>
            <w:tcW w:w="1565" w:type="dxa"/>
            <w:gridSpan w:val="2"/>
            <w:vMerge w:val="continue"/>
            <w:vAlign w:val="center"/>
          </w:tcPr>
          <w:p>
            <w:pPr>
              <w:adjustRightInd w:val="0"/>
              <w:snapToGrid w:val="0"/>
              <w:jc w:val="center"/>
              <w:rPr>
                <w:kern w:val="0"/>
                <w:sz w:val="20"/>
              </w:rPr>
            </w:pPr>
          </w:p>
        </w:tc>
        <w:tc>
          <w:tcPr>
            <w:tcW w:w="996" w:type="dxa"/>
            <w:vAlign w:val="center"/>
          </w:tcPr>
          <w:p>
            <w:pPr>
              <w:adjustRightInd w:val="0"/>
              <w:snapToGrid w:val="0"/>
              <w:jc w:val="center"/>
              <w:rPr>
                <w:kern w:val="0"/>
                <w:sz w:val="20"/>
              </w:rPr>
            </w:pPr>
            <w:r>
              <w:rPr>
                <w:kern w:val="0"/>
                <w:sz w:val="20"/>
              </w:rPr>
              <w:t>mg/L</w:t>
            </w:r>
          </w:p>
        </w:tc>
        <w:tc>
          <w:tcPr>
            <w:tcW w:w="966" w:type="dxa"/>
            <w:vAlign w:val="center"/>
          </w:tcPr>
          <w:p>
            <w:pPr>
              <w:adjustRightInd w:val="0"/>
              <w:snapToGrid w:val="0"/>
              <w:jc w:val="center"/>
              <w:rPr>
                <w:kern w:val="0"/>
                <w:sz w:val="20"/>
              </w:rPr>
            </w:pPr>
            <w:r>
              <w:rPr>
                <w:kern w:val="0"/>
                <w:sz w:val="20"/>
              </w:rPr>
              <w:t>t/a</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restart"/>
            <w:vAlign w:val="center"/>
          </w:tcPr>
          <w:p>
            <w:pPr>
              <w:adjustRightInd w:val="0"/>
              <w:snapToGrid w:val="0"/>
              <w:jc w:val="center"/>
              <w:rPr>
                <w:kern w:val="0"/>
                <w:sz w:val="20"/>
              </w:rPr>
            </w:pPr>
            <w:r>
              <w:rPr>
                <w:kern w:val="0"/>
                <w:sz w:val="20"/>
              </w:rPr>
              <w:t>渗滤液</w:t>
            </w:r>
          </w:p>
          <w:p>
            <w:pPr>
              <w:adjustRightInd w:val="0"/>
              <w:snapToGrid w:val="0"/>
              <w:jc w:val="center"/>
              <w:rPr>
                <w:kern w:val="0"/>
                <w:sz w:val="20"/>
              </w:rPr>
            </w:pPr>
            <w:r>
              <w:rPr>
                <w:kern w:val="0"/>
                <w:sz w:val="20"/>
              </w:rPr>
              <w:t>19.06m</w:t>
            </w:r>
            <w:r>
              <w:rPr>
                <w:kern w:val="0"/>
                <w:sz w:val="20"/>
                <w:vertAlign w:val="superscript"/>
              </w:rPr>
              <w:t>3</w:t>
            </w:r>
            <w:r>
              <w:rPr>
                <w:kern w:val="0"/>
                <w:sz w:val="20"/>
              </w:rPr>
              <w:t>/d</w:t>
            </w:r>
          </w:p>
        </w:tc>
        <w:tc>
          <w:tcPr>
            <w:tcW w:w="969" w:type="dxa"/>
            <w:vAlign w:val="center"/>
          </w:tcPr>
          <w:p>
            <w:pPr>
              <w:adjustRightInd w:val="0"/>
              <w:snapToGrid w:val="0"/>
              <w:jc w:val="center"/>
              <w:rPr>
                <w:kern w:val="0"/>
                <w:sz w:val="20"/>
              </w:rPr>
            </w:pPr>
            <w:r>
              <w:rPr>
                <w:kern w:val="0"/>
                <w:sz w:val="20"/>
              </w:rPr>
              <w:t>COD</w:t>
            </w:r>
          </w:p>
        </w:tc>
        <w:tc>
          <w:tcPr>
            <w:tcW w:w="741" w:type="dxa"/>
            <w:vAlign w:val="center"/>
          </w:tcPr>
          <w:p>
            <w:pPr>
              <w:adjustRightInd w:val="0"/>
              <w:snapToGrid w:val="0"/>
              <w:jc w:val="center"/>
              <w:rPr>
                <w:kern w:val="0"/>
                <w:sz w:val="20"/>
              </w:rPr>
            </w:pPr>
            <w:r>
              <w:rPr>
                <w:kern w:val="0"/>
                <w:sz w:val="20"/>
              </w:rPr>
              <w:t>600</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4.17</w:t>
            </w:r>
          </w:p>
        </w:tc>
        <w:tc>
          <w:tcPr>
            <w:tcW w:w="640" w:type="dxa"/>
            <w:vMerge w:val="restart"/>
            <w:vAlign w:val="center"/>
          </w:tcPr>
          <w:p>
            <w:pPr>
              <w:adjustRightInd w:val="0"/>
              <w:snapToGrid w:val="0"/>
              <w:jc w:val="center"/>
            </w:pPr>
            <w:r>
              <w:rPr>
                <w:kern w:val="0"/>
                <w:sz w:val="20"/>
              </w:rPr>
              <w:t>全部进入调节池后的混合废水</w:t>
            </w:r>
            <w:r>
              <w:rPr>
                <w:rFonts w:hint="eastAsia"/>
                <w:kern w:val="0"/>
                <w:sz w:val="20"/>
              </w:rPr>
              <w:t>2</w:t>
            </w:r>
            <w:r>
              <w:rPr>
                <w:kern w:val="0"/>
                <w:sz w:val="20"/>
              </w:rPr>
              <w:t>0.73</w:t>
            </w:r>
            <w:r>
              <w:rPr>
                <w:spacing w:val="-1"/>
                <w:kern w:val="0"/>
                <w:sz w:val="20"/>
                <w:szCs w:val="21"/>
              </w:rPr>
              <w:t xml:space="preserve"> m</w:t>
            </w:r>
            <w:r>
              <w:rPr>
                <w:spacing w:val="-1"/>
                <w:kern w:val="0"/>
                <w:sz w:val="20"/>
                <w:szCs w:val="21"/>
                <w:vertAlign w:val="superscript"/>
              </w:rPr>
              <w:t>3</w:t>
            </w:r>
            <w:r>
              <w:rPr>
                <w:spacing w:val="-1"/>
                <w:kern w:val="0"/>
                <w:sz w:val="20"/>
                <w:szCs w:val="21"/>
              </w:rPr>
              <w:t>/d</w:t>
            </w:r>
          </w:p>
        </w:tc>
        <w:tc>
          <w:tcPr>
            <w:tcW w:w="925" w:type="dxa"/>
            <w:vAlign w:val="center"/>
          </w:tcPr>
          <w:p>
            <w:pPr>
              <w:adjustRightInd w:val="0"/>
              <w:snapToGrid w:val="0"/>
              <w:jc w:val="center"/>
              <w:rPr>
                <w:kern w:val="0"/>
                <w:sz w:val="20"/>
              </w:rPr>
            </w:pPr>
            <w:r>
              <w:rPr>
                <w:kern w:val="0"/>
                <w:sz w:val="20"/>
              </w:rPr>
              <w:t>COD</w:t>
            </w:r>
          </w:p>
        </w:tc>
        <w:tc>
          <w:tcPr>
            <w:tcW w:w="996" w:type="dxa"/>
            <w:vAlign w:val="center"/>
          </w:tcPr>
          <w:p>
            <w:pPr>
              <w:adjustRightInd w:val="0"/>
              <w:snapToGrid w:val="0"/>
              <w:jc w:val="center"/>
              <w:rPr>
                <w:kern w:val="0"/>
                <w:sz w:val="20"/>
              </w:rPr>
            </w:pPr>
            <w:r>
              <w:rPr>
                <w:kern w:val="0"/>
                <w:szCs w:val="21"/>
              </w:rPr>
              <w:t>600.36</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4.543</w:t>
            </w:r>
          </w:p>
        </w:tc>
        <w:tc>
          <w:tcPr>
            <w:tcW w:w="1190" w:type="dxa"/>
            <w:vMerge w:val="restart"/>
          </w:tcPr>
          <w:p>
            <w:pPr>
              <w:adjustRightInd w:val="0"/>
              <w:snapToGrid w:val="0"/>
              <w:jc w:val="center"/>
              <w:rPr>
                <w:kern w:val="0"/>
                <w:sz w:val="20"/>
              </w:rPr>
            </w:pPr>
            <w:r>
              <w:rPr>
                <w:rFonts w:hint="eastAsia"/>
                <w:kern w:val="0"/>
                <w:sz w:val="20"/>
              </w:rPr>
              <w:t>预处理达标后的废水，通过压力管道泵入紧邻的围场生活垃圾焚烧发电项目的渗滤液处理站，进一步深化处理达标后，全部回用不外排。废水管道输送距离约2</w:t>
            </w:r>
            <w:r>
              <w:rPr>
                <w:kern w:val="0"/>
                <w:sz w:val="20"/>
              </w:rPr>
              <w:t>00m。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氨氮</w:t>
            </w:r>
          </w:p>
        </w:tc>
        <w:tc>
          <w:tcPr>
            <w:tcW w:w="741" w:type="dxa"/>
            <w:vAlign w:val="center"/>
          </w:tcPr>
          <w:p>
            <w:pPr>
              <w:adjustRightInd w:val="0"/>
              <w:snapToGrid w:val="0"/>
              <w:jc w:val="center"/>
              <w:rPr>
                <w:kern w:val="0"/>
                <w:sz w:val="20"/>
              </w:rPr>
            </w:pPr>
            <w:r>
              <w:rPr>
                <w:kern w:val="0"/>
                <w:szCs w:val="21"/>
              </w:rPr>
              <w:t>35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0.24</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氨氮</w:t>
            </w:r>
          </w:p>
        </w:tc>
        <w:tc>
          <w:tcPr>
            <w:tcW w:w="996" w:type="dxa"/>
            <w:vAlign w:val="center"/>
          </w:tcPr>
          <w:p>
            <w:pPr>
              <w:adjustRightInd w:val="0"/>
              <w:snapToGrid w:val="0"/>
              <w:jc w:val="center"/>
              <w:rPr>
                <w:kern w:val="0"/>
                <w:sz w:val="20"/>
              </w:rPr>
            </w:pPr>
            <w:r>
              <w:rPr>
                <w:kern w:val="0"/>
                <w:szCs w:val="21"/>
              </w:rPr>
              <w:t>31.79</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0.241</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SS</w:t>
            </w:r>
          </w:p>
        </w:tc>
        <w:tc>
          <w:tcPr>
            <w:tcW w:w="741" w:type="dxa"/>
            <w:vAlign w:val="center"/>
          </w:tcPr>
          <w:p>
            <w:pPr>
              <w:adjustRightInd w:val="0"/>
              <w:snapToGrid w:val="0"/>
              <w:jc w:val="center"/>
              <w:rPr>
                <w:kern w:val="0"/>
                <w:sz w:val="20"/>
              </w:rPr>
            </w:pPr>
            <w:r>
              <w:rPr>
                <w:kern w:val="0"/>
                <w:szCs w:val="21"/>
              </w:rPr>
              <w:t>400</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2.78</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SS</w:t>
            </w:r>
          </w:p>
        </w:tc>
        <w:tc>
          <w:tcPr>
            <w:tcW w:w="996" w:type="dxa"/>
            <w:vAlign w:val="center"/>
          </w:tcPr>
          <w:p>
            <w:pPr>
              <w:adjustRightInd w:val="0"/>
              <w:snapToGrid w:val="0"/>
              <w:jc w:val="center"/>
              <w:rPr>
                <w:kern w:val="0"/>
                <w:sz w:val="20"/>
              </w:rPr>
            </w:pPr>
            <w:r>
              <w:rPr>
                <w:kern w:val="0"/>
                <w:szCs w:val="21"/>
              </w:rPr>
              <w:t>404.62</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3.062</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汞</w:t>
            </w:r>
          </w:p>
        </w:tc>
        <w:tc>
          <w:tcPr>
            <w:tcW w:w="741" w:type="dxa"/>
            <w:vAlign w:val="center"/>
          </w:tcPr>
          <w:p>
            <w:pPr>
              <w:adjustRightInd w:val="0"/>
              <w:snapToGrid w:val="0"/>
              <w:jc w:val="center"/>
              <w:rPr>
                <w:kern w:val="0"/>
                <w:sz w:val="20"/>
              </w:rPr>
            </w:pPr>
            <w:r>
              <w:rPr>
                <w:kern w:val="0"/>
                <w:szCs w:val="21"/>
              </w:rPr>
              <w:t>0.05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0.0003</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汞</w:t>
            </w:r>
          </w:p>
        </w:tc>
        <w:tc>
          <w:tcPr>
            <w:tcW w:w="996" w:type="dxa"/>
            <w:vAlign w:val="center"/>
          </w:tcPr>
          <w:p>
            <w:pPr>
              <w:adjustRightInd w:val="0"/>
              <w:snapToGrid w:val="0"/>
              <w:jc w:val="center"/>
              <w:rPr>
                <w:kern w:val="0"/>
                <w:sz w:val="20"/>
              </w:rPr>
            </w:pPr>
            <w:r>
              <w:rPr>
                <w:kern w:val="0"/>
                <w:szCs w:val="21"/>
              </w:rPr>
              <w:t>0.044</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0.00033</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铜</w:t>
            </w:r>
          </w:p>
        </w:tc>
        <w:tc>
          <w:tcPr>
            <w:tcW w:w="741" w:type="dxa"/>
            <w:vAlign w:val="center"/>
          </w:tcPr>
          <w:p>
            <w:pPr>
              <w:adjustRightInd w:val="0"/>
              <w:snapToGrid w:val="0"/>
              <w:jc w:val="center"/>
              <w:rPr>
                <w:kern w:val="0"/>
                <w:sz w:val="20"/>
              </w:rPr>
            </w:pPr>
            <w:r>
              <w:rPr>
                <w:kern w:val="0"/>
                <w:szCs w:val="21"/>
              </w:rPr>
              <w:t>40</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0.278</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铜</w:t>
            </w:r>
          </w:p>
        </w:tc>
        <w:tc>
          <w:tcPr>
            <w:tcW w:w="996" w:type="dxa"/>
            <w:vAlign w:val="center"/>
          </w:tcPr>
          <w:p>
            <w:pPr>
              <w:adjustRightInd w:val="0"/>
              <w:snapToGrid w:val="0"/>
              <w:jc w:val="center"/>
              <w:rPr>
                <w:kern w:val="0"/>
                <w:sz w:val="20"/>
              </w:rPr>
            </w:pPr>
            <w:r>
              <w:rPr>
                <w:kern w:val="0"/>
                <w:szCs w:val="21"/>
              </w:rPr>
              <w:t>35.12</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0.266</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锌</w:t>
            </w:r>
          </w:p>
        </w:tc>
        <w:tc>
          <w:tcPr>
            <w:tcW w:w="741" w:type="dxa"/>
            <w:vAlign w:val="center"/>
          </w:tcPr>
          <w:p>
            <w:pPr>
              <w:adjustRightInd w:val="0"/>
              <w:snapToGrid w:val="0"/>
              <w:jc w:val="center"/>
              <w:rPr>
                <w:kern w:val="0"/>
                <w:sz w:val="20"/>
              </w:rPr>
            </w:pPr>
            <w:r>
              <w:rPr>
                <w:kern w:val="0"/>
                <w:szCs w:val="21"/>
              </w:rPr>
              <w:t>100</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0.696</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锌</w:t>
            </w:r>
          </w:p>
        </w:tc>
        <w:tc>
          <w:tcPr>
            <w:tcW w:w="996" w:type="dxa"/>
            <w:vAlign w:val="center"/>
          </w:tcPr>
          <w:p>
            <w:pPr>
              <w:adjustRightInd w:val="0"/>
              <w:snapToGrid w:val="0"/>
              <w:jc w:val="center"/>
              <w:rPr>
                <w:kern w:val="0"/>
                <w:sz w:val="20"/>
              </w:rPr>
            </w:pPr>
            <w:r>
              <w:rPr>
                <w:kern w:val="0"/>
                <w:szCs w:val="21"/>
              </w:rPr>
              <w:t>87.98</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0.67</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铅</w:t>
            </w:r>
          </w:p>
        </w:tc>
        <w:tc>
          <w:tcPr>
            <w:tcW w:w="741" w:type="dxa"/>
            <w:vAlign w:val="center"/>
          </w:tcPr>
          <w:p>
            <w:pPr>
              <w:adjustRightInd w:val="0"/>
              <w:snapToGrid w:val="0"/>
              <w:jc w:val="center"/>
              <w:rPr>
                <w:kern w:val="0"/>
                <w:sz w:val="20"/>
              </w:rPr>
            </w:pPr>
            <w:r>
              <w:rPr>
                <w:kern w:val="0"/>
                <w:szCs w:val="21"/>
              </w:rPr>
              <w:t>0.25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0.0017</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铅</w:t>
            </w:r>
          </w:p>
        </w:tc>
        <w:tc>
          <w:tcPr>
            <w:tcW w:w="996" w:type="dxa"/>
            <w:vAlign w:val="center"/>
          </w:tcPr>
          <w:p>
            <w:pPr>
              <w:adjustRightInd w:val="0"/>
              <w:snapToGrid w:val="0"/>
              <w:jc w:val="center"/>
              <w:rPr>
                <w:kern w:val="0"/>
                <w:sz w:val="20"/>
              </w:rPr>
            </w:pPr>
            <w:r>
              <w:rPr>
                <w:kern w:val="0"/>
                <w:szCs w:val="21"/>
              </w:rPr>
              <w:t>0.22</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0.00166</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镉</w:t>
            </w:r>
          </w:p>
        </w:tc>
        <w:tc>
          <w:tcPr>
            <w:tcW w:w="741" w:type="dxa"/>
            <w:vAlign w:val="center"/>
          </w:tcPr>
          <w:p>
            <w:pPr>
              <w:adjustRightInd w:val="0"/>
              <w:snapToGrid w:val="0"/>
              <w:jc w:val="center"/>
              <w:rPr>
                <w:kern w:val="0"/>
                <w:sz w:val="20"/>
              </w:rPr>
            </w:pPr>
            <w:r>
              <w:rPr>
                <w:kern w:val="0"/>
                <w:szCs w:val="21"/>
              </w:rPr>
              <w:t>0.15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0.0010</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镉</w:t>
            </w:r>
          </w:p>
        </w:tc>
        <w:tc>
          <w:tcPr>
            <w:tcW w:w="996" w:type="dxa"/>
            <w:vAlign w:val="center"/>
          </w:tcPr>
          <w:p>
            <w:pPr>
              <w:adjustRightInd w:val="0"/>
              <w:snapToGrid w:val="0"/>
              <w:jc w:val="center"/>
              <w:rPr>
                <w:kern w:val="0"/>
                <w:sz w:val="20"/>
              </w:rPr>
            </w:pPr>
            <w:r>
              <w:rPr>
                <w:kern w:val="0"/>
                <w:szCs w:val="21"/>
              </w:rPr>
              <w:t>0.13</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0.00098</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铍</w:t>
            </w:r>
          </w:p>
        </w:tc>
        <w:tc>
          <w:tcPr>
            <w:tcW w:w="741" w:type="dxa"/>
            <w:vAlign w:val="center"/>
          </w:tcPr>
          <w:p>
            <w:pPr>
              <w:adjustRightInd w:val="0"/>
              <w:snapToGrid w:val="0"/>
              <w:jc w:val="center"/>
              <w:rPr>
                <w:kern w:val="0"/>
                <w:sz w:val="20"/>
              </w:rPr>
            </w:pPr>
            <w:r>
              <w:rPr>
                <w:kern w:val="0"/>
                <w:szCs w:val="21"/>
              </w:rPr>
              <w:t>0.02</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0.0001</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铍</w:t>
            </w:r>
          </w:p>
        </w:tc>
        <w:tc>
          <w:tcPr>
            <w:tcW w:w="996" w:type="dxa"/>
            <w:vAlign w:val="center"/>
          </w:tcPr>
          <w:p>
            <w:pPr>
              <w:adjustRightInd w:val="0"/>
              <w:snapToGrid w:val="0"/>
              <w:jc w:val="center"/>
              <w:rPr>
                <w:kern w:val="0"/>
                <w:sz w:val="20"/>
              </w:rPr>
            </w:pPr>
            <w:r>
              <w:rPr>
                <w:kern w:val="0"/>
                <w:szCs w:val="21"/>
              </w:rPr>
              <w:t>0.018</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0.00014</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钡</w:t>
            </w:r>
          </w:p>
        </w:tc>
        <w:tc>
          <w:tcPr>
            <w:tcW w:w="741" w:type="dxa"/>
            <w:vAlign w:val="center"/>
          </w:tcPr>
          <w:p>
            <w:pPr>
              <w:adjustRightInd w:val="0"/>
              <w:snapToGrid w:val="0"/>
              <w:jc w:val="center"/>
              <w:rPr>
                <w:kern w:val="0"/>
                <w:sz w:val="20"/>
              </w:rPr>
            </w:pPr>
            <w:r>
              <w:rPr>
                <w:kern w:val="0"/>
                <w:szCs w:val="21"/>
              </w:rPr>
              <w:t>25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0.174</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钡</w:t>
            </w:r>
          </w:p>
        </w:tc>
        <w:tc>
          <w:tcPr>
            <w:tcW w:w="996" w:type="dxa"/>
            <w:vAlign w:val="center"/>
          </w:tcPr>
          <w:p>
            <w:pPr>
              <w:adjustRightInd w:val="0"/>
              <w:snapToGrid w:val="0"/>
              <w:jc w:val="center"/>
              <w:rPr>
                <w:kern w:val="0"/>
                <w:sz w:val="20"/>
              </w:rPr>
            </w:pPr>
            <w:r>
              <w:rPr>
                <w:kern w:val="0"/>
                <w:szCs w:val="21"/>
              </w:rPr>
              <w:t>22</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0.166</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镍</w:t>
            </w:r>
          </w:p>
        </w:tc>
        <w:tc>
          <w:tcPr>
            <w:tcW w:w="741" w:type="dxa"/>
            <w:vAlign w:val="center"/>
          </w:tcPr>
          <w:p>
            <w:pPr>
              <w:adjustRightInd w:val="0"/>
              <w:snapToGrid w:val="0"/>
              <w:jc w:val="center"/>
              <w:rPr>
                <w:kern w:val="0"/>
                <w:sz w:val="20"/>
              </w:rPr>
            </w:pPr>
            <w:r>
              <w:rPr>
                <w:kern w:val="0"/>
                <w:szCs w:val="21"/>
              </w:rPr>
              <w:t>0.5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0.0035</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镍</w:t>
            </w:r>
          </w:p>
        </w:tc>
        <w:tc>
          <w:tcPr>
            <w:tcW w:w="996" w:type="dxa"/>
            <w:vAlign w:val="center"/>
          </w:tcPr>
          <w:p>
            <w:pPr>
              <w:adjustRightInd w:val="0"/>
              <w:snapToGrid w:val="0"/>
              <w:jc w:val="center"/>
              <w:rPr>
                <w:kern w:val="0"/>
                <w:sz w:val="20"/>
              </w:rPr>
            </w:pPr>
            <w:r>
              <w:rPr>
                <w:kern w:val="0"/>
                <w:szCs w:val="21"/>
              </w:rPr>
              <w:t>0.44</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0.0033</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砷</w:t>
            </w:r>
          </w:p>
        </w:tc>
        <w:tc>
          <w:tcPr>
            <w:tcW w:w="741" w:type="dxa"/>
            <w:vAlign w:val="center"/>
          </w:tcPr>
          <w:p>
            <w:pPr>
              <w:adjustRightInd w:val="0"/>
              <w:snapToGrid w:val="0"/>
              <w:jc w:val="center"/>
              <w:rPr>
                <w:kern w:val="0"/>
                <w:sz w:val="20"/>
              </w:rPr>
            </w:pPr>
            <w:r>
              <w:rPr>
                <w:kern w:val="0"/>
                <w:szCs w:val="21"/>
              </w:rPr>
              <w:t>0.3</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0.0021</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砷</w:t>
            </w:r>
          </w:p>
        </w:tc>
        <w:tc>
          <w:tcPr>
            <w:tcW w:w="996" w:type="dxa"/>
            <w:vAlign w:val="center"/>
          </w:tcPr>
          <w:p>
            <w:pPr>
              <w:adjustRightInd w:val="0"/>
              <w:snapToGrid w:val="0"/>
              <w:jc w:val="center"/>
              <w:rPr>
                <w:kern w:val="0"/>
                <w:sz w:val="20"/>
              </w:rPr>
            </w:pPr>
            <w:r>
              <w:rPr>
                <w:kern w:val="0"/>
                <w:szCs w:val="21"/>
              </w:rPr>
              <w:t>0.26</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0.0020</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总铬</w:t>
            </w:r>
          </w:p>
        </w:tc>
        <w:tc>
          <w:tcPr>
            <w:tcW w:w="741" w:type="dxa"/>
            <w:vAlign w:val="center"/>
          </w:tcPr>
          <w:p>
            <w:pPr>
              <w:adjustRightInd w:val="0"/>
              <w:snapToGrid w:val="0"/>
              <w:jc w:val="center"/>
              <w:rPr>
                <w:kern w:val="0"/>
                <w:sz w:val="20"/>
              </w:rPr>
            </w:pPr>
            <w:r>
              <w:rPr>
                <w:kern w:val="0"/>
                <w:szCs w:val="21"/>
              </w:rPr>
              <w:t>4.5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0.0313</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总铬</w:t>
            </w:r>
          </w:p>
        </w:tc>
        <w:tc>
          <w:tcPr>
            <w:tcW w:w="996" w:type="dxa"/>
            <w:vAlign w:val="center"/>
          </w:tcPr>
          <w:p>
            <w:pPr>
              <w:adjustRightInd w:val="0"/>
              <w:snapToGrid w:val="0"/>
              <w:jc w:val="center"/>
              <w:rPr>
                <w:kern w:val="0"/>
                <w:sz w:val="20"/>
              </w:rPr>
            </w:pPr>
            <w:r>
              <w:rPr>
                <w:kern w:val="0"/>
                <w:szCs w:val="21"/>
              </w:rPr>
              <w:t>3.96</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0.0300</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六价铬</w:t>
            </w:r>
          </w:p>
        </w:tc>
        <w:tc>
          <w:tcPr>
            <w:tcW w:w="741" w:type="dxa"/>
            <w:vAlign w:val="center"/>
          </w:tcPr>
          <w:p>
            <w:pPr>
              <w:adjustRightInd w:val="0"/>
              <w:snapToGrid w:val="0"/>
              <w:jc w:val="center"/>
              <w:rPr>
                <w:kern w:val="0"/>
                <w:sz w:val="20"/>
              </w:rPr>
            </w:pPr>
            <w:r>
              <w:rPr>
                <w:kern w:val="0"/>
                <w:szCs w:val="21"/>
              </w:rPr>
              <w:t>1.5</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0.0104</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六价铬</w:t>
            </w:r>
          </w:p>
        </w:tc>
        <w:tc>
          <w:tcPr>
            <w:tcW w:w="996" w:type="dxa"/>
            <w:vAlign w:val="center"/>
          </w:tcPr>
          <w:p>
            <w:pPr>
              <w:adjustRightInd w:val="0"/>
              <w:snapToGrid w:val="0"/>
              <w:jc w:val="center"/>
              <w:rPr>
                <w:kern w:val="0"/>
                <w:sz w:val="20"/>
              </w:rPr>
            </w:pPr>
            <w:r>
              <w:rPr>
                <w:kern w:val="0"/>
                <w:szCs w:val="21"/>
              </w:rPr>
              <w:t>1.32</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0.0100</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Cs w:val="21"/>
              </w:rPr>
              <w:t>硒</w:t>
            </w:r>
          </w:p>
        </w:tc>
        <w:tc>
          <w:tcPr>
            <w:tcW w:w="741" w:type="dxa"/>
            <w:vAlign w:val="center"/>
          </w:tcPr>
          <w:p>
            <w:pPr>
              <w:adjustRightInd w:val="0"/>
              <w:snapToGrid w:val="0"/>
              <w:jc w:val="center"/>
              <w:rPr>
                <w:kern w:val="0"/>
                <w:sz w:val="20"/>
              </w:rPr>
            </w:pPr>
            <w:r>
              <w:rPr>
                <w:kern w:val="0"/>
                <w:szCs w:val="21"/>
              </w:rPr>
              <w:t>0.1</w:t>
            </w:r>
          </w:p>
        </w:tc>
        <w:tc>
          <w:tcPr>
            <w:tcW w:w="1052"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kern w:val="0"/>
                <w:sz w:val="20"/>
              </w:rPr>
              <w:t>0.00103</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r>
              <w:rPr>
                <w:kern w:val="0"/>
                <w:szCs w:val="21"/>
              </w:rPr>
              <w:t>硒</w:t>
            </w:r>
          </w:p>
        </w:tc>
        <w:tc>
          <w:tcPr>
            <w:tcW w:w="996" w:type="dxa"/>
            <w:vAlign w:val="center"/>
          </w:tcPr>
          <w:p>
            <w:pPr>
              <w:adjustRightInd w:val="0"/>
              <w:snapToGrid w:val="0"/>
              <w:jc w:val="center"/>
              <w:rPr>
                <w:kern w:val="0"/>
                <w:sz w:val="20"/>
              </w:rPr>
            </w:pPr>
            <w:r>
              <w:rPr>
                <w:kern w:val="0"/>
                <w:sz w:val="20"/>
              </w:rPr>
              <w:t>0.088</w:t>
            </w:r>
          </w:p>
        </w:tc>
        <w:tc>
          <w:tcPr>
            <w:tcW w:w="966" w:type="dxa"/>
            <w:tcBorders>
              <w:top w:val="nil"/>
              <w:left w:val="nil"/>
              <w:bottom w:val="single" w:color="auto" w:sz="8" w:space="0"/>
              <w:right w:val="single" w:color="auto" w:sz="8" w:space="0"/>
            </w:tcBorders>
            <w:shd w:val="clear" w:color="auto" w:fill="auto"/>
            <w:vAlign w:val="center"/>
          </w:tcPr>
          <w:p>
            <w:pPr>
              <w:adjustRightInd w:val="0"/>
              <w:snapToGrid w:val="0"/>
              <w:jc w:val="center"/>
              <w:rPr>
                <w:kern w:val="0"/>
                <w:sz w:val="20"/>
              </w:rPr>
            </w:pPr>
            <w:r>
              <w:rPr>
                <w:rFonts w:eastAsia="等线"/>
                <w:sz w:val="20"/>
              </w:rPr>
              <w:t>0.00067</w:t>
            </w: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restart"/>
            <w:vAlign w:val="center"/>
          </w:tcPr>
          <w:p>
            <w:pPr>
              <w:adjustRightInd w:val="0"/>
              <w:snapToGrid w:val="0"/>
              <w:jc w:val="center"/>
              <w:rPr>
                <w:spacing w:val="-1"/>
                <w:kern w:val="0"/>
                <w:sz w:val="20"/>
                <w:szCs w:val="21"/>
              </w:rPr>
            </w:pPr>
            <w:r>
              <w:rPr>
                <w:spacing w:val="-1"/>
                <w:kern w:val="0"/>
                <w:sz w:val="20"/>
                <w:szCs w:val="21"/>
              </w:rPr>
              <w:t>车辆冲洗</w:t>
            </w:r>
          </w:p>
          <w:p>
            <w:pPr>
              <w:adjustRightInd w:val="0"/>
              <w:snapToGrid w:val="0"/>
              <w:jc w:val="center"/>
              <w:rPr>
                <w:kern w:val="0"/>
                <w:sz w:val="20"/>
              </w:rPr>
            </w:pPr>
            <w:r>
              <w:rPr>
                <w:spacing w:val="-1"/>
                <w:kern w:val="0"/>
                <w:sz w:val="20"/>
                <w:szCs w:val="21"/>
              </w:rPr>
              <w:t>0.9m</w:t>
            </w:r>
            <w:r>
              <w:rPr>
                <w:spacing w:val="-1"/>
                <w:kern w:val="0"/>
                <w:sz w:val="20"/>
                <w:szCs w:val="21"/>
                <w:vertAlign w:val="superscript"/>
              </w:rPr>
              <w:t>3</w:t>
            </w:r>
            <w:r>
              <w:rPr>
                <w:spacing w:val="-1"/>
                <w:kern w:val="0"/>
                <w:sz w:val="20"/>
                <w:szCs w:val="21"/>
              </w:rPr>
              <w:t>/d</w:t>
            </w:r>
          </w:p>
        </w:tc>
        <w:tc>
          <w:tcPr>
            <w:tcW w:w="969" w:type="dxa"/>
            <w:vAlign w:val="center"/>
          </w:tcPr>
          <w:p>
            <w:pPr>
              <w:adjustRightInd w:val="0"/>
              <w:snapToGrid w:val="0"/>
              <w:jc w:val="center"/>
              <w:rPr>
                <w:kern w:val="0"/>
                <w:sz w:val="20"/>
              </w:rPr>
            </w:pPr>
            <w:r>
              <w:rPr>
                <w:rFonts w:eastAsiaTheme="minorEastAsia"/>
                <w:spacing w:val="-1"/>
                <w:kern w:val="0"/>
                <w:sz w:val="20"/>
                <w:szCs w:val="21"/>
              </w:rPr>
              <w:t>COD</w:t>
            </w:r>
          </w:p>
        </w:tc>
        <w:tc>
          <w:tcPr>
            <w:tcW w:w="741" w:type="dxa"/>
            <w:vAlign w:val="center"/>
          </w:tcPr>
          <w:p>
            <w:pPr>
              <w:adjustRightInd w:val="0"/>
              <w:snapToGrid w:val="0"/>
              <w:jc w:val="center"/>
              <w:rPr>
                <w:kern w:val="0"/>
                <w:sz w:val="20"/>
              </w:rPr>
            </w:pPr>
            <w:r>
              <w:rPr>
                <w:rFonts w:eastAsiaTheme="minorEastAsia"/>
                <w:kern w:val="0"/>
                <w:sz w:val="20"/>
                <w:szCs w:val="21"/>
              </w:rPr>
              <w:t>200</w:t>
            </w:r>
          </w:p>
        </w:tc>
        <w:tc>
          <w:tcPr>
            <w:tcW w:w="1052" w:type="dxa"/>
            <w:shd w:val="clear" w:color="auto" w:fill="auto"/>
            <w:vAlign w:val="center"/>
          </w:tcPr>
          <w:p>
            <w:pPr>
              <w:adjustRightInd w:val="0"/>
              <w:snapToGrid w:val="0"/>
              <w:jc w:val="center"/>
              <w:rPr>
                <w:kern w:val="0"/>
                <w:sz w:val="20"/>
              </w:rPr>
            </w:pPr>
            <w:r>
              <w:rPr>
                <w:rFonts w:eastAsia="等线"/>
                <w:kern w:val="0"/>
                <w:sz w:val="20"/>
              </w:rPr>
              <w:t>0.0657</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p>
        </w:tc>
        <w:tc>
          <w:tcPr>
            <w:tcW w:w="996" w:type="dxa"/>
            <w:vAlign w:val="center"/>
          </w:tcPr>
          <w:p>
            <w:pPr>
              <w:adjustRightInd w:val="0"/>
              <w:snapToGrid w:val="0"/>
              <w:jc w:val="center"/>
              <w:rPr>
                <w:kern w:val="0"/>
                <w:sz w:val="20"/>
              </w:rPr>
            </w:pPr>
          </w:p>
        </w:tc>
        <w:tc>
          <w:tcPr>
            <w:tcW w:w="966" w:type="dxa"/>
            <w:vAlign w:val="center"/>
          </w:tcPr>
          <w:p>
            <w:pPr>
              <w:adjustRightInd w:val="0"/>
              <w:snapToGrid w:val="0"/>
              <w:jc w:val="center"/>
              <w:rPr>
                <w:kern w:val="0"/>
                <w:sz w:val="20"/>
              </w:rPr>
            </w:pP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rFonts w:eastAsiaTheme="minorEastAsia"/>
                <w:kern w:val="0"/>
                <w:sz w:val="20"/>
                <w:szCs w:val="21"/>
              </w:rPr>
              <w:t>SS</w:t>
            </w:r>
          </w:p>
        </w:tc>
        <w:tc>
          <w:tcPr>
            <w:tcW w:w="741" w:type="dxa"/>
            <w:vAlign w:val="center"/>
          </w:tcPr>
          <w:p>
            <w:pPr>
              <w:adjustRightInd w:val="0"/>
              <w:snapToGrid w:val="0"/>
              <w:jc w:val="center"/>
              <w:rPr>
                <w:kern w:val="0"/>
                <w:sz w:val="20"/>
              </w:rPr>
            </w:pPr>
            <w:r>
              <w:rPr>
                <w:rFonts w:eastAsiaTheme="minorEastAsia"/>
                <w:kern w:val="0"/>
                <w:sz w:val="20"/>
                <w:szCs w:val="21"/>
              </w:rPr>
              <w:t>600</w:t>
            </w:r>
          </w:p>
        </w:tc>
        <w:tc>
          <w:tcPr>
            <w:tcW w:w="1052" w:type="dxa"/>
            <w:shd w:val="clear" w:color="auto" w:fill="auto"/>
            <w:vAlign w:val="center"/>
          </w:tcPr>
          <w:p>
            <w:pPr>
              <w:adjustRightInd w:val="0"/>
              <w:snapToGrid w:val="0"/>
              <w:jc w:val="center"/>
              <w:rPr>
                <w:kern w:val="0"/>
                <w:sz w:val="20"/>
              </w:rPr>
            </w:pPr>
            <w:r>
              <w:rPr>
                <w:rFonts w:eastAsia="等线"/>
                <w:kern w:val="0"/>
                <w:sz w:val="20"/>
              </w:rPr>
              <w:t>0.1971</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p>
        </w:tc>
        <w:tc>
          <w:tcPr>
            <w:tcW w:w="996" w:type="dxa"/>
            <w:vAlign w:val="center"/>
          </w:tcPr>
          <w:p>
            <w:pPr>
              <w:adjustRightInd w:val="0"/>
              <w:snapToGrid w:val="0"/>
              <w:jc w:val="center"/>
              <w:rPr>
                <w:kern w:val="0"/>
                <w:sz w:val="20"/>
              </w:rPr>
            </w:pPr>
          </w:p>
        </w:tc>
        <w:tc>
          <w:tcPr>
            <w:tcW w:w="966" w:type="dxa"/>
            <w:vAlign w:val="center"/>
          </w:tcPr>
          <w:p>
            <w:pPr>
              <w:adjustRightInd w:val="0"/>
              <w:snapToGrid w:val="0"/>
              <w:jc w:val="center"/>
              <w:rPr>
                <w:kern w:val="0"/>
                <w:sz w:val="20"/>
              </w:rPr>
            </w:pP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restart"/>
            <w:vAlign w:val="center"/>
          </w:tcPr>
          <w:p>
            <w:pPr>
              <w:kinsoku w:val="0"/>
              <w:overflowPunct w:val="0"/>
              <w:autoSpaceDE w:val="0"/>
              <w:autoSpaceDN w:val="0"/>
              <w:adjustRightInd w:val="0"/>
              <w:snapToGrid w:val="0"/>
              <w:jc w:val="center"/>
              <w:rPr>
                <w:kern w:val="0"/>
                <w:sz w:val="20"/>
              </w:rPr>
            </w:pPr>
            <w:r>
              <w:rPr>
                <w:spacing w:val="-1"/>
                <w:kern w:val="0"/>
                <w:sz w:val="20"/>
                <w:szCs w:val="21"/>
              </w:rPr>
              <w:t>生活污水</w:t>
            </w:r>
            <w:r>
              <w:rPr>
                <w:rFonts w:eastAsiaTheme="minorEastAsia"/>
                <w:spacing w:val="-1"/>
                <w:kern w:val="0"/>
                <w:sz w:val="20"/>
                <w:szCs w:val="21"/>
              </w:rPr>
              <w:t>0.77 m</w:t>
            </w:r>
            <w:r>
              <w:rPr>
                <w:rFonts w:eastAsiaTheme="minorEastAsia"/>
                <w:spacing w:val="-1"/>
                <w:kern w:val="0"/>
                <w:sz w:val="20"/>
                <w:szCs w:val="21"/>
                <w:vertAlign w:val="superscript"/>
              </w:rPr>
              <w:t>3</w:t>
            </w:r>
            <w:r>
              <w:rPr>
                <w:rFonts w:eastAsiaTheme="minorEastAsia"/>
                <w:spacing w:val="-1"/>
                <w:kern w:val="0"/>
                <w:sz w:val="20"/>
                <w:szCs w:val="21"/>
              </w:rPr>
              <w:t>/d</w:t>
            </w:r>
          </w:p>
        </w:tc>
        <w:tc>
          <w:tcPr>
            <w:tcW w:w="969" w:type="dxa"/>
            <w:vAlign w:val="center"/>
          </w:tcPr>
          <w:p>
            <w:pPr>
              <w:adjustRightInd w:val="0"/>
              <w:snapToGrid w:val="0"/>
              <w:jc w:val="center"/>
              <w:rPr>
                <w:kern w:val="0"/>
                <w:sz w:val="20"/>
              </w:rPr>
            </w:pPr>
            <w:r>
              <w:rPr>
                <w:rFonts w:eastAsiaTheme="minorEastAsia"/>
                <w:spacing w:val="-1"/>
                <w:kern w:val="0"/>
                <w:sz w:val="20"/>
                <w:szCs w:val="21"/>
              </w:rPr>
              <w:t>COD</w:t>
            </w:r>
          </w:p>
        </w:tc>
        <w:tc>
          <w:tcPr>
            <w:tcW w:w="741" w:type="dxa"/>
            <w:vAlign w:val="center"/>
          </w:tcPr>
          <w:p>
            <w:pPr>
              <w:adjustRightInd w:val="0"/>
              <w:snapToGrid w:val="0"/>
              <w:jc w:val="center"/>
              <w:rPr>
                <w:kern w:val="0"/>
                <w:sz w:val="20"/>
              </w:rPr>
            </w:pPr>
            <w:r>
              <w:rPr>
                <w:rFonts w:eastAsiaTheme="minorEastAsia"/>
                <w:kern w:val="0"/>
                <w:sz w:val="20"/>
                <w:szCs w:val="21"/>
              </w:rPr>
              <w:t>250</w:t>
            </w:r>
          </w:p>
        </w:tc>
        <w:tc>
          <w:tcPr>
            <w:tcW w:w="1052" w:type="dxa"/>
            <w:shd w:val="clear" w:color="auto" w:fill="auto"/>
            <w:vAlign w:val="center"/>
          </w:tcPr>
          <w:p>
            <w:pPr>
              <w:adjustRightInd w:val="0"/>
              <w:snapToGrid w:val="0"/>
              <w:jc w:val="center"/>
              <w:rPr>
                <w:kern w:val="0"/>
                <w:sz w:val="20"/>
              </w:rPr>
            </w:pPr>
            <w:r>
              <w:rPr>
                <w:rFonts w:eastAsia="等线"/>
                <w:kern w:val="0"/>
                <w:sz w:val="20"/>
              </w:rPr>
              <w:t>0.07026</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p>
        </w:tc>
        <w:tc>
          <w:tcPr>
            <w:tcW w:w="996" w:type="dxa"/>
            <w:vAlign w:val="center"/>
          </w:tcPr>
          <w:p>
            <w:pPr>
              <w:adjustRightInd w:val="0"/>
              <w:snapToGrid w:val="0"/>
              <w:jc w:val="center"/>
              <w:rPr>
                <w:kern w:val="0"/>
                <w:sz w:val="20"/>
              </w:rPr>
            </w:pPr>
          </w:p>
        </w:tc>
        <w:tc>
          <w:tcPr>
            <w:tcW w:w="966" w:type="dxa"/>
            <w:vAlign w:val="center"/>
          </w:tcPr>
          <w:p>
            <w:pPr>
              <w:adjustRightInd w:val="0"/>
              <w:snapToGrid w:val="0"/>
              <w:jc w:val="center"/>
              <w:rPr>
                <w:kern w:val="0"/>
                <w:sz w:val="20"/>
              </w:rPr>
            </w:pP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rPr>
            </w:pPr>
            <w:r>
              <w:rPr>
                <w:kern w:val="0"/>
                <w:sz w:val="20"/>
                <w:szCs w:val="21"/>
              </w:rPr>
              <w:t>氨氮</w:t>
            </w:r>
          </w:p>
        </w:tc>
        <w:tc>
          <w:tcPr>
            <w:tcW w:w="741" w:type="dxa"/>
            <w:vAlign w:val="center"/>
          </w:tcPr>
          <w:p>
            <w:pPr>
              <w:adjustRightInd w:val="0"/>
              <w:snapToGrid w:val="0"/>
              <w:jc w:val="center"/>
              <w:rPr>
                <w:kern w:val="0"/>
                <w:sz w:val="20"/>
              </w:rPr>
            </w:pPr>
            <w:r>
              <w:rPr>
                <w:rFonts w:eastAsiaTheme="minorEastAsia"/>
                <w:kern w:val="0"/>
                <w:sz w:val="20"/>
                <w:szCs w:val="21"/>
              </w:rPr>
              <w:t>25</w:t>
            </w:r>
          </w:p>
        </w:tc>
        <w:tc>
          <w:tcPr>
            <w:tcW w:w="1052" w:type="dxa"/>
            <w:shd w:val="clear" w:color="auto" w:fill="auto"/>
            <w:vAlign w:val="center"/>
          </w:tcPr>
          <w:p>
            <w:pPr>
              <w:adjustRightInd w:val="0"/>
              <w:snapToGrid w:val="0"/>
              <w:jc w:val="center"/>
              <w:rPr>
                <w:kern w:val="0"/>
                <w:sz w:val="20"/>
              </w:rPr>
            </w:pPr>
            <w:r>
              <w:rPr>
                <w:rFonts w:eastAsia="等线"/>
                <w:kern w:val="0"/>
                <w:sz w:val="20"/>
              </w:rPr>
              <w:t>0.00703</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p>
        </w:tc>
        <w:tc>
          <w:tcPr>
            <w:tcW w:w="996" w:type="dxa"/>
            <w:vAlign w:val="center"/>
          </w:tcPr>
          <w:p>
            <w:pPr>
              <w:adjustRightInd w:val="0"/>
              <w:snapToGrid w:val="0"/>
              <w:jc w:val="center"/>
              <w:rPr>
                <w:kern w:val="0"/>
                <w:sz w:val="20"/>
              </w:rPr>
            </w:pPr>
          </w:p>
        </w:tc>
        <w:tc>
          <w:tcPr>
            <w:tcW w:w="966" w:type="dxa"/>
            <w:vAlign w:val="center"/>
          </w:tcPr>
          <w:p>
            <w:pPr>
              <w:adjustRightInd w:val="0"/>
              <w:snapToGrid w:val="0"/>
              <w:jc w:val="center"/>
              <w:rPr>
                <w:kern w:val="0"/>
                <w:sz w:val="20"/>
              </w:rPr>
            </w:pPr>
          </w:p>
        </w:tc>
        <w:tc>
          <w:tcPr>
            <w:tcW w:w="1190" w:type="dxa"/>
            <w:vMerge w:val="continue"/>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43" w:type="dxa"/>
            <w:vMerge w:val="continue"/>
            <w:vAlign w:val="center"/>
          </w:tcPr>
          <w:p>
            <w:pPr>
              <w:adjustRightInd w:val="0"/>
              <w:snapToGrid w:val="0"/>
              <w:jc w:val="center"/>
              <w:rPr>
                <w:kern w:val="0"/>
                <w:sz w:val="20"/>
              </w:rPr>
            </w:pPr>
          </w:p>
        </w:tc>
        <w:tc>
          <w:tcPr>
            <w:tcW w:w="969" w:type="dxa"/>
            <w:vAlign w:val="center"/>
          </w:tcPr>
          <w:p>
            <w:pPr>
              <w:adjustRightInd w:val="0"/>
              <w:snapToGrid w:val="0"/>
              <w:jc w:val="center"/>
              <w:rPr>
                <w:kern w:val="0"/>
                <w:sz w:val="20"/>
                <w:szCs w:val="21"/>
              </w:rPr>
            </w:pPr>
            <w:r>
              <w:rPr>
                <w:rFonts w:eastAsiaTheme="minorEastAsia"/>
                <w:kern w:val="0"/>
                <w:sz w:val="20"/>
                <w:szCs w:val="21"/>
              </w:rPr>
              <w:t>SS</w:t>
            </w:r>
          </w:p>
        </w:tc>
        <w:tc>
          <w:tcPr>
            <w:tcW w:w="741" w:type="dxa"/>
            <w:vAlign w:val="center"/>
          </w:tcPr>
          <w:p>
            <w:pPr>
              <w:adjustRightInd w:val="0"/>
              <w:snapToGrid w:val="0"/>
              <w:jc w:val="center"/>
              <w:rPr>
                <w:rFonts w:eastAsiaTheme="minorEastAsia"/>
                <w:kern w:val="0"/>
                <w:sz w:val="20"/>
                <w:szCs w:val="21"/>
              </w:rPr>
            </w:pPr>
            <w:r>
              <w:rPr>
                <w:rFonts w:eastAsiaTheme="minorEastAsia"/>
                <w:kern w:val="0"/>
                <w:sz w:val="20"/>
                <w:szCs w:val="21"/>
              </w:rPr>
              <w:t>150</w:t>
            </w:r>
          </w:p>
        </w:tc>
        <w:tc>
          <w:tcPr>
            <w:tcW w:w="1052" w:type="dxa"/>
            <w:shd w:val="clear" w:color="auto" w:fill="auto"/>
            <w:vAlign w:val="center"/>
          </w:tcPr>
          <w:p>
            <w:pPr>
              <w:adjustRightInd w:val="0"/>
              <w:snapToGrid w:val="0"/>
              <w:jc w:val="center"/>
              <w:rPr>
                <w:rFonts w:eastAsiaTheme="minorEastAsia"/>
                <w:kern w:val="0"/>
                <w:sz w:val="20"/>
                <w:szCs w:val="21"/>
              </w:rPr>
            </w:pPr>
            <w:r>
              <w:rPr>
                <w:rFonts w:eastAsia="等线"/>
                <w:kern w:val="0"/>
                <w:sz w:val="20"/>
              </w:rPr>
              <w:t>0.04216</w:t>
            </w:r>
          </w:p>
        </w:tc>
        <w:tc>
          <w:tcPr>
            <w:tcW w:w="640" w:type="dxa"/>
            <w:vMerge w:val="continue"/>
            <w:vAlign w:val="center"/>
          </w:tcPr>
          <w:p>
            <w:pPr>
              <w:adjustRightInd w:val="0"/>
              <w:snapToGrid w:val="0"/>
              <w:jc w:val="center"/>
              <w:rPr>
                <w:kern w:val="0"/>
                <w:sz w:val="20"/>
              </w:rPr>
            </w:pPr>
          </w:p>
        </w:tc>
        <w:tc>
          <w:tcPr>
            <w:tcW w:w="925" w:type="dxa"/>
            <w:vAlign w:val="center"/>
          </w:tcPr>
          <w:p>
            <w:pPr>
              <w:adjustRightInd w:val="0"/>
              <w:snapToGrid w:val="0"/>
              <w:jc w:val="center"/>
              <w:rPr>
                <w:kern w:val="0"/>
                <w:sz w:val="20"/>
              </w:rPr>
            </w:pPr>
          </w:p>
        </w:tc>
        <w:tc>
          <w:tcPr>
            <w:tcW w:w="996" w:type="dxa"/>
            <w:vAlign w:val="center"/>
          </w:tcPr>
          <w:p>
            <w:pPr>
              <w:adjustRightInd w:val="0"/>
              <w:snapToGrid w:val="0"/>
              <w:jc w:val="center"/>
              <w:rPr>
                <w:kern w:val="0"/>
                <w:sz w:val="20"/>
              </w:rPr>
            </w:pPr>
          </w:p>
        </w:tc>
        <w:tc>
          <w:tcPr>
            <w:tcW w:w="966" w:type="dxa"/>
            <w:vAlign w:val="center"/>
          </w:tcPr>
          <w:p>
            <w:pPr>
              <w:adjustRightInd w:val="0"/>
              <w:snapToGrid w:val="0"/>
              <w:jc w:val="center"/>
              <w:rPr>
                <w:kern w:val="0"/>
                <w:sz w:val="20"/>
              </w:rPr>
            </w:pPr>
          </w:p>
        </w:tc>
        <w:tc>
          <w:tcPr>
            <w:tcW w:w="1190" w:type="dxa"/>
            <w:vMerge w:val="continue"/>
          </w:tcPr>
          <w:p>
            <w:pPr>
              <w:adjustRightInd w:val="0"/>
              <w:snapToGrid w:val="0"/>
              <w:jc w:val="center"/>
              <w:rPr>
                <w:kern w:val="0"/>
                <w:sz w:val="20"/>
              </w:rPr>
            </w:pPr>
          </w:p>
        </w:tc>
      </w:tr>
    </w:tbl>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噪声源强分析</w:t>
      </w:r>
      <w:bookmarkEnd w:id="102"/>
    </w:p>
    <w:p>
      <w:pPr>
        <w:tabs>
          <w:tab w:val="left" w:pos="495"/>
        </w:tabs>
        <w:adjustRightInd w:val="0"/>
        <w:snapToGrid w:val="0"/>
        <w:spacing w:line="360" w:lineRule="auto"/>
        <w:ind w:firstLine="480" w:firstLineChars="200"/>
        <w:rPr>
          <w:sz w:val="24"/>
        </w:rPr>
      </w:pPr>
      <w:r>
        <w:rPr>
          <w:sz w:val="24"/>
        </w:rPr>
        <w:t>本项目使用的运输车辆、填埋场</w:t>
      </w:r>
      <w:r>
        <w:rPr>
          <w:rFonts w:hint="eastAsia"/>
          <w:sz w:val="24"/>
        </w:rPr>
        <w:t>填埋</w:t>
      </w:r>
      <w:r>
        <w:rPr>
          <w:sz w:val="24"/>
        </w:rPr>
        <w:t>施工机械是主要的噪声源，噪声值在 75～</w:t>
      </w:r>
      <w:r>
        <w:rPr>
          <w:rFonts w:hint="eastAsia"/>
          <w:sz w:val="24"/>
        </w:rPr>
        <w:t>85dB(A)之间，</w:t>
      </w:r>
      <w:r>
        <w:rPr>
          <w:sz w:val="24"/>
        </w:rPr>
        <w:t>本项目噪声源强见表3.10-7。</w:t>
      </w:r>
    </w:p>
    <w:p>
      <w:pPr>
        <w:tabs>
          <w:tab w:val="left" w:pos="495"/>
        </w:tabs>
        <w:adjustRightInd w:val="0"/>
        <w:snapToGrid w:val="0"/>
        <w:spacing w:line="360" w:lineRule="auto"/>
        <w:jc w:val="center"/>
        <w:rPr>
          <w:b/>
          <w:sz w:val="24"/>
        </w:rPr>
      </w:pPr>
      <w:r>
        <w:rPr>
          <w:b/>
          <w:sz w:val="24"/>
        </w:rPr>
        <w:t>表3.10-7本项目噪声源强及治理措施</w:t>
      </w:r>
    </w:p>
    <w:tbl>
      <w:tblPr>
        <w:tblStyle w:val="288"/>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493"/>
        <w:gridCol w:w="1649"/>
        <w:gridCol w:w="850"/>
        <w:gridCol w:w="1275"/>
        <w:gridCol w:w="1134"/>
        <w:gridCol w:w="293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序号</w:t>
            </w:r>
          </w:p>
        </w:tc>
        <w:tc>
          <w:tcPr>
            <w:tcW w:w="989"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设备名称</w:t>
            </w:r>
          </w:p>
        </w:tc>
        <w:tc>
          <w:tcPr>
            <w:tcW w:w="510" w:type="pc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台数</w:t>
            </w:r>
          </w:p>
        </w:tc>
        <w:tc>
          <w:tcPr>
            <w:tcW w:w="765"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所在车间</w:t>
            </w:r>
          </w:p>
        </w:tc>
        <w:tc>
          <w:tcPr>
            <w:tcW w:w="680"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声源噪声级</w:t>
            </w:r>
            <w:r>
              <w:rPr>
                <w:rFonts w:hint="eastAsia" w:ascii="宋体" w:hAnsi="宋体" w:cs="宋体"/>
                <w:spacing w:val="-1"/>
                <w:kern w:val="0"/>
                <w:sz w:val="22"/>
                <w:szCs w:val="21"/>
                <w:lang w:eastAsia="en-US"/>
              </w:rPr>
              <w:t>（dB）</w:t>
            </w:r>
          </w:p>
        </w:tc>
        <w:tc>
          <w:tcPr>
            <w:tcW w:w="1760"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治理措施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1</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履带式推土机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restart"/>
            <w:vAlign w:val="center"/>
          </w:tcPr>
          <w:p>
            <w:pPr>
              <w:adjustRightInd w:val="0"/>
              <w:snapToGrid w:val="0"/>
              <w:jc w:val="center"/>
              <w:rPr>
                <w:rFonts w:ascii="宋体" w:hAnsi="宋体" w:cs="宋体"/>
                <w:spacing w:val="-1"/>
                <w:kern w:val="0"/>
                <w:sz w:val="22"/>
                <w:szCs w:val="21"/>
                <w:lang w:eastAsia="en-US"/>
              </w:rPr>
            </w:pPr>
            <w:r>
              <w:rPr>
                <w:rFonts w:ascii="宋体" w:hAnsi="宋体" w:cs="宋体"/>
                <w:kern w:val="0"/>
                <w:sz w:val="22"/>
                <w:szCs w:val="21"/>
                <w:lang w:eastAsia="en-US"/>
              </w:rPr>
              <w:t>填埋场</w:t>
            </w: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5</w:t>
            </w:r>
          </w:p>
        </w:tc>
        <w:tc>
          <w:tcPr>
            <w:tcW w:w="1760" w:type="pct"/>
            <w:vMerge w:val="restart"/>
            <w:vAlign w:val="center"/>
          </w:tcPr>
          <w:p>
            <w:pPr>
              <w:adjustRightInd w:val="0"/>
              <w:snapToGrid w:val="0"/>
              <w:jc w:val="center"/>
              <w:rPr>
                <w:rFonts w:ascii="宋体" w:hAnsi="宋体" w:cs="宋体"/>
                <w:spacing w:val="-1"/>
                <w:kern w:val="0"/>
                <w:sz w:val="22"/>
                <w:szCs w:val="21"/>
                <w:lang w:eastAsia="zh-CN"/>
              </w:rPr>
            </w:pPr>
            <w:r>
              <w:rPr>
                <w:rFonts w:ascii="宋体" w:hAnsi="宋体" w:cs="宋体"/>
                <w:kern w:val="0"/>
                <w:sz w:val="22"/>
                <w:szCs w:val="21"/>
                <w:lang w:eastAsia="zh-CN"/>
              </w:rPr>
              <w:t>绿化</w:t>
            </w:r>
            <w:r>
              <w:rPr>
                <w:rFonts w:ascii="宋体" w:hAnsi="宋体" w:cs="宋体"/>
                <w:spacing w:val="-3"/>
                <w:kern w:val="0"/>
                <w:sz w:val="22"/>
                <w:szCs w:val="21"/>
                <w:lang w:eastAsia="zh-CN"/>
              </w:rPr>
              <w:t>隔声</w:t>
            </w:r>
            <w:r>
              <w:rPr>
                <w:rFonts w:ascii="宋体" w:hAnsi="宋体" w:cs="宋体"/>
                <w:spacing w:val="-25"/>
                <w:kern w:val="0"/>
                <w:sz w:val="22"/>
                <w:szCs w:val="21"/>
                <w:lang w:eastAsia="zh-CN"/>
              </w:rPr>
              <w:t>、</w:t>
            </w:r>
            <w:r>
              <w:rPr>
                <w:rFonts w:ascii="宋体" w:hAnsi="宋体" w:cs="宋体"/>
                <w:spacing w:val="-3"/>
                <w:kern w:val="0"/>
                <w:sz w:val="22"/>
                <w:szCs w:val="21"/>
                <w:lang w:eastAsia="zh-CN"/>
              </w:rPr>
              <w:t>选</w:t>
            </w:r>
            <w:r>
              <w:rPr>
                <w:rFonts w:ascii="宋体" w:hAnsi="宋体" w:cs="宋体"/>
                <w:kern w:val="0"/>
                <w:sz w:val="22"/>
                <w:szCs w:val="21"/>
                <w:lang w:eastAsia="zh-CN"/>
              </w:rPr>
              <w:t>用</w:t>
            </w:r>
            <w:r>
              <w:rPr>
                <w:rFonts w:ascii="宋体" w:hAnsi="宋体" w:cs="宋体"/>
                <w:spacing w:val="-3"/>
                <w:kern w:val="0"/>
                <w:sz w:val="22"/>
                <w:szCs w:val="21"/>
                <w:lang w:eastAsia="zh-CN"/>
              </w:rPr>
              <w:t>低</w:t>
            </w:r>
            <w:r>
              <w:rPr>
                <w:rFonts w:ascii="宋体" w:hAnsi="宋体" w:cs="宋体"/>
                <w:kern w:val="0"/>
                <w:sz w:val="22"/>
                <w:szCs w:val="21"/>
                <w:lang w:eastAsia="zh-CN"/>
              </w:rPr>
              <w:t>噪</w:t>
            </w:r>
            <w:r>
              <w:rPr>
                <w:rFonts w:ascii="宋体" w:hAnsi="宋体" w:cs="宋体"/>
                <w:spacing w:val="-3"/>
                <w:kern w:val="0"/>
                <w:sz w:val="22"/>
                <w:szCs w:val="21"/>
                <w:lang w:eastAsia="zh-CN"/>
              </w:rPr>
              <w:t>声设</w:t>
            </w:r>
            <w:r>
              <w:rPr>
                <w:rFonts w:ascii="宋体" w:hAnsi="宋体" w:cs="宋体"/>
                <w:kern w:val="0"/>
                <w:sz w:val="22"/>
                <w:szCs w:val="21"/>
                <w:lang w:eastAsia="zh-CN"/>
              </w:rPr>
              <w:t>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2</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压实机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5</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3</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装载机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ascii="宋体" w:hAnsi="宋体" w:cs="宋体"/>
                <w:spacing w:val="-1"/>
                <w:kern w:val="0"/>
                <w:sz w:val="22"/>
                <w:szCs w:val="21"/>
                <w:lang w:eastAsia="en-US"/>
              </w:rPr>
              <w:t>80</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4</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挖掘机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5</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5</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自卸汽车</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0</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int="eastAsia" w:eastAsiaTheme="minorEastAsia"/>
                <w:kern w:val="0"/>
                <w:sz w:val="22"/>
                <w:szCs w:val="21"/>
                <w:lang w:eastAsia="en-US"/>
              </w:rPr>
              <w:t>6</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洒水多用车</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0</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eastAsiaTheme="minorEastAsia"/>
                <w:kern w:val="0"/>
                <w:sz w:val="22"/>
                <w:szCs w:val="21"/>
                <w:lang w:eastAsia="en-US"/>
              </w:rPr>
            </w:pPr>
            <w:r>
              <w:rPr>
                <w:rFonts w:hint="eastAsia" w:eastAsiaTheme="minorEastAsia"/>
                <w:kern w:val="0"/>
                <w:sz w:val="22"/>
                <w:szCs w:val="21"/>
                <w:lang w:eastAsia="en-US"/>
              </w:rPr>
              <w:t>7</w:t>
            </w:r>
          </w:p>
        </w:tc>
        <w:tc>
          <w:tcPr>
            <w:tcW w:w="989" w:type="pc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提升泵</w:t>
            </w:r>
          </w:p>
        </w:tc>
        <w:tc>
          <w:tcPr>
            <w:tcW w:w="51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2</w:t>
            </w:r>
          </w:p>
        </w:tc>
        <w:tc>
          <w:tcPr>
            <w:tcW w:w="765" w:type="pct"/>
            <w:vMerge w:val="restar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水处理</w:t>
            </w:r>
          </w:p>
        </w:tc>
        <w:tc>
          <w:tcPr>
            <w:tcW w:w="68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80</w:t>
            </w:r>
          </w:p>
        </w:tc>
        <w:tc>
          <w:tcPr>
            <w:tcW w:w="1760" w:type="pct"/>
            <w:vMerge w:val="restar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隔声、减震等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eastAsiaTheme="minorEastAsia"/>
                <w:kern w:val="0"/>
                <w:sz w:val="22"/>
                <w:szCs w:val="21"/>
                <w:lang w:eastAsia="en-US"/>
              </w:rPr>
            </w:pPr>
            <w:r>
              <w:rPr>
                <w:rFonts w:hint="eastAsia" w:eastAsiaTheme="minorEastAsia"/>
                <w:kern w:val="0"/>
                <w:sz w:val="22"/>
                <w:szCs w:val="21"/>
                <w:lang w:eastAsia="en-US"/>
              </w:rPr>
              <w:t>8</w:t>
            </w:r>
          </w:p>
        </w:tc>
        <w:tc>
          <w:tcPr>
            <w:tcW w:w="989"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风机</w:t>
            </w:r>
          </w:p>
        </w:tc>
        <w:tc>
          <w:tcPr>
            <w:tcW w:w="51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2</w:t>
            </w:r>
          </w:p>
        </w:tc>
        <w:tc>
          <w:tcPr>
            <w:tcW w:w="765" w:type="pct"/>
            <w:vMerge w:val="continue"/>
            <w:vAlign w:val="center"/>
          </w:tcPr>
          <w:p>
            <w:pPr>
              <w:adjustRightInd w:val="0"/>
              <w:snapToGrid w:val="0"/>
              <w:jc w:val="center"/>
              <w:rPr>
                <w:rFonts w:ascii="Calibri" w:hAnsi="Calibri"/>
                <w:kern w:val="0"/>
                <w:sz w:val="22"/>
                <w:szCs w:val="22"/>
                <w:lang w:eastAsia="en-US"/>
              </w:rPr>
            </w:pPr>
          </w:p>
        </w:tc>
        <w:tc>
          <w:tcPr>
            <w:tcW w:w="68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80</w:t>
            </w:r>
          </w:p>
        </w:tc>
        <w:tc>
          <w:tcPr>
            <w:tcW w:w="1760" w:type="pct"/>
            <w:vMerge w:val="continue"/>
            <w:vAlign w:val="center"/>
          </w:tcPr>
          <w:p>
            <w:pPr>
              <w:adjustRightInd w:val="0"/>
              <w:snapToGrid w:val="0"/>
              <w:jc w:val="center"/>
              <w:rPr>
                <w:rFonts w:ascii="Calibri" w:hAnsi="Calibri"/>
                <w:kern w:val="0"/>
                <w:sz w:val="22"/>
                <w:szCs w:val="22"/>
                <w:lang w:eastAsia="en-US"/>
              </w:rPr>
            </w:pPr>
          </w:p>
        </w:tc>
      </w:tr>
    </w:tbl>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bookmarkStart w:id="103" w:name="_Toc518025846"/>
      <w:r>
        <w:rPr>
          <w:b/>
          <w:bCs/>
          <w:snapToGrid w:val="0"/>
          <w:sz w:val="28"/>
          <w:szCs w:val="28"/>
        </w:rPr>
        <w:t>运营期固废污染源分析</w:t>
      </w:r>
      <w:bookmarkEnd w:id="103"/>
    </w:p>
    <w:p>
      <w:pPr>
        <w:adjustRightInd w:val="0"/>
        <w:snapToGrid w:val="0"/>
        <w:spacing w:line="360" w:lineRule="auto"/>
        <w:ind w:firstLine="480" w:firstLineChars="200"/>
        <w:jc w:val="left"/>
        <w:rPr>
          <w:rFonts w:ascii="宋体" w:hAnsi="宋体"/>
          <w:kern w:val="0"/>
          <w:sz w:val="24"/>
          <w:szCs w:val="24"/>
        </w:rPr>
      </w:pPr>
      <w:r>
        <w:rPr>
          <w:rFonts w:ascii="宋体" w:hAnsi="宋体"/>
          <w:kern w:val="0"/>
          <w:sz w:val="24"/>
          <w:szCs w:val="24"/>
        </w:rPr>
        <w:t>本项目产生的固体废物主要是废包装材料、废机油以及生活垃圾。</w:t>
      </w:r>
    </w:p>
    <w:p>
      <w:pPr>
        <w:adjustRightInd w:val="0"/>
        <w:snapToGrid w:val="0"/>
        <w:spacing w:line="360" w:lineRule="auto"/>
        <w:ind w:firstLine="480" w:firstLineChars="200"/>
        <w:jc w:val="left"/>
        <w:rPr>
          <w:rFonts w:ascii="宋体" w:hAnsi="宋体"/>
          <w:kern w:val="0"/>
          <w:sz w:val="24"/>
          <w:szCs w:val="24"/>
        </w:rPr>
      </w:pPr>
      <w:r>
        <w:rPr>
          <w:rFonts w:hint="eastAsia" w:ascii="宋体" w:hAnsi="宋体"/>
          <w:kern w:val="0"/>
          <w:sz w:val="24"/>
          <w:szCs w:val="24"/>
        </w:rPr>
        <w:t>1、</w:t>
      </w:r>
      <w:r>
        <w:rPr>
          <w:rFonts w:ascii="宋体" w:hAnsi="宋体"/>
          <w:kern w:val="0"/>
          <w:sz w:val="24"/>
          <w:szCs w:val="24"/>
        </w:rPr>
        <w:t>废包装材料：</w:t>
      </w:r>
    </w:p>
    <w:p>
      <w:pPr>
        <w:adjustRightInd w:val="0"/>
        <w:snapToGrid w:val="0"/>
        <w:spacing w:line="360" w:lineRule="auto"/>
        <w:ind w:firstLine="480" w:firstLineChars="200"/>
        <w:rPr>
          <w:rFonts w:ascii="宋体" w:hAnsi="宋体"/>
          <w:kern w:val="0"/>
          <w:sz w:val="24"/>
          <w:szCs w:val="24"/>
        </w:rPr>
      </w:pPr>
      <w:r>
        <w:rPr>
          <w:rFonts w:ascii="宋体" w:hAnsi="宋体"/>
          <w:kern w:val="0"/>
          <w:sz w:val="24"/>
          <w:szCs w:val="24"/>
        </w:rPr>
        <w:t>填埋过程中会使用</w:t>
      </w:r>
      <w:r>
        <w:rPr>
          <w:rFonts w:ascii="宋体" w:hAnsi="宋体"/>
          <w:spacing w:val="-29"/>
          <w:kern w:val="0"/>
          <w:sz w:val="24"/>
          <w:szCs w:val="24"/>
        </w:rPr>
        <w:t xml:space="preserve"> </w:t>
      </w:r>
      <w:r>
        <w:rPr>
          <w:rFonts w:eastAsia="Times New Roman"/>
          <w:spacing w:val="-1"/>
          <w:kern w:val="0"/>
          <w:sz w:val="24"/>
          <w:szCs w:val="24"/>
        </w:rPr>
        <w:t>HDPE</w:t>
      </w:r>
      <w:r>
        <w:rPr>
          <w:rFonts w:eastAsia="Times New Roman"/>
          <w:spacing w:val="31"/>
          <w:kern w:val="0"/>
          <w:sz w:val="24"/>
          <w:szCs w:val="24"/>
        </w:rPr>
        <w:t xml:space="preserve"> </w:t>
      </w:r>
      <w:r>
        <w:rPr>
          <w:rFonts w:ascii="宋体" w:hAnsi="宋体"/>
          <w:kern w:val="0"/>
          <w:sz w:val="24"/>
          <w:szCs w:val="24"/>
        </w:rPr>
        <w:t>膜等材料进行中间覆盖，这些材料的使用会产生废包装材料，产生量约</w:t>
      </w:r>
      <w:r>
        <w:rPr>
          <w:rFonts w:ascii="宋体" w:hAnsi="宋体"/>
          <w:spacing w:val="-60"/>
          <w:kern w:val="0"/>
          <w:sz w:val="24"/>
          <w:szCs w:val="24"/>
        </w:rPr>
        <w:t xml:space="preserve"> </w:t>
      </w:r>
      <w:r>
        <w:rPr>
          <w:rFonts w:eastAsia="Times New Roman"/>
          <w:spacing w:val="-1"/>
          <w:kern w:val="0"/>
          <w:sz w:val="24"/>
          <w:szCs w:val="24"/>
        </w:rPr>
        <w:t>2t/a</w:t>
      </w:r>
      <w:r>
        <w:rPr>
          <w:rFonts w:hint="eastAsia" w:ascii="宋体" w:hAnsi="宋体"/>
          <w:spacing w:val="-1"/>
          <w:kern w:val="0"/>
          <w:sz w:val="24"/>
          <w:szCs w:val="24"/>
        </w:rPr>
        <w:t>，全部委托回收综合利用。</w:t>
      </w:r>
    </w:p>
    <w:p>
      <w:pPr>
        <w:adjustRightInd w:val="0"/>
        <w:snapToGrid w:val="0"/>
        <w:spacing w:line="360" w:lineRule="auto"/>
        <w:ind w:firstLine="480" w:firstLineChars="200"/>
        <w:rPr>
          <w:rFonts w:ascii="宋体" w:hAnsi="宋体"/>
          <w:kern w:val="0"/>
          <w:sz w:val="24"/>
          <w:szCs w:val="24"/>
        </w:rPr>
      </w:pPr>
      <w:r>
        <w:rPr>
          <w:rFonts w:hint="eastAsia" w:ascii="宋体" w:hAnsi="宋体"/>
          <w:kern w:val="0"/>
          <w:sz w:val="24"/>
          <w:szCs w:val="24"/>
        </w:rPr>
        <w:t>2、</w:t>
      </w:r>
      <w:r>
        <w:rPr>
          <w:rFonts w:ascii="宋体" w:hAnsi="宋体"/>
          <w:kern w:val="0"/>
          <w:sz w:val="24"/>
          <w:szCs w:val="24"/>
        </w:rPr>
        <w:t>生活垃圾：</w:t>
      </w:r>
    </w:p>
    <w:p>
      <w:pPr>
        <w:adjustRightInd w:val="0"/>
        <w:snapToGrid w:val="0"/>
        <w:spacing w:line="360" w:lineRule="auto"/>
        <w:ind w:firstLine="480" w:firstLineChars="200"/>
        <w:rPr>
          <w:rFonts w:ascii="Cambria Math" w:hAnsi="Cambria Math" w:cs="Cambria Math"/>
          <w:spacing w:val="2"/>
          <w:kern w:val="0"/>
          <w:sz w:val="24"/>
          <w:szCs w:val="24"/>
        </w:rPr>
      </w:pPr>
      <w:r>
        <w:rPr>
          <w:rFonts w:ascii="宋体" w:hAnsi="宋体"/>
          <w:kern w:val="0"/>
          <w:sz w:val="24"/>
          <w:szCs w:val="24"/>
        </w:rPr>
        <w:t>本项目定员</w:t>
      </w:r>
      <w:r>
        <w:rPr>
          <w:rFonts w:ascii="宋体" w:hAnsi="宋体"/>
          <w:spacing w:val="-53"/>
          <w:kern w:val="0"/>
          <w:sz w:val="24"/>
          <w:szCs w:val="24"/>
        </w:rPr>
        <w:t xml:space="preserve"> </w:t>
      </w:r>
      <w:r>
        <w:rPr>
          <w:rFonts w:eastAsia="Times New Roman"/>
          <w:kern w:val="0"/>
          <w:sz w:val="24"/>
          <w:szCs w:val="24"/>
        </w:rPr>
        <w:t>12</w:t>
      </w:r>
      <w:r>
        <w:rPr>
          <w:rFonts w:ascii="宋体" w:hAnsi="宋体"/>
          <w:kern w:val="0"/>
          <w:sz w:val="24"/>
          <w:szCs w:val="24"/>
        </w:rPr>
        <w:t>人，以生活垃圾产生量</w:t>
      </w:r>
      <w:r>
        <w:rPr>
          <w:rFonts w:ascii="宋体" w:hAnsi="宋体"/>
          <w:spacing w:val="-53"/>
          <w:kern w:val="0"/>
          <w:sz w:val="24"/>
          <w:szCs w:val="24"/>
        </w:rPr>
        <w:t xml:space="preserve"> </w:t>
      </w:r>
      <w:r>
        <w:rPr>
          <w:rFonts w:eastAsia="Times New Roman"/>
          <w:spacing w:val="-1"/>
          <w:kern w:val="0"/>
          <w:sz w:val="24"/>
          <w:szCs w:val="24"/>
        </w:rPr>
        <w:t>0.5kg/</w:t>
      </w:r>
      <w:r>
        <w:rPr>
          <w:rFonts w:ascii="宋体" w:hAnsi="宋体"/>
          <w:spacing w:val="-1"/>
          <w:kern w:val="0"/>
          <w:sz w:val="24"/>
          <w:szCs w:val="24"/>
        </w:rPr>
        <w:t>人天计，项目预计产</w:t>
      </w:r>
      <w:r>
        <w:rPr>
          <w:rFonts w:ascii="宋体" w:hAnsi="宋体"/>
          <w:kern w:val="0"/>
          <w:sz w:val="24"/>
          <w:szCs w:val="24"/>
        </w:rPr>
        <w:t>生生活垃圾</w:t>
      </w:r>
      <w:r>
        <w:rPr>
          <w:rFonts w:eastAsia="Times New Roman"/>
          <w:spacing w:val="-1"/>
          <w:kern w:val="0"/>
          <w:sz w:val="24"/>
          <w:szCs w:val="24"/>
        </w:rPr>
        <w:t>2.19t/a</w:t>
      </w:r>
      <w:r>
        <w:rPr>
          <w:rFonts w:ascii="宋体" w:hAnsi="宋体"/>
          <w:spacing w:val="-1"/>
          <w:kern w:val="0"/>
          <w:sz w:val="24"/>
          <w:szCs w:val="24"/>
        </w:rPr>
        <w:t>，</w:t>
      </w:r>
      <w:r>
        <w:rPr>
          <w:rFonts w:hint="eastAsia" w:ascii="宋体" w:hAnsi="宋体"/>
          <w:spacing w:val="-1"/>
          <w:kern w:val="0"/>
          <w:sz w:val="24"/>
          <w:szCs w:val="24"/>
        </w:rPr>
        <w:t>收集后</w:t>
      </w:r>
      <w:r>
        <w:rPr>
          <w:rFonts w:ascii="宋体" w:hAnsi="宋体"/>
          <w:spacing w:val="-1"/>
          <w:kern w:val="0"/>
          <w:sz w:val="24"/>
          <w:szCs w:val="24"/>
        </w:rPr>
        <w:t>交由</w:t>
      </w:r>
      <w:r>
        <w:rPr>
          <w:rFonts w:hint="eastAsia" w:ascii="宋体" w:hAnsi="宋体"/>
          <w:spacing w:val="-1"/>
          <w:kern w:val="0"/>
          <w:sz w:val="24"/>
          <w:szCs w:val="24"/>
        </w:rPr>
        <w:t>紧邻的生活垃圾焚烧发电项目焚烧处理</w:t>
      </w:r>
      <w:r>
        <w:rPr>
          <w:rFonts w:ascii="宋体" w:hAnsi="宋体"/>
          <w:spacing w:val="-1"/>
          <w:kern w:val="0"/>
          <w:sz w:val="24"/>
          <w:szCs w:val="24"/>
        </w:rPr>
        <w:t>。</w:t>
      </w:r>
    </w:p>
    <w:p>
      <w:pPr>
        <w:adjustRightInd w:val="0"/>
        <w:snapToGrid w:val="0"/>
        <w:spacing w:line="360" w:lineRule="auto"/>
        <w:ind w:firstLine="488" w:firstLineChars="200"/>
        <w:rPr>
          <w:rFonts w:ascii="宋体" w:hAnsi="宋体"/>
          <w:spacing w:val="2"/>
          <w:kern w:val="0"/>
          <w:sz w:val="24"/>
          <w:szCs w:val="24"/>
        </w:rPr>
      </w:pPr>
      <w:r>
        <w:rPr>
          <w:rFonts w:ascii="Cambria Math" w:hAnsi="Cambria Math" w:cs="Cambria Math"/>
          <w:spacing w:val="2"/>
          <w:kern w:val="0"/>
          <w:sz w:val="24"/>
          <w:szCs w:val="24"/>
        </w:rPr>
        <w:t>3</w:t>
      </w:r>
      <w:r>
        <w:rPr>
          <w:rFonts w:hint="eastAsia" w:ascii="Cambria Math" w:hAnsi="Cambria Math" w:cs="Cambria Math"/>
          <w:spacing w:val="2"/>
          <w:kern w:val="0"/>
          <w:sz w:val="24"/>
          <w:szCs w:val="24"/>
        </w:rPr>
        <w:t>、</w:t>
      </w:r>
      <w:r>
        <w:rPr>
          <w:rFonts w:ascii="宋体" w:hAnsi="宋体"/>
          <w:spacing w:val="2"/>
          <w:kern w:val="0"/>
          <w:sz w:val="24"/>
          <w:szCs w:val="24"/>
        </w:rPr>
        <w:t>废机油：</w:t>
      </w:r>
    </w:p>
    <w:p>
      <w:pPr>
        <w:adjustRightInd w:val="0"/>
        <w:snapToGrid w:val="0"/>
        <w:spacing w:line="360" w:lineRule="auto"/>
        <w:ind w:firstLine="488" w:firstLineChars="200"/>
        <w:rPr>
          <w:rFonts w:ascii="宋体" w:hAnsi="宋体"/>
          <w:kern w:val="0"/>
          <w:sz w:val="24"/>
          <w:szCs w:val="24"/>
        </w:rPr>
      </w:pPr>
      <w:r>
        <w:rPr>
          <w:rFonts w:ascii="宋体" w:hAnsi="宋体"/>
          <w:spacing w:val="2"/>
          <w:kern w:val="0"/>
          <w:sz w:val="24"/>
          <w:szCs w:val="24"/>
        </w:rPr>
        <w:t>机械维护过程中会使用机油</w:t>
      </w:r>
      <w:r>
        <w:rPr>
          <w:rFonts w:hint="eastAsia" w:ascii="宋体" w:hAnsi="宋体"/>
          <w:spacing w:val="2"/>
          <w:kern w:val="0"/>
          <w:sz w:val="24"/>
          <w:szCs w:val="24"/>
        </w:rPr>
        <w:t>，</w:t>
      </w:r>
      <w:r>
        <w:rPr>
          <w:rFonts w:ascii="宋体" w:hAnsi="宋体"/>
          <w:kern w:val="0"/>
          <w:sz w:val="24"/>
          <w:szCs w:val="24"/>
        </w:rPr>
        <w:t>需不定期更换，更换量为</w:t>
      </w:r>
      <w:r>
        <w:rPr>
          <w:rFonts w:ascii="宋体" w:hAnsi="宋体"/>
          <w:spacing w:val="4"/>
          <w:kern w:val="0"/>
          <w:sz w:val="24"/>
          <w:szCs w:val="24"/>
        </w:rPr>
        <w:t xml:space="preserve"> </w:t>
      </w:r>
      <w:r>
        <w:rPr>
          <w:rFonts w:eastAsia="Times New Roman"/>
          <w:kern w:val="0"/>
          <w:sz w:val="24"/>
          <w:szCs w:val="24"/>
        </w:rPr>
        <w:t>0.15t/a</w:t>
      </w:r>
      <w:r>
        <w:rPr>
          <w:rFonts w:ascii="宋体" w:hAnsi="宋体"/>
          <w:kern w:val="0"/>
          <w:sz w:val="24"/>
          <w:szCs w:val="24"/>
        </w:rPr>
        <w:t>。废机油为危险废物，类别代码为</w:t>
      </w:r>
      <w:r>
        <w:rPr>
          <w:rFonts w:ascii="宋体" w:hAnsi="宋体"/>
          <w:spacing w:val="-60"/>
          <w:kern w:val="0"/>
          <w:sz w:val="24"/>
          <w:szCs w:val="24"/>
        </w:rPr>
        <w:t xml:space="preserve"> </w:t>
      </w:r>
      <w:r>
        <w:rPr>
          <w:rFonts w:eastAsia="Times New Roman"/>
          <w:spacing w:val="-1"/>
          <w:kern w:val="0"/>
          <w:sz w:val="24"/>
          <w:szCs w:val="24"/>
        </w:rPr>
        <w:t>H</w:t>
      </w:r>
      <w:r>
        <w:rPr>
          <w:rFonts w:eastAsia="Times New Roman"/>
          <w:spacing w:val="1"/>
          <w:kern w:val="0"/>
          <w:sz w:val="24"/>
          <w:szCs w:val="24"/>
        </w:rPr>
        <w:t>W</w:t>
      </w:r>
      <w:r>
        <w:rPr>
          <w:rFonts w:eastAsia="Times New Roman"/>
          <w:kern w:val="0"/>
          <w:sz w:val="24"/>
          <w:szCs w:val="24"/>
        </w:rPr>
        <w:t>0</w:t>
      </w:r>
      <w:r>
        <w:rPr>
          <w:rFonts w:eastAsia="Times New Roman"/>
          <w:spacing w:val="-58"/>
          <w:kern w:val="0"/>
          <w:sz w:val="24"/>
          <w:szCs w:val="24"/>
        </w:rPr>
        <w:t>8</w:t>
      </w:r>
      <w:r>
        <w:rPr>
          <w:rFonts w:ascii="宋体" w:hAnsi="宋体"/>
          <w:kern w:val="0"/>
          <w:sz w:val="24"/>
          <w:szCs w:val="24"/>
        </w:rPr>
        <w:t>（</w:t>
      </w:r>
      <w:r>
        <w:rPr>
          <w:rFonts w:eastAsia="Times New Roman"/>
          <w:kern w:val="0"/>
          <w:sz w:val="24"/>
          <w:szCs w:val="24"/>
        </w:rPr>
        <w:t>900</w:t>
      </w:r>
      <w:r>
        <w:rPr>
          <w:rFonts w:eastAsia="Times New Roman"/>
          <w:spacing w:val="-1"/>
          <w:kern w:val="0"/>
          <w:sz w:val="24"/>
          <w:szCs w:val="24"/>
        </w:rPr>
        <w:t>-</w:t>
      </w:r>
      <w:r>
        <w:rPr>
          <w:rFonts w:eastAsia="Times New Roman"/>
          <w:kern w:val="0"/>
          <w:sz w:val="24"/>
          <w:szCs w:val="24"/>
        </w:rPr>
        <w:t>214</w:t>
      </w:r>
      <w:r>
        <w:rPr>
          <w:rFonts w:eastAsia="Times New Roman"/>
          <w:spacing w:val="-1"/>
          <w:kern w:val="0"/>
          <w:sz w:val="24"/>
          <w:szCs w:val="24"/>
        </w:rPr>
        <w:t>-</w:t>
      </w:r>
      <w:r>
        <w:rPr>
          <w:rFonts w:eastAsia="Times New Roman"/>
          <w:kern w:val="0"/>
          <w:sz w:val="24"/>
          <w:szCs w:val="24"/>
        </w:rPr>
        <w:t>08</w:t>
      </w:r>
      <w:r>
        <w:rPr>
          <w:rFonts w:ascii="宋体" w:hAnsi="宋体"/>
          <w:spacing w:val="-56"/>
          <w:kern w:val="0"/>
          <w:sz w:val="24"/>
          <w:szCs w:val="24"/>
        </w:rPr>
        <w:t>）</w:t>
      </w:r>
      <w:r>
        <w:rPr>
          <w:rFonts w:ascii="宋体" w:hAnsi="宋体"/>
          <w:spacing w:val="-58"/>
          <w:kern w:val="0"/>
          <w:sz w:val="24"/>
          <w:szCs w:val="24"/>
        </w:rPr>
        <w:t>，</w:t>
      </w:r>
      <w:r>
        <w:rPr>
          <w:rFonts w:ascii="宋体" w:hAnsi="宋体"/>
          <w:kern w:val="0"/>
          <w:sz w:val="24"/>
          <w:szCs w:val="24"/>
        </w:rPr>
        <w:t>收集后暂存至</w:t>
      </w:r>
      <w:r>
        <w:rPr>
          <w:rFonts w:hint="eastAsia" w:ascii="宋体" w:hAnsi="宋体"/>
          <w:kern w:val="0"/>
          <w:sz w:val="24"/>
          <w:szCs w:val="24"/>
        </w:rPr>
        <w:t>紧邻的围场生活垃圾焚烧厂</w:t>
      </w:r>
      <w:r>
        <w:rPr>
          <w:rFonts w:ascii="宋体" w:hAnsi="宋体"/>
          <w:kern w:val="0"/>
          <w:sz w:val="24"/>
          <w:szCs w:val="24"/>
        </w:rPr>
        <w:t>危险</w:t>
      </w:r>
      <w:r>
        <w:rPr>
          <w:rFonts w:ascii="宋体" w:hAnsi="宋体"/>
          <w:spacing w:val="2"/>
          <w:kern w:val="0"/>
          <w:sz w:val="24"/>
          <w:szCs w:val="24"/>
        </w:rPr>
        <w:t>废</w:t>
      </w:r>
      <w:r>
        <w:rPr>
          <w:rFonts w:ascii="宋体" w:hAnsi="宋体"/>
          <w:kern w:val="0"/>
          <w:sz w:val="24"/>
          <w:szCs w:val="24"/>
        </w:rPr>
        <w:t>物暂存库后委托有相关资质单位处理。</w:t>
      </w:r>
    </w:p>
    <w:p>
      <w:pPr>
        <w:adjustRightInd w:val="0"/>
        <w:snapToGrid w:val="0"/>
        <w:spacing w:line="360" w:lineRule="auto"/>
        <w:ind w:firstLine="480" w:firstLineChars="200"/>
        <w:rPr>
          <w:rFonts w:ascii="宋体" w:hAnsi="宋体"/>
          <w:kern w:val="0"/>
          <w:sz w:val="24"/>
          <w:szCs w:val="24"/>
        </w:rPr>
      </w:pPr>
      <w:r>
        <w:rPr>
          <w:rFonts w:hint="eastAsia" w:ascii="宋体" w:hAnsi="宋体"/>
          <w:kern w:val="0"/>
          <w:sz w:val="24"/>
          <w:szCs w:val="24"/>
        </w:rPr>
        <w:t>4、污水站污泥</w:t>
      </w:r>
    </w:p>
    <w:p>
      <w:pPr>
        <w:adjustRightInd w:val="0"/>
        <w:snapToGrid w:val="0"/>
        <w:spacing w:line="360" w:lineRule="auto"/>
        <w:ind w:firstLine="488" w:firstLineChars="200"/>
        <w:rPr>
          <w:spacing w:val="2"/>
          <w:kern w:val="0"/>
          <w:sz w:val="24"/>
          <w:szCs w:val="24"/>
        </w:rPr>
      </w:pPr>
      <w:r>
        <w:rPr>
          <w:spacing w:val="2"/>
          <w:kern w:val="0"/>
          <w:sz w:val="24"/>
          <w:szCs w:val="24"/>
        </w:rPr>
        <w:t>参考《集中式污染治理设施产排污系数手册》(2010 年修订)，渗滤液处理站污泥产生量按2.5kg/m</w:t>
      </w:r>
      <w:r>
        <w:rPr>
          <w:spacing w:val="2"/>
          <w:kern w:val="0"/>
          <w:sz w:val="24"/>
          <w:szCs w:val="24"/>
          <w:vertAlign w:val="superscript"/>
        </w:rPr>
        <w:t>3</w:t>
      </w:r>
      <w:r>
        <w:rPr>
          <w:spacing w:val="2"/>
          <w:kern w:val="0"/>
          <w:sz w:val="24"/>
          <w:szCs w:val="24"/>
        </w:rPr>
        <w:t xml:space="preserve"> 水计算，本项目废水量约30m</w:t>
      </w:r>
      <w:r>
        <w:rPr>
          <w:spacing w:val="2"/>
          <w:kern w:val="0"/>
          <w:sz w:val="24"/>
          <w:szCs w:val="24"/>
          <w:vertAlign w:val="superscript"/>
        </w:rPr>
        <w:t>3</w:t>
      </w:r>
      <w:r>
        <w:rPr>
          <w:spacing w:val="2"/>
          <w:kern w:val="0"/>
          <w:sz w:val="24"/>
          <w:szCs w:val="24"/>
        </w:rPr>
        <w:t>/d，则污泥产生量约0.075t/d，合计约</w:t>
      </w:r>
      <w:bookmarkStart w:id="104" w:name="_Hlk93593411"/>
      <w:r>
        <w:rPr>
          <w:spacing w:val="2"/>
          <w:kern w:val="0"/>
          <w:sz w:val="24"/>
          <w:szCs w:val="24"/>
        </w:rPr>
        <w:t>27.38t/a</w:t>
      </w:r>
      <w:bookmarkEnd w:id="104"/>
      <w:r>
        <w:rPr>
          <w:spacing w:val="2"/>
          <w:kern w:val="0"/>
          <w:sz w:val="24"/>
          <w:szCs w:val="24"/>
        </w:rPr>
        <w:t>。压滤后送至紧邻的围场生活垃圾焚烧厂焚烧处理。</w:t>
      </w:r>
    </w:p>
    <w:p>
      <w:pPr>
        <w:tabs>
          <w:tab w:val="left" w:pos="2693"/>
        </w:tabs>
        <w:spacing w:before="29"/>
        <w:ind w:left="1533"/>
        <w:jc w:val="left"/>
        <w:rPr>
          <w:rFonts w:ascii="黑体" w:hAnsi="黑体" w:eastAsia="黑体" w:cs="黑体"/>
          <w:kern w:val="0"/>
          <w:sz w:val="24"/>
          <w:szCs w:val="24"/>
        </w:rPr>
      </w:pPr>
      <w:r>
        <w:rPr>
          <w:rFonts w:ascii="黑体" w:hAnsi="黑体" w:eastAsia="黑体" w:cs="黑体"/>
          <w:kern w:val="0"/>
          <w:sz w:val="24"/>
          <w:szCs w:val="24"/>
        </w:rPr>
        <w:t>表</w:t>
      </w:r>
      <w:r>
        <w:rPr>
          <w:rFonts w:ascii="黑体" w:hAnsi="黑体" w:eastAsia="黑体" w:cs="黑体"/>
          <w:spacing w:val="-60"/>
          <w:kern w:val="0"/>
          <w:sz w:val="24"/>
          <w:szCs w:val="24"/>
        </w:rPr>
        <w:t xml:space="preserve"> </w:t>
      </w:r>
      <w:r>
        <w:rPr>
          <w:rFonts w:eastAsia="Times New Roman"/>
          <w:spacing w:val="-1"/>
          <w:kern w:val="0"/>
          <w:sz w:val="24"/>
          <w:szCs w:val="24"/>
        </w:rPr>
        <w:t>3.10-6</w:t>
      </w:r>
      <w:r>
        <w:rPr>
          <w:rFonts w:eastAsia="Times New Roman"/>
          <w:spacing w:val="-1"/>
          <w:kern w:val="0"/>
          <w:sz w:val="24"/>
          <w:szCs w:val="24"/>
        </w:rPr>
        <w:tab/>
      </w:r>
      <w:r>
        <w:rPr>
          <w:rFonts w:ascii="黑体" w:hAnsi="黑体" w:eastAsia="黑体" w:cs="黑体"/>
          <w:kern w:val="0"/>
          <w:sz w:val="24"/>
          <w:szCs w:val="24"/>
        </w:rPr>
        <w:t>本</w:t>
      </w:r>
      <w:r>
        <w:rPr>
          <w:rFonts w:hint="eastAsia" w:ascii="黑体" w:hAnsi="黑体" w:eastAsia="黑体" w:cs="黑体"/>
          <w:kern w:val="0"/>
          <w:sz w:val="24"/>
          <w:szCs w:val="24"/>
        </w:rPr>
        <w:t>项目</w:t>
      </w:r>
      <w:r>
        <w:rPr>
          <w:rFonts w:ascii="黑体" w:hAnsi="黑体" w:eastAsia="黑体" w:cs="黑体"/>
          <w:kern w:val="0"/>
          <w:sz w:val="24"/>
          <w:szCs w:val="24"/>
        </w:rPr>
        <w:t>营运期固体废物产生、处置情况汇总表</w:t>
      </w:r>
    </w:p>
    <w:tbl>
      <w:tblPr>
        <w:tblStyle w:val="40"/>
        <w:tblW w:w="5023"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77"/>
        <w:gridCol w:w="747"/>
        <w:gridCol w:w="704"/>
        <w:gridCol w:w="1014"/>
        <w:gridCol w:w="711"/>
        <w:gridCol w:w="849"/>
        <w:gridCol w:w="603"/>
        <w:gridCol w:w="776"/>
        <w:gridCol w:w="916"/>
        <w:gridCol w:w="846"/>
        <w:gridCol w:w="9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3" w:hRule="atLeast"/>
        </w:trPr>
        <w:tc>
          <w:tcPr>
            <w:tcW w:w="279" w:type="pct"/>
            <w:vAlign w:val="center"/>
          </w:tcPr>
          <w:p>
            <w:pPr>
              <w:adjustRightInd w:val="0"/>
              <w:snapToGrid w:val="0"/>
              <w:jc w:val="center"/>
              <w:rPr>
                <w:kern w:val="0"/>
                <w:szCs w:val="21"/>
              </w:rPr>
            </w:pPr>
            <w:r>
              <w:rPr>
                <w:kern w:val="0"/>
                <w:szCs w:val="21"/>
              </w:rPr>
              <w:t>序 号</w:t>
            </w:r>
          </w:p>
        </w:tc>
        <w:tc>
          <w:tcPr>
            <w:tcW w:w="436" w:type="pct"/>
            <w:vAlign w:val="center"/>
          </w:tcPr>
          <w:p>
            <w:pPr>
              <w:adjustRightInd w:val="0"/>
              <w:snapToGrid w:val="0"/>
              <w:jc w:val="center"/>
              <w:rPr>
                <w:kern w:val="0"/>
                <w:szCs w:val="21"/>
              </w:rPr>
            </w:pPr>
            <w:r>
              <w:rPr>
                <w:kern w:val="0"/>
                <w:szCs w:val="21"/>
              </w:rPr>
              <w:t>固废名称</w:t>
            </w:r>
          </w:p>
        </w:tc>
        <w:tc>
          <w:tcPr>
            <w:tcW w:w="411" w:type="pct"/>
            <w:vAlign w:val="center"/>
          </w:tcPr>
          <w:p>
            <w:pPr>
              <w:adjustRightInd w:val="0"/>
              <w:snapToGrid w:val="0"/>
              <w:jc w:val="center"/>
              <w:rPr>
                <w:kern w:val="0"/>
                <w:szCs w:val="21"/>
              </w:rPr>
            </w:pPr>
            <w:r>
              <w:rPr>
                <w:kern w:val="0"/>
                <w:szCs w:val="21"/>
              </w:rPr>
              <w:t>属性</w:t>
            </w:r>
          </w:p>
        </w:tc>
        <w:tc>
          <w:tcPr>
            <w:tcW w:w="592" w:type="pct"/>
            <w:vAlign w:val="center"/>
          </w:tcPr>
          <w:p>
            <w:pPr>
              <w:adjustRightInd w:val="0"/>
              <w:snapToGrid w:val="0"/>
              <w:jc w:val="center"/>
              <w:rPr>
                <w:kern w:val="0"/>
                <w:szCs w:val="21"/>
              </w:rPr>
            </w:pPr>
            <w:r>
              <w:rPr>
                <w:kern w:val="0"/>
                <w:szCs w:val="21"/>
              </w:rPr>
              <w:t>产生工序</w:t>
            </w:r>
          </w:p>
        </w:tc>
        <w:tc>
          <w:tcPr>
            <w:tcW w:w="415" w:type="pct"/>
            <w:vAlign w:val="center"/>
          </w:tcPr>
          <w:p>
            <w:pPr>
              <w:adjustRightInd w:val="0"/>
              <w:snapToGrid w:val="0"/>
              <w:jc w:val="center"/>
              <w:rPr>
                <w:kern w:val="0"/>
                <w:szCs w:val="21"/>
              </w:rPr>
            </w:pPr>
            <w:r>
              <w:rPr>
                <w:kern w:val="0"/>
                <w:szCs w:val="21"/>
              </w:rPr>
              <w:t>形态</w:t>
            </w:r>
          </w:p>
        </w:tc>
        <w:tc>
          <w:tcPr>
            <w:tcW w:w="496" w:type="pct"/>
            <w:vAlign w:val="center"/>
          </w:tcPr>
          <w:p>
            <w:pPr>
              <w:adjustRightInd w:val="0"/>
              <w:snapToGrid w:val="0"/>
              <w:jc w:val="center"/>
              <w:rPr>
                <w:kern w:val="0"/>
                <w:szCs w:val="21"/>
              </w:rPr>
            </w:pPr>
            <w:r>
              <w:rPr>
                <w:kern w:val="0"/>
                <w:szCs w:val="21"/>
              </w:rPr>
              <w:t>主要成分</w:t>
            </w:r>
          </w:p>
        </w:tc>
        <w:tc>
          <w:tcPr>
            <w:tcW w:w="352" w:type="pct"/>
            <w:vAlign w:val="center"/>
          </w:tcPr>
          <w:p>
            <w:pPr>
              <w:adjustRightInd w:val="0"/>
              <w:snapToGrid w:val="0"/>
              <w:jc w:val="center"/>
              <w:rPr>
                <w:kern w:val="0"/>
                <w:szCs w:val="21"/>
              </w:rPr>
            </w:pPr>
            <w:r>
              <w:rPr>
                <w:kern w:val="0"/>
                <w:szCs w:val="21"/>
              </w:rPr>
              <w:t>危险 特性</w:t>
            </w:r>
          </w:p>
        </w:tc>
        <w:tc>
          <w:tcPr>
            <w:tcW w:w="453" w:type="pct"/>
            <w:vAlign w:val="center"/>
          </w:tcPr>
          <w:p>
            <w:pPr>
              <w:adjustRightInd w:val="0"/>
              <w:snapToGrid w:val="0"/>
              <w:jc w:val="center"/>
              <w:rPr>
                <w:kern w:val="0"/>
                <w:szCs w:val="21"/>
              </w:rPr>
            </w:pPr>
            <w:r>
              <w:rPr>
                <w:kern w:val="0"/>
                <w:szCs w:val="21"/>
              </w:rPr>
              <w:t>废物类别</w:t>
            </w:r>
          </w:p>
        </w:tc>
        <w:tc>
          <w:tcPr>
            <w:tcW w:w="535" w:type="pct"/>
            <w:vAlign w:val="center"/>
          </w:tcPr>
          <w:p>
            <w:pPr>
              <w:adjustRightInd w:val="0"/>
              <w:snapToGrid w:val="0"/>
              <w:jc w:val="center"/>
              <w:rPr>
                <w:kern w:val="0"/>
                <w:szCs w:val="21"/>
              </w:rPr>
            </w:pPr>
            <w:r>
              <w:rPr>
                <w:kern w:val="0"/>
                <w:szCs w:val="21"/>
              </w:rPr>
              <w:t>废物代码</w:t>
            </w:r>
          </w:p>
        </w:tc>
        <w:tc>
          <w:tcPr>
            <w:tcW w:w="494" w:type="pct"/>
            <w:vAlign w:val="center"/>
          </w:tcPr>
          <w:p>
            <w:pPr>
              <w:adjustRightInd w:val="0"/>
              <w:snapToGrid w:val="0"/>
              <w:jc w:val="center"/>
              <w:rPr>
                <w:kern w:val="0"/>
                <w:szCs w:val="21"/>
              </w:rPr>
            </w:pPr>
            <w:r>
              <w:rPr>
                <w:kern w:val="0"/>
                <w:szCs w:val="21"/>
              </w:rPr>
              <w:t>产生量</w:t>
            </w:r>
          </w:p>
          <w:p>
            <w:pPr>
              <w:adjustRightInd w:val="0"/>
              <w:snapToGrid w:val="0"/>
              <w:jc w:val="center"/>
              <w:rPr>
                <w:kern w:val="0"/>
                <w:szCs w:val="21"/>
              </w:rPr>
            </w:pPr>
            <w:r>
              <w:rPr>
                <w:kern w:val="0"/>
                <w:szCs w:val="21"/>
              </w:rPr>
              <w:t>（t/a）</w:t>
            </w:r>
          </w:p>
        </w:tc>
        <w:tc>
          <w:tcPr>
            <w:tcW w:w="536" w:type="pct"/>
            <w:vAlign w:val="center"/>
          </w:tcPr>
          <w:p>
            <w:pPr>
              <w:adjustRightInd w:val="0"/>
              <w:snapToGrid w:val="0"/>
              <w:jc w:val="center"/>
              <w:rPr>
                <w:kern w:val="0"/>
                <w:szCs w:val="21"/>
              </w:rPr>
            </w:pPr>
            <w:r>
              <w:rPr>
                <w:kern w:val="0"/>
                <w:szCs w:val="21"/>
              </w:rPr>
              <w:t>处置方法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4" w:hRule="atLeast"/>
        </w:trPr>
        <w:tc>
          <w:tcPr>
            <w:tcW w:w="279" w:type="pct"/>
            <w:vAlign w:val="center"/>
          </w:tcPr>
          <w:p>
            <w:pPr>
              <w:adjustRightInd w:val="0"/>
              <w:snapToGrid w:val="0"/>
              <w:jc w:val="center"/>
              <w:rPr>
                <w:kern w:val="0"/>
                <w:szCs w:val="21"/>
              </w:rPr>
            </w:pPr>
            <w:r>
              <w:rPr>
                <w:kern w:val="0"/>
                <w:szCs w:val="21"/>
              </w:rPr>
              <w:t>1</w:t>
            </w:r>
          </w:p>
        </w:tc>
        <w:tc>
          <w:tcPr>
            <w:tcW w:w="436" w:type="pct"/>
            <w:vAlign w:val="center"/>
          </w:tcPr>
          <w:p>
            <w:pPr>
              <w:adjustRightInd w:val="0"/>
              <w:snapToGrid w:val="0"/>
              <w:jc w:val="center"/>
              <w:rPr>
                <w:kern w:val="0"/>
                <w:szCs w:val="21"/>
              </w:rPr>
            </w:pPr>
            <w:r>
              <w:rPr>
                <w:kern w:val="0"/>
                <w:szCs w:val="21"/>
              </w:rPr>
              <w:t>废机油</w:t>
            </w:r>
          </w:p>
        </w:tc>
        <w:tc>
          <w:tcPr>
            <w:tcW w:w="411" w:type="pct"/>
            <w:vAlign w:val="center"/>
          </w:tcPr>
          <w:p>
            <w:pPr>
              <w:adjustRightInd w:val="0"/>
              <w:snapToGrid w:val="0"/>
              <w:jc w:val="center"/>
              <w:rPr>
                <w:kern w:val="0"/>
                <w:szCs w:val="21"/>
              </w:rPr>
            </w:pPr>
            <w:r>
              <w:rPr>
                <w:kern w:val="0"/>
                <w:szCs w:val="21"/>
              </w:rPr>
              <w:t>危险废物</w:t>
            </w:r>
          </w:p>
        </w:tc>
        <w:tc>
          <w:tcPr>
            <w:tcW w:w="592" w:type="pct"/>
            <w:vAlign w:val="center"/>
          </w:tcPr>
          <w:p>
            <w:pPr>
              <w:adjustRightInd w:val="0"/>
              <w:snapToGrid w:val="0"/>
              <w:jc w:val="center"/>
              <w:rPr>
                <w:kern w:val="0"/>
                <w:szCs w:val="21"/>
              </w:rPr>
            </w:pPr>
            <w:r>
              <w:rPr>
                <w:kern w:val="0"/>
                <w:szCs w:val="21"/>
              </w:rPr>
              <w:t>设备检修、维护</w:t>
            </w:r>
          </w:p>
        </w:tc>
        <w:tc>
          <w:tcPr>
            <w:tcW w:w="415" w:type="pct"/>
            <w:vAlign w:val="center"/>
          </w:tcPr>
          <w:p>
            <w:pPr>
              <w:adjustRightInd w:val="0"/>
              <w:snapToGrid w:val="0"/>
              <w:jc w:val="center"/>
              <w:rPr>
                <w:kern w:val="0"/>
                <w:szCs w:val="21"/>
              </w:rPr>
            </w:pPr>
            <w:r>
              <w:rPr>
                <w:kern w:val="0"/>
                <w:szCs w:val="21"/>
              </w:rPr>
              <w:t>液态</w:t>
            </w:r>
          </w:p>
        </w:tc>
        <w:tc>
          <w:tcPr>
            <w:tcW w:w="496" w:type="pct"/>
            <w:vAlign w:val="center"/>
          </w:tcPr>
          <w:p>
            <w:pPr>
              <w:adjustRightInd w:val="0"/>
              <w:snapToGrid w:val="0"/>
              <w:jc w:val="center"/>
              <w:rPr>
                <w:kern w:val="0"/>
                <w:szCs w:val="21"/>
              </w:rPr>
            </w:pPr>
            <w:r>
              <w:rPr>
                <w:rFonts w:hint="eastAsia"/>
                <w:kern w:val="0"/>
                <w:szCs w:val="21"/>
              </w:rPr>
              <w:t>废矿物油</w:t>
            </w:r>
          </w:p>
        </w:tc>
        <w:tc>
          <w:tcPr>
            <w:tcW w:w="352" w:type="pct"/>
            <w:vAlign w:val="center"/>
          </w:tcPr>
          <w:p>
            <w:pPr>
              <w:adjustRightInd w:val="0"/>
              <w:snapToGrid w:val="0"/>
              <w:jc w:val="center"/>
              <w:rPr>
                <w:kern w:val="0"/>
                <w:szCs w:val="21"/>
              </w:rPr>
            </w:pPr>
            <w:r>
              <w:rPr>
                <w:kern w:val="0"/>
                <w:szCs w:val="21"/>
              </w:rPr>
              <w:t>T，I</w:t>
            </w:r>
          </w:p>
        </w:tc>
        <w:tc>
          <w:tcPr>
            <w:tcW w:w="453" w:type="pct"/>
            <w:vAlign w:val="center"/>
          </w:tcPr>
          <w:p>
            <w:pPr>
              <w:adjustRightInd w:val="0"/>
              <w:snapToGrid w:val="0"/>
              <w:jc w:val="center"/>
              <w:rPr>
                <w:kern w:val="0"/>
                <w:szCs w:val="21"/>
              </w:rPr>
            </w:pPr>
            <w:r>
              <w:rPr>
                <w:kern w:val="0"/>
                <w:szCs w:val="21"/>
              </w:rPr>
              <w:t>HW08</w:t>
            </w:r>
          </w:p>
        </w:tc>
        <w:tc>
          <w:tcPr>
            <w:tcW w:w="535" w:type="pct"/>
            <w:vAlign w:val="center"/>
          </w:tcPr>
          <w:p>
            <w:pPr>
              <w:adjustRightInd w:val="0"/>
              <w:snapToGrid w:val="0"/>
              <w:jc w:val="center"/>
              <w:rPr>
                <w:kern w:val="0"/>
                <w:szCs w:val="21"/>
              </w:rPr>
            </w:pPr>
            <w:r>
              <w:rPr>
                <w:kern w:val="0"/>
                <w:szCs w:val="21"/>
              </w:rPr>
              <w:t>900-249</w:t>
            </w:r>
          </w:p>
          <w:p>
            <w:pPr>
              <w:adjustRightInd w:val="0"/>
              <w:snapToGrid w:val="0"/>
              <w:jc w:val="center"/>
              <w:rPr>
                <w:kern w:val="0"/>
                <w:szCs w:val="21"/>
              </w:rPr>
            </w:pPr>
            <w:r>
              <w:rPr>
                <w:kern w:val="0"/>
                <w:szCs w:val="21"/>
              </w:rPr>
              <w:t>-08</w:t>
            </w:r>
          </w:p>
        </w:tc>
        <w:tc>
          <w:tcPr>
            <w:tcW w:w="494" w:type="pct"/>
            <w:vAlign w:val="center"/>
          </w:tcPr>
          <w:p>
            <w:pPr>
              <w:adjustRightInd w:val="0"/>
              <w:snapToGrid w:val="0"/>
              <w:jc w:val="center"/>
              <w:rPr>
                <w:kern w:val="0"/>
                <w:szCs w:val="21"/>
              </w:rPr>
            </w:pPr>
            <w:r>
              <w:rPr>
                <w:kern w:val="0"/>
                <w:szCs w:val="21"/>
              </w:rPr>
              <w:t>0.15</w:t>
            </w:r>
          </w:p>
        </w:tc>
        <w:tc>
          <w:tcPr>
            <w:tcW w:w="536" w:type="pct"/>
            <w:vAlign w:val="center"/>
          </w:tcPr>
          <w:p>
            <w:pPr>
              <w:adjustRightInd w:val="0"/>
              <w:snapToGrid w:val="0"/>
              <w:jc w:val="center"/>
              <w:rPr>
                <w:kern w:val="0"/>
                <w:szCs w:val="21"/>
              </w:rPr>
            </w:pPr>
            <w:r>
              <w:rPr>
                <w:kern w:val="0"/>
                <w:szCs w:val="21"/>
              </w:rPr>
              <w:t>委托有资质单位处置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1" w:hRule="atLeast"/>
        </w:trPr>
        <w:tc>
          <w:tcPr>
            <w:tcW w:w="279" w:type="pct"/>
            <w:vAlign w:val="center"/>
          </w:tcPr>
          <w:p>
            <w:pPr>
              <w:adjustRightInd w:val="0"/>
              <w:snapToGrid w:val="0"/>
              <w:jc w:val="center"/>
              <w:rPr>
                <w:kern w:val="0"/>
                <w:szCs w:val="21"/>
              </w:rPr>
            </w:pPr>
            <w:r>
              <w:rPr>
                <w:kern w:val="0"/>
                <w:szCs w:val="21"/>
              </w:rPr>
              <w:t>2</w:t>
            </w:r>
          </w:p>
        </w:tc>
        <w:tc>
          <w:tcPr>
            <w:tcW w:w="436" w:type="pct"/>
            <w:vAlign w:val="center"/>
          </w:tcPr>
          <w:p>
            <w:pPr>
              <w:adjustRightInd w:val="0"/>
              <w:snapToGrid w:val="0"/>
              <w:jc w:val="center"/>
              <w:rPr>
                <w:kern w:val="0"/>
                <w:szCs w:val="21"/>
              </w:rPr>
            </w:pPr>
            <w:r>
              <w:rPr>
                <w:kern w:val="0"/>
                <w:szCs w:val="21"/>
              </w:rPr>
              <w:t>废包装</w:t>
            </w:r>
          </w:p>
        </w:tc>
        <w:tc>
          <w:tcPr>
            <w:tcW w:w="411" w:type="pct"/>
            <w:vAlign w:val="center"/>
          </w:tcPr>
          <w:p>
            <w:pPr>
              <w:adjustRightInd w:val="0"/>
              <w:snapToGrid w:val="0"/>
              <w:jc w:val="center"/>
              <w:rPr>
                <w:kern w:val="0"/>
                <w:szCs w:val="21"/>
              </w:rPr>
            </w:pPr>
            <w:r>
              <w:rPr>
                <w:kern w:val="0"/>
                <w:szCs w:val="21"/>
              </w:rPr>
              <w:t>一般工业固废</w:t>
            </w:r>
          </w:p>
        </w:tc>
        <w:tc>
          <w:tcPr>
            <w:tcW w:w="592" w:type="pct"/>
            <w:vAlign w:val="center"/>
          </w:tcPr>
          <w:p>
            <w:pPr>
              <w:adjustRightInd w:val="0"/>
              <w:snapToGrid w:val="0"/>
              <w:jc w:val="center"/>
              <w:rPr>
                <w:kern w:val="0"/>
                <w:szCs w:val="21"/>
              </w:rPr>
            </w:pPr>
            <w:r>
              <w:rPr>
                <w:kern w:val="0"/>
                <w:szCs w:val="21"/>
              </w:rPr>
              <w:t>填埋作业</w:t>
            </w:r>
          </w:p>
        </w:tc>
        <w:tc>
          <w:tcPr>
            <w:tcW w:w="415" w:type="pct"/>
            <w:vAlign w:val="center"/>
          </w:tcPr>
          <w:p>
            <w:pPr>
              <w:adjustRightInd w:val="0"/>
              <w:snapToGrid w:val="0"/>
              <w:jc w:val="center"/>
              <w:rPr>
                <w:kern w:val="0"/>
                <w:szCs w:val="21"/>
              </w:rPr>
            </w:pPr>
            <w:r>
              <w:rPr>
                <w:kern w:val="0"/>
                <w:szCs w:val="21"/>
              </w:rPr>
              <w:t>固态</w:t>
            </w:r>
          </w:p>
        </w:tc>
        <w:tc>
          <w:tcPr>
            <w:tcW w:w="496" w:type="pct"/>
            <w:vAlign w:val="center"/>
          </w:tcPr>
          <w:p>
            <w:pPr>
              <w:adjustRightInd w:val="0"/>
              <w:snapToGrid w:val="0"/>
              <w:jc w:val="center"/>
              <w:rPr>
                <w:kern w:val="0"/>
                <w:szCs w:val="21"/>
              </w:rPr>
            </w:pPr>
            <w:r>
              <w:rPr>
                <w:kern w:val="0"/>
                <w:szCs w:val="21"/>
              </w:rPr>
              <w:t>塑料、废 纸等</w:t>
            </w:r>
          </w:p>
        </w:tc>
        <w:tc>
          <w:tcPr>
            <w:tcW w:w="352" w:type="pct"/>
            <w:vAlign w:val="center"/>
          </w:tcPr>
          <w:p>
            <w:pPr>
              <w:adjustRightInd w:val="0"/>
              <w:snapToGrid w:val="0"/>
              <w:jc w:val="center"/>
              <w:rPr>
                <w:kern w:val="0"/>
                <w:szCs w:val="21"/>
              </w:rPr>
            </w:pPr>
            <w:r>
              <w:rPr>
                <w:kern w:val="0"/>
                <w:szCs w:val="21"/>
              </w:rPr>
              <w:t>/</w:t>
            </w:r>
          </w:p>
        </w:tc>
        <w:tc>
          <w:tcPr>
            <w:tcW w:w="453" w:type="pct"/>
            <w:vAlign w:val="center"/>
          </w:tcPr>
          <w:p>
            <w:pPr>
              <w:adjustRightInd w:val="0"/>
              <w:snapToGrid w:val="0"/>
              <w:jc w:val="center"/>
              <w:rPr>
                <w:kern w:val="0"/>
                <w:szCs w:val="21"/>
              </w:rPr>
            </w:pPr>
            <w:r>
              <w:rPr>
                <w:kern w:val="0"/>
                <w:szCs w:val="21"/>
              </w:rPr>
              <w:t>/</w:t>
            </w:r>
          </w:p>
        </w:tc>
        <w:tc>
          <w:tcPr>
            <w:tcW w:w="535" w:type="pct"/>
            <w:vAlign w:val="center"/>
          </w:tcPr>
          <w:p>
            <w:pPr>
              <w:adjustRightInd w:val="0"/>
              <w:snapToGrid w:val="0"/>
              <w:jc w:val="center"/>
              <w:rPr>
                <w:kern w:val="0"/>
                <w:szCs w:val="21"/>
              </w:rPr>
            </w:pPr>
            <w:r>
              <w:rPr>
                <w:kern w:val="0"/>
                <w:szCs w:val="21"/>
              </w:rPr>
              <w:t>/</w:t>
            </w:r>
          </w:p>
        </w:tc>
        <w:tc>
          <w:tcPr>
            <w:tcW w:w="494" w:type="pct"/>
            <w:vAlign w:val="center"/>
          </w:tcPr>
          <w:p>
            <w:pPr>
              <w:adjustRightInd w:val="0"/>
              <w:snapToGrid w:val="0"/>
              <w:jc w:val="center"/>
              <w:rPr>
                <w:kern w:val="0"/>
                <w:szCs w:val="21"/>
              </w:rPr>
            </w:pPr>
            <w:r>
              <w:rPr>
                <w:rFonts w:hint="eastAsia"/>
                <w:kern w:val="0"/>
                <w:szCs w:val="21"/>
              </w:rPr>
              <w:t>2</w:t>
            </w:r>
          </w:p>
        </w:tc>
        <w:tc>
          <w:tcPr>
            <w:tcW w:w="536" w:type="pct"/>
            <w:vAlign w:val="center"/>
          </w:tcPr>
          <w:p>
            <w:pPr>
              <w:adjustRightInd w:val="0"/>
              <w:snapToGrid w:val="0"/>
              <w:jc w:val="center"/>
              <w:rPr>
                <w:kern w:val="0"/>
                <w:szCs w:val="21"/>
              </w:rPr>
            </w:pPr>
            <w:r>
              <w:rPr>
                <w:kern w:val="0"/>
                <w:szCs w:val="21"/>
              </w:rPr>
              <w:t>委托回收综合利用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06" w:hRule="atLeast"/>
        </w:trPr>
        <w:tc>
          <w:tcPr>
            <w:tcW w:w="279" w:type="pct"/>
            <w:vAlign w:val="center"/>
          </w:tcPr>
          <w:p>
            <w:pPr>
              <w:adjustRightInd w:val="0"/>
              <w:snapToGrid w:val="0"/>
              <w:jc w:val="center"/>
              <w:rPr>
                <w:kern w:val="0"/>
                <w:szCs w:val="21"/>
              </w:rPr>
            </w:pPr>
            <w:r>
              <w:rPr>
                <w:kern w:val="0"/>
                <w:szCs w:val="21"/>
              </w:rPr>
              <w:t>3</w:t>
            </w:r>
          </w:p>
        </w:tc>
        <w:tc>
          <w:tcPr>
            <w:tcW w:w="436" w:type="pct"/>
            <w:vAlign w:val="center"/>
          </w:tcPr>
          <w:p>
            <w:pPr>
              <w:adjustRightInd w:val="0"/>
              <w:snapToGrid w:val="0"/>
              <w:jc w:val="center"/>
              <w:rPr>
                <w:kern w:val="0"/>
                <w:szCs w:val="21"/>
              </w:rPr>
            </w:pPr>
            <w:r>
              <w:rPr>
                <w:kern w:val="0"/>
                <w:szCs w:val="21"/>
              </w:rPr>
              <w:t>生活垃圾</w:t>
            </w:r>
          </w:p>
        </w:tc>
        <w:tc>
          <w:tcPr>
            <w:tcW w:w="411" w:type="pct"/>
            <w:vAlign w:val="center"/>
          </w:tcPr>
          <w:p>
            <w:pPr>
              <w:adjustRightInd w:val="0"/>
              <w:snapToGrid w:val="0"/>
              <w:jc w:val="center"/>
              <w:rPr>
                <w:kern w:val="0"/>
                <w:szCs w:val="21"/>
              </w:rPr>
            </w:pPr>
            <w:r>
              <w:rPr>
                <w:kern w:val="0"/>
                <w:szCs w:val="21"/>
              </w:rPr>
              <w:t>/</w:t>
            </w:r>
          </w:p>
        </w:tc>
        <w:tc>
          <w:tcPr>
            <w:tcW w:w="592" w:type="pct"/>
            <w:vAlign w:val="center"/>
          </w:tcPr>
          <w:p>
            <w:pPr>
              <w:adjustRightInd w:val="0"/>
              <w:snapToGrid w:val="0"/>
              <w:jc w:val="center"/>
              <w:rPr>
                <w:kern w:val="0"/>
                <w:szCs w:val="21"/>
              </w:rPr>
            </w:pPr>
            <w:r>
              <w:rPr>
                <w:kern w:val="0"/>
                <w:szCs w:val="21"/>
              </w:rPr>
              <w:t>办公、生活</w:t>
            </w:r>
          </w:p>
        </w:tc>
        <w:tc>
          <w:tcPr>
            <w:tcW w:w="415" w:type="pct"/>
            <w:vAlign w:val="center"/>
          </w:tcPr>
          <w:p>
            <w:pPr>
              <w:adjustRightInd w:val="0"/>
              <w:snapToGrid w:val="0"/>
              <w:jc w:val="center"/>
              <w:rPr>
                <w:kern w:val="0"/>
                <w:szCs w:val="21"/>
              </w:rPr>
            </w:pPr>
            <w:r>
              <w:rPr>
                <w:kern w:val="0"/>
                <w:szCs w:val="21"/>
              </w:rPr>
              <w:t>固态</w:t>
            </w:r>
          </w:p>
        </w:tc>
        <w:tc>
          <w:tcPr>
            <w:tcW w:w="496" w:type="pct"/>
            <w:vAlign w:val="center"/>
          </w:tcPr>
          <w:p>
            <w:pPr>
              <w:adjustRightInd w:val="0"/>
              <w:snapToGrid w:val="0"/>
              <w:jc w:val="center"/>
              <w:rPr>
                <w:kern w:val="0"/>
                <w:szCs w:val="21"/>
              </w:rPr>
            </w:pPr>
            <w:r>
              <w:rPr>
                <w:kern w:val="0"/>
                <w:szCs w:val="21"/>
              </w:rPr>
              <w:t>食品废物、纸、 纺织物等</w:t>
            </w:r>
          </w:p>
        </w:tc>
        <w:tc>
          <w:tcPr>
            <w:tcW w:w="352" w:type="pct"/>
            <w:vAlign w:val="center"/>
          </w:tcPr>
          <w:p>
            <w:pPr>
              <w:adjustRightInd w:val="0"/>
              <w:snapToGrid w:val="0"/>
              <w:jc w:val="center"/>
              <w:rPr>
                <w:kern w:val="0"/>
                <w:szCs w:val="21"/>
              </w:rPr>
            </w:pPr>
            <w:r>
              <w:rPr>
                <w:kern w:val="0"/>
                <w:szCs w:val="21"/>
              </w:rPr>
              <w:t>/</w:t>
            </w:r>
          </w:p>
        </w:tc>
        <w:tc>
          <w:tcPr>
            <w:tcW w:w="453" w:type="pct"/>
            <w:vAlign w:val="center"/>
          </w:tcPr>
          <w:p>
            <w:pPr>
              <w:adjustRightInd w:val="0"/>
              <w:snapToGrid w:val="0"/>
              <w:jc w:val="center"/>
              <w:rPr>
                <w:kern w:val="0"/>
                <w:szCs w:val="21"/>
              </w:rPr>
            </w:pPr>
            <w:r>
              <w:rPr>
                <w:kern w:val="0"/>
                <w:szCs w:val="21"/>
              </w:rPr>
              <w:t>/</w:t>
            </w:r>
          </w:p>
        </w:tc>
        <w:tc>
          <w:tcPr>
            <w:tcW w:w="535" w:type="pct"/>
            <w:vAlign w:val="center"/>
          </w:tcPr>
          <w:p>
            <w:pPr>
              <w:adjustRightInd w:val="0"/>
              <w:snapToGrid w:val="0"/>
              <w:jc w:val="center"/>
              <w:rPr>
                <w:kern w:val="0"/>
                <w:szCs w:val="21"/>
              </w:rPr>
            </w:pPr>
            <w:r>
              <w:rPr>
                <w:kern w:val="0"/>
                <w:szCs w:val="21"/>
              </w:rPr>
              <w:t>/</w:t>
            </w:r>
          </w:p>
        </w:tc>
        <w:tc>
          <w:tcPr>
            <w:tcW w:w="494" w:type="pct"/>
            <w:vAlign w:val="center"/>
          </w:tcPr>
          <w:p>
            <w:pPr>
              <w:adjustRightInd w:val="0"/>
              <w:snapToGrid w:val="0"/>
              <w:jc w:val="center"/>
              <w:rPr>
                <w:kern w:val="0"/>
                <w:szCs w:val="21"/>
              </w:rPr>
            </w:pPr>
            <w:r>
              <w:rPr>
                <w:rFonts w:hint="eastAsia"/>
                <w:kern w:val="0"/>
                <w:szCs w:val="21"/>
              </w:rPr>
              <w:t>2</w:t>
            </w:r>
            <w:r>
              <w:rPr>
                <w:kern w:val="0"/>
                <w:szCs w:val="21"/>
              </w:rPr>
              <w:t>.19</w:t>
            </w:r>
          </w:p>
        </w:tc>
        <w:tc>
          <w:tcPr>
            <w:tcW w:w="536" w:type="pct"/>
            <w:vMerge w:val="restart"/>
            <w:vAlign w:val="center"/>
          </w:tcPr>
          <w:p>
            <w:pPr>
              <w:adjustRightInd w:val="0"/>
              <w:snapToGrid w:val="0"/>
              <w:jc w:val="center"/>
              <w:rPr>
                <w:kern w:val="0"/>
                <w:szCs w:val="21"/>
              </w:rPr>
            </w:pPr>
            <w:r>
              <w:rPr>
                <w:rFonts w:hint="eastAsia"/>
                <w:kern w:val="0"/>
                <w:szCs w:val="21"/>
              </w:rPr>
              <w:t>送围场垃圾焚烧项目焚烧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1" w:hRule="atLeast"/>
        </w:trPr>
        <w:tc>
          <w:tcPr>
            <w:tcW w:w="279" w:type="pct"/>
            <w:vAlign w:val="center"/>
          </w:tcPr>
          <w:p>
            <w:pPr>
              <w:adjustRightInd w:val="0"/>
              <w:snapToGrid w:val="0"/>
              <w:jc w:val="center"/>
              <w:rPr>
                <w:kern w:val="0"/>
                <w:szCs w:val="21"/>
              </w:rPr>
            </w:pPr>
            <w:r>
              <w:rPr>
                <w:rFonts w:hint="eastAsia"/>
                <w:kern w:val="0"/>
                <w:szCs w:val="21"/>
              </w:rPr>
              <w:t>4</w:t>
            </w:r>
          </w:p>
        </w:tc>
        <w:tc>
          <w:tcPr>
            <w:tcW w:w="436" w:type="pct"/>
            <w:vAlign w:val="center"/>
          </w:tcPr>
          <w:p>
            <w:pPr>
              <w:adjustRightInd w:val="0"/>
              <w:snapToGrid w:val="0"/>
              <w:jc w:val="center"/>
              <w:rPr>
                <w:kern w:val="0"/>
                <w:szCs w:val="21"/>
              </w:rPr>
            </w:pPr>
            <w:r>
              <w:rPr>
                <w:rFonts w:hint="eastAsia"/>
                <w:kern w:val="0"/>
                <w:szCs w:val="21"/>
              </w:rPr>
              <w:t>污泥</w:t>
            </w:r>
          </w:p>
        </w:tc>
        <w:tc>
          <w:tcPr>
            <w:tcW w:w="411" w:type="pct"/>
            <w:vAlign w:val="center"/>
          </w:tcPr>
          <w:p>
            <w:pPr>
              <w:adjustRightInd w:val="0"/>
              <w:snapToGrid w:val="0"/>
              <w:jc w:val="center"/>
              <w:rPr>
                <w:kern w:val="0"/>
                <w:szCs w:val="21"/>
              </w:rPr>
            </w:pPr>
            <w:r>
              <w:rPr>
                <w:kern w:val="0"/>
                <w:szCs w:val="21"/>
              </w:rPr>
              <w:t>一般工业固废</w:t>
            </w:r>
          </w:p>
        </w:tc>
        <w:tc>
          <w:tcPr>
            <w:tcW w:w="592" w:type="pct"/>
            <w:vAlign w:val="center"/>
          </w:tcPr>
          <w:p>
            <w:pPr>
              <w:adjustRightInd w:val="0"/>
              <w:snapToGrid w:val="0"/>
              <w:jc w:val="center"/>
              <w:rPr>
                <w:kern w:val="0"/>
                <w:szCs w:val="21"/>
              </w:rPr>
            </w:pPr>
            <w:r>
              <w:rPr>
                <w:rFonts w:hint="eastAsia"/>
                <w:kern w:val="0"/>
                <w:szCs w:val="21"/>
              </w:rPr>
              <w:t>污水处理</w:t>
            </w:r>
          </w:p>
        </w:tc>
        <w:tc>
          <w:tcPr>
            <w:tcW w:w="415" w:type="pct"/>
            <w:vAlign w:val="center"/>
          </w:tcPr>
          <w:p>
            <w:pPr>
              <w:adjustRightInd w:val="0"/>
              <w:snapToGrid w:val="0"/>
              <w:jc w:val="center"/>
              <w:rPr>
                <w:kern w:val="0"/>
                <w:szCs w:val="21"/>
              </w:rPr>
            </w:pPr>
            <w:r>
              <w:rPr>
                <w:kern w:val="0"/>
                <w:szCs w:val="21"/>
              </w:rPr>
              <w:t>固态</w:t>
            </w:r>
          </w:p>
        </w:tc>
        <w:tc>
          <w:tcPr>
            <w:tcW w:w="496" w:type="pct"/>
            <w:vAlign w:val="center"/>
          </w:tcPr>
          <w:p>
            <w:pPr>
              <w:adjustRightInd w:val="0"/>
              <w:snapToGrid w:val="0"/>
              <w:jc w:val="center"/>
              <w:rPr>
                <w:kern w:val="0"/>
                <w:szCs w:val="21"/>
              </w:rPr>
            </w:pPr>
            <w:r>
              <w:rPr>
                <w:rFonts w:hint="eastAsia"/>
                <w:kern w:val="0"/>
                <w:szCs w:val="21"/>
              </w:rPr>
              <w:t>污泥</w:t>
            </w:r>
          </w:p>
        </w:tc>
        <w:tc>
          <w:tcPr>
            <w:tcW w:w="352" w:type="pct"/>
            <w:vAlign w:val="center"/>
          </w:tcPr>
          <w:p>
            <w:pPr>
              <w:adjustRightInd w:val="0"/>
              <w:snapToGrid w:val="0"/>
              <w:jc w:val="center"/>
              <w:rPr>
                <w:kern w:val="0"/>
                <w:szCs w:val="21"/>
              </w:rPr>
            </w:pPr>
            <w:r>
              <w:rPr>
                <w:rFonts w:hint="eastAsia"/>
                <w:kern w:val="0"/>
                <w:szCs w:val="21"/>
              </w:rPr>
              <w:t>/</w:t>
            </w:r>
          </w:p>
        </w:tc>
        <w:tc>
          <w:tcPr>
            <w:tcW w:w="453" w:type="pct"/>
            <w:vAlign w:val="center"/>
          </w:tcPr>
          <w:p>
            <w:pPr>
              <w:adjustRightInd w:val="0"/>
              <w:snapToGrid w:val="0"/>
              <w:jc w:val="center"/>
              <w:rPr>
                <w:kern w:val="0"/>
                <w:szCs w:val="21"/>
              </w:rPr>
            </w:pPr>
            <w:r>
              <w:rPr>
                <w:rFonts w:hint="eastAsia"/>
                <w:kern w:val="0"/>
                <w:szCs w:val="21"/>
              </w:rPr>
              <w:t>/</w:t>
            </w:r>
          </w:p>
        </w:tc>
        <w:tc>
          <w:tcPr>
            <w:tcW w:w="535" w:type="pct"/>
            <w:vAlign w:val="center"/>
          </w:tcPr>
          <w:p>
            <w:pPr>
              <w:adjustRightInd w:val="0"/>
              <w:snapToGrid w:val="0"/>
              <w:jc w:val="center"/>
              <w:rPr>
                <w:kern w:val="0"/>
                <w:szCs w:val="21"/>
              </w:rPr>
            </w:pPr>
            <w:r>
              <w:rPr>
                <w:rFonts w:hint="eastAsia"/>
                <w:kern w:val="0"/>
                <w:szCs w:val="21"/>
              </w:rPr>
              <w:t>/</w:t>
            </w:r>
          </w:p>
        </w:tc>
        <w:tc>
          <w:tcPr>
            <w:tcW w:w="494" w:type="pct"/>
            <w:vAlign w:val="center"/>
          </w:tcPr>
          <w:p>
            <w:pPr>
              <w:adjustRightInd w:val="0"/>
              <w:snapToGrid w:val="0"/>
              <w:jc w:val="center"/>
              <w:rPr>
                <w:kern w:val="0"/>
                <w:szCs w:val="21"/>
              </w:rPr>
            </w:pPr>
            <w:r>
              <w:rPr>
                <w:kern w:val="0"/>
                <w:szCs w:val="21"/>
              </w:rPr>
              <w:t>27.38</w:t>
            </w:r>
          </w:p>
        </w:tc>
        <w:tc>
          <w:tcPr>
            <w:tcW w:w="536" w:type="pct"/>
            <w:vMerge w:val="continue"/>
            <w:vAlign w:val="center"/>
          </w:tcPr>
          <w:p>
            <w:pPr>
              <w:adjustRightInd w:val="0"/>
              <w:snapToGrid w:val="0"/>
              <w:jc w:val="center"/>
              <w:rPr>
                <w:kern w:val="0"/>
                <w:szCs w:val="21"/>
              </w:rPr>
            </w:pPr>
          </w:p>
        </w:tc>
      </w:tr>
    </w:tbl>
    <w:p/>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r>
        <w:rPr>
          <w:b/>
          <w:bCs/>
          <w:snapToGrid w:val="0"/>
          <w:sz w:val="28"/>
          <w:szCs w:val="28"/>
        </w:rPr>
        <w:t>非正常工况污染源分析</w:t>
      </w:r>
    </w:p>
    <w:p>
      <w:pPr>
        <w:pStyle w:val="20"/>
        <w:adjustRightInd w:val="0"/>
        <w:snapToGrid w:val="0"/>
        <w:spacing w:line="360" w:lineRule="auto"/>
        <w:ind w:firstLine="480" w:firstLineChars="200"/>
        <w:rPr>
          <w:bCs/>
          <w:sz w:val="24"/>
          <w:szCs w:val="24"/>
        </w:rPr>
      </w:pPr>
      <w:r>
        <w:rPr>
          <w:bCs/>
          <w:sz w:val="24"/>
          <w:szCs w:val="24"/>
        </w:rPr>
        <w:t>本项目废气产生量较小，非正常排放主要为废水，废水非正常排放有两种情况，一种为渗滤液调节池防渗材料破坏，对地下水造成影响，具体见地下水预测章节，一种为渗滤液处理设施故障，无法及时处理废水，发生故障时，调节池可储存日最大降雨量产生的渗滤液，不会发生渗滤液不经处理外排的情况。</w:t>
      </w:r>
    </w:p>
    <w:p>
      <w:pPr>
        <w:keepNext/>
        <w:keepLines/>
        <w:numPr>
          <w:ilvl w:val="2"/>
          <w:numId w:val="5"/>
        </w:numPr>
        <w:tabs>
          <w:tab w:val="left" w:pos="432"/>
          <w:tab w:val="left" w:pos="567"/>
          <w:tab w:val="left" w:pos="709"/>
          <w:tab w:val="clear" w:pos="1163"/>
        </w:tabs>
        <w:adjustRightInd w:val="0"/>
        <w:snapToGrid w:val="0"/>
        <w:spacing w:before="120" w:beforeLines="50" w:after="120" w:afterLines="50" w:line="360" w:lineRule="auto"/>
        <w:ind w:left="0" w:firstLine="0"/>
        <w:jc w:val="left"/>
        <w:outlineLvl w:val="2"/>
        <w:rPr>
          <w:b/>
          <w:bCs/>
          <w:snapToGrid w:val="0"/>
          <w:sz w:val="28"/>
          <w:szCs w:val="28"/>
        </w:rPr>
      </w:pPr>
      <w:r>
        <w:rPr>
          <w:rFonts w:hint="eastAsia"/>
          <w:b/>
          <w:bCs/>
          <w:snapToGrid w:val="0"/>
          <w:sz w:val="28"/>
          <w:szCs w:val="28"/>
        </w:rPr>
        <w:t>封场期污染源分析</w:t>
      </w:r>
    </w:p>
    <w:p>
      <w:pPr>
        <w:pStyle w:val="20"/>
        <w:adjustRightInd w:val="0"/>
        <w:snapToGrid w:val="0"/>
        <w:spacing w:after="0" w:line="360" w:lineRule="auto"/>
        <w:ind w:firstLine="480" w:firstLineChars="200"/>
        <w:rPr>
          <w:bCs/>
          <w:sz w:val="24"/>
          <w:szCs w:val="24"/>
        </w:rPr>
      </w:pPr>
      <w:r>
        <w:rPr>
          <w:rFonts w:hint="eastAsia"/>
          <w:bCs/>
          <w:sz w:val="24"/>
          <w:szCs w:val="24"/>
        </w:rPr>
        <w:t>本项目服务期满填埋场封场后，渗滤液排量将减少，封场后本项目污染物产生 情况如下：</w:t>
      </w:r>
    </w:p>
    <w:p>
      <w:pPr>
        <w:pStyle w:val="20"/>
        <w:adjustRightInd w:val="0"/>
        <w:snapToGrid w:val="0"/>
        <w:spacing w:after="0" w:line="360" w:lineRule="auto"/>
        <w:ind w:firstLine="480" w:firstLineChars="200"/>
        <w:rPr>
          <w:bCs/>
          <w:sz w:val="24"/>
          <w:szCs w:val="24"/>
        </w:rPr>
      </w:pPr>
      <w:r>
        <w:rPr>
          <w:rFonts w:hint="eastAsia" w:ascii="Cambria Math" w:hAnsi="Cambria Math" w:cs="Cambria Math"/>
          <w:bCs/>
          <w:sz w:val="24"/>
          <w:szCs w:val="24"/>
        </w:rPr>
        <w:t>（1）</w:t>
      </w:r>
      <w:r>
        <w:rPr>
          <w:rFonts w:hint="eastAsia" w:ascii="宋体" w:hAnsi="宋体" w:cs="宋体"/>
          <w:bCs/>
          <w:sz w:val="24"/>
          <w:szCs w:val="24"/>
        </w:rPr>
        <w:t>废水：</w:t>
      </w:r>
      <w:r>
        <w:rPr>
          <w:rFonts w:hint="eastAsia"/>
          <w:bCs/>
          <w:sz w:val="24"/>
          <w:szCs w:val="24"/>
        </w:rPr>
        <w:t>填埋场产生的渗滤液水质，封场期与运营期有较大变化，封场后渗滤液处理系统仍要保持正常运行，定期进行监测。</w:t>
      </w:r>
    </w:p>
    <w:p>
      <w:pPr>
        <w:pStyle w:val="20"/>
        <w:adjustRightInd w:val="0"/>
        <w:snapToGrid w:val="0"/>
        <w:spacing w:after="0" w:line="360" w:lineRule="auto"/>
        <w:ind w:firstLine="480" w:firstLineChars="200"/>
        <w:rPr>
          <w:bCs/>
          <w:sz w:val="24"/>
          <w:szCs w:val="24"/>
        </w:rPr>
      </w:pPr>
      <w:r>
        <w:rPr>
          <w:rFonts w:hint="eastAsia" w:ascii="Cambria Math" w:hAnsi="Cambria Math" w:cs="Cambria Math"/>
          <w:bCs/>
          <w:sz w:val="24"/>
          <w:szCs w:val="24"/>
        </w:rPr>
        <w:t>（2）</w:t>
      </w:r>
      <w:r>
        <w:rPr>
          <w:rFonts w:hint="eastAsia" w:ascii="宋体" w:hAnsi="宋体" w:cs="宋体"/>
          <w:bCs/>
          <w:sz w:val="24"/>
          <w:szCs w:val="24"/>
        </w:rPr>
        <w:t>废气：封场后废气污染物排放量更少，运行期无组织排放污染物全部削减。</w:t>
      </w:r>
      <w:r>
        <w:rPr>
          <w:bCs/>
          <w:sz w:val="24"/>
          <w:szCs w:val="24"/>
        </w:rPr>
        <w:t xml:space="preserve"> </w:t>
      </w:r>
      <w:r>
        <w:rPr>
          <w:rFonts w:hint="eastAsia"/>
          <w:bCs/>
          <w:sz w:val="24"/>
          <w:szCs w:val="24"/>
        </w:rPr>
        <w:t>因此，填埋场封场后，仍需保持污水处理站正常运转。此外，终场后的全面绿化将</w:t>
      </w:r>
      <w:r>
        <w:rPr>
          <w:bCs/>
          <w:sz w:val="24"/>
          <w:szCs w:val="24"/>
        </w:rPr>
        <w:t xml:space="preserve"> </w:t>
      </w:r>
      <w:r>
        <w:rPr>
          <w:rFonts w:hint="eastAsia"/>
          <w:bCs/>
          <w:sz w:val="24"/>
          <w:szCs w:val="24"/>
        </w:rPr>
        <w:t>使区域生态环境逐渐得到改善。</w:t>
      </w:r>
    </w:p>
    <w:p>
      <w:pPr>
        <w:pStyle w:val="61"/>
        <w:numPr>
          <w:ilvl w:val="1"/>
          <w:numId w:val="5"/>
        </w:numPr>
        <w:tabs>
          <w:tab w:val="left" w:pos="567"/>
          <w:tab w:val="clear" w:pos="432"/>
        </w:tabs>
        <w:spacing w:before="120" w:after="120"/>
        <w:ind w:left="0" w:firstLine="0"/>
        <w:rPr>
          <w:rFonts w:ascii="Times New Roman" w:hAnsi="Times New Roman"/>
        </w:rPr>
      </w:pPr>
      <w:bookmarkStart w:id="105" w:name="_Toc94101216"/>
      <w:bookmarkStart w:id="106" w:name="_Toc518025848"/>
      <w:r>
        <w:rPr>
          <w:rFonts w:ascii="Times New Roman" w:hAnsi="Times New Roman"/>
        </w:rPr>
        <w:t>污染源排放情况汇总</w:t>
      </w:r>
      <w:bookmarkEnd w:id="105"/>
      <w:bookmarkEnd w:id="106"/>
    </w:p>
    <w:p>
      <w:pPr>
        <w:spacing w:line="360" w:lineRule="auto"/>
        <w:ind w:firstLine="480" w:firstLineChars="200"/>
        <w:rPr>
          <w:sz w:val="24"/>
        </w:rPr>
      </w:pPr>
      <w:r>
        <w:rPr>
          <w:sz w:val="24"/>
        </w:rPr>
        <w:t>本项目污染物总量情况详见表3.11-</w:t>
      </w:r>
      <w:r>
        <w:rPr>
          <w:rFonts w:hint="eastAsia"/>
          <w:sz w:val="24"/>
        </w:rPr>
        <w:t>1</w:t>
      </w:r>
      <w:r>
        <w:rPr>
          <w:sz w:val="24"/>
        </w:rPr>
        <w:t>。</w:t>
      </w:r>
    </w:p>
    <w:p>
      <w:pPr>
        <w:spacing w:line="360" w:lineRule="auto"/>
        <w:jc w:val="center"/>
        <w:rPr>
          <w:b/>
          <w:sz w:val="24"/>
        </w:rPr>
      </w:pPr>
      <w:r>
        <w:rPr>
          <w:b/>
          <w:sz w:val="24"/>
        </w:rPr>
        <w:t>表3.11-1  本项目污染物排放总量汇总表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52"/>
        <w:gridCol w:w="1414"/>
        <w:gridCol w:w="1414"/>
        <w:gridCol w:w="1414"/>
        <w:gridCol w:w="1414"/>
        <w:gridCol w:w="14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Align w:val="center"/>
          </w:tcPr>
          <w:p>
            <w:pPr>
              <w:jc w:val="center"/>
              <w:rPr>
                <w:rFonts w:eastAsiaTheme="minorEastAsia"/>
                <w:kern w:val="0"/>
                <w:szCs w:val="21"/>
              </w:rPr>
            </w:pPr>
            <w:r>
              <w:rPr>
                <w:rFonts w:eastAsiaTheme="minorEastAsia"/>
                <w:kern w:val="0"/>
                <w:szCs w:val="21"/>
              </w:rPr>
              <w:t>项目</w:t>
            </w:r>
          </w:p>
        </w:tc>
        <w:tc>
          <w:tcPr>
            <w:tcW w:w="1414" w:type="dxa"/>
            <w:shd w:val="clear" w:color="auto" w:fill="auto"/>
            <w:vAlign w:val="center"/>
          </w:tcPr>
          <w:p>
            <w:pPr>
              <w:jc w:val="center"/>
              <w:rPr>
                <w:rFonts w:eastAsiaTheme="minorEastAsia"/>
                <w:kern w:val="0"/>
                <w:szCs w:val="21"/>
              </w:rPr>
            </w:pPr>
            <w:r>
              <w:rPr>
                <w:rFonts w:eastAsiaTheme="minorEastAsia"/>
                <w:kern w:val="0"/>
                <w:szCs w:val="21"/>
              </w:rPr>
              <w:t>污染物名称</w:t>
            </w:r>
          </w:p>
        </w:tc>
        <w:tc>
          <w:tcPr>
            <w:tcW w:w="1414" w:type="dxa"/>
            <w:shd w:val="clear" w:color="auto" w:fill="auto"/>
            <w:vAlign w:val="center"/>
          </w:tcPr>
          <w:p>
            <w:pPr>
              <w:jc w:val="center"/>
              <w:rPr>
                <w:rFonts w:eastAsiaTheme="minorEastAsia"/>
                <w:kern w:val="0"/>
                <w:szCs w:val="21"/>
              </w:rPr>
            </w:pPr>
            <w:r>
              <w:rPr>
                <w:rFonts w:eastAsiaTheme="minorEastAsia"/>
                <w:kern w:val="0"/>
                <w:szCs w:val="21"/>
              </w:rPr>
              <w:t>产生量t/a</w:t>
            </w:r>
          </w:p>
        </w:tc>
        <w:tc>
          <w:tcPr>
            <w:tcW w:w="1414" w:type="dxa"/>
            <w:shd w:val="clear" w:color="auto" w:fill="auto"/>
            <w:vAlign w:val="center"/>
          </w:tcPr>
          <w:p>
            <w:pPr>
              <w:jc w:val="center"/>
              <w:rPr>
                <w:rFonts w:eastAsiaTheme="minorEastAsia"/>
                <w:kern w:val="0"/>
                <w:szCs w:val="21"/>
              </w:rPr>
            </w:pPr>
            <w:r>
              <w:rPr>
                <w:rFonts w:eastAsiaTheme="minorEastAsia"/>
                <w:kern w:val="0"/>
                <w:szCs w:val="21"/>
              </w:rPr>
              <w:t>削减量t/a</w:t>
            </w:r>
          </w:p>
        </w:tc>
        <w:tc>
          <w:tcPr>
            <w:tcW w:w="1414" w:type="dxa"/>
            <w:shd w:val="clear" w:color="auto" w:fill="auto"/>
            <w:vAlign w:val="center"/>
          </w:tcPr>
          <w:p>
            <w:pPr>
              <w:jc w:val="center"/>
              <w:rPr>
                <w:rFonts w:eastAsiaTheme="minorEastAsia"/>
                <w:kern w:val="0"/>
                <w:szCs w:val="21"/>
              </w:rPr>
            </w:pPr>
            <w:r>
              <w:rPr>
                <w:rFonts w:eastAsiaTheme="minorEastAsia"/>
                <w:kern w:val="0"/>
                <w:szCs w:val="21"/>
              </w:rPr>
              <w:t>排放量t/a</w:t>
            </w:r>
          </w:p>
        </w:tc>
        <w:tc>
          <w:tcPr>
            <w:tcW w:w="1414" w:type="dxa"/>
            <w:vAlign w:val="center"/>
          </w:tcPr>
          <w:p>
            <w:pPr>
              <w:jc w:val="center"/>
              <w:rPr>
                <w:rFonts w:eastAsiaTheme="minorEastAsia"/>
                <w:kern w:val="0"/>
                <w:szCs w:val="21"/>
              </w:rPr>
            </w:pPr>
            <w:r>
              <w:rPr>
                <w:rFonts w:eastAsiaTheme="minorEastAsia"/>
                <w:kern w:val="0"/>
                <w:szCs w:val="21"/>
              </w:rPr>
              <w:t>削减率%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Align w:val="center"/>
          </w:tcPr>
          <w:p>
            <w:pPr>
              <w:jc w:val="center"/>
              <w:rPr>
                <w:rFonts w:eastAsiaTheme="minorEastAsia"/>
                <w:kern w:val="0"/>
                <w:szCs w:val="21"/>
              </w:rPr>
            </w:pPr>
            <w:r>
              <w:rPr>
                <w:rFonts w:eastAsiaTheme="minorEastAsia"/>
                <w:kern w:val="0"/>
                <w:szCs w:val="21"/>
              </w:rPr>
              <w:t>废气</w:t>
            </w:r>
          </w:p>
        </w:tc>
        <w:tc>
          <w:tcPr>
            <w:tcW w:w="1414" w:type="dxa"/>
            <w:vAlign w:val="center"/>
          </w:tcPr>
          <w:p>
            <w:pPr>
              <w:jc w:val="center"/>
              <w:rPr>
                <w:rFonts w:eastAsiaTheme="minorEastAsia"/>
                <w:kern w:val="0"/>
                <w:szCs w:val="21"/>
              </w:rPr>
            </w:pPr>
            <w:r>
              <w:rPr>
                <w:rFonts w:eastAsiaTheme="minorEastAsia"/>
                <w:kern w:val="0"/>
                <w:szCs w:val="21"/>
              </w:rPr>
              <w:t>颗粒物</w:t>
            </w:r>
          </w:p>
        </w:tc>
        <w:tc>
          <w:tcPr>
            <w:tcW w:w="1414" w:type="dxa"/>
            <w:shd w:val="clear" w:color="auto" w:fill="auto"/>
            <w:vAlign w:val="center"/>
          </w:tcPr>
          <w:p>
            <w:pPr>
              <w:jc w:val="center"/>
              <w:rPr>
                <w:rFonts w:eastAsiaTheme="minorEastAsia"/>
                <w:kern w:val="0"/>
                <w:szCs w:val="21"/>
              </w:rPr>
            </w:pPr>
            <w:r>
              <w:rPr>
                <w:rFonts w:eastAsia="等线"/>
                <w:szCs w:val="21"/>
              </w:rPr>
              <w:t>0.1131</w:t>
            </w:r>
          </w:p>
        </w:tc>
        <w:tc>
          <w:tcPr>
            <w:tcW w:w="1414" w:type="dxa"/>
            <w:shd w:val="clear" w:color="auto" w:fill="auto"/>
            <w:vAlign w:val="center"/>
          </w:tcPr>
          <w:p>
            <w:pPr>
              <w:jc w:val="center"/>
              <w:rPr>
                <w:rFonts w:eastAsiaTheme="minorEastAsia"/>
                <w:kern w:val="0"/>
                <w:szCs w:val="21"/>
              </w:rPr>
            </w:pPr>
            <w:r>
              <w:rPr>
                <w:rFonts w:eastAsia="等线"/>
                <w:szCs w:val="21"/>
              </w:rPr>
              <w:t>0.05688</w:t>
            </w:r>
          </w:p>
        </w:tc>
        <w:tc>
          <w:tcPr>
            <w:tcW w:w="1414" w:type="dxa"/>
            <w:shd w:val="clear" w:color="auto" w:fill="auto"/>
            <w:vAlign w:val="center"/>
          </w:tcPr>
          <w:p>
            <w:pPr>
              <w:jc w:val="center"/>
              <w:rPr>
                <w:rFonts w:eastAsiaTheme="minorEastAsia"/>
                <w:kern w:val="0"/>
                <w:szCs w:val="21"/>
              </w:rPr>
            </w:pPr>
            <w:r>
              <w:rPr>
                <w:rFonts w:eastAsia="等线"/>
                <w:szCs w:val="21"/>
              </w:rPr>
              <w:t>0.05622</w:t>
            </w:r>
          </w:p>
        </w:tc>
        <w:tc>
          <w:tcPr>
            <w:tcW w:w="1414" w:type="dxa"/>
            <w:shd w:val="clear" w:color="auto" w:fill="auto"/>
            <w:vAlign w:val="center"/>
          </w:tcPr>
          <w:p>
            <w:pPr>
              <w:jc w:val="center"/>
              <w:rPr>
                <w:rFonts w:eastAsiaTheme="minorEastAsia"/>
                <w:kern w:val="0"/>
                <w:szCs w:val="21"/>
              </w:rPr>
            </w:pPr>
            <w:r>
              <w:rPr>
                <w:rFonts w:eastAsia="等线"/>
                <w:szCs w:val="21"/>
              </w:rPr>
              <w:t>50.29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restart"/>
            <w:vAlign w:val="center"/>
          </w:tcPr>
          <w:p>
            <w:pPr>
              <w:jc w:val="center"/>
              <w:rPr>
                <w:rFonts w:eastAsiaTheme="minorEastAsia"/>
                <w:kern w:val="0"/>
                <w:szCs w:val="21"/>
              </w:rPr>
            </w:pPr>
            <w:r>
              <w:rPr>
                <w:rFonts w:eastAsiaTheme="minorEastAsia"/>
                <w:kern w:val="0"/>
                <w:szCs w:val="21"/>
              </w:rPr>
              <w:t>综合废水</w:t>
            </w:r>
          </w:p>
        </w:tc>
        <w:tc>
          <w:tcPr>
            <w:tcW w:w="1414" w:type="dxa"/>
            <w:vAlign w:val="center"/>
          </w:tcPr>
          <w:p>
            <w:pPr>
              <w:jc w:val="center"/>
              <w:rPr>
                <w:rFonts w:eastAsiaTheme="minorEastAsia"/>
                <w:kern w:val="0"/>
                <w:szCs w:val="21"/>
              </w:rPr>
            </w:pPr>
            <w:r>
              <w:rPr>
                <w:rFonts w:eastAsiaTheme="minorEastAsia"/>
                <w:kern w:val="0"/>
                <w:szCs w:val="21"/>
              </w:rPr>
              <w:t>废水量</w:t>
            </w:r>
          </w:p>
        </w:tc>
        <w:tc>
          <w:tcPr>
            <w:tcW w:w="1414" w:type="dxa"/>
            <w:shd w:val="clear" w:color="auto" w:fill="auto"/>
            <w:vAlign w:val="center"/>
          </w:tcPr>
          <w:p>
            <w:pPr>
              <w:jc w:val="center"/>
              <w:rPr>
                <w:rFonts w:eastAsiaTheme="minorEastAsia"/>
                <w:kern w:val="0"/>
                <w:szCs w:val="21"/>
              </w:rPr>
            </w:pPr>
            <w:r>
              <w:rPr>
                <w:rFonts w:eastAsia="等线"/>
                <w:szCs w:val="21"/>
              </w:rPr>
              <w:t>7566.45</w:t>
            </w:r>
          </w:p>
        </w:tc>
        <w:tc>
          <w:tcPr>
            <w:tcW w:w="1414" w:type="dxa"/>
            <w:shd w:val="clear" w:color="auto" w:fill="auto"/>
            <w:vAlign w:val="center"/>
          </w:tcPr>
          <w:p>
            <w:pPr>
              <w:jc w:val="center"/>
              <w:rPr>
                <w:rFonts w:eastAsiaTheme="minorEastAsia"/>
                <w:kern w:val="0"/>
                <w:szCs w:val="21"/>
              </w:rPr>
            </w:pPr>
            <w:r>
              <w:rPr>
                <w:rFonts w:eastAsia="等线"/>
                <w:szCs w:val="21"/>
              </w:rPr>
              <w:t>7566.45</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kern w:val="0"/>
                <w:szCs w:val="21"/>
              </w:rPr>
            </w:pPr>
            <w:r>
              <w:rPr>
                <w:rFonts w:eastAsiaTheme="minorEastAsia"/>
                <w:kern w:val="0"/>
                <w:szCs w:val="21"/>
              </w:rPr>
              <w:t>COD</w:t>
            </w:r>
          </w:p>
        </w:tc>
        <w:tc>
          <w:tcPr>
            <w:tcW w:w="1414" w:type="dxa"/>
            <w:shd w:val="clear" w:color="auto" w:fill="auto"/>
            <w:vAlign w:val="center"/>
          </w:tcPr>
          <w:p>
            <w:pPr>
              <w:jc w:val="center"/>
              <w:rPr>
                <w:rFonts w:eastAsiaTheme="minorEastAsia"/>
                <w:kern w:val="0"/>
                <w:szCs w:val="21"/>
              </w:rPr>
            </w:pPr>
            <w:r>
              <w:rPr>
                <w:rFonts w:eastAsia="等线"/>
                <w:sz w:val="20"/>
              </w:rPr>
              <w:t>4.543</w:t>
            </w:r>
          </w:p>
        </w:tc>
        <w:tc>
          <w:tcPr>
            <w:tcW w:w="1414" w:type="dxa"/>
            <w:shd w:val="clear" w:color="auto" w:fill="auto"/>
            <w:vAlign w:val="center"/>
          </w:tcPr>
          <w:p>
            <w:pPr>
              <w:jc w:val="center"/>
              <w:rPr>
                <w:rFonts w:eastAsiaTheme="minorEastAsia"/>
                <w:kern w:val="0"/>
                <w:szCs w:val="21"/>
              </w:rPr>
            </w:pPr>
            <w:r>
              <w:rPr>
                <w:rFonts w:eastAsia="等线"/>
                <w:szCs w:val="21"/>
              </w:rPr>
              <w:t>4.543</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氨氮</w:t>
            </w:r>
          </w:p>
        </w:tc>
        <w:tc>
          <w:tcPr>
            <w:tcW w:w="1414" w:type="dxa"/>
            <w:shd w:val="clear" w:color="auto" w:fill="auto"/>
            <w:vAlign w:val="center"/>
          </w:tcPr>
          <w:p>
            <w:pPr>
              <w:jc w:val="center"/>
              <w:rPr>
                <w:rFonts w:eastAsiaTheme="minorEastAsia"/>
                <w:kern w:val="0"/>
                <w:szCs w:val="21"/>
              </w:rPr>
            </w:pPr>
            <w:r>
              <w:rPr>
                <w:rFonts w:eastAsia="等线"/>
                <w:sz w:val="20"/>
              </w:rPr>
              <w:t>0.241</w:t>
            </w:r>
          </w:p>
        </w:tc>
        <w:tc>
          <w:tcPr>
            <w:tcW w:w="1414" w:type="dxa"/>
            <w:shd w:val="clear" w:color="auto" w:fill="auto"/>
            <w:vAlign w:val="center"/>
          </w:tcPr>
          <w:p>
            <w:pPr>
              <w:jc w:val="center"/>
              <w:rPr>
                <w:rFonts w:eastAsiaTheme="minorEastAsia"/>
                <w:kern w:val="0"/>
                <w:szCs w:val="21"/>
              </w:rPr>
            </w:pPr>
            <w:r>
              <w:rPr>
                <w:rFonts w:eastAsia="等线"/>
                <w:szCs w:val="21"/>
              </w:rPr>
              <w:t>0.241</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SS</w:t>
            </w:r>
          </w:p>
        </w:tc>
        <w:tc>
          <w:tcPr>
            <w:tcW w:w="1414" w:type="dxa"/>
            <w:shd w:val="clear" w:color="auto" w:fill="auto"/>
            <w:vAlign w:val="center"/>
          </w:tcPr>
          <w:p>
            <w:pPr>
              <w:jc w:val="center"/>
              <w:rPr>
                <w:rFonts w:eastAsiaTheme="minorEastAsia"/>
                <w:kern w:val="0"/>
                <w:szCs w:val="21"/>
              </w:rPr>
            </w:pPr>
            <w:r>
              <w:rPr>
                <w:rFonts w:eastAsia="等线"/>
                <w:sz w:val="20"/>
              </w:rPr>
              <w:t>3.062</w:t>
            </w:r>
          </w:p>
        </w:tc>
        <w:tc>
          <w:tcPr>
            <w:tcW w:w="1414" w:type="dxa"/>
            <w:shd w:val="clear" w:color="auto" w:fill="auto"/>
            <w:vAlign w:val="center"/>
          </w:tcPr>
          <w:p>
            <w:pPr>
              <w:jc w:val="center"/>
              <w:rPr>
                <w:rFonts w:eastAsiaTheme="minorEastAsia"/>
                <w:kern w:val="0"/>
                <w:szCs w:val="21"/>
              </w:rPr>
            </w:pPr>
            <w:r>
              <w:rPr>
                <w:rFonts w:eastAsia="等线"/>
                <w:szCs w:val="21"/>
              </w:rPr>
              <w:t>3.062</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汞</w:t>
            </w:r>
          </w:p>
        </w:tc>
        <w:tc>
          <w:tcPr>
            <w:tcW w:w="1414" w:type="dxa"/>
            <w:shd w:val="clear" w:color="auto" w:fill="auto"/>
            <w:vAlign w:val="center"/>
          </w:tcPr>
          <w:p>
            <w:pPr>
              <w:jc w:val="center"/>
              <w:rPr>
                <w:rFonts w:eastAsiaTheme="minorEastAsia"/>
                <w:kern w:val="0"/>
                <w:szCs w:val="21"/>
              </w:rPr>
            </w:pPr>
            <w:r>
              <w:rPr>
                <w:rFonts w:eastAsia="等线"/>
                <w:sz w:val="20"/>
              </w:rPr>
              <w:t>0.00033</w:t>
            </w:r>
          </w:p>
        </w:tc>
        <w:tc>
          <w:tcPr>
            <w:tcW w:w="1414" w:type="dxa"/>
            <w:shd w:val="clear" w:color="auto" w:fill="auto"/>
            <w:vAlign w:val="center"/>
          </w:tcPr>
          <w:p>
            <w:pPr>
              <w:jc w:val="center"/>
              <w:rPr>
                <w:rFonts w:eastAsiaTheme="minorEastAsia"/>
                <w:kern w:val="0"/>
                <w:szCs w:val="21"/>
              </w:rPr>
            </w:pPr>
            <w:r>
              <w:rPr>
                <w:rFonts w:eastAsia="等线"/>
                <w:szCs w:val="21"/>
              </w:rPr>
              <w:t>0.00033</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铜</w:t>
            </w:r>
          </w:p>
        </w:tc>
        <w:tc>
          <w:tcPr>
            <w:tcW w:w="1414" w:type="dxa"/>
            <w:shd w:val="clear" w:color="auto" w:fill="auto"/>
            <w:vAlign w:val="center"/>
          </w:tcPr>
          <w:p>
            <w:pPr>
              <w:jc w:val="center"/>
              <w:rPr>
                <w:rFonts w:eastAsiaTheme="minorEastAsia"/>
                <w:kern w:val="0"/>
                <w:szCs w:val="21"/>
              </w:rPr>
            </w:pPr>
            <w:r>
              <w:rPr>
                <w:rFonts w:eastAsia="等线"/>
                <w:sz w:val="20"/>
              </w:rPr>
              <w:t>0.266</w:t>
            </w:r>
          </w:p>
        </w:tc>
        <w:tc>
          <w:tcPr>
            <w:tcW w:w="1414" w:type="dxa"/>
            <w:shd w:val="clear" w:color="auto" w:fill="auto"/>
            <w:vAlign w:val="center"/>
          </w:tcPr>
          <w:p>
            <w:pPr>
              <w:jc w:val="center"/>
              <w:rPr>
                <w:rFonts w:eastAsiaTheme="minorEastAsia"/>
                <w:kern w:val="0"/>
                <w:szCs w:val="21"/>
              </w:rPr>
            </w:pPr>
            <w:r>
              <w:rPr>
                <w:rFonts w:eastAsia="等线"/>
                <w:szCs w:val="21"/>
              </w:rPr>
              <w:t>0.266</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锌</w:t>
            </w:r>
          </w:p>
        </w:tc>
        <w:tc>
          <w:tcPr>
            <w:tcW w:w="1414" w:type="dxa"/>
            <w:shd w:val="clear" w:color="auto" w:fill="auto"/>
            <w:vAlign w:val="center"/>
          </w:tcPr>
          <w:p>
            <w:pPr>
              <w:jc w:val="center"/>
              <w:rPr>
                <w:rFonts w:eastAsiaTheme="minorEastAsia"/>
                <w:kern w:val="0"/>
                <w:szCs w:val="21"/>
              </w:rPr>
            </w:pPr>
            <w:r>
              <w:rPr>
                <w:rFonts w:eastAsia="等线"/>
                <w:sz w:val="20"/>
              </w:rPr>
              <w:t>0.67</w:t>
            </w:r>
          </w:p>
        </w:tc>
        <w:tc>
          <w:tcPr>
            <w:tcW w:w="1414" w:type="dxa"/>
            <w:shd w:val="clear" w:color="auto" w:fill="auto"/>
            <w:vAlign w:val="center"/>
          </w:tcPr>
          <w:p>
            <w:pPr>
              <w:jc w:val="center"/>
              <w:rPr>
                <w:rFonts w:eastAsiaTheme="minorEastAsia"/>
                <w:kern w:val="0"/>
                <w:szCs w:val="21"/>
              </w:rPr>
            </w:pPr>
            <w:r>
              <w:rPr>
                <w:rFonts w:eastAsia="等线"/>
                <w:szCs w:val="21"/>
              </w:rPr>
              <w:t>0.67</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铅</w:t>
            </w:r>
          </w:p>
        </w:tc>
        <w:tc>
          <w:tcPr>
            <w:tcW w:w="1414" w:type="dxa"/>
            <w:shd w:val="clear" w:color="auto" w:fill="auto"/>
            <w:vAlign w:val="center"/>
          </w:tcPr>
          <w:p>
            <w:pPr>
              <w:jc w:val="center"/>
              <w:rPr>
                <w:rFonts w:eastAsiaTheme="minorEastAsia"/>
                <w:kern w:val="0"/>
                <w:szCs w:val="21"/>
              </w:rPr>
            </w:pPr>
            <w:r>
              <w:rPr>
                <w:rFonts w:eastAsia="等线"/>
                <w:sz w:val="20"/>
              </w:rPr>
              <w:t>0.00166</w:t>
            </w:r>
          </w:p>
        </w:tc>
        <w:tc>
          <w:tcPr>
            <w:tcW w:w="1414" w:type="dxa"/>
            <w:shd w:val="clear" w:color="auto" w:fill="auto"/>
            <w:vAlign w:val="center"/>
          </w:tcPr>
          <w:p>
            <w:pPr>
              <w:jc w:val="center"/>
              <w:rPr>
                <w:rFonts w:eastAsiaTheme="minorEastAsia"/>
                <w:kern w:val="0"/>
                <w:szCs w:val="21"/>
              </w:rPr>
            </w:pPr>
            <w:r>
              <w:rPr>
                <w:rFonts w:eastAsia="等线"/>
                <w:szCs w:val="21"/>
              </w:rPr>
              <w:t>0.00166</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镉</w:t>
            </w:r>
          </w:p>
        </w:tc>
        <w:tc>
          <w:tcPr>
            <w:tcW w:w="1414" w:type="dxa"/>
            <w:shd w:val="clear" w:color="auto" w:fill="auto"/>
            <w:vAlign w:val="center"/>
          </w:tcPr>
          <w:p>
            <w:pPr>
              <w:jc w:val="center"/>
              <w:rPr>
                <w:rFonts w:eastAsiaTheme="minorEastAsia"/>
                <w:kern w:val="0"/>
                <w:szCs w:val="21"/>
              </w:rPr>
            </w:pPr>
            <w:r>
              <w:rPr>
                <w:rFonts w:eastAsia="等线"/>
                <w:sz w:val="20"/>
              </w:rPr>
              <w:t>0.00098</w:t>
            </w:r>
          </w:p>
        </w:tc>
        <w:tc>
          <w:tcPr>
            <w:tcW w:w="1414" w:type="dxa"/>
            <w:shd w:val="clear" w:color="auto" w:fill="auto"/>
            <w:vAlign w:val="center"/>
          </w:tcPr>
          <w:p>
            <w:pPr>
              <w:jc w:val="center"/>
              <w:rPr>
                <w:rFonts w:eastAsiaTheme="minorEastAsia"/>
                <w:kern w:val="0"/>
                <w:szCs w:val="21"/>
              </w:rPr>
            </w:pPr>
            <w:r>
              <w:rPr>
                <w:rFonts w:eastAsia="等线"/>
                <w:szCs w:val="21"/>
              </w:rPr>
              <w:t>0.00098</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铍</w:t>
            </w:r>
          </w:p>
        </w:tc>
        <w:tc>
          <w:tcPr>
            <w:tcW w:w="1414" w:type="dxa"/>
            <w:shd w:val="clear" w:color="auto" w:fill="auto"/>
            <w:vAlign w:val="center"/>
          </w:tcPr>
          <w:p>
            <w:pPr>
              <w:jc w:val="center"/>
              <w:rPr>
                <w:rFonts w:eastAsiaTheme="minorEastAsia"/>
                <w:kern w:val="0"/>
                <w:szCs w:val="21"/>
              </w:rPr>
            </w:pPr>
            <w:r>
              <w:rPr>
                <w:rFonts w:eastAsia="等线"/>
                <w:sz w:val="20"/>
              </w:rPr>
              <w:t>0.00014</w:t>
            </w:r>
          </w:p>
        </w:tc>
        <w:tc>
          <w:tcPr>
            <w:tcW w:w="1414" w:type="dxa"/>
            <w:shd w:val="clear" w:color="auto" w:fill="auto"/>
            <w:vAlign w:val="center"/>
          </w:tcPr>
          <w:p>
            <w:pPr>
              <w:jc w:val="center"/>
              <w:rPr>
                <w:rFonts w:eastAsiaTheme="minorEastAsia"/>
                <w:kern w:val="0"/>
                <w:szCs w:val="21"/>
              </w:rPr>
            </w:pPr>
            <w:r>
              <w:rPr>
                <w:rFonts w:eastAsia="等线"/>
                <w:szCs w:val="21"/>
              </w:rPr>
              <w:t>0.00014</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钡</w:t>
            </w:r>
          </w:p>
        </w:tc>
        <w:tc>
          <w:tcPr>
            <w:tcW w:w="1414" w:type="dxa"/>
            <w:shd w:val="clear" w:color="auto" w:fill="auto"/>
            <w:vAlign w:val="center"/>
          </w:tcPr>
          <w:p>
            <w:pPr>
              <w:jc w:val="center"/>
              <w:rPr>
                <w:rFonts w:eastAsiaTheme="minorEastAsia"/>
                <w:kern w:val="0"/>
                <w:szCs w:val="21"/>
              </w:rPr>
            </w:pPr>
            <w:r>
              <w:rPr>
                <w:rFonts w:eastAsia="等线"/>
                <w:sz w:val="20"/>
              </w:rPr>
              <w:t>0.166</w:t>
            </w:r>
          </w:p>
        </w:tc>
        <w:tc>
          <w:tcPr>
            <w:tcW w:w="1414" w:type="dxa"/>
            <w:shd w:val="clear" w:color="auto" w:fill="auto"/>
            <w:vAlign w:val="center"/>
          </w:tcPr>
          <w:p>
            <w:pPr>
              <w:jc w:val="center"/>
              <w:rPr>
                <w:rFonts w:eastAsiaTheme="minorEastAsia"/>
                <w:kern w:val="0"/>
                <w:szCs w:val="21"/>
              </w:rPr>
            </w:pPr>
            <w:r>
              <w:rPr>
                <w:rFonts w:eastAsia="等线"/>
                <w:szCs w:val="21"/>
              </w:rPr>
              <w:t>0.166</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镍</w:t>
            </w:r>
          </w:p>
        </w:tc>
        <w:tc>
          <w:tcPr>
            <w:tcW w:w="1414" w:type="dxa"/>
            <w:shd w:val="clear" w:color="auto" w:fill="auto"/>
            <w:vAlign w:val="center"/>
          </w:tcPr>
          <w:p>
            <w:pPr>
              <w:jc w:val="center"/>
              <w:rPr>
                <w:rFonts w:eastAsiaTheme="minorEastAsia"/>
                <w:kern w:val="0"/>
                <w:szCs w:val="21"/>
              </w:rPr>
            </w:pPr>
            <w:r>
              <w:rPr>
                <w:rFonts w:eastAsia="等线"/>
                <w:sz w:val="20"/>
              </w:rPr>
              <w:t>0.0033</w:t>
            </w:r>
          </w:p>
        </w:tc>
        <w:tc>
          <w:tcPr>
            <w:tcW w:w="1414" w:type="dxa"/>
            <w:shd w:val="clear" w:color="auto" w:fill="auto"/>
            <w:vAlign w:val="center"/>
          </w:tcPr>
          <w:p>
            <w:pPr>
              <w:jc w:val="center"/>
              <w:rPr>
                <w:rFonts w:eastAsiaTheme="minorEastAsia"/>
                <w:kern w:val="0"/>
                <w:szCs w:val="21"/>
              </w:rPr>
            </w:pPr>
            <w:r>
              <w:rPr>
                <w:rFonts w:eastAsia="等线"/>
                <w:szCs w:val="21"/>
              </w:rPr>
              <w:t>0.0033</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砷</w:t>
            </w:r>
          </w:p>
        </w:tc>
        <w:tc>
          <w:tcPr>
            <w:tcW w:w="1414" w:type="dxa"/>
            <w:shd w:val="clear" w:color="auto" w:fill="auto"/>
            <w:vAlign w:val="center"/>
          </w:tcPr>
          <w:p>
            <w:pPr>
              <w:jc w:val="center"/>
              <w:rPr>
                <w:rFonts w:eastAsiaTheme="minorEastAsia"/>
                <w:kern w:val="0"/>
                <w:szCs w:val="21"/>
              </w:rPr>
            </w:pPr>
            <w:r>
              <w:rPr>
                <w:rFonts w:eastAsia="等线"/>
                <w:sz w:val="20"/>
              </w:rPr>
              <w:t>0.002</w:t>
            </w:r>
          </w:p>
        </w:tc>
        <w:tc>
          <w:tcPr>
            <w:tcW w:w="1414" w:type="dxa"/>
            <w:shd w:val="clear" w:color="auto" w:fill="auto"/>
            <w:vAlign w:val="center"/>
          </w:tcPr>
          <w:p>
            <w:pPr>
              <w:jc w:val="center"/>
              <w:rPr>
                <w:rFonts w:eastAsiaTheme="minorEastAsia"/>
                <w:kern w:val="0"/>
                <w:szCs w:val="21"/>
              </w:rPr>
            </w:pPr>
            <w:r>
              <w:rPr>
                <w:rFonts w:eastAsia="等线"/>
                <w:szCs w:val="21"/>
              </w:rPr>
              <w:t>0.002</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spacing w:val="-1"/>
                <w:kern w:val="0"/>
                <w:szCs w:val="21"/>
              </w:rPr>
            </w:pPr>
            <w:r>
              <w:rPr>
                <w:rFonts w:eastAsiaTheme="minorEastAsia"/>
                <w:kern w:val="0"/>
                <w:szCs w:val="21"/>
              </w:rPr>
              <w:t>总铬</w:t>
            </w:r>
          </w:p>
        </w:tc>
        <w:tc>
          <w:tcPr>
            <w:tcW w:w="1414" w:type="dxa"/>
            <w:shd w:val="clear" w:color="auto" w:fill="auto"/>
            <w:vAlign w:val="center"/>
          </w:tcPr>
          <w:p>
            <w:pPr>
              <w:jc w:val="center"/>
              <w:rPr>
                <w:rFonts w:eastAsiaTheme="minorEastAsia"/>
                <w:kern w:val="0"/>
                <w:szCs w:val="21"/>
              </w:rPr>
            </w:pPr>
            <w:r>
              <w:rPr>
                <w:rFonts w:eastAsia="等线"/>
                <w:sz w:val="20"/>
              </w:rPr>
              <w:t>0.03</w:t>
            </w:r>
          </w:p>
        </w:tc>
        <w:tc>
          <w:tcPr>
            <w:tcW w:w="1414" w:type="dxa"/>
            <w:shd w:val="clear" w:color="auto" w:fill="auto"/>
            <w:vAlign w:val="center"/>
          </w:tcPr>
          <w:p>
            <w:pPr>
              <w:jc w:val="center"/>
              <w:rPr>
                <w:rFonts w:eastAsiaTheme="minorEastAsia"/>
                <w:kern w:val="0"/>
                <w:szCs w:val="21"/>
              </w:rPr>
            </w:pPr>
            <w:r>
              <w:rPr>
                <w:rFonts w:eastAsia="等线"/>
                <w:szCs w:val="21"/>
              </w:rPr>
              <w:t>0.03</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kern w:val="0"/>
                <w:szCs w:val="21"/>
              </w:rPr>
            </w:pPr>
            <w:r>
              <w:rPr>
                <w:rFonts w:eastAsiaTheme="minorEastAsia"/>
                <w:kern w:val="0"/>
                <w:szCs w:val="21"/>
              </w:rPr>
              <w:t>六价铬</w:t>
            </w:r>
          </w:p>
        </w:tc>
        <w:tc>
          <w:tcPr>
            <w:tcW w:w="1414" w:type="dxa"/>
            <w:shd w:val="clear" w:color="auto" w:fill="auto"/>
            <w:vAlign w:val="center"/>
          </w:tcPr>
          <w:p>
            <w:pPr>
              <w:jc w:val="center"/>
              <w:rPr>
                <w:rFonts w:eastAsiaTheme="minorEastAsia"/>
                <w:kern w:val="0"/>
                <w:szCs w:val="21"/>
              </w:rPr>
            </w:pPr>
            <w:r>
              <w:rPr>
                <w:rFonts w:eastAsia="等线"/>
                <w:sz w:val="20"/>
              </w:rPr>
              <w:t>0.01</w:t>
            </w:r>
          </w:p>
        </w:tc>
        <w:tc>
          <w:tcPr>
            <w:tcW w:w="1414" w:type="dxa"/>
            <w:shd w:val="clear" w:color="auto" w:fill="auto"/>
            <w:vAlign w:val="center"/>
          </w:tcPr>
          <w:p>
            <w:pPr>
              <w:jc w:val="center"/>
              <w:rPr>
                <w:rFonts w:eastAsiaTheme="minorEastAsia"/>
                <w:kern w:val="0"/>
                <w:szCs w:val="21"/>
              </w:rPr>
            </w:pPr>
            <w:r>
              <w:rPr>
                <w:rFonts w:eastAsia="等线"/>
                <w:szCs w:val="21"/>
              </w:rPr>
              <w:t>0.01</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kern w:val="0"/>
                <w:szCs w:val="21"/>
              </w:rPr>
            </w:pPr>
            <w:r>
              <w:rPr>
                <w:rFonts w:eastAsiaTheme="minorEastAsia"/>
                <w:kern w:val="0"/>
                <w:szCs w:val="21"/>
              </w:rPr>
              <w:t>硒</w:t>
            </w:r>
          </w:p>
        </w:tc>
        <w:tc>
          <w:tcPr>
            <w:tcW w:w="1414" w:type="dxa"/>
            <w:shd w:val="clear" w:color="auto" w:fill="auto"/>
            <w:vAlign w:val="center"/>
          </w:tcPr>
          <w:p>
            <w:pPr>
              <w:jc w:val="center"/>
              <w:rPr>
                <w:rFonts w:eastAsiaTheme="minorEastAsia"/>
                <w:kern w:val="0"/>
                <w:szCs w:val="21"/>
              </w:rPr>
            </w:pPr>
            <w:r>
              <w:rPr>
                <w:rFonts w:eastAsia="等线"/>
                <w:sz w:val="20"/>
              </w:rPr>
              <w:t>0.00067</w:t>
            </w:r>
          </w:p>
        </w:tc>
        <w:tc>
          <w:tcPr>
            <w:tcW w:w="1414" w:type="dxa"/>
            <w:shd w:val="clear" w:color="auto" w:fill="auto"/>
            <w:vAlign w:val="center"/>
          </w:tcPr>
          <w:p>
            <w:pPr>
              <w:jc w:val="center"/>
              <w:rPr>
                <w:rFonts w:eastAsiaTheme="minorEastAsia"/>
                <w:kern w:val="0"/>
                <w:szCs w:val="21"/>
              </w:rPr>
            </w:pPr>
            <w:r>
              <w:rPr>
                <w:rFonts w:eastAsia="等线"/>
                <w:szCs w:val="21"/>
              </w:rPr>
              <w:t>0.00067</w:t>
            </w:r>
          </w:p>
        </w:tc>
        <w:tc>
          <w:tcPr>
            <w:tcW w:w="1414" w:type="dxa"/>
            <w:shd w:val="clear" w:color="auto" w:fill="auto"/>
            <w:vAlign w:val="center"/>
          </w:tcPr>
          <w:p>
            <w:pPr>
              <w:jc w:val="center"/>
              <w:rPr>
                <w:rFonts w:eastAsiaTheme="minorEastAsia"/>
                <w:kern w:val="0"/>
                <w:szCs w:val="21"/>
              </w:rPr>
            </w:pPr>
            <w:r>
              <w:rPr>
                <w:rFonts w:eastAsia="等线"/>
                <w:szCs w:val="21"/>
              </w:rPr>
              <w:t>0</w:t>
            </w:r>
          </w:p>
        </w:tc>
        <w:tc>
          <w:tcPr>
            <w:tcW w:w="1414" w:type="dxa"/>
            <w:shd w:val="clear" w:color="auto" w:fill="auto"/>
            <w:vAlign w:val="center"/>
          </w:tcPr>
          <w:p>
            <w:pPr>
              <w:jc w:val="center"/>
              <w:rPr>
                <w:rFonts w:eastAsiaTheme="minorEastAsia"/>
                <w:kern w:val="0"/>
                <w:szCs w:val="21"/>
              </w:rPr>
            </w:pPr>
            <w:r>
              <w:rPr>
                <w:rFonts w:eastAsia="等线"/>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restart"/>
            <w:vAlign w:val="center"/>
          </w:tcPr>
          <w:p>
            <w:pPr>
              <w:jc w:val="center"/>
              <w:rPr>
                <w:rFonts w:eastAsiaTheme="minorEastAsia"/>
                <w:kern w:val="0"/>
                <w:szCs w:val="21"/>
              </w:rPr>
            </w:pPr>
            <w:r>
              <w:rPr>
                <w:rFonts w:eastAsiaTheme="minorEastAsia"/>
                <w:kern w:val="0"/>
                <w:szCs w:val="21"/>
              </w:rPr>
              <w:t>固废</w:t>
            </w:r>
          </w:p>
        </w:tc>
        <w:tc>
          <w:tcPr>
            <w:tcW w:w="1414" w:type="dxa"/>
            <w:vAlign w:val="center"/>
          </w:tcPr>
          <w:p>
            <w:pPr>
              <w:jc w:val="center"/>
              <w:rPr>
                <w:rFonts w:eastAsiaTheme="minorEastAsia"/>
                <w:kern w:val="0"/>
                <w:szCs w:val="21"/>
              </w:rPr>
            </w:pPr>
            <w:r>
              <w:rPr>
                <w:rFonts w:eastAsiaTheme="minorEastAsia"/>
                <w:kern w:val="0"/>
                <w:szCs w:val="21"/>
              </w:rPr>
              <w:t>废机油</w:t>
            </w:r>
          </w:p>
        </w:tc>
        <w:tc>
          <w:tcPr>
            <w:tcW w:w="1414" w:type="dxa"/>
            <w:vAlign w:val="center"/>
          </w:tcPr>
          <w:p>
            <w:pPr>
              <w:jc w:val="center"/>
              <w:rPr>
                <w:rFonts w:eastAsiaTheme="minorEastAsia"/>
                <w:kern w:val="0"/>
                <w:szCs w:val="21"/>
              </w:rPr>
            </w:pPr>
            <w:r>
              <w:rPr>
                <w:rFonts w:eastAsiaTheme="minorEastAsia"/>
                <w:kern w:val="0"/>
                <w:szCs w:val="21"/>
              </w:rPr>
              <w:t>0.15</w:t>
            </w:r>
          </w:p>
        </w:tc>
        <w:tc>
          <w:tcPr>
            <w:tcW w:w="1414" w:type="dxa"/>
            <w:vAlign w:val="center"/>
          </w:tcPr>
          <w:p>
            <w:pPr>
              <w:jc w:val="center"/>
              <w:rPr>
                <w:rFonts w:eastAsiaTheme="minorEastAsia"/>
                <w:kern w:val="0"/>
                <w:szCs w:val="21"/>
              </w:rPr>
            </w:pPr>
            <w:r>
              <w:rPr>
                <w:rFonts w:eastAsiaTheme="minorEastAsia"/>
                <w:kern w:val="0"/>
                <w:szCs w:val="21"/>
              </w:rPr>
              <w:t>0.15</w:t>
            </w:r>
          </w:p>
        </w:tc>
        <w:tc>
          <w:tcPr>
            <w:tcW w:w="1414" w:type="dxa"/>
            <w:vAlign w:val="center"/>
          </w:tcPr>
          <w:p>
            <w:pPr>
              <w:jc w:val="center"/>
              <w:rPr>
                <w:rFonts w:eastAsiaTheme="minorEastAsia"/>
                <w:kern w:val="0"/>
                <w:szCs w:val="21"/>
              </w:rPr>
            </w:pPr>
            <w:r>
              <w:rPr>
                <w:rFonts w:eastAsiaTheme="minorEastAsia"/>
                <w:kern w:val="0"/>
                <w:szCs w:val="21"/>
              </w:rPr>
              <w:t>0</w:t>
            </w:r>
          </w:p>
        </w:tc>
        <w:tc>
          <w:tcPr>
            <w:tcW w:w="1414" w:type="dxa"/>
            <w:vAlign w:val="center"/>
          </w:tcPr>
          <w:p>
            <w:pPr>
              <w:jc w:val="center"/>
              <w:rPr>
                <w:rFonts w:eastAsiaTheme="minorEastAsia"/>
                <w:kern w:val="0"/>
                <w:szCs w:val="21"/>
              </w:rPr>
            </w:pPr>
            <w:r>
              <w:rPr>
                <w:rFonts w:eastAsiaTheme="minorEastAsia"/>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kern w:val="0"/>
                <w:szCs w:val="21"/>
              </w:rPr>
            </w:pPr>
            <w:r>
              <w:rPr>
                <w:rFonts w:eastAsiaTheme="minorEastAsia"/>
                <w:kern w:val="0"/>
                <w:szCs w:val="21"/>
              </w:rPr>
              <w:t>废包装</w:t>
            </w:r>
          </w:p>
        </w:tc>
        <w:tc>
          <w:tcPr>
            <w:tcW w:w="1414" w:type="dxa"/>
            <w:vAlign w:val="center"/>
          </w:tcPr>
          <w:p>
            <w:pPr>
              <w:jc w:val="center"/>
              <w:rPr>
                <w:rFonts w:eastAsiaTheme="minorEastAsia"/>
                <w:kern w:val="0"/>
                <w:szCs w:val="21"/>
              </w:rPr>
            </w:pPr>
            <w:r>
              <w:rPr>
                <w:rFonts w:eastAsiaTheme="minorEastAsia"/>
                <w:kern w:val="0"/>
                <w:szCs w:val="21"/>
              </w:rPr>
              <w:t>2</w:t>
            </w:r>
          </w:p>
        </w:tc>
        <w:tc>
          <w:tcPr>
            <w:tcW w:w="1414" w:type="dxa"/>
            <w:vAlign w:val="center"/>
          </w:tcPr>
          <w:p>
            <w:pPr>
              <w:jc w:val="center"/>
              <w:rPr>
                <w:rFonts w:eastAsiaTheme="minorEastAsia"/>
                <w:kern w:val="0"/>
                <w:szCs w:val="21"/>
              </w:rPr>
            </w:pPr>
            <w:r>
              <w:rPr>
                <w:rFonts w:eastAsiaTheme="minorEastAsia"/>
                <w:kern w:val="0"/>
                <w:szCs w:val="21"/>
              </w:rPr>
              <w:t>2</w:t>
            </w:r>
          </w:p>
        </w:tc>
        <w:tc>
          <w:tcPr>
            <w:tcW w:w="1414" w:type="dxa"/>
            <w:vAlign w:val="center"/>
          </w:tcPr>
          <w:p>
            <w:pPr>
              <w:jc w:val="center"/>
              <w:rPr>
                <w:rFonts w:eastAsiaTheme="minorEastAsia"/>
                <w:kern w:val="0"/>
                <w:szCs w:val="21"/>
              </w:rPr>
            </w:pPr>
            <w:r>
              <w:rPr>
                <w:rFonts w:eastAsiaTheme="minorEastAsia"/>
                <w:kern w:val="0"/>
                <w:szCs w:val="21"/>
              </w:rPr>
              <w:t>0</w:t>
            </w:r>
          </w:p>
        </w:tc>
        <w:tc>
          <w:tcPr>
            <w:tcW w:w="1414" w:type="dxa"/>
            <w:vAlign w:val="center"/>
          </w:tcPr>
          <w:p>
            <w:pPr>
              <w:jc w:val="center"/>
              <w:rPr>
                <w:rFonts w:eastAsiaTheme="minorEastAsia"/>
                <w:kern w:val="0"/>
                <w:szCs w:val="21"/>
              </w:rPr>
            </w:pPr>
            <w:r>
              <w:rPr>
                <w:rFonts w:eastAsiaTheme="minorEastAsia"/>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kern w:val="0"/>
                <w:szCs w:val="21"/>
              </w:rPr>
            </w:pPr>
            <w:r>
              <w:rPr>
                <w:rFonts w:eastAsiaTheme="minorEastAsia"/>
                <w:kern w:val="0"/>
                <w:szCs w:val="21"/>
              </w:rPr>
              <w:t>生活垃圾</w:t>
            </w:r>
          </w:p>
        </w:tc>
        <w:tc>
          <w:tcPr>
            <w:tcW w:w="1414" w:type="dxa"/>
            <w:vAlign w:val="center"/>
          </w:tcPr>
          <w:p>
            <w:pPr>
              <w:jc w:val="center"/>
              <w:rPr>
                <w:rFonts w:eastAsiaTheme="minorEastAsia"/>
                <w:kern w:val="0"/>
                <w:szCs w:val="21"/>
              </w:rPr>
            </w:pPr>
            <w:r>
              <w:rPr>
                <w:rFonts w:eastAsiaTheme="minorEastAsia"/>
                <w:kern w:val="0"/>
                <w:szCs w:val="21"/>
              </w:rPr>
              <w:t>2.19</w:t>
            </w:r>
          </w:p>
        </w:tc>
        <w:tc>
          <w:tcPr>
            <w:tcW w:w="1414" w:type="dxa"/>
            <w:vAlign w:val="center"/>
          </w:tcPr>
          <w:p>
            <w:pPr>
              <w:jc w:val="center"/>
              <w:rPr>
                <w:rFonts w:eastAsiaTheme="minorEastAsia"/>
                <w:kern w:val="0"/>
                <w:szCs w:val="21"/>
              </w:rPr>
            </w:pPr>
            <w:r>
              <w:rPr>
                <w:rFonts w:eastAsiaTheme="minorEastAsia"/>
                <w:kern w:val="0"/>
                <w:szCs w:val="21"/>
              </w:rPr>
              <w:t>2.19</w:t>
            </w:r>
          </w:p>
        </w:tc>
        <w:tc>
          <w:tcPr>
            <w:tcW w:w="1414" w:type="dxa"/>
            <w:vAlign w:val="center"/>
          </w:tcPr>
          <w:p>
            <w:pPr>
              <w:jc w:val="center"/>
              <w:rPr>
                <w:rFonts w:eastAsiaTheme="minorEastAsia"/>
                <w:kern w:val="0"/>
                <w:szCs w:val="21"/>
              </w:rPr>
            </w:pPr>
            <w:r>
              <w:rPr>
                <w:rFonts w:eastAsiaTheme="minorEastAsia"/>
                <w:kern w:val="0"/>
                <w:szCs w:val="21"/>
              </w:rPr>
              <w:t>0</w:t>
            </w:r>
          </w:p>
        </w:tc>
        <w:tc>
          <w:tcPr>
            <w:tcW w:w="1414" w:type="dxa"/>
            <w:vAlign w:val="center"/>
          </w:tcPr>
          <w:p>
            <w:pPr>
              <w:jc w:val="center"/>
              <w:rPr>
                <w:rFonts w:eastAsiaTheme="minorEastAsia"/>
                <w:kern w:val="0"/>
                <w:szCs w:val="21"/>
              </w:rPr>
            </w:pPr>
            <w:r>
              <w:rPr>
                <w:rFonts w:eastAsiaTheme="minorEastAsia"/>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52" w:type="dxa"/>
            <w:vMerge w:val="continue"/>
            <w:vAlign w:val="center"/>
          </w:tcPr>
          <w:p>
            <w:pPr>
              <w:jc w:val="center"/>
              <w:rPr>
                <w:rFonts w:eastAsiaTheme="minorEastAsia"/>
                <w:kern w:val="0"/>
                <w:szCs w:val="21"/>
              </w:rPr>
            </w:pPr>
          </w:p>
        </w:tc>
        <w:tc>
          <w:tcPr>
            <w:tcW w:w="1414" w:type="dxa"/>
            <w:vAlign w:val="center"/>
          </w:tcPr>
          <w:p>
            <w:pPr>
              <w:jc w:val="center"/>
              <w:rPr>
                <w:rFonts w:eastAsiaTheme="minorEastAsia"/>
                <w:kern w:val="0"/>
                <w:szCs w:val="21"/>
              </w:rPr>
            </w:pPr>
            <w:r>
              <w:rPr>
                <w:rFonts w:eastAsiaTheme="minorEastAsia"/>
                <w:kern w:val="0"/>
                <w:szCs w:val="21"/>
              </w:rPr>
              <w:t>污泥</w:t>
            </w:r>
          </w:p>
        </w:tc>
        <w:tc>
          <w:tcPr>
            <w:tcW w:w="1414" w:type="dxa"/>
            <w:vAlign w:val="center"/>
          </w:tcPr>
          <w:p>
            <w:pPr>
              <w:jc w:val="center"/>
              <w:rPr>
                <w:rFonts w:eastAsiaTheme="minorEastAsia"/>
                <w:kern w:val="0"/>
                <w:szCs w:val="21"/>
              </w:rPr>
            </w:pPr>
            <w:r>
              <w:rPr>
                <w:rFonts w:eastAsiaTheme="minorEastAsia"/>
                <w:kern w:val="0"/>
                <w:szCs w:val="21"/>
              </w:rPr>
              <w:t>27.38</w:t>
            </w:r>
          </w:p>
        </w:tc>
        <w:tc>
          <w:tcPr>
            <w:tcW w:w="1414" w:type="dxa"/>
            <w:vAlign w:val="center"/>
          </w:tcPr>
          <w:p>
            <w:pPr>
              <w:jc w:val="center"/>
              <w:rPr>
                <w:rFonts w:eastAsiaTheme="minorEastAsia"/>
                <w:kern w:val="0"/>
                <w:szCs w:val="21"/>
              </w:rPr>
            </w:pPr>
            <w:r>
              <w:rPr>
                <w:rFonts w:eastAsiaTheme="minorEastAsia"/>
                <w:kern w:val="0"/>
                <w:szCs w:val="21"/>
              </w:rPr>
              <w:t>27.38</w:t>
            </w:r>
          </w:p>
        </w:tc>
        <w:tc>
          <w:tcPr>
            <w:tcW w:w="1414" w:type="dxa"/>
            <w:vAlign w:val="center"/>
          </w:tcPr>
          <w:p>
            <w:pPr>
              <w:jc w:val="center"/>
              <w:rPr>
                <w:rFonts w:eastAsiaTheme="minorEastAsia"/>
                <w:kern w:val="0"/>
                <w:szCs w:val="21"/>
              </w:rPr>
            </w:pPr>
            <w:r>
              <w:rPr>
                <w:rFonts w:eastAsiaTheme="minorEastAsia"/>
                <w:kern w:val="0"/>
                <w:szCs w:val="21"/>
              </w:rPr>
              <w:t>0</w:t>
            </w:r>
          </w:p>
        </w:tc>
        <w:tc>
          <w:tcPr>
            <w:tcW w:w="1414" w:type="dxa"/>
            <w:vAlign w:val="center"/>
          </w:tcPr>
          <w:p>
            <w:pPr>
              <w:jc w:val="center"/>
              <w:rPr>
                <w:rFonts w:eastAsiaTheme="minorEastAsia"/>
                <w:kern w:val="0"/>
                <w:szCs w:val="21"/>
              </w:rPr>
            </w:pPr>
            <w:r>
              <w:rPr>
                <w:rFonts w:eastAsiaTheme="minorEastAsia"/>
                <w:kern w:val="0"/>
                <w:szCs w:val="21"/>
              </w:rPr>
              <w:t>100</w:t>
            </w:r>
          </w:p>
        </w:tc>
      </w:tr>
    </w:tbl>
    <w:p/>
    <w:p>
      <w:pPr>
        <w:widowControl/>
        <w:jc w:val="left"/>
      </w:pPr>
      <w:r>
        <w:br w:type="page"/>
      </w:r>
    </w:p>
    <w:p>
      <w:pPr>
        <w:adjustRightInd w:val="0"/>
        <w:snapToGrid w:val="0"/>
        <w:spacing w:line="360" w:lineRule="auto"/>
        <w:ind w:firstLine="480" w:firstLineChars="200"/>
        <w:rPr>
          <w:sz w:val="24"/>
          <w:szCs w:val="24"/>
        </w:rPr>
        <w:sectPr>
          <w:pgSz w:w="11906" w:h="16838"/>
          <w:pgMar w:top="1440" w:right="1800" w:bottom="1440" w:left="1800" w:header="851" w:footer="992" w:gutter="0"/>
          <w:cols w:space="425" w:num="1"/>
          <w:docGrid w:linePitch="312" w:charSpace="0"/>
        </w:sectPr>
      </w:pPr>
      <w:bookmarkStart w:id="107" w:name="_Toc518025842"/>
    </w:p>
    <w:bookmarkEnd w:id="107"/>
    <w:p>
      <w:pPr>
        <w:keepNext/>
        <w:keepLines/>
        <w:numPr>
          <w:ilvl w:val="0"/>
          <w:numId w:val="5"/>
        </w:numPr>
        <w:snapToGrid w:val="0"/>
        <w:spacing w:before="50" w:after="50" w:line="360" w:lineRule="auto"/>
        <w:jc w:val="center"/>
        <w:outlineLvl w:val="0"/>
        <w:rPr>
          <w:b/>
          <w:bCs/>
          <w:kern w:val="44"/>
          <w:sz w:val="32"/>
          <w:szCs w:val="32"/>
        </w:rPr>
      </w:pPr>
      <w:bookmarkStart w:id="108" w:name="_Toc94101217"/>
      <w:bookmarkStart w:id="109" w:name="_Toc88472184"/>
      <w:r>
        <w:rPr>
          <w:b/>
          <w:bCs/>
          <w:kern w:val="44"/>
          <w:sz w:val="32"/>
          <w:szCs w:val="32"/>
        </w:rPr>
        <w:t>区域环境现状</w:t>
      </w:r>
      <w:bookmarkEnd w:id="108"/>
      <w:bookmarkEnd w:id="109"/>
    </w:p>
    <w:p>
      <w:pPr>
        <w:keepNext/>
        <w:keepLines/>
        <w:numPr>
          <w:ilvl w:val="1"/>
          <w:numId w:val="5"/>
        </w:numPr>
        <w:tabs>
          <w:tab w:val="left" w:pos="567"/>
          <w:tab w:val="left" w:pos="720"/>
          <w:tab w:val="clear" w:pos="862"/>
        </w:tabs>
        <w:adjustRightInd w:val="0"/>
        <w:snapToGrid w:val="0"/>
        <w:spacing w:line="360" w:lineRule="auto"/>
        <w:ind w:left="0" w:firstLine="0"/>
        <w:outlineLvl w:val="1"/>
        <w:rPr>
          <w:b/>
          <w:bCs/>
          <w:sz w:val="30"/>
          <w:szCs w:val="30"/>
        </w:rPr>
      </w:pPr>
      <w:bookmarkStart w:id="110" w:name="_Toc94101218"/>
      <w:bookmarkStart w:id="111" w:name="_Toc88472185"/>
      <w:r>
        <w:rPr>
          <w:b/>
          <w:bCs/>
          <w:sz w:val="30"/>
          <w:szCs w:val="30"/>
        </w:rPr>
        <w:t>自然环境调查</w:t>
      </w:r>
      <w:bookmarkEnd w:id="110"/>
      <w:bookmarkEnd w:id="111"/>
    </w:p>
    <w:p>
      <w:pPr>
        <w:keepNext/>
        <w:keepLines/>
        <w:numPr>
          <w:ilvl w:val="2"/>
          <w:numId w:val="5"/>
        </w:numPr>
        <w:tabs>
          <w:tab w:val="left" w:pos="432"/>
          <w:tab w:val="left" w:pos="567"/>
          <w:tab w:val="left" w:pos="1021"/>
          <w:tab w:val="clear" w:pos="1163"/>
        </w:tabs>
        <w:adjustRightInd w:val="0"/>
        <w:snapToGrid w:val="0"/>
        <w:spacing w:before="260" w:line="360" w:lineRule="auto"/>
        <w:ind w:left="0" w:firstLine="0"/>
        <w:jc w:val="left"/>
        <w:outlineLvl w:val="2"/>
        <w:rPr>
          <w:b/>
          <w:bCs/>
          <w:snapToGrid w:val="0"/>
          <w:sz w:val="28"/>
          <w:szCs w:val="28"/>
        </w:rPr>
      </w:pPr>
      <w:r>
        <w:rPr>
          <w:b/>
          <w:bCs/>
          <w:snapToGrid w:val="0"/>
          <w:sz w:val="28"/>
          <w:szCs w:val="28"/>
        </w:rPr>
        <w:t>地理位置</w:t>
      </w:r>
    </w:p>
    <w:p>
      <w:pPr>
        <w:adjustRightInd w:val="0"/>
        <w:snapToGrid w:val="0"/>
        <w:spacing w:line="360" w:lineRule="auto"/>
        <w:ind w:firstLine="482"/>
        <w:rPr>
          <w:sz w:val="24"/>
          <w:szCs w:val="24"/>
        </w:rPr>
      </w:pPr>
      <w:r>
        <w:rPr>
          <w:sz w:val="24"/>
          <w:szCs w:val="24"/>
        </w:rPr>
        <w:t>围场满族蒙古族自治县位于河北省</w:t>
      </w:r>
      <w:r>
        <w:fldChar w:fldCharType="begin"/>
      </w:r>
      <w:r>
        <w:instrText xml:space="preserve"> HYPERLINK "https://baike.baidu.com/item/%E6%89%BF%E5%BE%B7%E5%B8%82" \t "https://baike.baidu.com/item/%E5%9B%B4%E5%9C%BA%E6%BB%A1%E6%97%8F%E8%92%99%E5%8F%A4%E6%97%8F%E8%87%AA%E6%B2%BB%E5%8E%BF/_blank" </w:instrText>
      </w:r>
      <w:r>
        <w:fldChar w:fldCharType="separate"/>
      </w:r>
      <w:r>
        <w:rPr>
          <w:sz w:val="24"/>
          <w:szCs w:val="24"/>
        </w:rPr>
        <w:t>承德市</w:t>
      </w:r>
      <w:r>
        <w:rPr>
          <w:sz w:val="24"/>
          <w:szCs w:val="24"/>
        </w:rPr>
        <w:fldChar w:fldCharType="end"/>
      </w:r>
      <w:r>
        <w:rPr>
          <w:sz w:val="24"/>
          <w:szCs w:val="24"/>
        </w:rPr>
        <w:t>北部，</w:t>
      </w:r>
      <w:r>
        <w:fldChar w:fldCharType="begin"/>
      </w:r>
      <w:r>
        <w:instrText xml:space="preserve"> HYPERLINK "https://baike.baidu.com/item/%E5%9C%B0%E7%90%86%E5%9D%90%E6%A0%87" \t "https://baike.baidu.com/item/%E5%9B%B4%E5%9C%BA%E6%BB%A1%E6%97%8F%E8%92%99%E5%8F%A4%E6%97%8F%E8%87%AA%E6%B2%BB%E5%8E%BF/_blank" </w:instrText>
      </w:r>
      <w:r>
        <w:fldChar w:fldCharType="separate"/>
      </w:r>
      <w:r>
        <w:rPr>
          <w:sz w:val="24"/>
          <w:szCs w:val="24"/>
        </w:rPr>
        <w:t>地理坐标</w:t>
      </w:r>
      <w:r>
        <w:rPr>
          <w:sz w:val="24"/>
          <w:szCs w:val="24"/>
        </w:rPr>
        <w:fldChar w:fldCharType="end"/>
      </w:r>
      <w:r>
        <w:rPr>
          <w:sz w:val="24"/>
          <w:szCs w:val="24"/>
        </w:rPr>
        <w:t>为东经116°32′～118°14′，北纬41°35′～42°40′，东、西、北三面分别与内蒙古的</w:t>
      </w:r>
      <w:r>
        <w:fldChar w:fldCharType="begin"/>
      </w:r>
      <w:r>
        <w:instrText xml:space="preserve"> HYPERLINK "https://baike.baidu.com/item/%E5%96%80%E5%96%87%E6%B2%81%E6%97%97" \t "https://baike.baidu.com/item/%E5%9B%B4%E5%9C%BA%E6%BB%A1%E6%97%8F%E8%92%99%E5%8F%A4%E6%97%8F%E8%87%AA%E6%B2%BB%E5%8E%BF/_blank" </w:instrText>
      </w:r>
      <w:r>
        <w:fldChar w:fldCharType="separate"/>
      </w:r>
      <w:r>
        <w:rPr>
          <w:sz w:val="24"/>
          <w:szCs w:val="24"/>
        </w:rPr>
        <w:t>喀喇沁旗</w:t>
      </w:r>
      <w:r>
        <w:rPr>
          <w:sz w:val="24"/>
          <w:szCs w:val="24"/>
        </w:rPr>
        <w:fldChar w:fldCharType="end"/>
      </w:r>
      <w:r>
        <w:rPr>
          <w:sz w:val="24"/>
          <w:szCs w:val="24"/>
        </w:rPr>
        <w:t>、</w:t>
      </w:r>
      <w:r>
        <w:fldChar w:fldCharType="begin"/>
      </w:r>
      <w:r>
        <w:instrText xml:space="preserve"> HYPERLINK "https://baike.baidu.com/item/%E8%B5%A4%E5%B3%B0%E5%B8%82" \t "https://baike.baidu.com/item/%E5%9B%B4%E5%9C%BA%E6%BB%A1%E6%97%8F%E8%92%99%E5%8F%A4%E6%97%8F%E8%87%AA%E6%B2%BB%E5%8E%BF/_blank" </w:instrText>
      </w:r>
      <w:r>
        <w:fldChar w:fldCharType="separate"/>
      </w:r>
      <w:r>
        <w:rPr>
          <w:sz w:val="24"/>
          <w:szCs w:val="24"/>
        </w:rPr>
        <w:t>赤峰市</w:t>
      </w:r>
      <w:r>
        <w:rPr>
          <w:sz w:val="24"/>
          <w:szCs w:val="24"/>
        </w:rPr>
        <w:fldChar w:fldCharType="end"/>
      </w:r>
      <w:r>
        <w:rPr>
          <w:sz w:val="24"/>
          <w:szCs w:val="24"/>
        </w:rPr>
        <w:t>、</w:t>
      </w:r>
      <w:r>
        <w:fldChar w:fldCharType="begin"/>
      </w:r>
      <w:r>
        <w:instrText xml:space="preserve"> HYPERLINK "https://baike.baidu.com/item/%E5%85%8B%E4%BB%80%E5%85%8B%E8%85%BE%E6%97%97" \t "https://baike.baidu.com/item/%E5%9B%B4%E5%9C%BA%E6%BB%A1%E6%97%8F%E8%92%99%E5%8F%A4%E6%97%8F%E8%87%AA%E6%B2%BB%E5%8E%BF/_blank" </w:instrText>
      </w:r>
      <w:r>
        <w:fldChar w:fldCharType="separate"/>
      </w:r>
      <w:r>
        <w:rPr>
          <w:sz w:val="24"/>
          <w:szCs w:val="24"/>
        </w:rPr>
        <w:t>克什克腾旗</w:t>
      </w:r>
      <w:r>
        <w:rPr>
          <w:sz w:val="24"/>
          <w:szCs w:val="24"/>
        </w:rPr>
        <w:fldChar w:fldCharType="end"/>
      </w:r>
      <w:r>
        <w:rPr>
          <w:sz w:val="24"/>
          <w:szCs w:val="24"/>
        </w:rPr>
        <w:t>、</w:t>
      </w:r>
      <w:r>
        <w:fldChar w:fldCharType="begin"/>
      </w:r>
      <w:r>
        <w:instrText xml:space="preserve"> HYPERLINK "https://baike.baidu.com/item/%E5%A4%9A%E4%BC%A6%E5%8E%BF" \t "https://baike.baidu.com/item/%E5%9B%B4%E5%9C%BA%E6%BB%A1%E6%97%8F%E8%92%99%E5%8F%A4%E6%97%8F%E8%87%AA%E6%B2%BB%E5%8E%BF/_blank" </w:instrText>
      </w:r>
      <w:r>
        <w:fldChar w:fldCharType="separate"/>
      </w:r>
      <w:r>
        <w:rPr>
          <w:sz w:val="24"/>
          <w:szCs w:val="24"/>
        </w:rPr>
        <w:t>多伦县</w:t>
      </w:r>
      <w:r>
        <w:rPr>
          <w:sz w:val="24"/>
          <w:szCs w:val="24"/>
        </w:rPr>
        <w:fldChar w:fldCharType="end"/>
      </w:r>
      <w:r>
        <w:rPr>
          <w:sz w:val="24"/>
          <w:szCs w:val="24"/>
        </w:rPr>
        <w:t>接壤，西南和南面分别与丰宁满族自治县、隆化县相连。距承德市区138公里，距省会石家庄643公里，距北京384公里。县境东西长138公里，南北宽118公里，总面积9219平方公里。</w:t>
      </w:r>
    </w:p>
    <w:p>
      <w:pPr>
        <w:adjustRightInd w:val="0"/>
        <w:snapToGrid w:val="0"/>
        <w:spacing w:line="360" w:lineRule="auto"/>
        <w:ind w:firstLine="482"/>
        <w:rPr>
          <w:sz w:val="24"/>
        </w:rPr>
      </w:pPr>
      <w:r>
        <w:rPr>
          <w:sz w:val="24"/>
          <w:szCs w:val="24"/>
        </w:rPr>
        <w:t>项目建设地位</w:t>
      </w:r>
      <w:r>
        <w:rPr>
          <w:rFonts w:hint="eastAsia"/>
          <w:bCs/>
          <w:kern w:val="0"/>
          <w:sz w:val="24"/>
        </w:rPr>
        <w:t>于河北省承德市围场满族蒙古族自治县龙头山镇东北方向约1.1公里处山谷内，项目地理位置详见附图1。</w:t>
      </w:r>
    </w:p>
    <w:p>
      <w:pPr>
        <w:keepNext/>
        <w:keepLines/>
        <w:numPr>
          <w:ilvl w:val="2"/>
          <w:numId w:val="5"/>
        </w:numPr>
        <w:tabs>
          <w:tab w:val="left" w:pos="432"/>
          <w:tab w:val="left" w:pos="567"/>
          <w:tab w:val="left" w:pos="1021"/>
          <w:tab w:val="clear" w:pos="1163"/>
        </w:tabs>
        <w:adjustRightInd w:val="0"/>
        <w:snapToGrid w:val="0"/>
        <w:spacing w:before="156" w:beforeLines="50" w:line="360" w:lineRule="auto"/>
        <w:ind w:left="0" w:firstLine="0"/>
        <w:jc w:val="left"/>
        <w:outlineLvl w:val="2"/>
        <w:rPr>
          <w:b/>
          <w:bCs/>
          <w:snapToGrid w:val="0"/>
          <w:sz w:val="28"/>
          <w:szCs w:val="28"/>
        </w:rPr>
      </w:pPr>
      <w:r>
        <w:rPr>
          <w:b/>
          <w:bCs/>
          <w:snapToGrid w:val="0"/>
          <w:sz w:val="28"/>
          <w:szCs w:val="28"/>
        </w:rPr>
        <w:t>地形、地貌</w:t>
      </w:r>
    </w:p>
    <w:p>
      <w:pPr>
        <w:spacing w:line="360" w:lineRule="auto"/>
        <w:ind w:firstLine="480"/>
        <w:rPr>
          <w:sz w:val="24"/>
        </w:rPr>
      </w:pPr>
      <w:r>
        <w:rPr>
          <w:sz w:val="24"/>
        </w:rPr>
        <w:t>围场满族蒙古族自治县地处内蒙古高原和冀北山地的过渡带，为阴山山脉、大兴安岭山脉的尾部与燕山山脉的结合部，地势西北高东南低。地处坝下、接坝、坝上三大地形区，主要位于坝上草原地区，全县平均海拔1500 米，最高处为大光顶子山，海拔2067 米。</w:t>
      </w:r>
    </w:p>
    <w:p>
      <w:pPr>
        <w:keepNext/>
        <w:keepLines/>
        <w:numPr>
          <w:ilvl w:val="2"/>
          <w:numId w:val="5"/>
        </w:numPr>
        <w:tabs>
          <w:tab w:val="left" w:pos="432"/>
          <w:tab w:val="left" w:pos="567"/>
          <w:tab w:val="left" w:pos="1021"/>
          <w:tab w:val="clear" w:pos="1163"/>
        </w:tabs>
        <w:adjustRightInd w:val="0"/>
        <w:snapToGrid w:val="0"/>
        <w:spacing w:before="156" w:beforeLines="50" w:line="360" w:lineRule="auto"/>
        <w:ind w:left="0" w:firstLine="0"/>
        <w:jc w:val="left"/>
        <w:outlineLvl w:val="2"/>
        <w:rPr>
          <w:b/>
          <w:bCs/>
          <w:snapToGrid w:val="0"/>
          <w:sz w:val="28"/>
          <w:szCs w:val="28"/>
        </w:rPr>
      </w:pPr>
      <w:r>
        <w:rPr>
          <w:b/>
          <w:bCs/>
          <w:snapToGrid w:val="0"/>
          <w:sz w:val="28"/>
          <w:szCs w:val="28"/>
        </w:rPr>
        <w:t>气候与气象</w:t>
      </w:r>
    </w:p>
    <w:p>
      <w:pPr>
        <w:adjustRightInd w:val="0"/>
        <w:snapToGrid w:val="0"/>
        <w:spacing w:line="360" w:lineRule="auto"/>
        <w:ind w:firstLine="480" w:firstLineChars="200"/>
        <w:rPr>
          <w:sz w:val="24"/>
          <w:szCs w:val="24"/>
        </w:rPr>
      </w:pPr>
      <w:r>
        <w:rPr>
          <w:sz w:val="24"/>
          <w:szCs w:val="24"/>
        </w:rPr>
        <w:t>围场属北（寒）温带—中温带、半湿润—半干旱、大陆性季风型、高原—山地气候。冬长夏短；夏半年，受副热带暖高压影响，盛行偏南风，天气温暖多雨，无明显盛暑季节；冬半年受西伯利亚冷高压控制，盛行偏北风，气候寒冷干燥。春秋两季则是这两种气团的转换季节，风向多变，天气复杂，气温变化剧烈，春季气温回暖快天气干燥少雨，而秋季则气温迅速变凉，气候凉爽怡人。且坝上、坝下不同区域气候条件很不一致，小气候差异很大。</w:t>
      </w:r>
    </w:p>
    <w:p>
      <w:pPr>
        <w:adjustRightInd w:val="0"/>
        <w:snapToGrid w:val="0"/>
        <w:spacing w:line="360" w:lineRule="auto"/>
        <w:ind w:firstLine="480" w:firstLineChars="200"/>
        <w:rPr>
          <w:sz w:val="24"/>
          <w:szCs w:val="24"/>
        </w:rPr>
      </w:pPr>
      <w:r>
        <w:rPr>
          <w:sz w:val="24"/>
          <w:szCs w:val="24"/>
        </w:rPr>
        <w:t>围场满族蒙古族自治县全年平均日照时数为2577 小时～2832 小时；日照百分率为58%～64%。其中4～9 月日照时数近1500 小时，超过全年日照时数的55%。每年九月至次年五月为霜冻期，无霜期短。围场满族蒙古族自治县年平均气温3.3℃。最冷月为1月，平均气温-13.2℃，极端最低气温-42.90℃，出现在御道口牧场；最热月为7月，平均气温20.7℃。年平均最高气温在7.00～13.00℃之间，年平均最低气温在-8～4℃之间。</w:t>
      </w:r>
    </w:p>
    <w:p>
      <w:pPr>
        <w:adjustRightInd w:val="0"/>
        <w:snapToGrid w:val="0"/>
        <w:spacing w:line="360" w:lineRule="auto"/>
        <w:ind w:firstLine="480" w:firstLineChars="200"/>
        <w:rPr>
          <w:sz w:val="24"/>
          <w:szCs w:val="24"/>
        </w:rPr>
      </w:pPr>
      <w:r>
        <w:rPr>
          <w:sz w:val="24"/>
          <w:szCs w:val="24"/>
        </w:rPr>
        <w:t>常年主导风向为西北风和东南风，5-9月盛行东南风，其它各月盛行西北风。年平均风速为2.17米／秒，最大风速为15.5米／秒（10分钟平均）。</w:t>
      </w:r>
    </w:p>
    <w:p>
      <w:pPr>
        <w:adjustRightInd w:val="0"/>
        <w:snapToGrid w:val="0"/>
        <w:spacing w:line="360" w:lineRule="auto"/>
        <w:ind w:firstLine="480" w:firstLineChars="200"/>
        <w:rPr>
          <w:sz w:val="24"/>
          <w:szCs w:val="24"/>
        </w:rPr>
      </w:pPr>
      <w:bookmarkStart w:id="112" w:name="_Hlk93654278"/>
      <w:r>
        <w:rPr>
          <w:sz w:val="24"/>
          <w:szCs w:val="24"/>
        </w:rPr>
        <w:t>围场满族蒙古族自治县年降水量为300～560毫米</w:t>
      </w:r>
      <w:bookmarkEnd w:id="112"/>
      <w:r>
        <w:rPr>
          <w:sz w:val="24"/>
          <w:szCs w:val="24"/>
        </w:rPr>
        <w:t>，时空分布上差异较大。从地理分布看，县西为少雨区，县东为较少雨区，县中为多雨区。从季节分布看，降水主要集中在夏季，6～8月降水量占全年降水量的68%～72%，春季雨量较少，仅占全年降水量的12%～15%。在冬季，北部坝上地区降水量多于中南部，可达10毫米以上，其他乡镇为3～5毫米。作物生育期间的降水量占全年的85%左右。</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0" w:firstLine="0"/>
        <w:jc w:val="left"/>
        <w:outlineLvl w:val="2"/>
        <w:rPr>
          <w:b/>
          <w:bCs/>
          <w:snapToGrid w:val="0"/>
          <w:sz w:val="28"/>
          <w:szCs w:val="28"/>
        </w:rPr>
      </w:pPr>
      <w:r>
        <w:rPr>
          <w:b/>
          <w:bCs/>
          <w:snapToGrid w:val="0"/>
          <w:sz w:val="28"/>
          <w:szCs w:val="28"/>
        </w:rPr>
        <w:t>地表水系</w:t>
      </w:r>
    </w:p>
    <w:p>
      <w:pPr>
        <w:widowControl/>
        <w:adjustRightInd w:val="0"/>
        <w:snapToGrid w:val="0"/>
        <w:spacing w:line="360" w:lineRule="auto"/>
        <w:ind w:firstLine="480" w:firstLineChars="200"/>
        <w:jc w:val="left"/>
        <w:rPr>
          <w:sz w:val="24"/>
          <w:szCs w:val="24"/>
        </w:rPr>
      </w:pPr>
      <w:r>
        <w:rPr>
          <w:sz w:val="24"/>
          <w:szCs w:val="24"/>
        </w:rPr>
        <w:t>围场满族蒙古族自治县河流较多，水浅流急，受雨水补给影响，流量变化大。可分为滦河和辽河水系。境内有伊逊河、小滦河、伊马吐河、阴河、舍利嘎河、乌拉带河六大河系，总经流量12.5亿m3。全县有水库四座，机井2000眼，地下水可开采量为5.77亿立方米。</w:t>
      </w:r>
    </w:p>
    <w:p>
      <w:pPr>
        <w:widowControl/>
        <w:adjustRightInd w:val="0"/>
        <w:snapToGrid w:val="0"/>
        <w:spacing w:line="360" w:lineRule="auto"/>
        <w:ind w:firstLine="480" w:firstLineChars="200"/>
        <w:jc w:val="left"/>
        <w:rPr>
          <w:sz w:val="24"/>
          <w:szCs w:val="24"/>
        </w:rPr>
      </w:pPr>
      <w:r>
        <w:rPr>
          <w:rFonts w:hint="eastAsia"/>
          <w:sz w:val="24"/>
          <w:szCs w:val="24"/>
        </w:rPr>
        <w:t>伊逊河是滦河支流之一，发源于河北省围场满族蒙古族自治县哈里哈老岭山东麓，在滦平县西地乡下湾子村汇入滦河，全长214km，流域面积6689km</w:t>
      </w:r>
      <w:r>
        <w:rPr>
          <w:rFonts w:hint="eastAsia"/>
          <w:sz w:val="24"/>
          <w:szCs w:val="24"/>
          <w:vertAlign w:val="superscript"/>
        </w:rPr>
        <w:t>2</w:t>
      </w:r>
      <w:r>
        <w:rPr>
          <w:rFonts w:hint="eastAsia"/>
          <w:sz w:val="24"/>
          <w:szCs w:val="24"/>
        </w:rPr>
        <w:t>。</w:t>
      </w:r>
    </w:p>
    <w:p>
      <w:pPr>
        <w:widowControl/>
        <w:adjustRightInd w:val="0"/>
        <w:snapToGrid w:val="0"/>
        <w:spacing w:line="360" w:lineRule="auto"/>
        <w:ind w:firstLine="480" w:firstLineChars="200"/>
        <w:jc w:val="left"/>
        <w:rPr>
          <w:sz w:val="24"/>
          <w:szCs w:val="24"/>
        </w:rPr>
      </w:pPr>
      <w:r>
        <w:rPr>
          <w:rFonts w:hint="eastAsia"/>
          <w:sz w:val="24"/>
          <w:szCs w:val="24"/>
        </w:rPr>
        <w:t>伊逊河自围场满族蒙古族自治县老岭山东麓翠花宫南流经小南够厚，纳母子沟后始称伊逊河，南流至棋盘山，左岸纳五道川河，然后东南流经小锥子山，右岸有大唤起河汇入，至龙头山右岸有道坝子河汇入，下流至围场镇左纳湖泗汰沟，有纳吉布汰沟，过围场后流至小簸箕掌在左岸有不澄河汇入，下至四合永镇合字村右岸由黄土坎河汇入，而后汇入庙宫水库，出库后左岸有四道沟汇入，至横河子村进入隆化县，在隆化境内先后有东杨树沟，疙瘩营西沟等支流和最大支流蚁蚂吐河汇入，向下蜿蜒迂回于山中至二道河子后进入滦平县，在滦平县内二道沟门附近右岸纳哈叭沁川后在下湾子村汇入滦河。</w:t>
      </w:r>
    </w:p>
    <w:p>
      <w:pPr>
        <w:widowControl/>
        <w:adjustRightInd w:val="0"/>
        <w:snapToGrid w:val="0"/>
        <w:spacing w:line="360" w:lineRule="auto"/>
        <w:ind w:firstLine="480" w:firstLineChars="200"/>
        <w:jc w:val="left"/>
        <w:rPr>
          <w:sz w:val="24"/>
          <w:szCs w:val="24"/>
        </w:rPr>
      </w:pPr>
      <w:r>
        <w:rPr>
          <w:rFonts w:hint="eastAsia"/>
          <w:sz w:val="24"/>
          <w:szCs w:val="24"/>
        </w:rPr>
        <w:t>伊逊河流域抵触燕山山脉中段土石山区，坡面土层较厚。狗和密度大，切割深，山高坡陡，易冲刷。境内地势北高南低，群山环抱，地势差异大。流域内植被较好，覆盖率达47%以上。</w:t>
      </w:r>
    </w:p>
    <w:p>
      <w:pPr>
        <w:widowControl/>
        <w:adjustRightInd w:val="0"/>
        <w:snapToGrid w:val="0"/>
        <w:spacing w:line="360" w:lineRule="auto"/>
        <w:ind w:firstLine="480" w:firstLineChars="200"/>
        <w:jc w:val="left"/>
        <w:rPr>
          <w:sz w:val="24"/>
          <w:szCs w:val="24"/>
        </w:rPr>
      </w:pPr>
      <w:r>
        <w:rPr>
          <w:rFonts w:hint="eastAsia"/>
          <w:sz w:val="24"/>
          <w:szCs w:val="24"/>
        </w:rPr>
        <w:t>伊逊河流域属于温带半干旱半湿润、大陆性季风型冀北山地气候，四季分明。年降水量在450—550mm之间。伊逊河下游韩家营水文站历史最大洪峰流量2486m</w:t>
      </w:r>
      <w:r>
        <w:rPr>
          <w:rFonts w:hint="eastAsia"/>
          <w:sz w:val="24"/>
          <w:szCs w:val="24"/>
          <w:vertAlign w:val="superscript"/>
        </w:rPr>
        <w:t>3</w:t>
      </w:r>
      <w:r>
        <w:rPr>
          <w:rFonts w:hint="eastAsia"/>
          <w:sz w:val="24"/>
          <w:szCs w:val="24"/>
        </w:rPr>
        <w:t>/s，实测最大洪峰量为1958年的2020m</w:t>
      </w:r>
      <w:r>
        <w:rPr>
          <w:rFonts w:hint="eastAsia"/>
          <w:sz w:val="24"/>
          <w:szCs w:val="24"/>
          <w:vertAlign w:val="superscript"/>
        </w:rPr>
        <w:t>3</w:t>
      </w:r>
      <w:r>
        <w:rPr>
          <w:rFonts w:hint="eastAsia"/>
          <w:sz w:val="24"/>
          <w:szCs w:val="24"/>
        </w:rPr>
        <w:t>/s。流域内建有庙宫大型水库1座，钓鱼台中型水库一座及二道川、扣花营、台子水、黑山口等小型水库。</w:t>
      </w:r>
    </w:p>
    <w:p>
      <w:pPr>
        <w:widowControl/>
        <w:adjustRightInd w:val="0"/>
        <w:snapToGrid w:val="0"/>
        <w:spacing w:line="360" w:lineRule="auto"/>
        <w:ind w:firstLine="480" w:firstLineChars="200"/>
        <w:jc w:val="left"/>
        <w:rPr>
          <w:sz w:val="24"/>
          <w:szCs w:val="24"/>
        </w:rPr>
      </w:pPr>
      <w:r>
        <w:rPr>
          <w:sz w:val="24"/>
          <w:szCs w:val="24"/>
        </w:rPr>
        <w:t>大唤起河为伊逊河的支流，在大唤起乡大八号村东自西向东汇入伊逊河。大唤起河发源于大唤起乡鹿场北侧红砬子林场内，河流长约50km。</w:t>
      </w:r>
    </w:p>
    <w:p>
      <w:pPr>
        <w:widowControl/>
        <w:adjustRightInd w:val="0"/>
        <w:snapToGrid w:val="0"/>
        <w:spacing w:line="360" w:lineRule="auto"/>
        <w:ind w:firstLine="480" w:firstLineChars="200"/>
        <w:jc w:val="left"/>
        <w:rPr>
          <w:sz w:val="24"/>
          <w:szCs w:val="24"/>
        </w:rPr>
      </w:pPr>
      <w:r>
        <w:rPr>
          <w:sz w:val="24"/>
          <w:szCs w:val="24"/>
        </w:rPr>
        <w:t>小滦河自北向南流经西部地区，在围场满族蒙古族自治县境内长95公里，该河源于塞罕坝上茂密的森林，因汇入滦河故得名“小滦河”。</w:t>
      </w:r>
    </w:p>
    <w:p>
      <w:pPr>
        <w:widowControl/>
        <w:adjustRightInd w:val="0"/>
        <w:snapToGrid w:val="0"/>
        <w:spacing w:line="360" w:lineRule="auto"/>
        <w:ind w:firstLine="480" w:firstLineChars="200"/>
        <w:jc w:val="left"/>
        <w:rPr>
          <w:sz w:val="24"/>
          <w:szCs w:val="24"/>
        </w:rPr>
      </w:pPr>
      <w:r>
        <w:rPr>
          <w:sz w:val="24"/>
          <w:szCs w:val="24"/>
        </w:rPr>
        <w:t>阴河源于北部接坝地区，在围场满族蒙古族自治县境内长62.1公里，也是围场满族蒙古族自治县北部最大的河。</w:t>
      </w:r>
    </w:p>
    <w:p>
      <w:pPr>
        <w:adjustRightInd w:val="0"/>
        <w:snapToGrid w:val="0"/>
        <w:spacing w:line="360" w:lineRule="auto"/>
        <w:ind w:firstLine="480" w:firstLineChars="200"/>
        <w:rPr>
          <w:sz w:val="24"/>
        </w:rPr>
      </w:pPr>
      <w:r>
        <w:rPr>
          <w:rFonts w:hint="eastAsia"/>
          <w:sz w:val="24"/>
        </w:rPr>
        <w:t>本项目位于</w:t>
      </w:r>
      <w:r>
        <w:rPr>
          <w:sz w:val="24"/>
          <w:szCs w:val="24"/>
        </w:rPr>
        <w:t>伊逊河</w:t>
      </w:r>
      <w:r>
        <w:rPr>
          <w:rFonts w:hint="eastAsia"/>
          <w:sz w:val="24"/>
          <w:szCs w:val="24"/>
        </w:rPr>
        <w:t>东北方向，</w:t>
      </w:r>
      <w:r>
        <w:rPr>
          <w:rFonts w:hint="eastAsia"/>
          <w:sz w:val="24"/>
        </w:rPr>
        <w:t>距离</w:t>
      </w:r>
      <w:r>
        <w:rPr>
          <w:sz w:val="24"/>
          <w:szCs w:val="24"/>
        </w:rPr>
        <w:t>伊逊河</w:t>
      </w:r>
      <w:r>
        <w:rPr>
          <w:rFonts w:hint="eastAsia"/>
          <w:sz w:val="24"/>
          <w:szCs w:val="24"/>
        </w:rPr>
        <w:t>直线距离1</w:t>
      </w:r>
      <w:r>
        <w:rPr>
          <w:sz w:val="24"/>
          <w:szCs w:val="24"/>
        </w:rPr>
        <w:t>.8</w:t>
      </w:r>
      <w:r>
        <w:rPr>
          <w:rFonts w:hint="eastAsia"/>
          <w:sz w:val="24"/>
          <w:szCs w:val="24"/>
        </w:rPr>
        <w:t>km。</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0" w:firstLine="0"/>
        <w:jc w:val="left"/>
        <w:outlineLvl w:val="2"/>
        <w:rPr>
          <w:b/>
          <w:bCs/>
          <w:snapToGrid w:val="0"/>
          <w:sz w:val="28"/>
          <w:szCs w:val="28"/>
        </w:rPr>
      </w:pPr>
      <w:r>
        <w:rPr>
          <w:rFonts w:hint="eastAsia"/>
          <w:b/>
          <w:bCs/>
          <w:snapToGrid w:val="0"/>
          <w:sz w:val="28"/>
          <w:szCs w:val="28"/>
        </w:rPr>
        <w:t xml:space="preserve"> </w:t>
      </w:r>
      <w:r>
        <w:rPr>
          <w:b/>
          <w:bCs/>
          <w:snapToGrid w:val="0"/>
          <w:sz w:val="28"/>
          <w:szCs w:val="28"/>
        </w:rPr>
        <w:t>水文地质</w:t>
      </w:r>
    </w:p>
    <w:p>
      <w:pPr>
        <w:keepNext/>
        <w:keepLines/>
        <w:numPr>
          <w:ilvl w:val="3"/>
          <w:numId w:val="5"/>
        </w:numPr>
        <w:tabs>
          <w:tab w:val="left" w:pos="432"/>
          <w:tab w:val="left" w:pos="851"/>
          <w:tab w:val="left" w:pos="1247"/>
          <w:tab w:val="clear" w:pos="1389"/>
        </w:tabs>
        <w:adjustRightInd w:val="0"/>
        <w:snapToGrid w:val="0"/>
        <w:spacing w:after="260" w:line="360" w:lineRule="auto"/>
        <w:ind w:left="1290" w:hanging="1290" w:hangingChars="459"/>
        <w:jc w:val="left"/>
        <w:outlineLvl w:val="3"/>
        <w:rPr>
          <w:b/>
          <w:bCs/>
          <w:snapToGrid w:val="0"/>
          <w:sz w:val="28"/>
          <w:szCs w:val="28"/>
        </w:rPr>
      </w:pPr>
      <w:r>
        <w:rPr>
          <w:rFonts w:hint="eastAsia"/>
          <w:b/>
          <w:bCs/>
          <w:snapToGrid w:val="0"/>
          <w:sz w:val="28"/>
          <w:szCs w:val="28"/>
        </w:rPr>
        <w:t>区域地质条件</w:t>
      </w:r>
    </w:p>
    <w:p>
      <w:pPr>
        <w:adjustRightInd w:val="0"/>
        <w:snapToGrid w:val="0"/>
        <w:spacing w:line="360" w:lineRule="auto"/>
        <w:ind w:firstLine="562" w:firstLineChars="200"/>
        <w:rPr>
          <w:b/>
          <w:bCs/>
          <w:sz w:val="28"/>
          <w:szCs w:val="28"/>
        </w:rPr>
      </w:pPr>
      <w:r>
        <w:rPr>
          <w:rFonts w:hint="eastAsia"/>
          <w:b/>
          <w:bCs/>
          <w:sz w:val="28"/>
          <w:szCs w:val="28"/>
        </w:rPr>
        <w:t>1、地质构造</w:t>
      </w:r>
    </w:p>
    <w:p>
      <w:pPr>
        <w:adjustRightInd w:val="0"/>
        <w:snapToGrid w:val="0"/>
        <w:spacing w:line="360" w:lineRule="auto"/>
        <w:ind w:firstLine="480" w:firstLineChars="200"/>
        <w:rPr>
          <w:sz w:val="24"/>
          <w:szCs w:val="22"/>
        </w:rPr>
      </w:pPr>
      <w:r>
        <w:rPr>
          <w:rFonts w:hint="eastAsia"/>
          <w:sz w:val="24"/>
          <w:szCs w:val="22"/>
        </w:rPr>
        <w:t>据“冀京津构造单元分区图</w:t>
      </w:r>
      <w:r>
        <w:rPr>
          <w:sz w:val="24"/>
          <w:szCs w:val="22"/>
        </w:rPr>
        <w:t>”开发区所处大地构造单元为：Ⅰ级构造单元内蒙—大兴安岭褶皱系（Ⅰ1），Ⅱ级构造单元内蒙华力西晚期褶皱带（Ⅱ11），Ⅲ级构造单元多伦复背斜（Ⅲ11），Ⅳ级构造单元棋盘山中凹陷（Ⅳ12）。康保—围场深大断裂带自西而东横贯围</w:t>
      </w:r>
      <w:r>
        <w:rPr>
          <w:rFonts w:hint="eastAsia"/>
          <w:sz w:val="24"/>
          <w:szCs w:val="22"/>
        </w:rPr>
        <w:t>场境内。此外尚有呈NE向的次级断裂展布与上述区域性断裂交织成网状。</w:t>
      </w:r>
    </w:p>
    <w:p>
      <w:pPr>
        <w:adjustRightInd w:val="0"/>
        <w:snapToGrid w:val="0"/>
        <w:spacing w:line="360" w:lineRule="auto"/>
        <w:ind w:firstLine="562" w:firstLineChars="200"/>
        <w:rPr>
          <w:b/>
          <w:bCs/>
          <w:sz w:val="28"/>
          <w:szCs w:val="28"/>
        </w:rPr>
      </w:pPr>
      <w:r>
        <w:rPr>
          <w:rFonts w:hint="eastAsia"/>
          <w:b/>
          <w:bCs/>
          <w:sz w:val="28"/>
          <w:szCs w:val="28"/>
        </w:rPr>
        <w:t>2、地岩层性</w:t>
      </w:r>
    </w:p>
    <w:p>
      <w:pPr>
        <w:adjustRightInd w:val="0"/>
        <w:snapToGrid w:val="0"/>
        <w:spacing w:line="360" w:lineRule="auto"/>
        <w:ind w:firstLine="480" w:firstLineChars="200"/>
        <w:rPr>
          <w:sz w:val="24"/>
          <w:szCs w:val="24"/>
        </w:rPr>
      </w:pPr>
      <w:r>
        <w:rPr>
          <w:rFonts w:hint="eastAsia"/>
          <w:sz w:val="24"/>
          <w:szCs w:val="22"/>
        </w:rPr>
        <w:t>该区出露地层较为简单，分述如下：</w:t>
      </w:r>
    </w:p>
    <w:p>
      <w:pPr>
        <w:adjustRightInd w:val="0"/>
        <w:snapToGrid w:val="0"/>
        <w:spacing w:line="360" w:lineRule="auto"/>
        <w:ind w:firstLine="480" w:firstLineChars="200"/>
        <w:rPr>
          <w:sz w:val="24"/>
          <w:szCs w:val="22"/>
        </w:rPr>
      </w:pPr>
      <w:r>
        <w:rPr>
          <w:rFonts w:hint="eastAsia"/>
          <w:sz w:val="24"/>
          <w:szCs w:val="22"/>
        </w:rPr>
        <w:t>①沉积岩</w:t>
      </w:r>
    </w:p>
    <w:p>
      <w:pPr>
        <w:adjustRightInd w:val="0"/>
        <w:snapToGrid w:val="0"/>
        <w:spacing w:line="360" w:lineRule="auto"/>
        <w:ind w:firstLine="480" w:firstLineChars="200"/>
        <w:rPr>
          <w:sz w:val="24"/>
          <w:szCs w:val="22"/>
        </w:rPr>
      </w:pPr>
      <w:r>
        <w:rPr>
          <w:rFonts w:hint="eastAsia"/>
          <w:sz w:val="24"/>
          <w:szCs w:val="22"/>
        </w:rPr>
        <w:t>侏罗系上统张家口组（J</w:t>
      </w:r>
      <w:r>
        <w:rPr>
          <w:rFonts w:hint="eastAsia"/>
          <w:sz w:val="24"/>
          <w:szCs w:val="22"/>
          <w:vertAlign w:val="subscript"/>
        </w:rPr>
        <w:t>3</w:t>
      </w:r>
      <w:r>
        <w:rPr>
          <w:rFonts w:hint="eastAsia"/>
          <w:sz w:val="24"/>
          <w:szCs w:val="22"/>
        </w:rPr>
        <w:t>z）：岩性为凝灰岩、流纹岩，在该区出露面积较广，东部、北部及西部均有出露，出露面积约7.0Km2，倾角一般为30°左右。</w:t>
      </w:r>
    </w:p>
    <w:p>
      <w:pPr>
        <w:adjustRightInd w:val="0"/>
        <w:snapToGrid w:val="0"/>
        <w:spacing w:line="360" w:lineRule="auto"/>
        <w:ind w:firstLine="480" w:firstLineChars="200"/>
        <w:rPr>
          <w:sz w:val="24"/>
          <w:szCs w:val="22"/>
        </w:rPr>
      </w:pPr>
      <w:r>
        <w:rPr>
          <w:rFonts w:hint="eastAsia"/>
          <w:sz w:val="24"/>
          <w:szCs w:val="22"/>
        </w:rPr>
        <w:t>二迭系上统凝灰质砂砾岩（P</w:t>
      </w:r>
      <w:r>
        <w:rPr>
          <w:rFonts w:hint="eastAsia"/>
          <w:sz w:val="24"/>
          <w:szCs w:val="22"/>
          <w:vertAlign w:val="subscript"/>
        </w:rPr>
        <w:t>2</w:t>
      </w:r>
      <w:r>
        <w:rPr>
          <w:rFonts w:hint="eastAsia"/>
          <w:sz w:val="24"/>
          <w:szCs w:val="22"/>
        </w:rPr>
        <w:t>）：粒状结构，块状构造，主要分布于图幅东南角，出露面积约1.4 km2。</w:t>
      </w:r>
    </w:p>
    <w:p>
      <w:pPr>
        <w:adjustRightInd w:val="0"/>
        <w:snapToGrid w:val="0"/>
        <w:spacing w:line="360" w:lineRule="auto"/>
        <w:ind w:firstLine="480" w:firstLineChars="200"/>
        <w:rPr>
          <w:sz w:val="24"/>
          <w:szCs w:val="22"/>
        </w:rPr>
      </w:pPr>
      <w:r>
        <w:rPr>
          <w:rFonts w:hint="eastAsia"/>
          <w:sz w:val="24"/>
          <w:szCs w:val="22"/>
        </w:rPr>
        <w:t>新近系中新统汉诺坝组（N</w:t>
      </w:r>
      <w:r>
        <w:rPr>
          <w:rFonts w:hint="eastAsia"/>
          <w:sz w:val="24"/>
          <w:szCs w:val="22"/>
          <w:vertAlign w:val="subscript"/>
        </w:rPr>
        <w:t>1</w:t>
      </w:r>
      <w:r>
        <w:rPr>
          <w:rFonts w:hint="eastAsia"/>
          <w:sz w:val="24"/>
          <w:szCs w:val="22"/>
        </w:rPr>
        <w:t>h）：岩性为玄武岩，又称“棋盘山玄武岩”，斑状结构，杏仁构造，直接超覆于白垩系、侏罗系之上，与上覆上新统及第四系呈不整合接触，总厚56-508m。</w:t>
      </w:r>
    </w:p>
    <w:p>
      <w:pPr>
        <w:adjustRightInd w:val="0"/>
        <w:snapToGrid w:val="0"/>
        <w:spacing w:line="360" w:lineRule="auto"/>
        <w:ind w:firstLine="480" w:firstLineChars="200"/>
        <w:rPr>
          <w:sz w:val="24"/>
          <w:szCs w:val="22"/>
        </w:rPr>
      </w:pPr>
      <w:r>
        <w:rPr>
          <w:rFonts w:hint="eastAsia"/>
          <w:sz w:val="24"/>
          <w:szCs w:val="22"/>
        </w:rPr>
        <w:t>第四系（Q</w:t>
      </w:r>
      <w:r>
        <w:rPr>
          <w:rFonts w:hint="eastAsia"/>
          <w:sz w:val="24"/>
          <w:szCs w:val="22"/>
          <w:vertAlign w:val="subscript"/>
        </w:rPr>
        <w:t>4</w:t>
      </w:r>
      <w:r>
        <w:rPr>
          <w:rFonts w:hint="eastAsia"/>
          <w:sz w:val="24"/>
          <w:szCs w:val="22"/>
          <w:vertAlign w:val="superscript"/>
        </w:rPr>
        <w:t>al+pl</w:t>
      </w:r>
      <w:r>
        <w:rPr>
          <w:rFonts w:hint="eastAsia"/>
          <w:sz w:val="24"/>
          <w:szCs w:val="22"/>
        </w:rPr>
        <w:t>）：主要分布于河流两侧，主要为卵石层。砾石呈亚圆状，直径0.2～4cm，最大大于16cm，磨圆度中等，分选性差，厚10～27m。</w:t>
      </w:r>
    </w:p>
    <w:p>
      <w:pPr>
        <w:adjustRightInd w:val="0"/>
        <w:snapToGrid w:val="0"/>
        <w:spacing w:line="360" w:lineRule="auto"/>
        <w:ind w:firstLine="480" w:firstLineChars="200"/>
        <w:rPr>
          <w:sz w:val="24"/>
          <w:szCs w:val="22"/>
        </w:rPr>
      </w:pPr>
      <w:r>
        <w:rPr>
          <w:rFonts w:hint="eastAsia"/>
          <w:sz w:val="24"/>
          <w:szCs w:val="22"/>
        </w:rPr>
        <w:t>②岩浆岩</w:t>
      </w:r>
    </w:p>
    <w:p>
      <w:pPr>
        <w:adjustRightInd w:val="0"/>
        <w:snapToGrid w:val="0"/>
        <w:spacing w:line="360" w:lineRule="auto"/>
        <w:ind w:firstLine="480" w:firstLineChars="200"/>
        <w:rPr>
          <w:sz w:val="24"/>
          <w:szCs w:val="22"/>
        </w:rPr>
      </w:pPr>
      <w:r>
        <w:rPr>
          <w:rFonts w:hint="eastAsia"/>
          <w:sz w:val="24"/>
          <w:szCs w:val="22"/>
        </w:rPr>
        <w:t>区内岩浆岩主要为次石英斑岩</w:t>
      </w:r>
      <w:r>
        <w:rPr>
          <w:sz w:val="24"/>
          <w:szCs w:val="22"/>
        </w:rPr>
        <w:t>（Cγπ52）和燕山期花岗岩（γ52）</w:t>
      </w:r>
      <w:r>
        <w:rPr>
          <w:rFonts w:hint="eastAsia"/>
          <w:sz w:val="24"/>
          <w:szCs w:val="22"/>
        </w:rPr>
        <w:t>，次石英斑岩出露于大八号村两侧；燕山期花岗岩出露于大八号村南侧。</w:t>
      </w:r>
    </w:p>
    <w:p>
      <w:pPr>
        <w:keepNext/>
        <w:adjustRightInd w:val="0"/>
        <w:snapToGrid w:val="0"/>
        <w:spacing w:line="360" w:lineRule="auto"/>
        <w:rPr>
          <w:sz w:val="24"/>
          <w:szCs w:val="22"/>
        </w:rPr>
      </w:pPr>
      <w:r>
        <w:rPr>
          <w:sz w:val="24"/>
          <w:szCs w:val="22"/>
        </w:rPr>
        <w:drawing>
          <wp:anchor distT="0" distB="0" distL="114300" distR="114300" simplePos="0" relativeHeight="251764736" behindDoc="0" locked="0" layoutInCell="1" allowOverlap="1">
            <wp:simplePos x="0" y="0"/>
            <wp:positionH relativeFrom="column">
              <wp:posOffset>3423285</wp:posOffset>
            </wp:positionH>
            <wp:positionV relativeFrom="paragraph">
              <wp:posOffset>431800</wp:posOffset>
            </wp:positionV>
            <wp:extent cx="971550" cy="552450"/>
            <wp:effectExtent l="0" t="0" r="0" b="0"/>
            <wp:wrapNone/>
            <wp:docPr id="1417" name="图片 1417" descr="C:\Users\ADMINI~1\AppData\Local\Temp\ksohtml1230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图片 1417" descr="C:\Users\ADMINI~1\AppData\Local\Temp\ksohtml12300\wps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971550" cy="552450"/>
                    </a:xfrm>
                    <a:prstGeom prst="rect">
                      <a:avLst/>
                    </a:prstGeom>
                    <a:noFill/>
                    <a:ln>
                      <a:noFill/>
                    </a:ln>
                  </pic:spPr>
                </pic:pic>
              </a:graphicData>
            </a:graphic>
          </wp:anchor>
        </w:drawing>
      </w:r>
      <w:r>
        <w:rPr>
          <w:sz w:val="24"/>
          <w:szCs w:val="22"/>
        </w:rPr>
        <w:drawing>
          <wp:inline distT="0" distB="0" distL="0" distR="0">
            <wp:extent cx="5267325" cy="7200900"/>
            <wp:effectExtent l="0" t="0" r="9525" b="0"/>
            <wp:docPr id="1420" name="图片 1420" descr="C:\Users\ADMINI~1\AppData\Local\Temp\ksohtml1230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图片 1420" descr="C:\Users\ADMINI~1\AppData\Local\Temp\ksohtml12300\wps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67325" cy="7200900"/>
                    </a:xfrm>
                    <a:prstGeom prst="rect">
                      <a:avLst/>
                    </a:prstGeom>
                    <a:noFill/>
                    <a:ln>
                      <a:noFill/>
                    </a:ln>
                  </pic:spPr>
                </pic:pic>
              </a:graphicData>
            </a:graphic>
          </wp:inline>
        </w:drawing>
      </w:r>
    </w:p>
    <w:p>
      <w:pPr>
        <w:widowControl/>
        <w:adjustRightInd w:val="0"/>
        <w:snapToGrid w:val="0"/>
        <w:spacing w:line="360" w:lineRule="auto"/>
        <w:jc w:val="center"/>
        <w:rPr>
          <w:rFonts w:eastAsia="黑体"/>
          <w:b/>
          <w:bCs/>
          <w:sz w:val="24"/>
          <w:szCs w:val="24"/>
        </w:rPr>
      </w:pPr>
      <w:r>
        <w:rPr>
          <w:rFonts w:hint="eastAsia" w:eastAsia="黑体"/>
          <w:b/>
          <w:bCs/>
          <w:sz w:val="24"/>
          <w:szCs w:val="24"/>
        </w:rPr>
        <w:t xml:space="preserve">图 </w:t>
      </w:r>
      <w:r>
        <w:rPr>
          <w:rFonts w:eastAsia="黑体"/>
          <w:b/>
          <w:bCs/>
          <w:sz w:val="24"/>
          <w:szCs w:val="24"/>
        </w:rPr>
        <w:t>4.1</w:t>
      </w:r>
      <w:r>
        <w:rPr>
          <w:rFonts w:eastAsia="黑体"/>
          <w:b/>
          <w:bCs/>
          <w:sz w:val="24"/>
          <w:szCs w:val="24"/>
        </w:rPr>
        <w:noBreakHyphen/>
      </w:r>
      <w:r>
        <w:rPr>
          <w:rFonts w:eastAsia="黑体"/>
          <w:b/>
          <w:bCs/>
          <w:sz w:val="24"/>
          <w:szCs w:val="24"/>
        </w:rPr>
        <w:fldChar w:fldCharType="begin"/>
      </w:r>
      <w:r>
        <w:rPr>
          <w:rFonts w:eastAsia="黑体"/>
          <w:b/>
          <w:bCs/>
          <w:sz w:val="24"/>
          <w:szCs w:val="24"/>
        </w:rPr>
        <w:instrText xml:space="preserve"> </w:instrText>
      </w:r>
      <w:r>
        <w:rPr>
          <w:rFonts w:hint="eastAsia" w:eastAsia="黑体"/>
          <w:b/>
          <w:bCs/>
          <w:sz w:val="24"/>
          <w:szCs w:val="24"/>
        </w:rPr>
        <w:instrText xml:space="preserve">SEQ 图 \* ARABIC \s 2</w:instrText>
      </w:r>
      <w:r>
        <w:rPr>
          <w:rFonts w:eastAsia="黑体"/>
          <w:b/>
          <w:bCs/>
          <w:sz w:val="24"/>
          <w:szCs w:val="24"/>
        </w:rPr>
        <w:instrText xml:space="preserve"> </w:instrText>
      </w:r>
      <w:r>
        <w:rPr>
          <w:rFonts w:eastAsia="黑体"/>
          <w:b/>
          <w:bCs/>
          <w:sz w:val="24"/>
          <w:szCs w:val="24"/>
        </w:rPr>
        <w:fldChar w:fldCharType="separate"/>
      </w:r>
      <w:r>
        <w:rPr>
          <w:rFonts w:eastAsia="黑体"/>
          <w:b/>
          <w:bCs/>
          <w:sz w:val="24"/>
          <w:szCs w:val="24"/>
        </w:rPr>
        <w:t>1</w:t>
      </w:r>
      <w:r>
        <w:rPr>
          <w:rFonts w:eastAsia="黑体"/>
          <w:b/>
          <w:bCs/>
          <w:sz w:val="24"/>
          <w:szCs w:val="24"/>
        </w:rPr>
        <w:fldChar w:fldCharType="end"/>
      </w:r>
      <w:r>
        <w:rPr>
          <w:rFonts w:eastAsia="黑体"/>
          <w:b/>
          <w:bCs/>
          <w:sz w:val="24"/>
          <w:szCs w:val="24"/>
        </w:rPr>
        <w:t xml:space="preserve"> </w:t>
      </w:r>
      <w:r>
        <w:rPr>
          <w:rFonts w:hint="eastAsia" w:ascii="黑体" w:hAnsi="黑体" w:eastAsia="黑体"/>
          <w:b/>
          <w:bCs/>
          <w:sz w:val="24"/>
          <w:szCs w:val="24"/>
        </w:rPr>
        <w:t>河北省构造单元分区图</w:t>
      </w:r>
    </w:p>
    <w:p>
      <w:pPr>
        <w:keepNext/>
        <w:keepLines/>
        <w:numPr>
          <w:ilvl w:val="3"/>
          <w:numId w:val="5"/>
        </w:numPr>
        <w:tabs>
          <w:tab w:val="left" w:pos="432"/>
          <w:tab w:val="left" w:pos="851"/>
          <w:tab w:val="left" w:pos="1247"/>
          <w:tab w:val="clear" w:pos="1389"/>
        </w:tabs>
        <w:adjustRightInd w:val="0"/>
        <w:snapToGrid w:val="0"/>
        <w:spacing w:line="360" w:lineRule="auto"/>
        <w:ind w:left="1290" w:hanging="1290" w:hangingChars="459"/>
        <w:jc w:val="left"/>
        <w:outlineLvl w:val="3"/>
        <w:rPr>
          <w:b/>
          <w:bCs/>
          <w:snapToGrid w:val="0"/>
          <w:sz w:val="28"/>
          <w:szCs w:val="28"/>
        </w:rPr>
      </w:pPr>
      <w:r>
        <w:rPr>
          <w:rFonts w:hint="eastAsia"/>
          <w:b/>
          <w:bCs/>
          <w:snapToGrid w:val="0"/>
          <w:sz w:val="28"/>
          <w:szCs w:val="28"/>
        </w:rPr>
        <w:t>区域水文地质条件</w:t>
      </w:r>
    </w:p>
    <w:p>
      <w:pPr>
        <w:adjustRightInd w:val="0"/>
        <w:snapToGrid w:val="0"/>
        <w:spacing w:line="360" w:lineRule="auto"/>
        <w:ind w:firstLine="562" w:firstLineChars="200"/>
        <w:rPr>
          <w:b/>
          <w:bCs/>
          <w:sz w:val="28"/>
          <w:szCs w:val="28"/>
        </w:rPr>
      </w:pPr>
      <w:r>
        <w:rPr>
          <w:rFonts w:hint="eastAsia"/>
          <w:b/>
          <w:bCs/>
          <w:sz w:val="28"/>
          <w:szCs w:val="28"/>
        </w:rPr>
        <w:t>1、区域水文地质分区</w:t>
      </w:r>
    </w:p>
    <w:p>
      <w:pPr>
        <w:adjustRightInd w:val="0"/>
        <w:snapToGrid w:val="0"/>
        <w:spacing w:line="360" w:lineRule="auto"/>
        <w:ind w:firstLine="480" w:firstLineChars="200"/>
        <w:rPr>
          <w:sz w:val="24"/>
          <w:szCs w:val="22"/>
        </w:rPr>
      </w:pPr>
      <w:r>
        <w:rPr>
          <w:rFonts w:hint="eastAsia"/>
          <w:sz w:val="24"/>
          <w:szCs w:val="22"/>
        </w:rPr>
        <w:t>在1：50万的区域水文地质图将承德地</w:t>
      </w:r>
      <w:r>
        <w:rPr>
          <w:sz w:val="24"/>
          <w:szCs w:val="22"/>
        </w:rPr>
        <w:t>区划分为二个水文地质区，即Ⅰ坝上高原水文地质区，Ⅱ燕山山地水文地质区。大唤起位于Ⅱ区内，根据区内地下水类型又可进一步划分为Ⅱ1山间河谷孔隙潜水亚区及Ⅱ2山地基岩裂隙潜水亚区。现将各区分述如下：</w:t>
      </w:r>
    </w:p>
    <w:p>
      <w:pPr>
        <w:adjustRightInd w:val="0"/>
        <w:snapToGrid w:val="0"/>
        <w:spacing w:line="360" w:lineRule="auto"/>
        <w:ind w:firstLine="480" w:firstLineChars="200"/>
        <w:rPr>
          <w:sz w:val="24"/>
          <w:szCs w:val="22"/>
        </w:rPr>
      </w:pPr>
      <w:r>
        <w:rPr>
          <w:sz w:val="24"/>
          <w:szCs w:val="22"/>
        </w:rPr>
        <w:t>山间河谷孔隙潜水亚区（Ⅱ1）：含水层分布于伊逊河及其主要支流两岸，岩性为粗砂卵石，分选性差、厚度4～26m之间，底部隔水层为侏罗系上侏罗统张家口组凝灰质流纹岩。水位埋深0.4～8.2m，地下水动态明显受气象及水文因素所制约。雨季地表水位升高，近河地段潜水水位受河水影响而上升。旱季地表水减少，潜水水位随之下降，主要受大气降水、地表水和基岩裂隙水补给。补给条件良好，渗透性强，其流向与地表水一致，一般纵坡较大，水质好，旱季则通过当地水文网排泄。在供水勘察区附近存在着一条直线状的供水边界。</w:t>
      </w:r>
    </w:p>
    <w:p>
      <w:pPr>
        <w:adjustRightInd w:val="0"/>
        <w:snapToGrid w:val="0"/>
        <w:spacing w:line="360" w:lineRule="auto"/>
        <w:ind w:firstLine="480" w:firstLineChars="200"/>
        <w:rPr>
          <w:sz w:val="24"/>
          <w:szCs w:val="24"/>
        </w:rPr>
      </w:pPr>
      <w:r>
        <w:rPr>
          <w:sz w:val="24"/>
          <w:szCs w:val="22"/>
        </w:rPr>
        <w:t>山地基岩裂隙潜水亚区（Ⅱ2）：分布于包括除伊逊河两岸及其主要支流以外的广大地区，由于岩层大部分直接裸露于地表，故其风化带内一般均含有风化裂隙潜水，多呈面状分布，厚度在30～50m，其富水性与岩性、风化程度及地形条件有关，在古老片麻岩分布区，其表层风化带内普遍赋存孔隙—裂隙潜水，富水性强弱取决于风化带厚度和汇水面积的大小，大气降水为其主要补给来源，局部也可接受第四系孔隙水补给</w:t>
      </w:r>
      <w:r>
        <w:rPr>
          <w:rFonts w:hint="eastAsia"/>
          <w:sz w:val="24"/>
          <w:szCs w:val="22"/>
        </w:rPr>
        <w:t>，</w:t>
      </w:r>
      <w:r>
        <w:rPr>
          <w:sz w:val="24"/>
          <w:szCs w:val="22"/>
        </w:rPr>
        <w:t>并多以泉的形式排泄，地下水动态</w:t>
      </w:r>
      <w:r>
        <w:rPr>
          <w:rFonts w:hint="eastAsia"/>
          <w:sz w:val="24"/>
          <w:szCs w:val="22"/>
        </w:rPr>
        <w:t>一般变化较大。</w:t>
      </w:r>
    </w:p>
    <w:p>
      <w:pPr>
        <w:adjustRightInd w:val="0"/>
        <w:snapToGrid w:val="0"/>
        <w:spacing w:line="360" w:lineRule="auto"/>
        <w:ind w:firstLine="562" w:firstLineChars="200"/>
        <w:rPr>
          <w:b/>
          <w:bCs/>
          <w:sz w:val="28"/>
          <w:szCs w:val="28"/>
        </w:rPr>
      </w:pPr>
      <w:r>
        <w:rPr>
          <w:rFonts w:hint="eastAsia"/>
          <w:b/>
          <w:bCs/>
          <w:sz w:val="28"/>
          <w:szCs w:val="28"/>
        </w:rPr>
        <w:t>2、区域含水层分布、埋藏及其富水性特征</w:t>
      </w:r>
    </w:p>
    <w:p>
      <w:pPr>
        <w:adjustRightInd w:val="0"/>
        <w:snapToGrid w:val="0"/>
        <w:spacing w:line="360" w:lineRule="auto"/>
        <w:ind w:firstLine="480" w:firstLineChars="200"/>
        <w:rPr>
          <w:sz w:val="24"/>
          <w:szCs w:val="22"/>
        </w:rPr>
      </w:pPr>
      <w:r>
        <w:rPr>
          <w:rFonts w:hint="eastAsia"/>
          <w:sz w:val="24"/>
          <w:szCs w:val="22"/>
        </w:rPr>
        <w:t>区域内主要含水层有第四系松散岩类孔隙含水层、碎屑岩类裂隙含水层，现将其分述如下：</w:t>
      </w:r>
    </w:p>
    <w:p>
      <w:pPr>
        <w:adjustRightInd w:val="0"/>
        <w:snapToGrid w:val="0"/>
        <w:spacing w:line="360" w:lineRule="auto"/>
        <w:ind w:firstLine="480" w:firstLineChars="200"/>
        <w:rPr>
          <w:sz w:val="24"/>
          <w:szCs w:val="24"/>
        </w:rPr>
      </w:pPr>
      <w:r>
        <w:rPr>
          <w:rFonts w:hint="eastAsia" w:ascii="宋体" w:hAnsi="宋体"/>
          <w:sz w:val="24"/>
          <w:szCs w:val="22"/>
        </w:rPr>
        <w:t>（</w:t>
      </w:r>
      <w:r>
        <w:rPr>
          <w:rFonts w:hint="eastAsia"/>
          <w:sz w:val="24"/>
          <w:szCs w:val="22"/>
        </w:rPr>
        <w:t>1</w:t>
      </w:r>
      <w:r>
        <w:rPr>
          <w:rFonts w:hint="eastAsia" w:ascii="宋体" w:hAnsi="宋体"/>
          <w:sz w:val="24"/>
          <w:szCs w:val="22"/>
        </w:rPr>
        <w:t>）第四系孔隙含水层：又可分为全新统冲洪积层中的潜水及更新统冲积层中的潜水两类：</w:t>
      </w:r>
    </w:p>
    <w:p>
      <w:pPr>
        <w:adjustRightInd w:val="0"/>
        <w:snapToGrid w:val="0"/>
        <w:spacing w:line="360" w:lineRule="auto"/>
        <w:ind w:firstLine="480" w:firstLineChars="200"/>
        <w:rPr>
          <w:sz w:val="24"/>
          <w:szCs w:val="22"/>
        </w:rPr>
      </w:pPr>
      <w:r>
        <w:rPr>
          <w:rFonts w:hint="eastAsia" w:ascii="宋体" w:hAnsi="宋体"/>
          <w:sz w:val="24"/>
          <w:szCs w:val="22"/>
        </w:rPr>
        <w:t>全新统冲洪积层中的潜水，主要分布在伊逊河及其主要支流的河漫滩、阶地中，其分布范围、岩性结构、厚度及富水性因地而异，一般含水层厚度为</w:t>
      </w:r>
      <w:r>
        <w:rPr>
          <w:rFonts w:hint="eastAsia"/>
          <w:sz w:val="24"/>
          <w:szCs w:val="22"/>
        </w:rPr>
        <w:t>4</w:t>
      </w:r>
      <w:r>
        <w:rPr>
          <w:rFonts w:hint="eastAsia" w:ascii="宋体" w:hAnsi="宋体"/>
          <w:sz w:val="24"/>
          <w:szCs w:val="22"/>
        </w:rPr>
        <w:t>～</w:t>
      </w:r>
      <w:r>
        <w:rPr>
          <w:rFonts w:hint="eastAsia"/>
          <w:sz w:val="24"/>
          <w:szCs w:val="22"/>
        </w:rPr>
        <w:t>26m</w:t>
      </w:r>
      <w:r>
        <w:rPr>
          <w:rFonts w:hint="eastAsia" w:ascii="宋体" w:hAnsi="宋体"/>
          <w:sz w:val="24"/>
          <w:szCs w:val="22"/>
        </w:rPr>
        <w:t>，水位埋深</w:t>
      </w:r>
      <w:r>
        <w:rPr>
          <w:rFonts w:hint="eastAsia"/>
          <w:sz w:val="24"/>
          <w:szCs w:val="22"/>
        </w:rPr>
        <w:t>0.4</w:t>
      </w:r>
      <w:r>
        <w:rPr>
          <w:rFonts w:hint="eastAsia" w:ascii="宋体" w:hAnsi="宋体"/>
          <w:sz w:val="24"/>
          <w:szCs w:val="22"/>
        </w:rPr>
        <w:t>～</w:t>
      </w:r>
      <w:r>
        <w:rPr>
          <w:rFonts w:hint="eastAsia"/>
          <w:sz w:val="24"/>
          <w:szCs w:val="22"/>
        </w:rPr>
        <w:t>8.2m</w:t>
      </w:r>
      <w:r>
        <w:rPr>
          <w:rFonts w:hint="eastAsia" w:ascii="宋体" w:hAnsi="宋体"/>
          <w:sz w:val="24"/>
          <w:szCs w:val="22"/>
        </w:rPr>
        <w:t>。由于潜水位埋藏较浅，容易接受大气降水的渗透补给，地下水流向与地表水近乎一致，雨季期间近河地段，地下水位常受回水影响而上升，旱季地下水则向河流方向排泄，其动态随季节而变化，据区域资料水位变幅为</w:t>
      </w:r>
      <w:r>
        <w:rPr>
          <w:rFonts w:hint="eastAsia"/>
          <w:sz w:val="24"/>
          <w:szCs w:val="22"/>
        </w:rPr>
        <w:t>1.5</w:t>
      </w:r>
      <w:r>
        <w:rPr>
          <w:rFonts w:hint="eastAsia" w:ascii="宋体" w:hAnsi="宋体"/>
          <w:sz w:val="24"/>
          <w:szCs w:val="22"/>
        </w:rPr>
        <w:t>～</w:t>
      </w:r>
      <w:r>
        <w:rPr>
          <w:rFonts w:hint="eastAsia"/>
          <w:sz w:val="24"/>
          <w:szCs w:val="22"/>
        </w:rPr>
        <w:t>2m</w:t>
      </w:r>
      <w:r>
        <w:rPr>
          <w:rFonts w:hint="eastAsia" w:ascii="宋体" w:hAnsi="宋体"/>
          <w:sz w:val="24"/>
          <w:szCs w:val="22"/>
        </w:rPr>
        <w:t>，为区内工农业用水的主要含水层。</w:t>
      </w:r>
    </w:p>
    <w:p>
      <w:pPr>
        <w:adjustRightInd w:val="0"/>
        <w:snapToGrid w:val="0"/>
        <w:spacing w:line="360" w:lineRule="auto"/>
        <w:ind w:firstLine="480" w:firstLineChars="200"/>
        <w:rPr>
          <w:sz w:val="24"/>
          <w:szCs w:val="22"/>
        </w:rPr>
      </w:pPr>
      <w:r>
        <w:rPr>
          <w:rFonts w:hint="eastAsia" w:ascii="宋体" w:hAnsi="宋体"/>
          <w:sz w:val="24"/>
          <w:szCs w:val="22"/>
        </w:rPr>
        <w:t>更新统冲积层中的潜水，本层在区内多呈带状分布，因其透水性较差，且分布面积有限，属富水性弱的地层，其水位埋深为</w:t>
      </w:r>
      <w:r>
        <w:rPr>
          <w:rFonts w:hint="eastAsia"/>
          <w:sz w:val="24"/>
          <w:szCs w:val="22"/>
        </w:rPr>
        <w:t>5</w:t>
      </w:r>
      <w:r>
        <w:rPr>
          <w:rFonts w:hint="eastAsia" w:ascii="宋体" w:hAnsi="宋体"/>
          <w:sz w:val="24"/>
          <w:szCs w:val="22"/>
        </w:rPr>
        <w:t>～</w:t>
      </w:r>
      <w:r>
        <w:rPr>
          <w:rFonts w:hint="eastAsia"/>
          <w:sz w:val="24"/>
          <w:szCs w:val="22"/>
        </w:rPr>
        <w:t>10 m</w:t>
      </w:r>
      <w:r>
        <w:rPr>
          <w:rFonts w:hint="eastAsia" w:ascii="宋体" w:hAnsi="宋体"/>
          <w:sz w:val="24"/>
          <w:szCs w:val="22"/>
        </w:rPr>
        <w:t>，受大气降水及基岩裂隙水补给。</w:t>
      </w:r>
    </w:p>
    <w:p>
      <w:pPr>
        <w:adjustRightInd w:val="0"/>
        <w:snapToGrid w:val="0"/>
        <w:spacing w:line="360" w:lineRule="auto"/>
        <w:ind w:firstLine="480" w:firstLineChars="200"/>
        <w:rPr>
          <w:sz w:val="24"/>
          <w:szCs w:val="22"/>
        </w:rPr>
      </w:pPr>
      <w:r>
        <w:rPr>
          <w:rFonts w:hint="eastAsia" w:ascii="宋体" w:hAnsi="宋体"/>
          <w:sz w:val="24"/>
          <w:szCs w:val="22"/>
        </w:rPr>
        <w:t>（</w:t>
      </w:r>
      <w:r>
        <w:rPr>
          <w:rFonts w:hint="eastAsia"/>
          <w:sz w:val="24"/>
          <w:szCs w:val="22"/>
        </w:rPr>
        <w:t>2</w:t>
      </w:r>
      <w:r>
        <w:rPr>
          <w:rFonts w:hint="eastAsia" w:ascii="宋体" w:hAnsi="宋体"/>
          <w:sz w:val="24"/>
          <w:szCs w:val="22"/>
        </w:rPr>
        <w:t>）侏罗系地层中的裂隙潜水</w:t>
      </w:r>
    </w:p>
    <w:p>
      <w:pPr>
        <w:adjustRightInd w:val="0"/>
        <w:snapToGrid w:val="0"/>
        <w:spacing w:line="360" w:lineRule="auto"/>
        <w:ind w:firstLine="480" w:firstLineChars="200"/>
        <w:rPr>
          <w:sz w:val="24"/>
          <w:szCs w:val="22"/>
        </w:rPr>
      </w:pPr>
      <w:r>
        <w:rPr>
          <w:rFonts w:hint="eastAsia" w:ascii="宋体" w:hAnsi="宋体"/>
          <w:sz w:val="24"/>
          <w:szCs w:val="22"/>
        </w:rPr>
        <w:t>其岩性为凝灰质砂砾岩以及陆相沉积砂砾岩，因岩性坚硬裂隙不发育，仅在构造有利及岩石破碎地段形成裂隙潜水，并常以上升泉的形式泄出地表，属富水性较弱的地层。</w:t>
      </w:r>
    </w:p>
    <w:p>
      <w:pPr>
        <w:adjustRightInd w:val="0"/>
        <w:snapToGrid w:val="0"/>
        <w:spacing w:line="360" w:lineRule="auto"/>
        <w:ind w:firstLine="480" w:firstLineChars="200"/>
        <w:rPr>
          <w:sz w:val="24"/>
          <w:szCs w:val="22"/>
        </w:rPr>
      </w:pPr>
      <w:r>
        <w:rPr>
          <w:rFonts w:hint="eastAsia" w:ascii="宋体" w:hAnsi="宋体"/>
          <w:sz w:val="24"/>
          <w:szCs w:val="22"/>
        </w:rPr>
        <w:t>区域地下水大部分为潜水，地下水流径途短，水交替作用强烈，溶滤时间短，除个别地段外，绝大部分地下水为低矿化淡水，矿化度一般小于</w:t>
      </w:r>
      <w:r>
        <w:rPr>
          <w:rFonts w:hint="eastAsia"/>
          <w:sz w:val="24"/>
          <w:szCs w:val="22"/>
        </w:rPr>
        <w:t>0.5g/L</w:t>
      </w:r>
      <w:r>
        <w:rPr>
          <w:rFonts w:hint="eastAsia" w:ascii="宋体" w:hAnsi="宋体"/>
          <w:sz w:val="24"/>
          <w:szCs w:val="22"/>
        </w:rPr>
        <w:t>。地下水</w:t>
      </w:r>
      <w:r>
        <w:rPr>
          <w:rFonts w:ascii="宋体" w:hAnsi="宋体"/>
          <w:sz w:val="24"/>
          <w:szCs w:val="22"/>
        </w:rPr>
        <w:t>化学类型主要为</w:t>
      </w:r>
      <w:r>
        <w:rPr>
          <w:sz w:val="24"/>
          <w:szCs w:val="22"/>
        </w:rPr>
        <w:t>HCO</w:t>
      </w:r>
      <w:r>
        <w:rPr>
          <w:sz w:val="24"/>
          <w:szCs w:val="22"/>
          <w:vertAlign w:val="subscript"/>
        </w:rPr>
        <w:t>3</w:t>
      </w:r>
      <w:r>
        <w:rPr>
          <w:sz w:val="24"/>
          <w:szCs w:val="22"/>
        </w:rPr>
        <w:t>-Ca</w:t>
      </w:r>
      <w:r>
        <w:rPr>
          <w:rFonts w:ascii="宋体" w:hAnsi="宋体"/>
          <w:sz w:val="24"/>
          <w:szCs w:val="22"/>
        </w:rPr>
        <w:t>、</w:t>
      </w:r>
      <w:r>
        <w:rPr>
          <w:sz w:val="24"/>
          <w:szCs w:val="22"/>
        </w:rPr>
        <w:t>HCO</w:t>
      </w:r>
      <w:r>
        <w:rPr>
          <w:sz w:val="24"/>
          <w:szCs w:val="22"/>
          <w:vertAlign w:val="subscript"/>
        </w:rPr>
        <w:t>3</w:t>
      </w:r>
      <w:r>
        <w:rPr>
          <w:sz w:val="24"/>
          <w:szCs w:val="22"/>
        </w:rPr>
        <w:t>-Ca·Mg</w:t>
      </w:r>
      <w:r>
        <w:rPr>
          <w:rFonts w:ascii="宋体" w:hAnsi="宋体"/>
          <w:sz w:val="24"/>
          <w:szCs w:val="22"/>
        </w:rPr>
        <w:t>、</w:t>
      </w:r>
      <w:r>
        <w:rPr>
          <w:sz w:val="24"/>
          <w:szCs w:val="22"/>
        </w:rPr>
        <w:t>HCO</w:t>
      </w:r>
      <w:r>
        <w:rPr>
          <w:sz w:val="24"/>
          <w:szCs w:val="22"/>
          <w:vertAlign w:val="subscript"/>
        </w:rPr>
        <w:t>3</w:t>
      </w:r>
      <w:r>
        <w:rPr>
          <w:sz w:val="24"/>
          <w:szCs w:val="22"/>
        </w:rPr>
        <w:t>·SO</w:t>
      </w:r>
      <w:r>
        <w:rPr>
          <w:sz w:val="24"/>
          <w:szCs w:val="22"/>
          <w:vertAlign w:val="subscript"/>
        </w:rPr>
        <w:t>4</w:t>
      </w:r>
      <w:r>
        <w:rPr>
          <w:rFonts w:hint="eastAsia"/>
          <w:sz w:val="24"/>
          <w:szCs w:val="22"/>
        </w:rPr>
        <w:t>-</w:t>
      </w:r>
      <w:r>
        <w:rPr>
          <w:sz w:val="24"/>
          <w:szCs w:val="22"/>
        </w:rPr>
        <w:t>Ca</w:t>
      </w:r>
      <w:r>
        <w:rPr>
          <w:rFonts w:ascii="宋体" w:hAnsi="宋体"/>
          <w:sz w:val="24"/>
          <w:szCs w:val="22"/>
        </w:rPr>
        <w:t>型水。</w:t>
      </w:r>
    </w:p>
    <w:p>
      <w:pPr>
        <w:keepNext/>
        <w:keepLines/>
        <w:numPr>
          <w:ilvl w:val="3"/>
          <w:numId w:val="5"/>
        </w:numPr>
        <w:tabs>
          <w:tab w:val="left" w:pos="432"/>
          <w:tab w:val="left" w:pos="851"/>
          <w:tab w:val="left" w:pos="1247"/>
          <w:tab w:val="clear" w:pos="1389"/>
        </w:tabs>
        <w:adjustRightInd w:val="0"/>
        <w:snapToGrid w:val="0"/>
        <w:spacing w:line="360" w:lineRule="auto"/>
        <w:ind w:left="1290" w:hanging="1290" w:hangingChars="459"/>
        <w:jc w:val="left"/>
        <w:outlineLvl w:val="3"/>
        <w:rPr>
          <w:b/>
          <w:bCs/>
          <w:snapToGrid w:val="0"/>
          <w:sz w:val="28"/>
          <w:szCs w:val="28"/>
        </w:rPr>
      </w:pPr>
      <w:r>
        <w:rPr>
          <w:rFonts w:hint="eastAsia"/>
          <w:b/>
          <w:bCs/>
          <w:snapToGrid w:val="0"/>
          <w:sz w:val="28"/>
          <w:szCs w:val="28"/>
        </w:rPr>
        <w:t>评价区水文地质条件</w:t>
      </w:r>
    </w:p>
    <w:p>
      <w:pPr>
        <w:adjustRightInd w:val="0"/>
        <w:snapToGrid w:val="0"/>
        <w:spacing w:line="360" w:lineRule="auto"/>
        <w:ind w:firstLine="480" w:firstLineChars="200"/>
        <w:rPr>
          <w:sz w:val="24"/>
          <w:szCs w:val="24"/>
        </w:rPr>
      </w:pPr>
      <w:r>
        <w:rPr>
          <w:sz w:val="24"/>
          <w:szCs w:val="24"/>
        </w:rPr>
        <w:t>围场满族蒙古族自治县区域内主要含水层为第四系松散岩类孔隙含水层及碎屑岩类裂隙含水层。</w:t>
      </w:r>
    </w:p>
    <w:p>
      <w:pPr>
        <w:adjustRightInd w:val="0"/>
        <w:snapToGrid w:val="0"/>
        <w:spacing w:line="360" w:lineRule="auto"/>
        <w:ind w:firstLine="480" w:firstLineChars="200"/>
        <w:rPr>
          <w:sz w:val="24"/>
          <w:szCs w:val="24"/>
        </w:rPr>
      </w:pPr>
      <w:r>
        <w:rPr>
          <w:sz w:val="24"/>
          <w:szCs w:val="24"/>
        </w:rPr>
        <w:t>（1）第四系孔隙含水层</w:t>
      </w:r>
    </w:p>
    <w:p>
      <w:pPr>
        <w:adjustRightInd w:val="0"/>
        <w:snapToGrid w:val="0"/>
        <w:spacing w:line="360" w:lineRule="auto"/>
        <w:ind w:firstLine="480" w:firstLineChars="200"/>
        <w:rPr>
          <w:sz w:val="24"/>
          <w:szCs w:val="24"/>
        </w:rPr>
      </w:pPr>
      <w:r>
        <w:rPr>
          <w:sz w:val="24"/>
          <w:szCs w:val="24"/>
        </w:rPr>
        <w:t>第四系孔隙含水层又可分为全新统冲洪积层中的潜水及更新统冲积层中的潜水两类。全新统冲洪积层中的潜水，主要分布在伊逊河及其主要支流的河漫滩、阶地中，其分布范围、岩性结构、厚度及富水性因地而异，一般含水层厚度为4~26m，水位埋深0.4~8.2m。由于潜水位埋藏较浅，容易接受大气降水的渗透补给，地下水流向与地表水近乎一致。雨季期间近河地段，地下水位常受回水影响而上升，旱季地下水则向河流方向排泄，其动态随季节而变化，据区域资料，水位变幅为1.5~2m，为区内工农业用水的主要含水层；更新统冲积层中的潜水在区内多呈带状分布，因其透水性较差，且分布面积有限，属富水性弱的地层，其水位埋深为5~10m，受大气降水及基岩裂隙水补给。</w:t>
      </w:r>
    </w:p>
    <w:p>
      <w:pPr>
        <w:adjustRightInd w:val="0"/>
        <w:snapToGrid w:val="0"/>
        <w:spacing w:line="360" w:lineRule="auto"/>
        <w:ind w:firstLine="480" w:firstLineChars="200"/>
        <w:rPr>
          <w:sz w:val="24"/>
          <w:szCs w:val="24"/>
        </w:rPr>
      </w:pPr>
      <w:r>
        <w:rPr>
          <w:sz w:val="24"/>
          <w:szCs w:val="24"/>
        </w:rPr>
        <w:t>（2）侏罗系地层中的裂隙潜水含水层</w:t>
      </w:r>
    </w:p>
    <w:p>
      <w:pPr>
        <w:adjustRightInd w:val="0"/>
        <w:snapToGrid w:val="0"/>
        <w:spacing w:line="360" w:lineRule="auto"/>
        <w:ind w:firstLine="480" w:firstLineChars="200"/>
        <w:rPr>
          <w:sz w:val="24"/>
          <w:szCs w:val="24"/>
        </w:rPr>
      </w:pPr>
      <w:r>
        <w:rPr>
          <w:sz w:val="24"/>
          <w:szCs w:val="24"/>
        </w:rPr>
        <w:t>侏罗系地层中的裂隙潜水含水层岩性为凝灰质砂砾岩以及陆相沉积砂砾岩，因岩性坚硬裂隙不发育。仅在构造有利及岩石破碎地段形成裂隙潜水，并常以上升泉的形式泄出地表，属富水性较弱的地层。</w:t>
      </w:r>
    </w:p>
    <w:p>
      <w:pPr>
        <w:adjustRightInd w:val="0"/>
        <w:snapToGrid w:val="0"/>
        <w:spacing w:line="360" w:lineRule="auto"/>
        <w:ind w:firstLine="480" w:firstLineChars="200"/>
        <w:rPr>
          <w:sz w:val="24"/>
          <w:szCs w:val="24"/>
        </w:rPr>
      </w:pPr>
      <w:r>
        <w:rPr>
          <w:sz w:val="24"/>
          <w:szCs w:val="24"/>
        </w:rPr>
        <w:t>区域地下水大部分为潜水，地下水流径途短，水交替作用强烈，容滤时间短，除个别地段外，绝大部分地下水为低矿化淡水，矿化度一般小于0.5g/L。地下水化学类型主要为HCO</w:t>
      </w:r>
      <w:r>
        <w:rPr>
          <w:sz w:val="24"/>
          <w:szCs w:val="24"/>
          <w:vertAlign w:val="subscript"/>
        </w:rPr>
        <w:t>3</w:t>
      </w:r>
      <w:r>
        <w:rPr>
          <w:sz w:val="24"/>
          <w:szCs w:val="24"/>
          <w:vertAlign w:val="superscript"/>
        </w:rPr>
        <w:t>-</w:t>
      </w:r>
      <w:r>
        <w:rPr>
          <w:sz w:val="24"/>
          <w:szCs w:val="24"/>
        </w:rPr>
        <w:t>-Ca</w:t>
      </w:r>
      <w:r>
        <w:rPr>
          <w:sz w:val="24"/>
          <w:szCs w:val="24"/>
          <w:vertAlign w:val="superscript"/>
        </w:rPr>
        <w:t>2+</w:t>
      </w:r>
      <w:r>
        <w:rPr>
          <w:sz w:val="24"/>
          <w:szCs w:val="24"/>
        </w:rPr>
        <w:t>、HCO</w:t>
      </w:r>
      <w:r>
        <w:rPr>
          <w:sz w:val="24"/>
          <w:szCs w:val="24"/>
          <w:vertAlign w:val="subscript"/>
        </w:rPr>
        <w:t>3</w:t>
      </w:r>
      <w:r>
        <w:rPr>
          <w:sz w:val="24"/>
          <w:szCs w:val="24"/>
          <w:vertAlign w:val="superscript"/>
        </w:rPr>
        <w:t>-</w:t>
      </w:r>
      <w:r>
        <w:rPr>
          <w:sz w:val="24"/>
          <w:szCs w:val="24"/>
        </w:rPr>
        <w:t>-Ca</w:t>
      </w:r>
      <w:r>
        <w:rPr>
          <w:sz w:val="24"/>
          <w:szCs w:val="24"/>
          <w:vertAlign w:val="superscript"/>
        </w:rPr>
        <w:t>2+</w:t>
      </w:r>
      <w:r>
        <w:rPr>
          <w:sz w:val="24"/>
          <w:szCs w:val="24"/>
        </w:rPr>
        <w:t>·Mg</w:t>
      </w:r>
      <w:r>
        <w:rPr>
          <w:sz w:val="24"/>
          <w:szCs w:val="24"/>
          <w:vertAlign w:val="superscript"/>
        </w:rPr>
        <w:t>2+</w:t>
      </w:r>
      <w:r>
        <w:rPr>
          <w:sz w:val="24"/>
          <w:szCs w:val="24"/>
        </w:rPr>
        <w:t>、HCO</w:t>
      </w:r>
      <w:r>
        <w:rPr>
          <w:sz w:val="24"/>
          <w:szCs w:val="24"/>
          <w:vertAlign w:val="subscript"/>
        </w:rPr>
        <w:t>3</w:t>
      </w:r>
      <w:r>
        <w:rPr>
          <w:sz w:val="24"/>
          <w:szCs w:val="24"/>
          <w:vertAlign w:val="superscript"/>
        </w:rPr>
        <w:t>-</w:t>
      </w:r>
      <w:r>
        <w:rPr>
          <w:sz w:val="24"/>
          <w:szCs w:val="24"/>
        </w:rPr>
        <w:t>·SO</w:t>
      </w:r>
      <w:r>
        <w:rPr>
          <w:sz w:val="24"/>
          <w:szCs w:val="24"/>
          <w:vertAlign w:val="subscript"/>
        </w:rPr>
        <w:t>4</w:t>
      </w:r>
      <w:r>
        <w:rPr>
          <w:sz w:val="24"/>
          <w:szCs w:val="24"/>
          <w:vertAlign w:val="superscript"/>
        </w:rPr>
        <w:t>2-</w:t>
      </w:r>
      <w:r>
        <w:rPr>
          <w:sz w:val="24"/>
          <w:szCs w:val="24"/>
        </w:rPr>
        <w:t>-Ca</w:t>
      </w:r>
      <w:r>
        <w:rPr>
          <w:sz w:val="24"/>
          <w:szCs w:val="24"/>
          <w:vertAlign w:val="superscript"/>
        </w:rPr>
        <w:t>2+</w:t>
      </w:r>
      <w:r>
        <w:rPr>
          <w:sz w:val="24"/>
          <w:szCs w:val="24"/>
        </w:rPr>
        <w:t>型水。</w:t>
      </w:r>
    </w:p>
    <w:p>
      <w:pPr>
        <w:adjustRightInd w:val="0"/>
        <w:snapToGrid w:val="0"/>
        <w:spacing w:line="360" w:lineRule="auto"/>
        <w:ind w:firstLine="480" w:firstLineChars="200"/>
        <w:rPr>
          <w:sz w:val="24"/>
          <w:szCs w:val="24"/>
        </w:rPr>
      </w:pPr>
      <w:r>
        <w:rPr>
          <w:sz w:val="24"/>
          <w:szCs w:val="24"/>
        </w:rPr>
        <w:t>地下水资源总量为河川基流量、山前泉水溢出量、山前侧向径流流出量及开采净消耗量四项之和。鉴于围场满族蒙古族自治县山前泉水溢出量和山前侧向径流流出量占地下水资源量的比重很小，因而地下水资源总量采用河川基流量及地下水开采量的净消耗量二项之和代替。围场满族蒙古族自治县区域多年平均地下水资源量为23966万m</w:t>
      </w:r>
      <w:r>
        <w:rPr>
          <w:sz w:val="24"/>
          <w:szCs w:val="24"/>
          <w:vertAlign w:val="superscript"/>
        </w:rPr>
        <w:t>2</w:t>
      </w:r>
      <w:r>
        <w:rPr>
          <w:sz w:val="24"/>
          <w:szCs w:val="24"/>
        </w:rPr>
        <w:t>，其中河川基流量为23003万m</w:t>
      </w:r>
      <w:r>
        <w:rPr>
          <w:sz w:val="24"/>
          <w:szCs w:val="24"/>
          <w:vertAlign w:val="superscript"/>
        </w:rPr>
        <w:t>2</w:t>
      </w:r>
      <w:r>
        <w:rPr>
          <w:sz w:val="24"/>
          <w:szCs w:val="24"/>
        </w:rPr>
        <w:t>，约占总数的96.0%，地下水开采净消耗为963万m</w:t>
      </w:r>
      <w:r>
        <w:rPr>
          <w:sz w:val="24"/>
          <w:szCs w:val="24"/>
          <w:vertAlign w:val="superscript"/>
        </w:rPr>
        <w:t>2</w:t>
      </w:r>
      <w:r>
        <w:rPr>
          <w:sz w:val="24"/>
          <w:szCs w:val="24"/>
        </w:rPr>
        <w:t>。</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0" w:firstLine="0"/>
        <w:jc w:val="left"/>
        <w:outlineLvl w:val="2"/>
        <w:rPr>
          <w:b/>
          <w:bCs/>
          <w:snapToGrid w:val="0"/>
          <w:sz w:val="28"/>
          <w:szCs w:val="28"/>
        </w:rPr>
      </w:pPr>
      <w:r>
        <w:rPr>
          <w:b/>
          <w:bCs/>
          <w:snapToGrid w:val="0"/>
          <w:sz w:val="28"/>
          <w:szCs w:val="28"/>
        </w:rPr>
        <w:t>土壤、动植物</w:t>
      </w:r>
    </w:p>
    <w:p>
      <w:pPr>
        <w:spacing w:line="440" w:lineRule="exact"/>
        <w:ind w:firstLine="480" w:firstLineChars="200"/>
        <w:rPr>
          <w:sz w:val="24"/>
        </w:rPr>
      </w:pPr>
      <w:r>
        <w:rPr>
          <w:rFonts w:hint="eastAsia"/>
          <w:sz w:val="24"/>
        </w:rPr>
        <w:t>项目所在地的土壤以褐土为主，河两岸有草甸土分布，交接洼地有沼泽土分布，河东岸迎风坡面分布风砂土。褐土以淋溶褐土为主，在淋溶条件下，粘粒下移，心土有粘化现象，表层碳酸盐随水下移或侧移，盐基基本饱和。土壤呈微碱性，地下水位低，通气良好，土色以棕、棕褐为主。</w:t>
      </w:r>
    </w:p>
    <w:p>
      <w:pPr>
        <w:spacing w:line="440" w:lineRule="exact"/>
        <w:ind w:firstLine="480" w:firstLineChars="200"/>
        <w:rPr>
          <w:sz w:val="24"/>
        </w:rPr>
      </w:pPr>
      <w:r>
        <w:rPr>
          <w:rFonts w:hint="eastAsia"/>
          <w:sz w:val="24"/>
        </w:rPr>
        <w:t>据《围场满族蒙古族自治县种子植物名录》记载，全县植物共有70科，206属，602种，依分布状况可分两类：一类属于坝上高原型；一类属于中山、浅山型。从利用上可分为一般林与特种林、水土保持及固沙、薪炭、牧草、药用、食用、工业原料及观赏八大类。坝下西部和东南部植物主要为华北区系成分，针叶树除云杉和华北落叶松外还有油松，主要阔叶树有白桦、枫桦、糠椴、蒙椴等，个别地方还有天然华北落叶松纯林，山地灌木主要有山杏、平榛、虎榛、胡枝子、绣线菊等。</w:t>
      </w:r>
    </w:p>
    <w:p>
      <w:pPr>
        <w:spacing w:line="440" w:lineRule="exact"/>
        <w:ind w:firstLine="480" w:firstLineChars="200"/>
        <w:rPr>
          <w:sz w:val="24"/>
        </w:rPr>
      </w:pPr>
      <w:r>
        <w:rPr>
          <w:rFonts w:hint="eastAsia"/>
          <w:sz w:val="24"/>
        </w:rPr>
        <w:t>按野生动物区系划分，围场属古北界华北区、蒙新区和东北区的交汇地带。据调查，全县野生动物有5纲24目50余科150余种。国家一级保护动物5种，二级保护动物28种，属河北省重点保护动物10余种，经济价值较高并可狩猎的动物有野猪、野兔、狐、旱獭、黄鼠、花鼠等。</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0" w:firstLine="0"/>
        <w:jc w:val="left"/>
        <w:outlineLvl w:val="2"/>
        <w:rPr>
          <w:b/>
          <w:bCs/>
          <w:snapToGrid w:val="0"/>
          <w:sz w:val="28"/>
          <w:szCs w:val="28"/>
        </w:rPr>
      </w:pPr>
      <w:r>
        <w:rPr>
          <w:b/>
          <w:bCs/>
          <w:snapToGrid w:val="0"/>
          <w:sz w:val="28"/>
          <w:szCs w:val="28"/>
        </w:rPr>
        <w:t>地震烈度</w:t>
      </w:r>
    </w:p>
    <w:p>
      <w:pPr>
        <w:spacing w:line="440" w:lineRule="exact"/>
        <w:ind w:firstLine="480" w:firstLineChars="200"/>
        <w:rPr>
          <w:sz w:val="24"/>
        </w:rPr>
      </w:pPr>
      <w:r>
        <w:rPr>
          <w:sz w:val="24"/>
        </w:rPr>
        <w:t>根据GB50011-2010《建筑抗震设计规范（2016 年版）》附录A 规定，厂址所在地区的抗震设防烈度为6 度，设计基本地震加速度值为0.05g，设计地震分组为第一组。</w:t>
      </w:r>
    </w:p>
    <w:p>
      <w:pPr>
        <w:keepNext/>
        <w:keepLines/>
        <w:numPr>
          <w:ilvl w:val="1"/>
          <w:numId w:val="5"/>
        </w:numPr>
        <w:tabs>
          <w:tab w:val="left" w:pos="432"/>
          <w:tab w:val="left" w:pos="720"/>
          <w:tab w:val="clear" w:pos="862"/>
        </w:tabs>
        <w:adjustRightInd w:val="0"/>
        <w:snapToGrid w:val="0"/>
        <w:spacing w:before="156" w:beforeLines="50" w:line="360" w:lineRule="auto"/>
        <w:ind w:left="397"/>
        <w:outlineLvl w:val="1"/>
        <w:rPr>
          <w:b/>
          <w:bCs/>
          <w:sz w:val="30"/>
          <w:szCs w:val="30"/>
        </w:rPr>
      </w:pPr>
      <w:bookmarkStart w:id="113" w:name="_Toc88472186"/>
      <w:bookmarkStart w:id="114" w:name="_Toc94101219"/>
      <w:r>
        <w:rPr>
          <w:b/>
          <w:bCs/>
          <w:sz w:val="30"/>
          <w:szCs w:val="30"/>
        </w:rPr>
        <w:t>评价区污染源调查</w:t>
      </w:r>
      <w:bookmarkEnd w:id="113"/>
      <w:bookmarkEnd w:id="114"/>
    </w:p>
    <w:p>
      <w:pPr>
        <w:pStyle w:val="20"/>
        <w:adjustRightInd w:val="0"/>
        <w:snapToGrid w:val="0"/>
        <w:spacing w:after="0" w:line="360" w:lineRule="auto"/>
        <w:ind w:firstLine="480" w:firstLineChars="200"/>
        <w:rPr>
          <w:sz w:val="24"/>
          <w:szCs w:val="24"/>
        </w:rPr>
      </w:pPr>
      <w:r>
        <w:rPr>
          <w:sz w:val="24"/>
          <w:szCs w:val="24"/>
        </w:rPr>
        <w:t>（1）评价区污染源调查</w:t>
      </w:r>
    </w:p>
    <w:p>
      <w:pPr>
        <w:pStyle w:val="20"/>
        <w:adjustRightInd w:val="0"/>
        <w:snapToGrid w:val="0"/>
        <w:spacing w:after="0" w:line="360" w:lineRule="auto"/>
        <w:ind w:firstLine="480" w:firstLineChars="200"/>
        <w:rPr>
          <w:bCs/>
          <w:sz w:val="24"/>
        </w:rPr>
      </w:pPr>
      <w:r>
        <w:rPr>
          <w:sz w:val="24"/>
          <w:szCs w:val="24"/>
        </w:rPr>
        <w:t>本项目运营期对外环境的主要影响为废气排放影响，主要排放污染物为大气污染物，</w:t>
      </w:r>
      <w:r>
        <w:rPr>
          <w:bCs/>
          <w:sz w:val="24"/>
        </w:rPr>
        <w:t>经现场调查，项目周边2.5km范围现有企业及拟入驻企业统计及污染物排放情况见表4.2-1和表4.2-2。</w:t>
      </w:r>
    </w:p>
    <w:p>
      <w:pPr>
        <w:pStyle w:val="20"/>
        <w:adjustRightInd w:val="0"/>
        <w:snapToGrid w:val="0"/>
        <w:spacing w:after="0" w:line="360" w:lineRule="auto"/>
        <w:ind w:firstLine="480" w:firstLineChars="200"/>
        <w:rPr>
          <w:kern w:val="0"/>
          <w:sz w:val="24"/>
          <w:szCs w:val="22"/>
        </w:rPr>
      </w:pPr>
      <w:r>
        <w:rPr>
          <w:kern w:val="0"/>
          <w:sz w:val="24"/>
          <w:szCs w:val="22"/>
        </w:rPr>
        <w:t>评价区域内</w:t>
      </w:r>
      <w:r>
        <w:rPr>
          <w:rFonts w:hint="eastAsia"/>
          <w:kern w:val="0"/>
          <w:sz w:val="24"/>
          <w:szCs w:val="22"/>
        </w:rPr>
        <w:t>与本项目排放类似污染物</w:t>
      </w:r>
      <w:r>
        <w:rPr>
          <w:kern w:val="0"/>
          <w:sz w:val="24"/>
          <w:szCs w:val="22"/>
        </w:rPr>
        <w:t>排放</w:t>
      </w:r>
      <w:r>
        <w:rPr>
          <w:rFonts w:hint="eastAsia"/>
          <w:kern w:val="0"/>
          <w:sz w:val="24"/>
          <w:szCs w:val="22"/>
        </w:rPr>
        <w:t>的项目</w:t>
      </w:r>
      <w:r>
        <w:rPr>
          <w:kern w:val="0"/>
          <w:sz w:val="24"/>
          <w:szCs w:val="22"/>
        </w:rPr>
        <w:t>情况见表</w:t>
      </w:r>
      <w:r>
        <w:rPr>
          <w:rFonts w:hint="eastAsia"/>
          <w:kern w:val="0"/>
          <w:sz w:val="24"/>
          <w:szCs w:val="22"/>
        </w:rPr>
        <w:t>4</w:t>
      </w:r>
      <w:r>
        <w:rPr>
          <w:kern w:val="0"/>
          <w:sz w:val="24"/>
          <w:szCs w:val="22"/>
        </w:rPr>
        <w:t>.2-1。</w:t>
      </w:r>
    </w:p>
    <w:p>
      <w:pPr>
        <w:adjustRightInd w:val="0"/>
        <w:snapToGrid w:val="0"/>
        <w:jc w:val="center"/>
        <w:rPr>
          <w:rFonts w:eastAsia="黑体"/>
          <w:sz w:val="24"/>
          <w:szCs w:val="24"/>
        </w:rPr>
      </w:pPr>
      <w:r>
        <w:rPr>
          <w:rFonts w:eastAsia="黑体"/>
          <w:sz w:val="24"/>
          <w:szCs w:val="24"/>
        </w:rPr>
        <w:t>表 4.2</w:t>
      </w:r>
      <w:r>
        <w:rPr>
          <w:rFonts w:eastAsia="黑体"/>
          <w:sz w:val="24"/>
          <w:szCs w:val="24"/>
        </w:rPr>
        <w:noBreakHyphen/>
      </w:r>
      <w:r>
        <w:rPr>
          <w:rFonts w:eastAsia="黑体"/>
          <w:sz w:val="24"/>
          <w:szCs w:val="24"/>
        </w:rPr>
        <w:fldChar w:fldCharType="begin"/>
      </w:r>
      <w:r>
        <w:rPr>
          <w:rFonts w:eastAsia="黑体"/>
          <w:sz w:val="24"/>
          <w:szCs w:val="24"/>
        </w:rPr>
        <w:instrText xml:space="preserve"> SEQ 表 \* ARABIC \s 2 </w:instrText>
      </w:r>
      <w:r>
        <w:rPr>
          <w:rFonts w:eastAsia="黑体"/>
          <w:sz w:val="24"/>
          <w:szCs w:val="24"/>
        </w:rPr>
        <w:fldChar w:fldCharType="separate"/>
      </w:r>
      <w:r>
        <w:rPr>
          <w:rFonts w:eastAsia="黑体"/>
          <w:sz w:val="24"/>
          <w:szCs w:val="24"/>
        </w:rPr>
        <w:t>1</w:t>
      </w:r>
      <w:r>
        <w:rPr>
          <w:rFonts w:eastAsia="黑体"/>
          <w:sz w:val="24"/>
          <w:szCs w:val="24"/>
        </w:rPr>
        <w:fldChar w:fldCharType="end"/>
      </w:r>
      <w:r>
        <w:rPr>
          <w:rFonts w:eastAsia="黑体"/>
          <w:sz w:val="24"/>
          <w:szCs w:val="24"/>
        </w:rPr>
        <w:t xml:space="preserve"> 评价区域内主要大气污染源排放情况</w:t>
      </w:r>
    </w:p>
    <w:tbl>
      <w:tblPr>
        <w:tblStyle w:val="26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34"/>
        <w:gridCol w:w="1716"/>
        <w:gridCol w:w="1687"/>
        <w:gridCol w:w="1027"/>
        <w:gridCol w:w="957"/>
        <w:gridCol w:w="9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310" w:type="pct"/>
            <w:vAlign w:val="center"/>
          </w:tcPr>
          <w:p>
            <w:pPr>
              <w:adjustRightInd w:val="0"/>
              <w:snapToGrid w:val="0"/>
              <w:jc w:val="center"/>
              <w:rPr>
                <w:kern w:val="0"/>
                <w:szCs w:val="21"/>
              </w:rPr>
            </w:pPr>
            <w:r>
              <w:rPr>
                <w:kern w:val="0"/>
                <w:szCs w:val="21"/>
              </w:rPr>
              <w:t>项目名称</w:t>
            </w:r>
          </w:p>
        </w:tc>
        <w:tc>
          <w:tcPr>
            <w:tcW w:w="1006" w:type="pct"/>
            <w:vAlign w:val="center"/>
          </w:tcPr>
          <w:p>
            <w:pPr>
              <w:adjustRightInd w:val="0"/>
              <w:snapToGrid w:val="0"/>
              <w:jc w:val="center"/>
              <w:rPr>
                <w:kern w:val="0"/>
                <w:szCs w:val="21"/>
              </w:rPr>
            </w:pPr>
            <w:r>
              <w:rPr>
                <w:rFonts w:hint="eastAsia"/>
                <w:kern w:val="0"/>
                <w:szCs w:val="21"/>
              </w:rPr>
              <w:t>规模</w:t>
            </w:r>
          </w:p>
        </w:tc>
        <w:tc>
          <w:tcPr>
            <w:tcW w:w="989" w:type="pct"/>
            <w:vAlign w:val="center"/>
          </w:tcPr>
          <w:p>
            <w:pPr>
              <w:adjustRightInd w:val="0"/>
              <w:snapToGrid w:val="0"/>
              <w:jc w:val="center"/>
              <w:rPr>
                <w:kern w:val="0"/>
                <w:szCs w:val="21"/>
              </w:rPr>
            </w:pPr>
            <w:r>
              <w:rPr>
                <w:kern w:val="0"/>
                <w:szCs w:val="21"/>
              </w:rPr>
              <w:t>污染源</w:t>
            </w:r>
          </w:p>
        </w:tc>
        <w:tc>
          <w:tcPr>
            <w:tcW w:w="602" w:type="pct"/>
            <w:vAlign w:val="center"/>
          </w:tcPr>
          <w:p>
            <w:pPr>
              <w:adjustRightInd w:val="0"/>
              <w:snapToGrid w:val="0"/>
              <w:jc w:val="center"/>
              <w:rPr>
                <w:kern w:val="0"/>
                <w:szCs w:val="21"/>
                <w:vertAlign w:val="subscript"/>
              </w:rPr>
            </w:pPr>
            <w:r>
              <w:rPr>
                <w:kern w:val="0"/>
                <w:szCs w:val="21"/>
              </w:rPr>
              <w:t>NH</w:t>
            </w:r>
            <w:r>
              <w:rPr>
                <w:kern w:val="0"/>
                <w:szCs w:val="21"/>
                <w:vertAlign w:val="subscript"/>
              </w:rPr>
              <w:t>3</w:t>
            </w:r>
          </w:p>
          <w:p>
            <w:pPr>
              <w:adjustRightInd w:val="0"/>
              <w:snapToGrid w:val="0"/>
              <w:jc w:val="center"/>
              <w:rPr>
                <w:kern w:val="0"/>
                <w:szCs w:val="21"/>
              </w:rPr>
            </w:pPr>
            <w:r>
              <w:rPr>
                <w:kern w:val="0"/>
                <w:szCs w:val="21"/>
              </w:rPr>
              <w:t>（t/a）</w:t>
            </w:r>
          </w:p>
        </w:tc>
        <w:tc>
          <w:tcPr>
            <w:tcW w:w="561" w:type="pct"/>
            <w:vAlign w:val="center"/>
          </w:tcPr>
          <w:p>
            <w:pPr>
              <w:adjustRightInd w:val="0"/>
              <w:snapToGrid w:val="0"/>
              <w:jc w:val="center"/>
              <w:rPr>
                <w:kern w:val="0"/>
                <w:szCs w:val="21"/>
              </w:rPr>
            </w:pPr>
            <w:r>
              <w:rPr>
                <w:kern w:val="0"/>
                <w:szCs w:val="21"/>
              </w:rPr>
              <w:t>H</w:t>
            </w:r>
            <w:r>
              <w:rPr>
                <w:kern w:val="0"/>
                <w:szCs w:val="21"/>
                <w:vertAlign w:val="subscript"/>
              </w:rPr>
              <w:t>2</w:t>
            </w:r>
            <w:r>
              <w:rPr>
                <w:kern w:val="0"/>
                <w:szCs w:val="21"/>
              </w:rPr>
              <w:t>S（t/a）</w:t>
            </w:r>
          </w:p>
        </w:tc>
        <w:tc>
          <w:tcPr>
            <w:tcW w:w="532" w:type="pct"/>
            <w:vAlign w:val="center"/>
          </w:tcPr>
          <w:p>
            <w:pPr>
              <w:adjustRightInd w:val="0"/>
              <w:snapToGrid w:val="0"/>
              <w:jc w:val="center"/>
              <w:rPr>
                <w:kern w:val="0"/>
                <w:szCs w:val="21"/>
              </w:rPr>
            </w:pPr>
            <w:r>
              <w:rPr>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310" w:type="pct"/>
            <w:vAlign w:val="center"/>
          </w:tcPr>
          <w:p>
            <w:pPr>
              <w:adjustRightInd w:val="0"/>
              <w:snapToGrid w:val="0"/>
              <w:jc w:val="center"/>
              <w:rPr>
                <w:kern w:val="0"/>
                <w:szCs w:val="21"/>
              </w:rPr>
            </w:pPr>
            <w:r>
              <w:rPr>
                <w:rFonts w:hint="eastAsia"/>
                <w:kern w:val="0"/>
                <w:szCs w:val="21"/>
              </w:rPr>
              <w:t>围场县生活垃圾卫生填埋场</w:t>
            </w:r>
          </w:p>
        </w:tc>
        <w:tc>
          <w:tcPr>
            <w:tcW w:w="1006" w:type="pct"/>
            <w:vAlign w:val="center"/>
          </w:tcPr>
          <w:p>
            <w:pPr>
              <w:adjustRightInd w:val="0"/>
              <w:snapToGrid w:val="0"/>
              <w:jc w:val="center"/>
              <w:rPr>
                <w:kern w:val="0"/>
                <w:szCs w:val="21"/>
              </w:rPr>
            </w:pPr>
            <w:r>
              <w:rPr>
                <w:kern w:val="0"/>
                <w:szCs w:val="21"/>
              </w:rPr>
              <w:t>200t/d</w:t>
            </w:r>
            <w:r>
              <w:rPr>
                <w:rFonts w:hint="eastAsia"/>
                <w:kern w:val="0"/>
                <w:szCs w:val="21"/>
              </w:rPr>
              <w:t>，</w:t>
            </w:r>
            <w:r>
              <w:rPr>
                <w:kern w:val="0"/>
                <w:szCs w:val="21"/>
              </w:rPr>
              <w:t>7.3万m</w:t>
            </w:r>
            <w:r>
              <w:rPr>
                <w:kern w:val="0"/>
                <w:szCs w:val="21"/>
                <w:vertAlign w:val="superscript"/>
              </w:rPr>
              <w:t>3</w:t>
            </w:r>
            <w:r>
              <w:rPr>
                <w:kern w:val="0"/>
                <w:szCs w:val="21"/>
              </w:rPr>
              <w:t>/a</w:t>
            </w:r>
          </w:p>
        </w:tc>
        <w:tc>
          <w:tcPr>
            <w:tcW w:w="989" w:type="pct"/>
            <w:vAlign w:val="center"/>
          </w:tcPr>
          <w:p>
            <w:pPr>
              <w:adjustRightInd w:val="0"/>
              <w:snapToGrid w:val="0"/>
              <w:jc w:val="center"/>
              <w:rPr>
                <w:kern w:val="0"/>
                <w:szCs w:val="21"/>
              </w:rPr>
            </w:pPr>
            <w:r>
              <w:rPr>
                <w:kern w:val="0"/>
                <w:szCs w:val="21"/>
              </w:rPr>
              <w:t>填埋区无组织废气</w:t>
            </w:r>
          </w:p>
        </w:tc>
        <w:tc>
          <w:tcPr>
            <w:tcW w:w="602" w:type="pct"/>
            <w:vAlign w:val="center"/>
          </w:tcPr>
          <w:p>
            <w:pPr>
              <w:adjustRightInd w:val="0"/>
              <w:snapToGrid w:val="0"/>
              <w:jc w:val="center"/>
              <w:rPr>
                <w:kern w:val="0"/>
                <w:szCs w:val="21"/>
              </w:rPr>
            </w:pPr>
            <w:r>
              <w:rPr>
                <w:kern w:val="0"/>
                <w:szCs w:val="21"/>
              </w:rPr>
              <w:t>8.6</w:t>
            </w:r>
          </w:p>
        </w:tc>
        <w:tc>
          <w:tcPr>
            <w:tcW w:w="561" w:type="pct"/>
            <w:vAlign w:val="center"/>
          </w:tcPr>
          <w:p>
            <w:pPr>
              <w:adjustRightInd w:val="0"/>
              <w:snapToGrid w:val="0"/>
              <w:jc w:val="center"/>
              <w:rPr>
                <w:kern w:val="0"/>
                <w:szCs w:val="21"/>
              </w:rPr>
            </w:pPr>
            <w:r>
              <w:rPr>
                <w:kern w:val="0"/>
                <w:szCs w:val="21"/>
              </w:rPr>
              <w:t>5.32</w:t>
            </w:r>
          </w:p>
        </w:tc>
        <w:tc>
          <w:tcPr>
            <w:tcW w:w="532" w:type="pct"/>
            <w:vAlign w:val="center"/>
          </w:tcPr>
          <w:p>
            <w:pPr>
              <w:adjustRightInd w:val="0"/>
              <w:snapToGrid w:val="0"/>
              <w:jc w:val="center"/>
              <w:rPr>
                <w:kern w:val="0"/>
                <w:szCs w:val="21"/>
              </w:rPr>
            </w:pPr>
            <w:r>
              <w:rPr>
                <w:kern w:val="0"/>
                <w:szCs w:val="21"/>
              </w:rPr>
              <w:t>已</w:t>
            </w:r>
            <w:r>
              <w:rPr>
                <w:rFonts w:hint="eastAsia"/>
                <w:kern w:val="0"/>
                <w:szCs w:val="21"/>
              </w:rPr>
              <w:t>投产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310" w:type="pct"/>
            <w:vAlign w:val="center"/>
          </w:tcPr>
          <w:p>
            <w:pPr>
              <w:adjustRightInd w:val="0"/>
              <w:snapToGrid w:val="0"/>
              <w:jc w:val="center"/>
              <w:rPr>
                <w:kern w:val="0"/>
                <w:szCs w:val="21"/>
              </w:rPr>
            </w:pPr>
            <w:r>
              <w:rPr>
                <w:kern w:val="0"/>
                <w:szCs w:val="21"/>
              </w:rPr>
              <w:t>粪便处理厂</w:t>
            </w:r>
          </w:p>
        </w:tc>
        <w:tc>
          <w:tcPr>
            <w:tcW w:w="1006" w:type="pct"/>
            <w:vAlign w:val="center"/>
          </w:tcPr>
          <w:p>
            <w:pPr>
              <w:adjustRightInd w:val="0"/>
              <w:snapToGrid w:val="0"/>
              <w:jc w:val="center"/>
              <w:rPr>
                <w:kern w:val="0"/>
                <w:szCs w:val="21"/>
              </w:rPr>
            </w:pPr>
            <w:r>
              <w:rPr>
                <w:kern w:val="0"/>
                <w:szCs w:val="21"/>
              </w:rPr>
              <w:t>100t/d</w:t>
            </w:r>
          </w:p>
        </w:tc>
        <w:tc>
          <w:tcPr>
            <w:tcW w:w="989" w:type="pct"/>
            <w:vAlign w:val="center"/>
          </w:tcPr>
          <w:p>
            <w:pPr>
              <w:adjustRightInd w:val="0"/>
              <w:snapToGrid w:val="0"/>
              <w:jc w:val="center"/>
              <w:rPr>
                <w:kern w:val="0"/>
                <w:szCs w:val="21"/>
              </w:rPr>
            </w:pPr>
            <w:r>
              <w:rPr>
                <w:kern w:val="0"/>
                <w:szCs w:val="21"/>
              </w:rPr>
              <w:t>生物除臭排气筒</w:t>
            </w:r>
          </w:p>
        </w:tc>
        <w:tc>
          <w:tcPr>
            <w:tcW w:w="602" w:type="pct"/>
            <w:vAlign w:val="center"/>
          </w:tcPr>
          <w:p>
            <w:pPr>
              <w:adjustRightInd w:val="0"/>
              <w:snapToGrid w:val="0"/>
              <w:jc w:val="center"/>
              <w:rPr>
                <w:kern w:val="0"/>
                <w:szCs w:val="21"/>
              </w:rPr>
            </w:pPr>
            <w:r>
              <w:rPr>
                <w:kern w:val="0"/>
                <w:szCs w:val="21"/>
              </w:rPr>
              <w:t>14.31</w:t>
            </w:r>
          </w:p>
        </w:tc>
        <w:tc>
          <w:tcPr>
            <w:tcW w:w="561" w:type="pct"/>
            <w:vAlign w:val="center"/>
          </w:tcPr>
          <w:p>
            <w:pPr>
              <w:adjustRightInd w:val="0"/>
              <w:snapToGrid w:val="0"/>
              <w:jc w:val="center"/>
              <w:rPr>
                <w:kern w:val="0"/>
                <w:szCs w:val="21"/>
              </w:rPr>
            </w:pPr>
            <w:r>
              <w:rPr>
                <w:kern w:val="0"/>
                <w:szCs w:val="21"/>
              </w:rPr>
              <w:t>0.96</w:t>
            </w:r>
          </w:p>
        </w:tc>
        <w:tc>
          <w:tcPr>
            <w:tcW w:w="532" w:type="pct"/>
            <w:vAlign w:val="center"/>
          </w:tcPr>
          <w:p>
            <w:pPr>
              <w:adjustRightInd w:val="0"/>
              <w:snapToGrid w:val="0"/>
              <w:jc w:val="center"/>
              <w:rPr>
                <w:kern w:val="0"/>
                <w:szCs w:val="21"/>
              </w:rPr>
            </w:pPr>
            <w:r>
              <w:rPr>
                <w:kern w:val="0"/>
                <w:szCs w:val="21"/>
              </w:rPr>
              <w:t>已</w:t>
            </w:r>
            <w:r>
              <w:rPr>
                <w:rFonts w:hint="eastAsia"/>
                <w:kern w:val="0"/>
                <w:szCs w:val="21"/>
              </w:rPr>
              <w:t>投产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310" w:type="pct"/>
            <w:vAlign w:val="center"/>
          </w:tcPr>
          <w:p>
            <w:pPr>
              <w:adjustRightInd w:val="0"/>
              <w:snapToGrid w:val="0"/>
              <w:jc w:val="center"/>
              <w:rPr>
                <w:kern w:val="0"/>
                <w:szCs w:val="21"/>
              </w:rPr>
            </w:pPr>
            <w:r>
              <w:rPr>
                <w:rFonts w:hint="eastAsia"/>
                <w:kern w:val="0"/>
                <w:szCs w:val="21"/>
              </w:rPr>
              <w:t>围场县静脉产业园生活垃圾焚烧发电项目</w:t>
            </w:r>
          </w:p>
        </w:tc>
        <w:tc>
          <w:tcPr>
            <w:tcW w:w="1006" w:type="pct"/>
            <w:vAlign w:val="center"/>
          </w:tcPr>
          <w:p>
            <w:pPr>
              <w:adjustRightInd w:val="0"/>
              <w:snapToGrid w:val="0"/>
              <w:jc w:val="center"/>
              <w:rPr>
                <w:kern w:val="0"/>
                <w:szCs w:val="21"/>
              </w:rPr>
            </w:pPr>
            <w:r>
              <w:rPr>
                <w:rFonts w:hint="eastAsia"/>
                <w:kern w:val="0"/>
                <w:szCs w:val="21"/>
              </w:rPr>
              <w:t>3</w:t>
            </w:r>
            <w:r>
              <w:rPr>
                <w:kern w:val="0"/>
                <w:szCs w:val="21"/>
              </w:rPr>
              <w:t>00 t/d</w:t>
            </w:r>
          </w:p>
        </w:tc>
        <w:tc>
          <w:tcPr>
            <w:tcW w:w="989" w:type="pct"/>
            <w:vAlign w:val="center"/>
          </w:tcPr>
          <w:p>
            <w:pPr>
              <w:adjustRightInd w:val="0"/>
              <w:snapToGrid w:val="0"/>
              <w:jc w:val="center"/>
              <w:rPr>
                <w:kern w:val="0"/>
                <w:szCs w:val="21"/>
              </w:rPr>
            </w:pPr>
            <w:r>
              <w:rPr>
                <w:rFonts w:hint="eastAsia"/>
                <w:kern w:val="0"/>
                <w:szCs w:val="21"/>
              </w:rPr>
              <w:t>无组织</w:t>
            </w:r>
          </w:p>
        </w:tc>
        <w:tc>
          <w:tcPr>
            <w:tcW w:w="602" w:type="pct"/>
            <w:vAlign w:val="center"/>
          </w:tcPr>
          <w:p>
            <w:pPr>
              <w:adjustRightInd w:val="0"/>
              <w:snapToGrid w:val="0"/>
              <w:jc w:val="center"/>
              <w:rPr>
                <w:kern w:val="0"/>
                <w:szCs w:val="21"/>
              </w:rPr>
            </w:pPr>
            <w:r>
              <w:rPr>
                <w:rFonts w:hint="eastAsia"/>
                <w:kern w:val="0"/>
                <w:szCs w:val="21"/>
              </w:rPr>
              <w:t>0</w:t>
            </w:r>
            <w:r>
              <w:rPr>
                <w:kern w:val="0"/>
                <w:szCs w:val="21"/>
              </w:rPr>
              <w:t>.214</w:t>
            </w:r>
          </w:p>
        </w:tc>
        <w:tc>
          <w:tcPr>
            <w:tcW w:w="561" w:type="pct"/>
            <w:vAlign w:val="center"/>
          </w:tcPr>
          <w:p>
            <w:pPr>
              <w:adjustRightInd w:val="0"/>
              <w:snapToGrid w:val="0"/>
              <w:jc w:val="center"/>
              <w:rPr>
                <w:kern w:val="0"/>
                <w:szCs w:val="21"/>
              </w:rPr>
            </w:pPr>
            <w:r>
              <w:rPr>
                <w:rFonts w:hint="eastAsia"/>
                <w:kern w:val="0"/>
                <w:szCs w:val="21"/>
              </w:rPr>
              <w:t>0</w:t>
            </w:r>
            <w:r>
              <w:rPr>
                <w:kern w:val="0"/>
                <w:szCs w:val="21"/>
              </w:rPr>
              <w:t>.0107</w:t>
            </w:r>
          </w:p>
        </w:tc>
        <w:tc>
          <w:tcPr>
            <w:tcW w:w="532" w:type="pct"/>
            <w:vAlign w:val="center"/>
          </w:tcPr>
          <w:p>
            <w:pPr>
              <w:adjustRightInd w:val="0"/>
              <w:snapToGrid w:val="0"/>
              <w:jc w:val="center"/>
              <w:rPr>
                <w:kern w:val="0"/>
                <w:szCs w:val="21"/>
              </w:rPr>
            </w:pPr>
            <w:r>
              <w:rPr>
                <w:rFonts w:hint="eastAsia"/>
                <w:kern w:val="0"/>
                <w:szCs w:val="21"/>
              </w:rPr>
              <w:t>拟建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3305" w:type="pct"/>
            <w:gridSpan w:val="3"/>
            <w:vAlign w:val="center"/>
          </w:tcPr>
          <w:p>
            <w:pPr>
              <w:adjustRightInd w:val="0"/>
              <w:snapToGrid w:val="0"/>
              <w:jc w:val="center"/>
              <w:rPr>
                <w:kern w:val="0"/>
                <w:szCs w:val="21"/>
              </w:rPr>
            </w:pPr>
            <w:r>
              <w:rPr>
                <w:kern w:val="0"/>
                <w:szCs w:val="21"/>
              </w:rPr>
              <w:t>合计</w:t>
            </w:r>
          </w:p>
        </w:tc>
        <w:tc>
          <w:tcPr>
            <w:tcW w:w="602" w:type="pct"/>
            <w:shd w:val="clear" w:color="auto" w:fill="auto"/>
            <w:vAlign w:val="center"/>
          </w:tcPr>
          <w:p>
            <w:pPr>
              <w:adjustRightInd w:val="0"/>
              <w:snapToGrid w:val="0"/>
              <w:jc w:val="center"/>
              <w:rPr>
                <w:kern w:val="0"/>
                <w:szCs w:val="21"/>
              </w:rPr>
            </w:pPr>
            <w:r>
              <w:rPr>
                <w:rFonts w:eastAsia="等线"/>
                <w:kern w:val="0"/>
                <w:szCs w:val="21"/>
              </w:rPr>
              <w:t>23.124</w:t>
            </w:r>
          </w:p>
        </w:tc>
        <w:tc>
          <w:tcPr>
            <w:tcW w:w="561" w:type="pct"/>
            <w:shd w:val="clear" w:color="auto" w:fill="auto"/>
            <w:vAlign w:val="center"/>
          </w:tcPr>
          <w:p>
            <w:pPr>
              <w:adjustRightInd w:val="0"/>
              <w:snapToGrid w:val="0"/>
              <w:jc w:val="center"/>
              <w:rPr>
                <w:kern w:val="0"/>
                <w:szCs w:val="21"/>
              </w:rPr>
            </w:pPr>
            <w:r>
              <w:rPr>
                <w:rFonts w:eastAsia="等线"/>
                <w:kern w:val="0"/>
                <w:szCs w:val="21"/>
              </w:rPr>
              <w:t>6.2907</w:t>
            </w:r>
          </w:p>
        </w:tc>
        <w:tc>
          <w:tcPr>
            <w:tcW w:w="532" w:type="pct"/>
            <w:shd w:val="clear" w:color="auto" w:fill="auto"/>
            <w:vAlign w:val="center"/>
          </w:tcPr>
          <w:p>
            <w:pPr>
              <w:adjustRightInd w:val="0"/>
              <w:snapToGrid w:val="0"/>
              <w:jc w:val="center"/>
              <w:rPr>
                <w:kern w:val="0"/>
                <w:szCs w:val="21"/>
              </w:rPr>
            </w:pPr>
          </w:p>
        </w:tc>
      </w:tr>
    </w:tbl>
    <w:p>
      <w:pPr>
        <w:adjustRightInd w:val="0"/>
        <w:snapToGrid w:val="0"/>
        <w:spacing w:line="360" w:lineRule="auto"/>
        <w:ind w:firstLine="480" w:firstLineChars="200"/>
        <w:rPr>
          <w:sz w:val="24"/>
          <w:szCs w:val="24"/>
        </w:rPr>
      </w:pPr>
      <w:r>
        <w:rPr>
          <w:sz w:val="24"/>
          <w:szCs w:val="24"/>
        </w:rPr>
        <w:t>（2）污染源评价</w:t>
      </w:r>
    </w:p>
    <w:p>
      <w:pPr>
        <w:adjustRightInd w:val="0"/>
        <w:snapToGrid w:val="0"/>
        <w:spacing w:line="360" w:lineRule="auto"/>
        <w:ind w:firstLine="480" w:firstLineChars="200"/>
        <w:rPr>
          <w:spacing w:val="4"/>
          <w:kern w:val="0"/>
          <w:sz w:val="24"/>
          <w:szCs w:val="21"/>
        </w:rPr>
      </w:pPr>
      <w:r>
        <w:rPr>
          <w:sz w:val="24"/>
          <w:szCs w:val="21"/>
        </w:rPr>
        <w:t>大气污染物、水污染物的评价方法采用等标污染负荷法，计算公式如下：</w:t>
      </w:r>
    </w:p>
    <w:p>
      <w:pPr>
        <w:adjustRightInd w:val="0"/>
        <w:snapToGrid w:val="0"/>
        <w:spacing w:line="360" w:lineRule="auto"/>
        <w:ind w:firstLine="200"/>
        <w:jc w:val="center"/>
        <w:rPr>
          <w:szCs w:val="21"/>
        </w:rPr>
      </w:pPr>
      <w:r>
        <w:rPr>
          <w:position w:val="-30"/>
          <w:szCs w:val="21"/>
        </w:rPr>
        <w:object>
          <v:shape id="_x0000_i1025" o:spt="75" type="#_x0000_t75" style="height:36pt;width:45.75pt;" o:ole="t" filled="f" o:preferrelative="t" stroked="f" coordsize="21600,21600">
            <v:path/>
            <v:fill on="f" focussize="0,0"/>
            <v:stroke on="f" joinstyle="miter"/>
            <v:imagedata r:id="rId53" o:title=""/>
            <o:lock v:ext="edit" aspectratio="t"/>
            <w10:wrap type="none"/>
            <w10:anchorlock/>
          </v:shape>
          <o:OLEObject Type="Embed" ProgID="Visio.Drawing.11" ShapeID="_x0000_i1025" DrawAspect="Content" ObjectID="_1468075725" r:id="rId52">
            <o:LockedField>false</o:LockedField>
          </o:OLEObject>
        </w:object>
      </w:r>
    </w:p>
    <w:p>
      <w:pPr>
        <w:autoSpaceDE w:val="0"/>
        <w:autoSpaceDN w:val="0"/>
        <w:adjustRightInd w:val="0"/>
        <w:snapToGrid w:val="0"/>
        <w:spacing w:line="360" w:lineRule="auto"/>
        <w:ind w:firstLine="480" w:firstLineChars="200"/>
        <w:rPr>
          <w:kern w:val="0"/>
          <w:sz w:val="24"/>
          <w:szCs w:val="21"/>
        </w:rPr>
      </w:pPr>
      <w:r>
        <w:rPr>
          <w:kern w:val="0"/>
          <w:sz w:val="24"/>
          <w:szCs w:val="21"/>
        </w:rPr>
        <w:t>式中：</w:t>
      </w:r>
      <w:r>
        <w:rPr>
          <w:i/>
          <w:kern w:val="0"/>
          <w:sz w:val="24"/>
          <w:szCs w:val="21"/>
        </w:rPr>
        <w:t>P</w:t>
      </w:r>
      <w:r>
        <w:rPr>
          <w:kern w:val="0"/>
          <w:sz w:val="24"/>
          <w:szCs w:val="21"/>
          <w:vertAlign w:val="subscript"/>
        </w:rPr>
        <w:t>i</w:t>
      </w:r>
      <w:r>
        <w:rPr>
          <w:kern w:val="0"/>
          <w:sz w:val="24"/>
          <w:szCs w:val="21"/>
        </w:rPr>
        <w:t>---废气(水)中某污染物的等标污染负荷；</w:t>
      </w:r>
    </w:p>
    <w:p>
      <w:pPr>
        <w:autoSpaceDE w:val="0"/>
        <w:autoSpaceDN w:val="0"/>
        <w:adjustRightInd w:val="0"/>
        <w:snapToGrid w:val="0"/>
        <w:spacing w:line="360" w:lineRule="auto"/>
        <w:ind w:firstLine="1200" w:firstLineChars="500"/>
        <w:rPr>
          <w:kern w:val="0"/>
          <w:sz w:val="24"/>
          <w:szCs w:val="21"/>
        </w:rPr>
      </w:pPr>
      <w:r>
        <w:rPr>
          <w:i/>
          <w:kern w:val="0"/>
          <w:sz w:val="24"/>
          <w:szCs w:val="21"/>
        </w:rPr>
        <w:t>C</w:t>
      </w:r>
      <w:r>
        <w:rPr>
          <w:kern w:val="0"/>
          <w:sz w:val="24"/>
          <w:szCs w:val="21"/>
          <w:vertAlign w:val="subscript"/>
        </w:rPr>
        <w:t>oi</w:t>
      </w:r>
      <w:r>
        <w:rPr>
          <w:kern w:val="0"/>
          <w:sz w:val="24"/>
          <w:szCs w:val="21"/>
        </w:rPr>
        <w:t>---某种污染物的评价标准，废气为mg/m</w:t>
      </w:r>
      <w:r>
        <w:rPr>
          <w:kern w:val="0"/>
          <w:sz w:val="24"/>
          <w:szCs w:val="21"/>
          <w:vertAlign w:val="superscript"/>
        </w:rPr>
        <w:t>3</w:t>
      </w:r>
      <w:r>
        <w:rPr>
          <w:kern w:val="0"/>
          <w:sz w:val="24"/>
          <w:szCs w:val="21"/>
        </w:rPr>
        <w:t>，废水为mg/L；</w:t>
      </w:r>
    </w:p>
    <w:p>
      <w:pPr>
        <w:autoSpaceDE w:val="0"/>
        <w:autoSpaceDN w:val="0"/>
        <w:adjustRightInd w:val="0"/>
        <w:snapToGrid w:val="0"/>
        <w:spacing w:line="360" w:lineRule="auto"/>
        <w:ind w:firstLine="1200" w:firstLineChars="500"/>
        <w:rPr>
          <w:kern w:val="0"/>
          <w:sz w:val="24"/>
          <w:szCs w:val="21"/>
        </w:rPr>
      </w:pPr>
      <w:r>
        <w:rPr>
          <w:i/>
          <w:kern w:val="0"/>
          <w:sz w:val="24"/>
          <w:szCs w:val="21"/>
        </w:rPr>
        <w:t>q</w:t>
      </w:r>
      <w:r>
        <w:rPr>
          <w:kern w:val="0"/>
          <w:sz w:val="24"/>
          <w:szCs w:val="21"/>
          <w:vertAlign w:val="subscript"/>
        </w:rPr>
        <w:t>i</w:t>
      </w:r>
      <w:r>
        <w:rPr>
          <w:kern w:val="0"/>
          <w:sz w:val="24"/>
          <w:szCs w:val="21"/>
        </w:rPr>
        <w:t>---废气中某种污染物的排放量，t/a；</w:t>
      </w:r>
    </w:p>
    <w:p>
      <w:pPr>
        <w:adjustRightInd w:val="0"/>
        <w:snapToGrid w:val="0"/>
        <w:spacing w:line="360" w:lineRule="auto"/>
        <w:ind w:firstLine="200"/>
        <w:jc w:val="center"/>
        <w:rPr>
          <w:sz w:val="24"/>
          <w:szCs w:val="21"/>
        </w:rPr>
      </w:pPr>
      <w:r>
        <w:rPr>
          <w:position w:val="-28"/>
          <w:sz w:val="24"/>
          <w:szCs w:val="21"/>
        </w:rPr>
        <w:drawing>
          <wp:inline distT="0" distB="0" distL="0" distR="0">
            <wp:extent cx="673100" cy="422910"/>
            <wp:effectExtent l="0" t="0" r="0" b="0"/>
            <wp:docPr id="1433" name="图片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4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673100" cy="422910"/>
                    </a:xfrm>
                    <a:prstGeom prst="rect">
                      <a:avLst/>
                    </a:prstGeom>
                    <a:noFill/>
                    <a:ln>
                      <a:noFill/>
                    </a:ln>
                  </pic:spPr>
                </pic:pic>
              </a:graphicData>
            </a:graphic>
          </wp:inline>
        </w:drawing>
      </w:r>
    </w:p>
    <w:p>
      <w:pPr>
        <w:autoSpaceDE w:val="0"/>
        <w:autoSpaceDN w:val="0"/>
        <w:adjustRightInd w:val="0"/>
        <w:snapToGrid w:val="0"/>
        <w:spacing w:line="360" w:lineRule="auto"/>
        <w:ind w:firstLine="480" w:firstLineChars="200"/>
        <w:rPr>
          <w:kern w:val="0"/>
          <w:sz w:val="24"/>
          <w:szCs w:val="21"/>
        </w:rPr>
      </w:pPr>
      <w:r>
        <w:rPr>
          <w:kern w:val="0"/>
          <w:sz w:val="24"/>
          <w:szCs w:val="21"/>
        </w:rPr>
        <w:t>式中：</w:t>
      </w:r>
      <w:r>
        <w:rPr>
          <w:i/>
          <w:kern w:val="0"/>
          <w:sz w:val="24"/>
          <w:szCs w:val="21"/>
        </w:rPr>
        <w:t>P</w:t>
      </w:r>
      <w:r>
        <w:rPr>
          <w:kern w:val="0"/>
          <w:sz w:val="24"/>
          <w:szCs w:val="21"/>
          <w:vertAlign w:val="subscript"/>
        </w:rPr>
        <w:t>n</w:t>
      </w:r>
      <w:r>
        <w:rPr>
          <w:kern w:val="0"/>
          <w:sz w:val="24"/>
          <w:szCs w:val="21"/>
        </w:rPr>
        <w:t>---某污染源(工厂)各污染源污染物总等标污染负荷</w:t>
      </w:r>
    </w:p>
    <w:p>
      <w:pPr>
        <w:adjustRightInd w:val="0"/>
        <w:snapToGrid w:val="0"/>
        <w:spacing w:line="360" w:lineRule="auto"/>
        <w:ind w:firstLine="200"/>
        <w:jc w:val="center"/>
        <w:rPr>
          <w:sz w:val="24"/>
          <w:szCs w:val="21"/>
        </w:rPr>
      </w:pPr>
      <w:r>
        <w:rPr>
          <w:position w:val="-28"/>
          <w:sz w:val="24"/>
          <w:szCs w:val="21"/>
        </w:rPr>
        <w:drawing>
          <wp:inline distT="0" distB="0" distL="0" distR="0">
            <wp:extent cx="638175" cy="422910"/>
            <wp:effectExtent l="0" t="0" r="9525" b="0"/>
            <wp:docPr id="1434" name="图片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638175" cy="422910"/>
                    </a:xfrm>
                    <a:prstGeom prst="rect">
                      <a:avLst/>
                    </a:prstGeom>
                    <a:noFill/>
                    <a:ln>
                      <a:noFill/>
                    </a:ln>
                  </pic:spPr>
                </pic:pic>
              </a:graphicData>
            </a:graphic>
          </wp:inline>
        </w:drawing>
      </w:r>
    </w:p>
    <w:p>
      <w:pPr>
        <w:autoSpaceDE w:val="0"/>
        <w:autoSpaceDN w:val="0"/>
        <w:adjustRightInd w:val="0"/>
        <w:snapToGrid w:val="0"/>
        <w:spacing w:line="360" w:lineRule="auto"/>
        <w:ind w:firstLine="480" w:firstLineChars="200"/>
        <w:rPr>
          <w:kern w:val="0"/>
          <w:sz w:val="24"/>
          <w:szCs w:val="21"/>
        </w:rPr>
      </w:pPr>
      <w:r>
        <w:rPr>
          <w:kern w:val="0"/>
          <w:sz w:val="24"/>
          <w:szCs w:val="21"/>
        </w:rPr>
        <w:t>式中：</w:t>
      </w:r>
      <w:r>
        <w:rPr>
          <w:i/>
          <w:kern w:val="0"/>
          <w:sz w:val="24"/>
          <w:szCs w:val="21"/>
        </w:rPr>
        <w:t>P</w:t>
      </w:r>
      <w:r>
        <w:rPr>
          <w:kern w:val="0"/>
          <w:sz w:val="24"/>
          <w:szCs w:val="21"/>
        </w:rPr>
        <w:t>---某区域中所有污染源污染物总等标污染负荷之和。</w:t>
      </w:r>
    </w:p>
    <w:p>
      <w:pPr>
        <w:autoSpaceDE w:val="0"/>
        <w:autoSpaceDN w:val="0"/>
        <w:adjustRightInd w:val="0"/>
        <w:snapToGrid w:val="0"/>
        <w:spacing w:line="360" w:lineRule="auto"/>
        <w:ind w:firstLine="200"/>
        <w:jc w:val="center"/>
        <w:rPr>
          <w:sz w:val="24"/>
          <w:szCs w:val="21"/>
        </w:rPr>
      </w:pPr>
      <w:r>
        <w:rPr>
          <w:position w:val="-24"/>
          <w:sz w:val="24"/>
          <w:szCs w:val="21"/>
        </w:rPr>
        <w:drawing>
          <wp:inline distT="0" distB="0" distL="0" distR="0">
            <wp:extent cx="983615" cy="370840"/>
            <wp:effectExtent l="0" t="0" r="0" b="0"/>
            <wp:docPr id="1435" name="图片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983615" cy="370840"/>
                    </a:xfrm>
                    <a:prstGeom prst="rect">
                      <a:avLst/>
                    </a:prstGeom>
                    <a:noFill/>
                    <a:ln>
                      <a:noFill/>
                    </a:ln>
                  </pic:spPr>
                </pic:pic>
              </a:graphicData>
            </a:graphic>
          </wp:inline>
        </w:drawing>
      </w:r>
    </w:p>
    <w:p>
      <w:pPr>
        <w:adjustRightInd w:val="0"/>
        <w:snapToGrid w:val="0"/>
        <w:spacing w:line="360" w:lineRule="auto"/>
        <w:ind w:firstLine="480" w:firstLineChars="200"/>
        <w:rPr>
          <w:spacing w:val="4"/>
          <w:kern w:val="0"/>
          <w:sz w:val="24"/>
          <w:szCs w:val="21"/>
        </w:rPr>
      </w:pPr>
      <w:r>
        <w:rPr>
          <w:kern w:val="0"/>
          <w:sz w:val="24"/>
          <w:szCs w:val="21"/>
        </w:rPr>
        <w:t>式中：</w:t>
      </w:r>
      <w:r>
        <w:rPr>
          <w:i/>
          <w:kern w:val="0"/>
          <w:sz w:val="24"/>
          <w:szCs w:val="21"/>
        </w:rPr>
        <w:t>K</w:t>
      </w:r>
      <w:r>
        <w:rPr>
          <w:kern w:val="0"/>
          <w:sz w:val="24"/>
          <w:szCs w:val="21"/>
          <w:vertAlign w:val="subscript"/>
        </w:rPr>
        <w:t>n</w:t>
      </w:r>
      <w:r>
        <w:rPr>
          <w:kern w:val="0"/>
          <w:sz w:val="24"/>
          <w:szCs w:val="21"/>
        </w:rPr>
        <w:t>---某污染源在区域中的污染负荷比。</w:t>
      </w:r>
    </w:p>
    <w:p>
      <w:pPr>
        <w:spacing w:line="360" w:lineRule="auto"/>
        <w:ind w:firstLine="480" w:firstLineChars="200"/>
        <w:rPr>
          <w:sz w:val="24"/>
        </w:rPr>
      </w:pPr>
      <w:r>
        <w:rPr>
          <w:sz w:val="24"/>
        </w:rPr>
        <w:t>（2）评价标准</w:t>
      </w:r>
    </w:p>
    <w:p>
      <w:pPr>
        <w:spacing w:line="360" w:lineRule="auto"/>
        <w:ind w:firstLine="480" w:firstLineChars="200"/>
        <w:rPr>
          <w:b/>
          <w:sz w:val="24"/>
        </w:rPr>
      </w:pPr>
      <w:r>
        <w:rPr>
          <w:rFonts w:hint="eastAsia"/>
          <w:sz w:val="24"/>
          <w:szCs w:val="24"/>
        </w:rPr>
        <w:t>NH</w:t>
      </w:r>
      <w:r>
        <w:rPr>
          <w:sz w:val="24"/>
          <w:szCs w:val="24"/>
          <w:vertAlign w:val="subscript"/>
        </w:rPr>
        <w:t>3</w:t>
      </w:r>
      <w:r>
        <w:rPr>
          <w:sz w:val="24"/>
          <w:szCs w:val="24"/>
        </w:rPr>
        <w:t>、</w:t>
      </w:r>
      <w:r>
        <w:rPr>
          <w:rFonts w:hint="eastAsia"/>
          <w:sz w:val="24"/>
          <w:szCs w:val="24"/>
        </w:rPr>
        <w:t>H</w:t>
      </w:r>
      <w:r>
        <w:rPr>
          <w:rFonts w:hint="eastAsia"/>
          <w:sz w:val="24"/>
          <w:szCs w:val="24"/>
          <w:vertAlign w:val="subscript"/>
        </w:rPr>
        <w:t>2</w:t>
      </w:r>
      <w:r>
        <w:rPr>
          <w:rFonts w:hint="eastAsia"/>
          <w:sz w:val="24"/>
          <w:szCs w:val="24"/>
        </w:rPr>
        <w:t>S</w:t>
      </w:r>
      <w:r>
        <w:rPr>
          <w:sz w:val="24"/>
          <w:szCs w:val="24"/>
        </w:rPr>
        <w:t>采用《环境空气质量标准》（GB3095-2012）中二级标准的日均浓度限值为环境空气污染源评价标准。</w:t>
      </w:r>
    </w:p>
    <w:p>
      <w:pPr>
        <w:adjustRightInd w:val="0"/>
        <w:snapToGrid w:val="0"/>
        <w:jc w:val="center"/>
        <w:rPr>
          <w:rFonts w:eastAsia="黑体"/>
          <w:sz w:val="24"/>
          <w:szCs w:val="24"/>
        </w:rPr>
      </w:pPr>
      <w:r>
        <w:rPr>
          <w:rFonts w:eastAsia="黑体"/>
          <w:sz w:val="24"/>
          <w:szCs w:val="24"/>
        </w:rPr>
        <w:t>表 4.2-2  环境空气污染源评价因子及标准</w:t>
      </w:r>
    </w:p>
    <w:tbl>
      <w:tblPr>
        <w:tblStyle w:val="39"/>
        <w:tblW w:w="5000" w:type="pct"/>
        <w:tblInd w:w="0" w:type="dxa"/>
        <w:tblBorders>
          <w:top w:val="single" w:color="auto" w:sz="12" w:space="0"/>
          <w:left w:val="single" w:color="auto" w:sz="4" w:space="0"/>
          <w:bottom w:val="single" w:color="auto" w:sz="12"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18"/>
        <w:gridCol w:w="1985"/>
        <w:gridCol w:w="2325"/>
      </w:tblGrid>
      <w:tr>
        <w:tblPrEx>
          <w:tblBorders>
            <w:top w:val="single" w:color="auto" w:sz="12" w:space="0"/>
            <w:left w:val="single" w:color="auto" w:sz="4"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2473" w:type="pct"/>
            <w:vAlign w:val="center"/>
          </w:tcPr>
          <w:p>
            <w:pPr>
              <w:tabs>
                <w:tab w:val="left" w:pos="2700"/>
              </w:tabs>
              <w:jc w:val="center"/>
              <w:rPr>
                <w:szCs w:val="21"/>
              </w:rPr>
            </w:pPr>
            <w:r>
              <w:rPr>
                <w:szCs w:val="21"/>
              </w:rPr>
              <w:t>评价因子</w:t>
            </w:r>
          </w:p>
        </w:tc>
        <w:tc>
          <w:tcPr>
            <w:tcW w:w="1164" w:type="pct"/>
            <w:vAlign w:val="center"/>
          </w:tcPr>
          <w:p>
            <w:pPr>
              <w:tabs>
                <w:tab w:val="left" w:pos="2700"/>
              </w:tabs>
              <w:jc w:val="center"/>
              <w:rPr>
                <w:szCs w:val="21"/>
              </w:rPr>
            </w:pPr>
            <w:r>
              <w:rPr>
                <w:szCs w:val="21"/>
              </w:rPr>
              <w:t>NH</w:t>
            </w:r>
            <w:r>
              <w:rPr>
                <w:szCs w:val="21"/>
                <w:vertAlign w:val="subscript"/>
              </w:rPr>
              <w:t>3</w:t>
            </w:r>
          </w:p>
        </w:tc>
        <w:tc>
          <w:tcPr>
            <w:tcW w:w="1363" w:type="pct"/>
            <w:vAlign w:val="center"/>
          </w:tcPr>
          <w:p>
            <w:pPr>
              <w:tabs>
                <w:tab w:val="left" w:pos="2700"/>
              </w:tabs>
              <w:jc w:val="center"/>
              <w:rPr>
                <w:szCs w:val="21"/>
              </w:rPr>
            </w:pPr>
            <w:r>
              <w:rPr>
                <w:szCs w:val="21"/>
              </w:rPr>
              <w:t>H</w:t>
            </w:r>
            <w:r>
              <w:rPr>
                <w:szCs w:val="21"/>
                <w:vertAlign w:val="subscript"/>
              </w:rPr>
              <w:t>2</w:t>
            </w:r>
            <w:r>
              <w:rPr>
                <w:szCs w:val="21"/>
              </w:rPr>
              <w:t>S</w:t>
            </w:r>
          </w:p>
        </w:tc>
      </w:tr>
      <w:tr>
        <w:tblPrEx>
          <w:tblBorders>
            <w:top w:val="single" w:color="auto" w:sz="12" w:space="0"/>
            <w:left w:val="single" w:color="auto" w:sz="4"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2473" w:type="pct"/>
            <w:vAlign w:val="center"/>
          </w:tcPr>
          <w:p>
            <w:pPr>
              <w:tabs>
                <w:tab w:val="left" w:pos="2700"/>
              </w:tabs>
              <w:jc w:val="center"/>
              <w:rPr>
                <w:szCs w:val="21"/>
              </w:rPr>
            </w:pPr>
            <w:r>
              <w:rPr>
                <w:szCs w:val="21"/>
              </w:rPr>
              <w:t>评价标准值（mg/m</w:t>
            </w:r>
            <w:r>
              <w:rPr>
                <w:szCs w:val="21"/>
                <w:vertAlign w:val="superscript"/>
              </w:rPr>
              <w:t>3</w:t>
            </w:r>
            <w:r>
              <w:rPr>
                <w:szCs w:val="21"/>
              </w:rPr>
              <w:t>）</w:t>
            </w:r>
          </w:p>
        </w:tc>
        <w:tc>
          <w:tcPr>
            <w:tcW w:w="1164" w:type="pct"/>
            <w:vAlign w:val="center"/>
          </w:tcPr>
          <w:p>
            <w:pPr>
              <w:tabs>
                <w:tab w:val="left" w:pos="2700"/>
              </w:tabs>
              <w:jc w:val="center"/>
              <w:rPr>
                <w:szCs w:val="21"/>
              </w:rPr>
            </w:pPr>
            <w:r>
              <w:rPr>
                <w:szCs w:val="21"/>
              </w:rPr>
              <w:t>0.2</w:t>
            </w:r>
          </w:p>
        </w:tc>
        <w:tc>
          <w:tcPr>
            <w:tcW w:w="1363" w:type="pct"/>
            <w:vAlign w:val="center"/>
          </w:tcPr>
          <w:p>
            <w:pPr>
              <w:tabs>
                <w:tab w:val="left" w:pos="2700"/>
              </w:tabs>
              <w:jc w:val="center"/>
              <w:rPr>
                <w:szCs w:val="21"/>
              </w:rPr>
            </w:pPr>
            <w:r>
              <w:rPr>
                <w:szCs w:val="21"/>
              </w:rPr>
              <w:t>0.01</w:t>
            </w:r>
          </w:p>
        </w:tc>
      </w:tr>
    </w:tbl>
    <w:p>
      <w:pPr>
        <w:spacing w:line="360" w:lineRule="auto"/>
        <w:ind w:firstLine="480" w:firstLineChars="200"/>
        <w:rPr>
          <w:sz w:val="24"/>
        </w:rPr>
      </w:pPr>
      <w:r>
        <w:rPr>
          <w:sz w:val="24"/>
        </w:rPr>
        <w:t>（3）评价结果</w:t>
      </w:r>
    </w:p>
    <w:p>
      <w:pPr>
        <w:pStyle w:val="20"/>
        <w:snapToGrid w:val="0"/>
        <w:spacing w:after="0" w:line="360" w:lineRule="auto"/>
        <w:ind w:firstLine="480" w:firstLineChars="200"/>
        <w:rPr>
          <w:sz w:val="24"/>
        </w:rPr>
      </w:pPr>
      <w:r>
        <w:rPr>
          <w:sz w:val="24"/>
        </w:rPr>
        <w:t>区域内主要企业废气污染物等标污染负荷统计评价结果见下表4.2-3。由下表可以看出，评价区域内主要污染源为</w:t>
      </w:r>
      <w:r>
        <w:rPr>
          <w:rFonts w:hint="eastAsia"/>
          <w:sz w:val="24"/>
        </w:rPr>
        <w:t>围场县生活垃圾卫生填埋场</w:t>
      </w:r>
      <w:r>
        <w:rPr>
          <w:sz w:val="24"/>
        </w:rPr>
        <w:t>，主要污染物为</w:t>
      </w:r>
      <w:r>
        <w:rPr>
          <w:rFonts w:hint="eastAsia"/>
          <w:sz w:val="24"/>
        </w:rPr>
        <w:t>氨和H</w:t>
      </w:r>
      <w:r>
        <w:rPr>
          <w:rFonts w:hint="eastAsia"/>
          <w:sz w:val="24"/>
          <w:vertAlign w:val="subscript"/>
        </w:rPr>
        <w:t>2</w:t>
      </w:r>
      <w:r>
        <w:rPr>
          <w:rFonts w:hint="eastAsia"/>
          <w:sz w:val="24"/>
        </w:rPr>
        <w:t>S</w:t>
      </w:r>
      <w:r>
        <w:rPr>
          <w:sz w:val="24"/>
        </w:rPr>
        <w:t>。</w:t>
      </w:r>
    </w:p>
    <w:p>
      <w:pPr>
        <w:adjustRightInd w:val="0"/>
        <w:snapToGrid w:val="0"/>
        <w:jc w:val="center"/>
        <w:rPr>
          <w:rFonts w:eastAsia="黑体"/>
          <w:sz w:val="24"/>
          <w:szCs w:val="24"/>
        </w:rPr>
      </w:pPr>
      <w:r>
        <w:rPr>
          <w:rFonts w:hint="eastAsia" w:eastAsia="黑体"/>
          <w:sz w:val="24"/>
          <w:szCs w:val="24"/>
        </w:rPr>
        <w:t>表</w:t>
      </w:r>
      <w:r>
        <w:rPr>
          <w:rFonts w:eastAsia="黑体"/>
          <w:sz w:val="24"/>
          <w:szCs w:val="24"/>
        </w:rPr>
        <w:t xml:space="preserve">4.2-3 </w:t>
      </w:r>
      <w:r>
        <w:rPr>
          <w:rFonts w:hint="eastAsia" w:eastAsia="黑体"/>
          <w:sz w:val="24"/>
          <w:szCs w:val="24"/>
        </w:rPr>
        <w:t xml:space="preserve"> </w:t>
      </w:r>
      <w:r>
        <w:rPr>
          <w:rFonts w:eastAsia="黑体"/>
          <w:sz w:val="24"/>
          <w:szCs w:val="24"/>
        </w:rPr>
        <w:t xml:space="preserve">废气污染源评价结果表 </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65"/>
        <w:gridCol w:w="2860"/>
        <w:gridCol w:w="1436"/>
        <w:gridCol w:w="1005"/>
        <w:gridCol w:w="831"/>
        <w:gridCol w:w="1068"/>
        <w:gridCol w:w="6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390" w:type="pct"/>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序号</w:t>
            </w:r>
          </w:p>
        </w:tc>
        <w:tc>
          <w:tcPr>
            <w:tcW w:w="1677" w:type="pct"/>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企业名称</w:t>
            </w:r>
          </w:p>
        </w:tc>
        <w:tc>
          <w:tcPr>
            <w:tcW w:w="1431" w:type="pct"/>
            <w:gridSpan w:val="2"/>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污染物等标污染负荷</w:t>
            </w:r>
            <w:r>
              <w:rPr>
                <w:kern w:val="0"/>
                <w:szCs w:val="21"/>
              </w:rPr>
              <w:t>Pi</w:t>
            </w:r>
          </w:p>
        </w:tc>
        <w:tc>
          <w:tcPr>
            <w:tcW w:w="487" w:type="pct"/>
            <w:vMerge w:val="restart"/>
            <w:shd w:val="clear" w:color="auto" w:fill="auto"/>
            <w:vAlign w:val="center"/>
          </w:tcPr>
          <w:p>
            <w:pPr>
              <w:widowControl/>
              <w:jc w:val="center"/>
              <w:rPr>
                <w:kern w:val="0"/>
                <w:szCs w:val="21"/>
              </w:rPr>
            </w:pPr>
            <w:r>
              <w:rPr>
                <w:kern w:val="0"/>
                <w:szCs w:val="21"/>
              </w:rPr>
              <w:t>Pn</w:t>
            </w:r>
          </w:p>
        </w:tc>
        <w:tc>
          <w:tcPr>
            <w:tcW w:w="626" w:type="pct"/>
            <w:vMerge w:val="restart"/>
            <w:shd w:val="clear" w:color="auto" w:fill="auto"/>
            <w:vAlign w:val="center"/>
          </w:tcPr>
          <w:p>
            <w:pPr>
              <w:widowControl/>
              <w:jc w:val="center"/>
              <w:rPr>
                <w:kern w:val="0"/>
                <w:szCs w:val="21"/>
              </w:rPr>
            </w:pPr>
            <w:r>
              <w:rPr>
                <w:kern w:val="0"/>
                <w:szCs w:val="21"/>
              </w:rPr>
              <w:t>Ki</w:t>
            </w:r>
            <w:r>
              <w:rPr>
                <w:rFonts w:hint="eastAsia" w:ascii="宋体" w:hAnsi="宋体"/>
                <w:kern w:val="0"/>
                <w:szCs w:val="21"/>
              </w:rPr>
              <w:t>（</w:t>
            </w:r>
            <w:r>
              <w:rPr>
                <w:kern w:val="0"/>
                <w:szCs w:val="21"/>
              </w:rPr>
              <w:t>%</w:t>
            </w:r>
            <w:r>
              <w:rPr>
                <w:rFonts w:hint="eastAsia" w:ascii="宋体" w:hAnsi="宋体"/>
                <w:kern w:val="0"/>
                <w:szCs w:val="21"/>
              </w:rPr>
              <w:t>）</w:t>
            </w:r>
          </w:p>
        </w:tc>
        <w:tc>
          <w:tcPr>
            <w:tcW w:w="389" w:type="pct"/>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排序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trPr>
        <w:tc>
          <w:tcPr>
            <w:tcW w:w="390" w:type="pct"/>
            <w:vMerge w:val="continue"/>
            <w:vAlign w:val="center"/>
          </w:tcPr>
          <w:p>
            <w:pPr>
              <w:widowControl/>
              <w:jc w:val="left"/>
              <w:rPr>
                <w:rFonts w:ascii="宋体" w:hAnsi="宋体" w:cs="宋体"/>
                <w:kern w:val="0"/>
                <w:szCs w:val="21"/>
              </w:rPr>
            </w:pPr>
          </w:p>
        </w:tc>
        <w:tc>
          <w:tcPr>
            <w:tcW w:w="1677" w:type="pct"/>
            <w:vMerge w:val="continue"/>
            <w:vAlign w:val="center"/>
          </w:tcPr>
          <w:p>
            <w:pPr>
              <w:widowControl/>
              <w:jc w:val="left"/>
              <w:rPr>
                <w:rFonts w:ascii="宋体" w:hAnsi="宋体" w:cs="宋体"/>
                <w:kern w:val="0"/>
                <w:szCs w:val="21"/>
              </w:rPr>
            </w:pPr>
          </w:p>
        </w:tc>
        <w:tc>
          <w:tcPr>
            <w:tcW w:w="842" w:type="pc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氨</w:t>
            </w:r>
          </w:p>
        </w:tc>
        <w:tc>
          <w:tcPr>
            <w:tcW w:w="589" w:type="pct"/>
            <w:shd w:val="clear" w:color="auto" w:fill="auto"/>
            <w:vAlign w:val="center"/>
          </w:tcPr>
          <w:p>
            <w:pPr>
              <w:widowControl/>
              <w:jc w:val="center"/>
              <w:rPr>
                <w:kern w:val="0"/>
                <w:szCs w:val="21"/>
              </w:rPr>
            </w:pPr>
            <w:r>
              <w:rPr>
                <w:kern w:val="0"/>
                <w:szCs w:val="21"/>
              </w:rPr>
              <w:t>H</w:t>
            </w:r>
            <w:r>
              <w:rPr>
                <w:kern w:val="0"/>
                <w:szCs w:val="21"/>
                <w:vertAlign w:val="subscript"/>
              </w:rPr>
              <w:t>2</w:t>
            </w:r>
            <w:r>
              <w:rPr>
                <w:kern w:val="0"/>
                <w:szCs w:val="21"/>
              </w:rPr>
              <w:t>S</w:t>
            </w:r>
          </w:p>
        </w:tc>
        <w:tc>
          <w:tcPr>
            <w:tcW w:w="487" w:type="pct"/>
            <w:vMerge w:val="continue"/>
            <w:vAlign w:val="center"/>
          </w:tcPr>
          <w:p>
            <w:pPr>
              <w:widowControl/>
              <w:jc w:val="left"/>
              <w:rPr>
                <w:kern w:val="0"/>
                <w:szCs w:val="21"/>
              </w:rPr>
            </w:pPr>
          </w:p>
        </w:tc>
        <w:tc>
          <w:tcPr>
            <w:tcW w:w="626" w:type="pct"/>
            <w:vMerge w:val="continue"/>
            <w:vAlign w:val="center"/>
          </w:tcPr>
          <w:p>
            <w:pPr>
              <w:widowControl/>
              <w:jc w:val="left"/>
              <w:rPr>
                <w:kern w:val="0"/>
                <w:szCs w:val="21"/>
              </w:rPr>
            </w:pPr>
          </w:p>
        </w:tc>
        <w:tc>
          <w:tcPr>
            <w:tcW w:w="389" w:type="pct"/>
            <w:vMerge w:val="continue"/>
            <w:vAlign w:val="center"/>
          </w:tcPr>
          <w:p>
            <w:pPr>
              <w:widowControl/>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6" w:hRule="atLeast"/>
        </w:trPr>
        <w:tc>
          <w:tcPr>
            <w:tcW w:w="390" w:type="pct"/>
            <w:shd w:val="clear" w:color="auto" w:fill="auto"/>
            <w:vAlign w:val="center"/>
          </w:tcPr>
          <w:p>
            <w:pPr>
              <w:widowControl/>
              <w:jc w:val="center"/>
              <w:rPr>
                <w:kern w:val="0"/>
                <w:szCs w:val="21"/>
              </w:rPr>
            </w:pPr>
            <w:r>
              <w:rPr>
                <w:kern w:val="0"/>
                <w:szCs w:val="21"/>
              </w:rPr>
              <w:t>1</w:t>
            </w:r>
          </w:p>
        </w:tc>
        <w:tc>
          <w:tcPr>
            <w:tcW w:w="1677" w:type="pc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围场县生活垃圾卫生填埋场</w:t>
            </w:r>
          </w:p>
        </w:tc>
        <w:tc>
          <w:tcPr>
            <w:tcW w:w="842"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43</w:t>
            </w:r>
          </w:p>
        </w:tc>
        <w:tc>
          <w:tcPr>
            <w:tcW w:w="589"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532</w:t>
            </w:r>
          </w:p>
        </w:tc>
        <w:tc>
          <w:tcPr>
            <w:tcW w:w="487"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575</w:t>
            </w:r>
          </w:p>
        </w:tc>
        <w:tc>
          <w:tcPr>
            <w:tcW w:w="626"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77.21</w:t>
            </w:r>
          </w:p>
        </w:tc>
        <w:tc>
          <w:tcPr>
            <w:tcW w:w="389" w:type="pct"/>
            <w:shd w:val="clear" w:color="auto" w:fill="auto"/>
            <w:vAlign w:val="center"/>
          </w:tcPr>
          <w:p>
            <w:pPr>
              <w:widowControl/>
              <w:jc w:val="center"/>
              <w:rPr>
                <w:kern w:val="0"/>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390" w:type="pct"/>
            <w:shd w:val="clear" w:color="auto" w:fill="auto"/>
            <w:vAlign w:val="center"/>
          </w:tcPr>
          <w:p>
            <w:pPr>
              <w:widowControl/>
              <w:jc w:val="center"/>
              <w:rPr>
                <w:kern w:val="0"/>
                <w:szCs w:val="21"/>
              </w:rPr>
            </w:pPr>
            <w:r>
              <w:rPr>
                <w:kern w:val="0"/>
                <w:szCs w:val="21"/>
              </w:rPr>
              <w:t>2</w:t>
            </w:r>
          </w:p>
        </w:tc>
        <w:tc>
          <w:tcPr>
            <w:tcW w:w="1677" w:type="pc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粪便处理厂</w:t>
            </w:r>
          </w:p>
        </w:tc>
        <w:tc>
          <w:tcPr>
            <w:tcW w:w="842"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71.55</w:t>
            </w:r>
          </w:p>
        </w:tc>
        <w:tc>
          <w:tcPr>
            <w:tcW w:w="589"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96</w:t>
            </w:r>
          </w:p>
        </w:tc>
        <w:tc>
          <w:tcPr>
            <w:tcW w:w="487"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167.55</w:t>
            </w:r>
          </w:p>
        </w:tc>
        <w:tc>
          <w:tcPr>
            <w:tcW w:w="626"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22.50</w:t>
            </w:r>
          </w:p>
        </w:tc>
        <w:tc>
          <w:tcPr>
            <w:tcW w:w="389" w:type="pct"/>
            <w:shd w:val="clear" w:color="auto" w:fill="auto"/>
            <w:vAlign w:val="center"/>
          </w:tcPr>
          <w:p>
            <w:pPr>
              <w:widowControl/>
              <w:jc w:val="center"/>
              <w:rPr>
                <w:kern w:val="0"/>
                <w:szCs w:val="21"/>
              </w:rPr>
            </w:pPr>
            <w:r>
              <w:rPr>
                <w:kern w:val="0"/>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390" w:type="pct"/>
            <w:shd w:val="clear" w:color="auto" w:fill="auto"/>
            <w:vAlign w:val="center"/>
          </w:tcPr>
          <w:p>
            <w:pPr>
              <w:widowControl/>
              <w:jc w:val="center"/>
              <w:rPr>
                <w:kern w:val="0"/>
                <w:szCs w:val="21"/>
              </w:rPr>
            </w:pPr>
            <w:r>
              <w:rPr>
                <w:rFonts w:hint="eastAsia"/>
                <w:kern w:val="0"/>
                <w:szCs w:val="21"/>
              </w:rPr>
              <w:t>3</w:t>
            </w:r>
          </w:p>
        </w:tc>
        <w:tc>
          <w:tcPr>
            <w:tcW w:w="1677" w:type="pc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围场县静脉产业园生活垃圾焚烧发电项目</w:t>
            </w:r>
          </w:p>
        </w:tc>
        <w:tc>
          <w:tcPr>
            <w:tcW w:w="842"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1.07</w:t>
            </w:r>
          </w:p>
        </w:tc>
        <w:tc>
          <w:tcPr>
            <w:tcW w:w="589"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1.07</w:t>
            </w:r>
          </w:p>
        </w:tc>
        <w:tc>
          <w:tcPr>
            <w:tcW w:w="487"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2.14</w:t>
            </w:r>
          </w:p>
        </w:tc>
        <w:tc>
          <w:tcPr>
            <w:tcW w:w="626" w:type="pct"/>
            <w:tcBorders>
              <w:top w:val="nil"/>
              <w:left w:val="nil"/>
              <w:bottom w:val="single" w:color="auto" w:sz="8" w:space="0"/>
              <w:right w:val="single" w:color="auto" w:sz="8" w:space="0"/>
            </w:tcBorders>
            <w:shd w:val="clear" w:color="auto" w:fill="auto"/>
            <w:vAlign w:val="center"/>
          </w:tcPr>
          <w:p>
            <w:pPr>
              <w:widowControl/>
              <w:jc w:val="center"/>
              <w:rPr>
                <w:kern w:val="0"/>
                <w:szCs w:val="21"/>
              </w:rPr>
            </w:pPr>
            <w:r>
              <w:rPr>
                <w:rFonts w:eastAsia="等线"/>
                <w:szCs w:val="21"/>
              </w:rPr>
              <w:t>0.29</w:t>
            </w:r>
          </w:p>
        </w:tc>
        <w:tc>
          <w:tcPr>
            <w:tcW w:w="389" w:type="pct"/>
            <w:shd w:val="clear" w:color="auto" w:fill="auto"/>
            <w:vAlign w:val="center"/>
          </w:tcPr>
          <w:p>
            <w:pPr>
              <w:widowControl/>
              <w:jc w:val="center"/>
              <w:rPr>
                <w:kern w:val="0"/>
                <w:szCs w:val="21"/>
              </w:rPr>
            </w:pPr>
            <w:r>
              <w:rPr>
                <w:rFonts w:hint="eastAsia"/>
                <w:kern w:val="0"/>
                <w:szCs w:val="21"/>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2067" w:type="pct"/>
            <w:gridSpan w:val="2"/>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合计</w:t>
            </w:r>
          </w:p>
        </w:tc>
        <w:tc>
          <w:tcPr>
            <w:tcW w:w="842" w:type="pct"/>
            <w:tcBorders>
              <w:top w:val="nil"/>
              <w:left w:val="nil"/>
              <w:bottom w:val="single" w:color="auto" w:sz="12" w:space="0"/>
              <w:right w:val="single" w:color="auto" w:sz="8" w:space="0"/>
            </w:tcBorders>
            <w:shd w:val="clear" w:color="auto" w:fill="auto"/>
            <w:vAlign w:val="center"/>
          </w:tcPr>
          <w:p>
            <w:pPr>
              <w:widowControl/>
              <w:jc w:val="center"/>
              <w:rPr>
                <w:kern w:val="0"/>
                <w:szCs w:val="21"/>
              </w:rPr>
            </w:pPr>
            <w:r>
              <w:rPr>
                <w:rFonts w:eastAsia="等线"/>
                <w:szCs w:val="21"/>
              </w:rPr>
              <w:t>115.62</w:t>
            </w:r>
          </w:p>
        </w:tc>
        <w:tc>
          <w:tcPr>
            <w:tcW w:w="589" w:type="pct"/>
            <w:tcBorders>
              <w:top w:val="nil"/>
              <w:left w:val="nil"/>
              <w:bottom w:val="single" w:color="auto" w:sz="12" w:space="0"/>
              <w:right w:val="single" w:color="auto" w:sz="8" w:space="0"/>
            </w:tcBorders>
            <w:shd w:val="clear" w:color="auto" w:fill="auto"/>
            <w:vAlign w:val="center"/>
          </w:tcPr>
          <w:p>
            <w:pPr>
              <w:widowControl/>
              <w:jc w:val="center"/>
              <w:rPr>
                <w:kern w:val="0"/>
                <w:szCs w:val="21"/>
              </w:rPr>
            </w:pPr>
            <w:r>
              <w:rPr>
                <w:rFonts w:eastAsia="等线"/>
                <w:szCs w:val="21"/>
              </w:rPr>
              <w:t>629.07</w:t>
            </w:r>
          </w:p>
        </w:tc>
        <w:tc>
          <w:tcPr>
            <w:tcW w:w="487" w:type="pct"/>
            <w:tcBorders>
              <w:top w:val="nil"/>
              <w:left w:val="nil"/>
              <w:bottom w:val="single" w:color="auto" w:sz="12" w:space="0"/>
              <w:right w:val="single" w:color="auto" w:sz="8" w:space="0"/>
            </w:tcBorders>
            <w:shd w:val="clear" w:color="auto" w:fill="auto"/>
            <w:vAlign w:val="center"/>
          </w:tcPr>
          <w:p>
            <w:pPr>
              <w:widowControl/>
              <w:jc w:val="center"/>
              <w:rPr>
                <w:kern w:val="0"/>
                <w:szCs w:val="21"/>
              </w:rPr>
            </w:pPr>
            <w:r>
              <w:rPr>
                <w:rFonts w:eastAsia="等线"/>
                <w:szCs w:val="21"/>
              </w:rPr>
              <w:t>744.69</w:t>
            </w:r>
          </w:p>
        </w:tc>
        <w:tc>
          <w:tcPr>
            <w:tcW w:w="626" w:type="pct"/>
            <w:shd w:val="clear" w:color="auto" w:fill="auto"/>
            <w:vAlign w:val="center"/>
          </w:tcPr>
          <w:p>
            <w:pPr>
              <w:widowControl/>
              <w:jc w:val="center"/>
              <w:rPr>
                <w:kern w:val="0"/>
                <w:szCs w:val="21"/>
              </w:rPr>
            </w:pPr>
            <w:r>
              <w:rPr>
                <w:rFonts w:hint="eastAsia"/>
                <w:kern w:val="0"/>
                <w:szCs w:val="21"/>
              </w:rPr>
              <w:t>1</w:t>
            </w:r>
            <w:r>
              <w:rPr>
                <w:kern w:val="0"/>
                <w:szCs w:val="21"/>
              </w:rPr>
              <w:t>00</w:t>
            </w:r>
          </w:p>
        </w:tc>
        <w:tc>
          <w:tcPr>
            <w:tcW w:w="389" w:type="pct"/>
            <w:shd w:val="clear" w:color="auto" w:fill="auto"/>
            <w:vAlign w:val="center"/>
          </w:tcPr>
          <w:p>
            <w:pPr>
              <w:widowControl/>
              <w:jc w:val="center"/>
              <w:rPr>
                <w:kern w:val="0"/>
                <w:szCs w:val="21"/>
              </w:rPr>
            </w:pPr>
            <w:r>
              <w:rPr>
                <w:kern w:val="0"/>
                <w:szCs w:val="21"/>
              </w:rPr>
              <w:t>　</w:t>
            </w:r>
          </w:p>
        </w:tc>
      </w:tr>
    </w:tbl>
    <w:p>
      <w:pPr>
        <w:keepNext/>
        <w:keepLines/>
        <w:numPr>
          <w:ilvl w:val="1"/>
          <w:numId w:val="5"/>
        </w:numPr>
        <w:tabs>
          <w:tab w:val="left" w:pos="567"/>
          <w:tab w:val="left" w:pos="720"/>
          <w:tab w:val="clear" w:pos="862"/>
        </w:tabs>
        <w:adjustRightInd w:val="0"/>
        <w:snapToGrid w:val="0"/>
        <w:spacing w:line="360" w:lineRule="auto"/>
        <w:ind w:left="0" w:firstLine="0"/>
        <w:outlineLvl w:val="1"/>
        <w:rPr>
          <w:b/>
          <w:bCs/>
          <w:sz w:val="30"/>
          <w:szCs w:val="30"/>
        </w:rPr>
      </w:pPr>
      <w:bookmarkStart w:id="115" w:name="_Toc88472187"/>
      <w:bookmarkStart w:id="116" w:name="_Toc94101220"/>
      <w:r>
        <w:rPr>
          <w:b/>
          <w:bCs/>
          <w:sz w:val="30"/>
          <w:szCs w:val="30"/>
        </w:rPr>
        <w:t>环境质量现状监测与评价</w:t>
      </w:r>
      <w:bookmarkEnd w:id="115"/>
      <w:bookmarkEnd w:id="116"/>
    </w:p>
    <w:p>
      <w:pPr>
        <w:keepNext/>
        <w:keepLines/>
        <w:numPr>
          <w:ilvl w:val="2"/>
          <w:numId w:val="5"/>
        </w:numPr>
        <w:tabs>
          <w:tab w:val="left" w:pos="432"/>
          <w:tab w:val="left" w:pos="567"/>
          <w:tab w:val="left" w:pos="1021"/>
          <w:tab w:val="clear" w:pos="1163"/>
        </w:tabs>
        <w:adjustRightInd w:val="0"/>
        <w:snapToGrid w:val="0"/>
        <w:spacing w:before="156" w:beforeLines="50" w:after="156" w:afterLines="50"/>
        <w:ind w:left="0" w:firstLine="0"/>
        <w:jc w:val="left"/>
        <w:outlineLvl w:val="2"/>
        <w:rPr>
          <w:b/>
          <w:bCs/>
          <w:snapToGrid w:val="0"/>
          <w:sz w:val="28"/>
          <w:szCs w:val="28"/>
        </w:rPr>
      </w:pPr>
      <w:r>
        <w:rPr>
          <w:b/>
          <w:bCs/>
          <w:snapToGrid w:val="0"/>
          <w:sz w:val="28"/>
          <w:szCs w:val="28"/>
        </w:rPr>
        <w:t>环境空气质量现状评价</w:t>
      </w:r>
    </w:p>
    <w:p>
      <w:pPr>
        <w:keepNext/>
        <w:keepLines/>
        <w:numPr>
          <w:ilvl w:val="3"/>
          <w:numId w:val="5"/>
        </w:numPr>
        <w:tabs>
          <w:tab w:val="left" w:pos="432"/>
          <w:tab w:val="left" w:pos="851"/>
          <w:tab w:val="left" w:pos="1247"/>
          <w:tab w:val="clear" w:pos="1389"/>
        </w:tabs>
        <w:adjustRightInd w:val="0"/>
        <w:snapToGrid w:val="0"/>
        <w:spacing w:before="156" w:beforeLines="50" w:after="156" w:afterLines="50"/>
        <w:ind w:left="1290" w:hanging="1290" w:hangingChars="459"/>
        <w:jc w:val="left"/>
        <w:outlineLvl w:val="3"/>
        <w:rPr>
          <w:b/>
          <w:bCs/>
          <w:snapToGrid w:val="0"/>
          <w:sz w:val="28"/>
          <w:szCs w:val="28"/>
        </w:rPr>
      </w:pPr>
      <w:r>
        <w:rPr>
          <w:b/>
          <w:bCs/>
          <w:snapToGrid w:val="0"/>
          <w:sz w:val="28"/>
          <w:szCs w:val="28"/>
        </w:rPr>
        <w:t>空气质量达标区判定</w:t>
      </w:r>
    </w:p>
    <w:p>
      <w:pPr>
        <w:widowControl/>
        <w:overflowPunct w:val="0"/>
        <w:topLinePunct/>
        <w:autoSpaceDE w:val="0"/>
        <w:autoSpaceDN w:val="0"/>
        <w:adjustRightInd w:val="0"/>
        <w:snapToGrid w:val="0"/>
        <w:spacing w:line="360" w:lineRule="auto"/>
        <w:ind w:firstLine="480" w:firstLineChars="200"/>
        <w:textAlignment w:val="baseline"/>
        <w:rPr>
          <w:bCs/>
          <w:snapToGrid w:val="0"/>
          <w:kern w:val="0"/>
          <w:sz w:val="24"/>
          <w:szCs w:val="24"/>
        </w:rPr>
      </w:pPr>
      <w:r>
        <w:rPr>
          <w:rFonts w:hint="eastAsia"/>
          <w:bCs/>
          <w:snapToGrid w:val="0"/>
          <w:kern w:val="0"/>
          <w:sz w:val="24"/>
          <w:szCs w:val="24"/>
        </w:rPr>
        <w:t>根据承德市生态环境局发布的《2</w:t>
      </w:r>
      <w:r>
        <w:rPr>
          <w:bCs/>
          <w:snapToGrid w:val="0"/>
          <w:kern w:val="0"/>
          <w:sz w:val="24"/>
          <w:szCs w:val="24"/>
        </w:rPr>
        <w:t>019</w:t>
      </w:r>
      <w:r>
        <w:rPr>
          <w:rFonts w:hint="eastAsia"/>
          <w:bCs/>
          <w:snapToGrid w:val="0"/>
          <w:kern w:val="0"/>
          <w:sz w:val="24"/>
          <w:szCs w:val="24"/>
        </w:rPr>
        <w:t>年承德市生态环境状况公报》，</w:t>
      </w:r>
      <w:r>
        <w:rPr>
          <w:bCs/>
          <w:snapToGrid w:val="0"/>
          <w:kern w:val="0"/>
          <w:sz w:val="24"/>
          <w:szCs w:val="24"/>
        </w:rPr>
        <w:t>围场满族蒙古族自治县2019年环境空气质量达到和好于二级的天数为334天，环境空气质量综合指数为3.38。PM</w:t>
      </w:r>
      <w:r>
        <w:rPr>
          <w:bCs/>
          <w:snapToGrid w:val="0"/>
          <w:kern w:val="0"/>
          <w:sz w:val="24"/>
          <w:szCs w:val="24"/>
          <w:vertAlign w:val="subscript"/>
        </w:rPr>
        <w:t>2.5</w:t>
      </w:r>
      <w:r>
        <w:rPr>
          <w:bCs/>
          <w:snapToGrid w:val="0"/>
          <w:kern w:val="0"/>
          <w:sz w:val="24"/>
          <w:szCs w:val="24"/>
        </w:rPr>
        <w:t>、PM</w:t>
      </w:r>
      <w:r>
        <w:rPr>
          <w:bCs/>
          <w:snapToGrid w:val="0"/>
          <w:kern w:val="0"/>
          <w:sz w:val="24"/>
          <w:szCs w:val="24"/>
          <w:vertAlign w:val="subscript"/>
        </w:rPr>
        <w:t>10</w:t>
      </w:r>
      <w:r>
        <w:rPr>
          <w:bCs/>
          <w:snapToGrid w:val="0"/>
          <w:kern w:val="0"/>
          <w:sz w:val="24"/>
          <w:szCs w:val="24"/>
        </w:rPr>
        <w:t>、SO</w:t>
      </w:r>
      <w:r>
        <w:rPr>
          <w:bCs/>
          <w:snapToGrid w:val="0"/>
          <w:kern w:val="0"/>
          <w:sz w:val="24"/>
          <w:szCs w:val="24"/>
          <w:vertAlign w:val="subscript"/>
        </w:rPr>
        <w:t>2</w:t>
      </w:r>
      <w:r>
        <w:rPr>
          <w:bCs/>
          <w:snapToGrid w:val="0"/>
          <w:kern w:val="0"/>
          <w:sz w:val="24"/>
          <w:szCs w:val="24"/>
        </w:rPr>
        <w:t>、O</w:t>
      </w:r>
      <w:r>
        <w:rPr>
          <w:bCs/>
          <w:snapToGrid w:val="0"/>
          <w:kern w:val="0"/>
          <w:sz w:val="24"/>
          <w:szCs w:val="24"/>
          <w:vertAlign w:val="subscript"/>
        </w:rPr>
        <w:t>3</w:t>
      </w:r>
      <w:r>
        <w:rPr>
          <w:bCs/>
          <w:snapToGrid w:val="0"/>
          <w:kern w:val="0"/>
          <w:sz w:val="24"/>
          <w:szCs w:val="24"/>
        </w:rPr>
        <w:t>、NO</w:t>
      </w:r>
      <w:r>
        <w:rPr>
          <w:bCs/>
          <w:snapToGrid w:val="0"/>
          <w:kern w:val="0"/>
          <w:sz w:val="24"/>
          <w:szCs w:val="24"/>
          <w:vertAlign w:val="subscript"/>
        </w:rPr>
        <w:t>2</w:t>
      </w:r>
      <w:r>
        <w:rPr>
          <w:bCs/>
          <w:snapToGrid w:val="0"/>
          <w:kern w:val="0"/>
          <w:sz w:val="24"/>
          <w:szCs w:val="24"/>
        </w:rPr>
        <w:t>平均浓度分别为</w:t>
      </w:r>
      <w:r>
        <w:rPr>
          <w:rFonts w:hint="eastAsia"/>
          <w:bCs/>
          <w:snapToGrid w:val="0"/>
          <w:kern w:val="0"/>
          <w:sz w:val="24"/>
          <w:szCs w:val="24"/>
        </w:rPr>
        <w:t>2</w:t>
      </w:r>
      <w:r>
        <w:rPr>
          <w:bCs/>
          <w:snapToGrid w:val="0"/>
          <w:kern w:val="0"/>
          <w:sz w:val="24"/>
          <w:szCs w:val="24"/>
        </w:rPr>
        <w:t>8μg/m</w:t>
      </w:r>
      <w:r>
        <w:rPr>
          <w:bCs/>
          <w:snapToGrid w:val="0"/>
          <w:kern w:val="0"/>
          <w:sz w:val="24"/>
          <w:szCs w:val="24"/>
          <w:vertAlign w:val="superscript"/>
        </w:rPr>
        <w:t>3</w:t>
      </w:r>
      <w:r>
        <w:rPr>
          <w:bCs/>
          <w:snapToGrid w:val="0"/>
          <w:kern w:val="0"/>
          <w:sz w:val="24"/>
          <w:szCs w:val="24"/>
        </w:rPr>
        <w:t>、50μg/m</w:t>
      </w:r>
      <w:r>
        <w:rPr>
          <w:bCs/>
          <w:snapToGrid w:val="0"/>
          <w:kern w:val="0"/>
          <w:sz w:val="24"/>
          <w:szCs w:val="24"/>
          <w:vertAlign w:val="superscript"/>
        </w:rPr>
        <w:t>3</w:t>
      </w:r>
      <w:r>
        <w:rPr>
          <w:bCs/>
          <w:snapToGrid w:val="0"/>
          <w:kern w:val="0"/>
          <w:sz w:val="24"/>
          <w:szCs w:val="24"/>
        </w:rPr>
        <w:t>、14μg/m</w:t>
      </w:r>
      <w:r>
        <w:rPr>
          <w:bCs/>
          <w:snapToGrid w:val="0"/>
          <w:kern w:val="0"/>
          <w:sz w:val="24"/>
          <w:szCs w:val="24"/>
          <w:vertAlign w:val="superscript"/>
        </w:rPr>
        <w:t>3</w:t>
      </w:r>
      <w:r>
        <w:rPr>
          <w:bCs/>
          <w:snapToGrid w:val="0"/>
          <w:kern w:val="0"/>
          <w:sz w:val="24"/>
          <w:szCs w:val="24"/>
        </w:rPr>
        <w:t>、136μg/m</w:t>
      </w:r>
      <w:r>
        <w:rPr>
          <w:bCs/>
          <w:snapToGrid w:val="0"/>
          <w:kern w:val="0"/>
          <w:sz w:val="24"/>
          <w:szCs w:val="24"/>
          <w:vertAlign w:val="superscript"/>
        </w:rPr>
        <w:t>3</w:t>
      </w:r>
      <w:r>
        <w:rPr>
          <w:bCs/>
          <w:snapToGrid w:val="0"/>
          <w:kern w:val="0"/>
          <w:sz w:val="24"/>
          <w:szCs w:val="24"/>
        </w:rPr>
        <w:t>、20μg/m</w:t>
      </w:r>
      <w:r>
        <w:rPr>
          <w:bCs/>
          <w:snapToGrid w:val="0"/>
          <w:kern w:val="0"/>
          <w:sz w:val="24"/>
          <w:szCs w:val="24"/>
          <w:vertAlign w:val="superscript"/>
        </w:rPr>
        <w:t>3</w:t>
      </w:r>
      <w:r>
        <w:rPr>
          <w:bCs/>
          <w:snapToGrid w:val="0"/>
          <w:kern w:val="0"/>
          <w:sz w:val="24"/>
          <w:szCs w:val="24"/>
        </w:rPr>
        <w:t>， CO平均浓度为1.2mg/m</w:t>
      </w:r>
      <w:r>
        <w:rPr>
          <w:bCs/>
          <w:snapToGrid w:val="0"/>
          <w:kern w:val="0"/>
          <w:sz w:val="24"/>
          <w:szCs w:val="24"/>
          <w:vertAlign w:val="superscript"/>
        </w:rPr>
        <w:t>3</w:t>
      </w:r>
      <w:r>
        <w:rPr>
          <w:bCs/>
          <w:snapToGrid w:val="0"/>
          <w:kern w:val="0"/>
          <w:sz w:val="24"/>
          <w:szCs w:val="24"/>
        </w:rPr>
        <w:t>，均达到国家二级标准要求。</w:t>
      </w:r>
      <w:r>
        <w:rPr>
          <w:rFonts w:hint="eastAsia"/>
          <w:bCs/>
          <w:snapToGrid w:val="0"/>
          <w:kern w:val="0"/>
          <w:sz w:val="24"/>
          <w:szCs w:val="24"/>
        </w:rPr>
        <w:t>各项污染物平均浓度见表4.3</w:t>
      </w:r>
      <w:r>
        <w:rPr>
          <w:bCs/>
          <w:snapToGrid w:val="0"/>
          <w:kern w:val="0"/>
          <w:sz w:val="24"/>
          <w:szCs w:val="24"/>
        </w:rPr>
        <w:t>.1-1。</w:t>
      </w:r>
    </w:p>
    <w:p>
      <w:pPr>
        <w:widowControl/>
        <w:overflowPunct w:val="0"/>
        <w:topLinePunct/>
        <w:autoSpaceDE w:val="0"/>
        <w:autoSpaceDN w:val="0"/>
        <w:adjustRightInd w:val="0"/>
        <w:snapToGrid w:val="0"/>
        <w:spacing w:line="360" w:lineRule="auto"/>
        <w:jc w:val="center"/>
        <w:textAlignment w:val="baseline"/>
        <w:rPr>
          <w:b/>
          <w:bCs/>
          <w:snapToGrid w:val="0"/>
          <w:kern w:val="0"/>
          <w:sz w:val="24"/>
          <w:szCs w:val="24"/>
        </w:rPr>
      </w:pPr>
      <w:r>
        <w:rPr>
          <w:b/>
          <w:bCs/>
          <w:snapToGrid w:val="0"/>
          <w:kern w:val="0"/>
          <w:sz w:val="24"/>
          <w:szCs w:val="24"/>
        </w:rPr>
        <w:t>表4.3.1-1  区域空气质量现状评价表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724"/>
        <w:gridCol w:w="2615"/>
        <w:gridCol w:w="1597"/>
        <w:gridCol w:w="1597"/>
        <w:gridCol w:w="1093"/>
        <w:gridCol w:w="7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overflowPunct w:val="0"/>
              <w:jc w:val="center"/>
              <w:textAlignment w:val="baseline"/>
              <w:rPr>
                <w:szCs w:val="21"/>
              </w:rPr>
            </w:pPr>
            <w:r>
              <w:rPr>
                <w:szCs w:val="21"/>
              </w:rPr>
              <w:t>污染物</w:t>
            </w:r>
          </w:p>
        </w:tc>
        <w:tc>
          <w:tcPr>
            <w:tcW w:w="1567" w:type="pct"/>
            <w:vAlign w:val="center"/>
          </w:tcPr>
          <w:p>
            <w:pPr>
              <w:overflowPunct w:val="0"/>
              <w:jc w:val="center"/>
              <w:textAlignment w:val="baseline"/>
              <w:rPr>
                <w:szCs w:val="21"/>
              </w:rPr>
            </w:pPr>
            <w:r>
              <w:rPr>
                <w:szCs w:val="21"/>
              </w:rPr>
              <w:t>年评价指标</w:t>
            </w:r>
          </w:p>
        </w:tc>
        <w:tc>
          <w:tcPr>
            <w:tcW w:w="957" w:type="pct"/>
            <w:vAlign w:val="center"/>
          </w:tcPr>
          <w:p>
            <w:pPr>
              <w:overflowPunct w:val="0"/>
              <w:jc w:val="center"/>
              <w:textAlignment w:val="baseline"/>
              <w:rPr>
                <w:szCs w:val="21"/>
              </w:rPr>
            </w:pPr>
            <w:r>
              <w:rPr>
                <w:szCs w:val="21"/>
              </w:rPr>
              <w:t>评价标准（µg/m</w:t>
            </w:r>
            <w:r>
              <w:rPr>
                <w:szCs w:val="21"/>
                <w:vertAlign w:val="superscript"/>
              </w:rPr>
              <w:t>3</w:t>
            </w:r>
            <w:r>
              <w:rPr>
                <w:szCs w:val="21"/>
              </w:rPr>
              <w:t>）</w:t>
            </w:r>
          </w:p>
        </w:tc>
        <w:tc>
          <w:tcPr>
            <w:tcW w:w="957" w:type="pct"/>
            <w:vAlign w:val="center"/>
          </w:tcPr>
          <w:p>
            <w:pPr>
              <w:overflowPunct w:val="0"/>
              <w:jc w:val="center"/>
              <w:textAlignment w:val="baseline"/>
              <w:rPr>
                <w:szCs w:val="21"/>
              </w:rPr>
            </w:pPr>
            <w:r>
              <w:rPr>
                <w:szCs w:val="21"/>
              </w:rPr>
              <w:t>现状浓度（µg/m</w:t>
            </w:r>
            <w:r>
              <w:rPr>
                <w:szCs w:val="21"/>
                <w:vertAlign w:val="superscript"/>
              </w:rPr>
              <w:t>3</w:t>
            </w:r>
            <w:r>
              <w:rPr>
                <w:szCs w:val="21"/>
              </w:rPr>
              <w:t>）</w:t>
            </w:r>
          </w:p>
        </w:tc>
        <w:tc>
          <w:tcPr>
            <w:tcW w:w="655" w:type="pct"/>
            <w:vAlign w:val="center"/>
          </w:tcPr>
          <w:p>
            <w:pPr>
              <w:overflowPunct w:val="0"/>
              <w:jc w:val="center"/>
              <w:textAlignment w:val="baseline"/>
              <w:rPr>
                <w:szCs w:val="21"/>
              </w:rPr>
            </w:pPr>
            <w:r>
              <w:rPr>
                <w:szCs w:val="21"/>
              </w:rPr>
              <w:t>占标率（%）</w:t>
            </w:r>
          </w:p>
        </w:tc>
        <w:tc>
          <w:tcPr>
            <w:tcW w:w="429" w:type="pct"/>
            <w:vAlign w:val="center"/>
          </w:tcPr>
          <w:p>
            <w:pPr>
              <w:overflowPunct w:val="0"/>
              <w:jc w:val="center"/>
              <w:textAlignment w:val="baseline"/>
              <w:rPr>
                <w:szCs w:val="21"/>
              </w:rPr>
            </w:pPr>
            <w:r>
              <w:rPr>
                <w:szCs w:val="21"/>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restart"/>
            <w:vAlign w:val="center"/>
          </w:tcPr>
          <w:p>
            <w:pPr>
              <w:overflowPunct w:val="0"/>
              <w:jc w:val="center"/>
              <w:textAlignment w:val="baseline"/>
              <w:rPr>
                <w:szCs w:val="21"/>
              </w:rPr>
            </w:pPr>
            <w:r>
              <w:rPr>
                <w:szCs w:val="21"/>
              </w:rPr>
              <w:t>SO</w:t>
            </w:r>
            <w:r>
              <w:rPr>
                <w:szCs w:val="21"/>
                <w:vertAlign w:val="subscript"/>
              </w:rPr>
              <w:t>2</w:t>
            </w:r>
          </w:p>
        </w:tc>
        <w:tc>
          <w:tcPr>
            <w:tcW w:w="1567" w:type="pct"/>
            <w:vAlign w:val="center"/>
          </w:tcPr>
          <w:p>
            <w:pPr>
              <w:overflowPunct w:val="0"/>
              <w:jc w:val="center"/>
              <w:textAlignment w:val="baseline"/>
              <w:rPr>
                <w:szCs w:val="21"/>
              </w:rPr>
            </w:pPr>
            <w:r>
              <w:rPr>
                <w:szCs w:val="21"/>
              </w:rPr>
              <w:t>年平均</w:t>
            </w:r>
          </w:p>
        </w:tc>
        <w:tc>
          <w:tcPr>
            <w:tcW w:w="957" w:type="pct"/>
            <w:vAlign w:val="center"/>
          </w:tcPr>
          <w:p>
            <w:pPr>
              <w:overflowPunct w:val="0"/>
              <w:jc w:val="center"/>
              <w:textAlignment w:val="baseline"/>
              <w:rPr>
                <w:szCs w:val="21"/>
              </w:rPr>
            </w:pPr>
            <w:r>
              <w:rPr>
                <w:szCs w:val="21"/>
              </w:rPr>
              <w:t>60</w:t>
            </w:r>
          </w:p>
        </w:tc>
        <w:tc>
          <w:tcPr>
            <w:tcW w:w="957" w:type="pct"/>
            <w:vAlign w:val="center"/>
          </w:tcPr>
          <w:p>
            <w:pPr>
              <w:overflowPunct w:val="0"/>
              <w:jc w:val="center"/>
              <w:textAlignment w:val="baseline"/>
              <w:rPr>
                <w:szCs w:val="21"/>
              </w:rPr>
            </w:pPr>
            <w:r>
              <w:rPr>
                <w:rFonts w:hint="eastAsia"/>
                <w:kern w:val="0"/>
                <w:szCs w:val="21"/>
              </w:rPr>
              <w:t>1</w:t>
            </w:r>
            <w:r>
              <w:rPr>
                <w:kern w:val="0"/>
                <w:szCs w:val="21"/>
              </w:rPr>
              <w:t>4</w:t>
            </w:r>
          </w:p>
        </w:tc>
        <w:tc>
          <w:tcPr>
            <w:tcW w:w="655" w:type="pct"/>
            <w:shd w:val="clear" w:color="auto" w:fill="auto"/>
            <w:vAlign w:val="center"/>
          </w:tcPr>
          <w:p>
            <w:pPr>
              <w:overflowPunct w:val="0"/>
              <w:jc w:val="center"/>
              <w:textAlignment w:val="baseline"/>
              <w:rPr>
                <w:szCs w:val="21"/>
              </w:rPr>
            </w:pPr>
            <w:r>
              <w:rPr>
                <w:rFonts w:eastAsia="等线"/>
                <w:szCs w:val="21"/>
              </w:rPr>
              <w:t>23.3</w:t>
            </w:r>
          </w:p>
        </w:tc>
        <w:tc>
          <w:tcPr>
            <w:tcW w:w="429" w:type="pct"/>
            <w:vMerge w:val="restart"/>
            <w:vAlign w:val="center"/>
          </w:tcPr>
          <w:p>
            <w:pPr>
              <w:overflowPunct w:val="0"/>
              <w:jc w:val="center"/>
              <w:textAlignment w:val="baseline"/>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overflowPunct w:val="0"/>
              <w:jc w:val="center"/>
              <w:textAlignment w:val="baseline"/>
              <w:rPr>
                <w:szCs w:val="21"/>
              </w:rPr>
            </w:pPr>
          </w:p>
        </w:tc>
        <w:tc>
          <w:tcPr>
            <w:tcW w:w="1567" w:type="pct"/>
            <w:vAlign w:val="center"/>
          </w:tcPr>
          <w:p>
            <w:pPr>
              <w:overflowPunct w:val="0"/>
              <w:jc w:val="center"/>
              <w:textAlignment w:val="baseline"/>
              <w:rPr>
                <w:szCs w:val="21"/>
              </w:rPr>
            </w:pPr>
            <w:r>
              <w:rPr>
                <w:szCs w:val="21"/>
              </w:rPr>
              <w:t>24小时平均第98百分位数</w:t>
            </w:r>
          </w:p>
        </w:tc>
        <w:tc>
          <w:tcPr>
            <w:tcW w:w="957" w:type="pct"/>
            <w:vAlign w:val="center"/>
          </w:tcPr>
          <w:p>
            <w:pPr>
              <w:overflowPunct w:val="0"/>
              <w:jc w:val="center"/>
              <w:textAlignment w:val="baseline"/>
              <w:rPr>
                <w:szCs w:val="21"/>
              </w:rPr>
            </w:pPr>
            <w:r>
              <w:rPr>
                <w:szCs w:val="21"/>
              </w:rPr>
              <w:t>150</w:t>
            </w:r>
          </w:p>
        </w:tc>
        <w:tc>
          <w:tcPr>
            <w:tcW w:w="957" w:type="pct"/>
            <w:vAlign w:val="center"/>
          </w:tcPr>
          <w:p>
            <w:pPr>
              <w:overflowPunct w:val="0"/>
              <w:jc w:val="center"/>
              <w:textAlignment w:val="baseline"/>
              <w:rPr>
                <w:szCs w:val="21"/>
              </w:rPr>
            </w:pPr>
            <w:r>
              <w:rPr>
                <w:szCs w:val="21"/>
              </w:rPr>
              <w:t>36</w:t>
            </w:r>
          </w:p>
        </w:tc>
        <w:tc>
          <w:tcPr>
            <w:tcW w:w="655" w:type="pct"/>
            <w:shd w:val="clear" w:color="auto" w:fill="auto"/>
            <w:vAlign w:val="center"/>
          </w:tcPr>
          <w:p>
            <w:pPr>
              <w:overflowPunct w:val="0"/>
              <w:jc w:val="center"/>
              <w:textAlignment w:val="baseline"/>
              <w:rPr>
                <w:szCs w:val="21"/>
              </w:rPr>
            </w:pPr>
            <w:r>
              <w:rPr>
                <w:rFonts w:eastAsia="等线"/>
                <w:szCs w:val="21"/>
              </w:rPr>
              <w:t>24.0</w:t>
            </w:r>
          </w:p>
        </w:tc>
        <w:tc>
          <w:tcPr>
            <w:tcW w:w="429" w:type="pct"/>
            <w:vMerge w:val="continue"/>
            <w:vAlign w:val="center"/>
          </w:tcPr>
          <w:p>
            <w:pPr>
              <w:overflowPunct w:val="0"/>
              <w:jc w:val="center"/>
              <w:textAlignment w:val="baseline"/>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restart"/>
            <w:vAlign w:val="center"/>
          </w:tcPr>
          <w:p>
            <w:pPr>
              <w:overflowPunct w:val="0"/>
              <w:jc w:val="center"/>
              <w:textAlignment w:val="baseline"/>
              <w:rPr>
                <w:szCs w:val="21"/>
              </w:rPr>
            </w:pPr>
            <w:r>
              <w:rPr>
                <w:szCs w:val="21"/>
              </w:rPr>
              <w:t>NO</w:t>
            </w:r>
            <w:r>
              <w:rPr>
                <w:szCs w:val="21"/>
                <w:vertAlign w:val="subscript"/>
              </w:rPr>
              <w:t>2</w:t>
            </w:r>
          </w:p>
        </w:tc>
        <w:tc>
          <w:tcPr>
            <w:tcW w:w="1567" w:type="pct"/>
            <w:vAlign w:val="center"/>
          </w:tcPr>
          <w:p>
            <w:pPr>
              <w:overflowPunct w:val="0"/>
              <w:jc w:val="center"/>
              <w:textAlignment w:val="baseline"/>
              <w:rPr>
                <w:szCs w:val="21"/>
              </w:rPr>
            </w:pPr>
            <w:r>
              <w:rPr>
                <w:szCs w:val="21"/>
              </w:rPr>
              <w:t>年平均</w:t>
            </w:r>
          </w:p>
        </w:tc>
        <w:tc>
          <w:tcPr>
            <w:tcW w:w="957" w:type="pct"/>
            <w:vAlign w:val="center"/>
          </w:tcPr>
          <w:p>
            <w:pPr>
              <w:overflowPunct w:val="0"/>
              <w:jc w:val="center"/>
              <w:textAlignment w:val="baseline"/>
              <w:rPr>
                <w:szCs w:val="21"/>
              </w:rPr>
            </w:pPr>
            <w:r>
              <w:rPr>
                <w:szCs w:val="21"/>
              </w:rPr>
              <w:t>40</w:t>
            </w:r>
          </w:p>
        </w:tc>
        <w:tc>
          <w:tcPr>
            <w:tcW w:w="957" w:type="pct"/>
            <w:vAlign w:val="center"/>
          </w:tcPr>
          <w:p>
            <w:pPr>
              <w:overflowPunct w:val="0"/>
              <w:jc w:val="center"/>
              <w:textAlignment w:val="baseline"/>
              <w:rPr>
                <w:szCs w:val="21"/>
              </w:rPr>
            </w:pPr>
            <w:r>
              <w:rPr>
                <w:rFonts w:hint="eastAsia"/>
                <w:kern w:val="0"/>
                <w:szCs w:val="21"/>
              </w:rPr>
              <w:t>2</w:t>
            </w:r>
            <w:r>
              <w:rPr>
                <w:kern w:val="0"/>
                <w:szCs w:val="21"/>
              </w:rPr>
              <w:t>0</w:t>
            </w:r>
          </w:p>
        </w:tc>
        <w:tc>
          <w:tcPr>
            <w:tcW w:w="655" w:type="pct"/>
            <w:shd w:val="clear" w:color="auto" w:fill="auto"/>
            <w:vAlign w:val="center"/>
          </w:tcPr>
          <w:p>
            <w:pPr>
              <w:overflowPunct w:val="0"/>
              <w:jc w:val="center"/>
              <w:textAlignment w:val="baseline"/>
              <w:rPr>
                <w:szCs w:val="21"/>
              </w:rPr>
            </w:pPr>
            <w:r>
              <w:rPr>
                <w:rFonts w:eastAsia="等线"/>
                <w:szCs w:val="21"/>
              </w:rPr>
              <w:t>50.0</w:t>
            </w:r>
          </w:p>
        </w:tc>
        <w:tc>
          <w:tcPr>
            <w:tcW w:w="429" w:type="pct"/>
            <w:vMerge w:val="restart"/>
            <w:vAlign w:val="center"/>
          </w:tcPr>
          <w:p>
            <w:pPr>
              <w:overflowPunct w:val="0"/>
              <w:jc w:val="center"/>
              <w:textAlignment w:val="baseline"/>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overflowPunct w:val="0"/>
              <w:jc w:val="center"/>
              <w:textAlignment w:val="baseline"/>
              <w:rPr>
                <w:szCs w:val="21"/>
              </w:rPr>
            </w:pPr>
          </w:p>
        </w:tc>
        <w:tc>
          <w:tcPr>
            <w:tcW w:w="1567" w:type="pct"/>
            <w:vAlign w:val="center"/>
          </w:tcPr>
          <w:p>
            <w:pPr>
              <w:overflowPunct w:val="0"/>
              <w:jc w:val="center"/>
              <w:textAlignment w:val="baseline"/>
              <w:rPr>
                <w:szCs w:val="21"/>
              </w:rPr>
            </w:pPr>
            <w:r>
              <w:rPr>
                <w:szCs w:val="21"/>
              </w:rPr>
              <w:t>24小时平均第98百分位数</w:t>
            </w:r>
          </w:p>
        </w:tc>
        <w:tc>
          <w:tcPr>
            <w:tcW w:w="957" w:type="pct"/>
            <w:vAlign w:val="center"/>
          </w:tcPr>
          <w:p>
            <w:pPr>
              <w:overflowPunct w:val="0"/>
              <w:jc w:val="center"/>
              <w:textAlignment w:val="baseline"/>
              <w:rPr>
                <w:szCs w:val="21"/>
              </w:rPr>
            </w:pPr>
            <w:r>
              <w:rPr>
                <w:szCs w:val="21"/>
              </w:rPr>
              <w:t>80</w:t>
            </w:r>
          </w:p>
        </w:tc>
        <w:tc>
          <w:tcPr>
            <w:tcW w:w="957" w:type="pct"/>
            <w:vAlign w:val="center"/>
          </w:tcPr>
          <w:p>
            <w:pPr>
              <w:overflowPunct w:val="0"/>
              <w:jc w:val="center"/>
              <w:textAlignment w:val="baseline"/>
              <w:rPr>
                <w:szCs w:val="21"/>
              </w:rPr>
            </w:pPr>
            <w:r>
              <w:rPr>
                <w:szCs w:val="21"/>
              </w:rPr>
              <w:t>43</w:t>
            </w:r>
          </w:p>
        </w:tc>
        <w:tc>
          <w:tcPr>
            <w:tcW w:w="655" w:type="pct"/>
            <w:shd w:val="clear" w:color="auto" w:fill="auto"/>
            <w:vAlign w:val="center"/>
          </w:tcPr>
          <w:p>
            <w:pPr>
              <w:overflowPunct w:val="0"/>
              <w:jc w:val="center"/>
              <w:textAlignment w:val="baseline"/>
              <w:rPr>
                <w:szCs w:val="21"/>
              </w:rPr>
            </w:pPr>
            <w:r>
              <w:rPr>
                <w:rFonts w:eastAsia="等线"/>
                <w:szCs w:val="21"/>
              </w:rPr>
              <w:t>53.8</w:t>
            </w:r>
          </w:p>
        </w:tc>
        <w:tc>
          <w:tcPr>
            <w:tcW w:w="429" w:type="pct"/>
            <w:vMerge w:val="continue"/>
            <w:vAlign w:val="center"/>
          </w:tcPr>
          <w:p>
            <w:pPr>
              <w:overflowPunct w:val="0"/>
              <w:jc w:val="center"/>
              <w:textAlignment w:val="baseline"/>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restart"/>
            <w:vAlign w:val="center"/>
          </w:tcPr>
          <w:p>
            <w:pPr>
              <w:overflowPunct w:val="0"/>
              <w:jc w:val="center"/>
              <w:textAlignment w:val="baseline"/>
              <w:rPr>
                <w:szCs w:val="21"/>
              </w:rPr>
            </w:pPr>
            <w:r>
              <w:rPr>
                <w:szCs w:val="21"/>
              </w:rPr>
              <w:t>PM</w:t>
            </w:r>
            <w:r>
              <w:rPr>
                <w:szCs w:val="21"/>
                <w:vertAlign w:val="subscript"/>
              </w:rPr>
              <w:t>10</w:t>
            </w:r>
          </w:p>
        </w:tc>
        <w:tc>
          <w:tcPr>
            <w:tcW w:w="1567" w:type="pct"/>
            <w:vAlign w:val="center"/>
          </w:tcPr>
          <w:p>
            <w:pPr>
              <w:overflowPunct w:val="0"/>
              <w:jc w:val="center"/>
              <w:textAlignment w:val="baseline"/>
              <w:rPr>
                <w:szCs w:val="21"/>
              </w:rPr>
            </w:pPr>
            <w:r>
              <w:rPr>
                <w:szCs w:val="21"/>
              </w:rPr>
              <w:t>年平均</w:t>
            </w:r>
          </w:p>
        </w:tc>
        <w:tc>
          <w:tcPr>
            <w:tcW w:w="957" w:type="pct"/>
            <w:vAlign w:val="center"/>
          </w:tcPr>
          <w:p>
            <w:pPr>
              <w:overflowPunct w:val="0"/>
              <w:jc w:val="center"/>
              <w:textAlignment w:val="baseline"/>
              <w:rPr>
                <w:szCs w:val="21"/>
              </w:rPr>
            </w:pPr>
            <w:r>
              <w:rPr>
                <w:szCs w:val="21"/>
              </w:rPr>
              <w:t>70</w:t>
            </w:r>
          </w:p>
        </w:tc>
        <w:tc>
          <w:tcPr>
            <w:tcW w:w="957" w:type="pct"/>
            <w:vAlign w:val="center"/>
          </w:tcPr>
          <w:p>
            <w:pPr>
              <w:overflowPunct w:val="0"/>
              <w:jc w:val="center"/>
              <w:textAlignment w:val="baseline"/>
              <w:rPr>
                <w:szCs w:val="21"/>
              </w:rPr>
            </w:pPr>
            <w:r>
              <w:rPr>
                <w:rFonts w:hint="eastAsia"/>
                <w:kern w:val="0"/>
                <w:szCs w:val="21"/>
              </w:rPr>
              <w:t>5</w:t>
            </w:r>
            <w:r>
              <w:rPr>
                <w:kern w:val="0"/>
                <w:szCs w:val="21"/>
              </w:rPr>
              <w:t>0</w:t>
            </w:r>
          </w:p>
        </w:tc>
        <w:tc>
          <w:tcPr>
            <w:tcW w:w="655" w:type="pct"/>
            <w:shd w:val="clear" w:color="auto" w:fill="auto"/>
            <w:vAlign w:val="center"/>
          </w:tcPr>
          <w:p>
            <w:pPr>
              <w:overflowPunct w:val="0"/>
              <w:jc w:val="center"/>
              <w:textAlignment w:val="baseline"/>
              <w:rPr>
                <w:szCs w:val="21"/>
              </w:rPr>
            </w:pPr>
            <w:r>
              <w:rPr>
                <w:rFonts w:eastAsia="等线"/>
                <w:szCs w:val="21"/>
              </w:rPr>
              <w:t>71.4</w:t>
            </w:r>
          </w:p>
        </w:tc>
        <w:tc>
          <w:tcPr>
            <w:tcW w:w="429" w:type="pct"/>
            <w:vMerge w:val="restart"/>
            <w:vAlign w:val="center"/>
          </w:tcPr>
          <w:p>
            <w:pPr>
              <w:overflowPunct w:val="0"/>
              <w:jc w:val="center"/>
              <w:textAlignment w:val="baseline"/>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overflowPunct w:val="0"/>
              <w:jc w:val="center"/>
              <w:textAlignment w:val="baseline"/>
              <w:rPr>
                <w:szCs w:val="21"/>
              </w:rPr>
            </w:pPr>
          </w:p>
        </w:tc>
        <w:tc>
          <w:tcPr>
            <w:tcW w:w="1567" w:type="pct"/>
            <w:vAlign w:val="center"/>
          </w:tcPr>
          <w:p>
            <w:pPr>
              <w:overflowPunct w:val="0"/>
              <w:jc w:val="center"/>
              <w:textAlignment w:val="baseline"/>
              <w:rPr>
                <w:szCs w:val="21"/>
              </w:rPr>
            </w:pPr>
            <w:r>
              <w:rPr>
                <w:szCs w:val="21"/>
              </w:rPr>
              <w:t>24小时平均第95百分位数</w:t>
            </w:r>
          </w:p>
        </w:tc>
        <w:tc>
          <w:tcPr>
            <w:tcW w:w="957" w:type="pct"/>
            <w:vAlign w:val="center"/>
          </w:tcPr>
          <w:p>
            <w:pPr>
              <w:overflowPunct w:val="0"/>
              <w:jc w:val="center"/>
              <w:textAlignment w:val="baseline"/>
              <w:rPr>
                <w:szCs w:val="21"/>
              </w:rPr>
            </w:pPr>
            <w:r>
              <w:rPr>
                <w:szCs w:val="21"/>
              </w:rPr>
              <w:t>150</w:t>
            </w:r>
          </w:p>
        </w:tc>
        <w:tc>
          <w:tcPr>
            <w:tcW w:w="957" w:type="pct"/>
            <w:vAlign w:val="center"/>
          </w:tcPr>
          <w:p>
            <w:pPr>
              <w:overflowPunct w:val="0"/>
              <w:jc w:val="center"/>
              <w:textAlignment w:val="baseline"/>
              <w:rPr>
                <w:szCs w:val="21"/>
              </w:rPr>
            </w:pPr>
            <w:r>
              <w:rPr>
                <w:szCs w:val="21"/>
              </w:rPr>
              <w:t>123</w:t>
            </w:r>
          </w:p>
        </w:tc>
        <w:tc>
          <w:tcPr>
            <w:tcW w:w="655" w:type="pct"/>
            <w:shd w:val="clear" w:color="auto" w:fill="auto"/>
            <w:vAlign w:val="center"/>
          </w:tcPr>
          <w:p>
            <w:pPr>
              <w:overflowPunct w:val="0"/>
              <w:jc w:val="center"/>
              <w:textAlignment w:val="baseline"/>
              <w:rPr>
                <w:szCs w:val="21"/>
              </w:rPr>
            </w:pPr>
            <w:r>
              <w:rPr>
                <w:rFonts w:eastAsia="等线"/>
                <w:szCs w:val="21"/>
              </w:rPr>
              <w:t>82.0</w:t>
            </w:r>
          </w:p>
        </w:tc>
        <w:tc>
          <w:tcPr>
            <w:tcW w:w="429" w:type="pct"/>
            <w:vMerge w:val="continue"/>
            <w:vAlign w:val="center"/>
          </w:tcPr>
          <w:p>
            <w:pPr>
              <w:overflowPunct w:val="0"/>
              <w:jc w:val="center"/>
              <w:textAlignment w:val="baseline"/>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restart"/>
            <w:vAlign w:val="center"/>
          </w:tcPr>
          <w:p>
            <w:pPr>
              <w:overflowPunct w:val="0"/>
              <w:jc w:val="center"/>
              <w:textAlignment w:val="baseline"/>
              <w:rPr>
                <w:szCs w:val="21"/>
              </w:rPr>
            </w:pPr>
            <w:r>
              <w:rPr>
                <w:szCs w:val="21"/>
              </w:rPr>
              <w:t>PM</w:t>
            </w:r>
            <w:r>
              <w:rPr>
                <w:szCs w:val="21"/>
                <w:vertAlign w:val="subscript"/>
              </w:rPr>
              <w:t>2.5</w:t>
            </w:r>
          </w:p>
        </w:tc>
        <w:tc>
          <w:tcPr>
            <w:tcW w:w="1567" w:type="pct"/>
            <w:vAlign w:val="center"/>
          </w:tcPr>
          <w:p>
            <w:pPr>
              <w:overflowPunct w:val="0"/>
              <w:jc w:val="center"/>
              <w:textAlignment w:val="baseline"/>
              <w:rPr>
                <w:szCs w:val="21"/>
              </w:rPr>
            </w:pPr>
            <w:r>
              <w:rPr>
                <w:szCs w:val="21"/>
              </w:rPr>
              <w:t>年平均</w:t>
            </w:r>
          </w:p>
        </w:tc>
        <w:tc>
          <w:tcPr>
            <w:tcW w:w="957" w:type="pct"/>
            <w:vAlign w:val="center"/>
          </w:tcPr>
          <w:p>
            <w:pPr>
              <w:overflowPunct w:val="0"/>
              <w:jc w:val="center"/>
              <w:textAlignment w:val="baseline"/>
              <w:rPr>
                <w:szCs w:val="21"/>
              </w:rPr>
            </w:pPr>
            <w:r>
              <w:rPr>
                <w:szCs w:val="21"/>
              </w:rPr>
              <w:t>35</w:t>
            </w:r>
          </w:p>
        </w:tc>
        <w:tc>
          <w:tcPr>
            <w:tcW w:w="957" w:type="pct"/>
            <w:vAlign w:val="center"/>
          </w:tcPr>
          <w:p>
            <w:pPr>
              <w:overflowPunct w:val="0"/>
              <w:jc w:val="center"/>
              <w:textAlignment w:val="baseline"/>
              <w:rPr>
                <w:szCs w:val="21"/>
              </w:rPr>
            </w:pPr>
            <w:r>
              <w:rPr>
                <w:szCs w:val="21"/>
              </w:rPr>
              <w:t>28</w:t>
            </w:r>
          </w:p>
        </w:tc>
        <w:tc>
          <w:tcPr>
            <w:tcW w:w="655" w:type="pct"/>
            <w:shd w:val="clear" w:color="auto" w:fill="auto"/>
            <w:vAlign w:val="center"/>
          </w:tcPr>
          <w:p>
            <w:pPr>
              <w:overflowPunct w:val="0"/>
              <w:jc w:val="center"/>
              <w:textAlignment w:val="baseline"/>
              <w:rPr>
                <w:szCs w:val="21"/>
              </w:rPr>
            </w:pPr>
            <w:r>
              <w:rPr>
                <w:rFonts w:eastAsia="等线"/>
                <w:szCs w:val="21"/>
              </w:rPr>
              <w:t>80.0</w:t>
            </w:r>
          </w:p>
        </w:tc>
        <w:tc>
          <w:tcPr>
            <w:tcW w:w="429" w:type="pct"/>
            <w:vMerge w:val="restart"/>
            <w:vAlign w:val="center"/>
          </w:tcPr>
          <w:p>
            <w:pPr>
              <w:overflowPunct w:val="0"/>
              <w:jc w:val="center"/>
              <w:textAlignment w:val="baseline"/>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Merge w:val="continue"/>
            <w:vAlign w:val="center"/>
          </w:tcPr>
          <w:p>
            <w:pPr>
              <w:overflowPunct w:val="0"/>
              <w:jc w:val="center"/>
              <w:textAlignment w:val="baseline"/>
              <w:rPr>
                <w:szCs w:val="21"/>
              </w:rPr>
            </w:pPr>
          </w:p>
        </w:tc>
        <w:tc>
          <w:tcPr>
            <w:tcW w:w="1567" w:type="pct"/>
            <w:vAlign w:val="center"/>
          </w:tcPr>
          <w:p>
            <w:pPr>
              <w:overflowPunct w:val="0"/>
              <w:jc w:val="center"/>
              <w:textAlignment w:val="baseline"/>
              <w:rPr>
                <w:szCs w:val="21"/>
              </w:rPr>
            </w:pPr>
            <w:r>
              <w:rPr>
                <w:szCs w:val="21"/>
              </w:rPr>
              <w:t>24小时平均第95百分位数</w:t>
            </w:r>
          </w:p>
        </w:tc>
        <w:tc>
          <w:tcPr>
            <w:tcW w:w="957" w:type="pct"/>
            <w:vAlign w:val="center"/>
          </w:tcPr>
          <w:p>
            <w:pPr>
              <w:overflowPunct w:val="0"/>
              <w:jc w:val="center"/>
              <w:textAlignment w:val="baseline"/>
              <w:rPr>
                <w:szCs w:val="21"/>
              </w:rPr>
            </w:pPr>
            <w:r>
              <w:rPr>
                <w:szCs w:val="21"/>
              </w:rPr>
              <w:t>70</w:t>
            </w:r>
          </w:p>
        </w:tc>
        <w:tc>
          <w:tcPr>
            <w:tcW w:w="957" w:type="pct"/>
            <w:vAlign w:val="center"/>
          </w:tcPr>
          <w:p>
            <w:pPr>
              <w:overflowPunct w:val="0"/>
              <w:jc w:val="center"/>
              <w:textAlignment w:val="baseline"/>
              <w:rPr>
                <w:szCs w:val="21"/>
              </w:rPr>
            </w:pPr>
            <w:r>
              <w:rPr>
                <w:szCs w:val="21"/>
              </w:rPr>
              <w:t>63</w:t>
            </w:r>
          </w:p>
        </w:tc>
        <w:tc>
          <w:tcPr>
            <w:tcW w:w="655" w:type="pct"/>
            <w:shd w:val="clear" w:color="auto" w:fill="auto"/>
            <w:vAlign w:val="center"/>
          </w:tcPr>
          <w:p>
            <w:pPr>
              <w:overflowPunct w:val="0"/>
              <w:jc w:val="center"/>
              <w:textAlignment w:val="baseline"/>
              <w:rPr>
                <w:szCs w:val="21"/>
              </w:rPr>
            </w:pPr>
            <w:r>
              <w:rPr>
                <w:rFonts w:eastAsia="等线"/>
                <w:szCs w:val="21"/>
              </w:rPr>
              <w:t>90.0</w:t>
            </w:r>
          </w:p>
        </w:tc>
        <w:tc>
          <w:tcPr>
            <w:tcW w:w="429" w:type="pct"/>
            <w:vMerge w:val="continue"/>
            <w:vAlign w:val="center"/>
          </w:tcPr>
          <w:p>
            <w:pPr>
              <w:overflowPunct w:val="0"/>
              <w:jc w:val="center"/>
              <w:textAlignment w:val="baseline"/>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overflowPunct w:val="0"/>
              <w:jc w:val="center"/>
              <w:textAlignment w:val="baseline"/>
              <w:rPr>
                <w:szCs w:val="21"/>
              </w:rPr>
            </w:pPr>
            <w:r>
              <w:rPr>
                <w:szCs w:val="21"/>
              </w:rPr>
              <w:t>CO</w:t>
            </w:r>
          </w:p>
        </w:tc>
        <w:tc>
          <w:tcPr>
            <w:tcW w:w="1567" w:type="pct"/>
            <w:vAlign w:val="center"/>
          </w:tcPr>
          <w:p>
            <w:pPr>
              <w:overflowPunct w:val="0"/>
              <w:jc w:val="center"/>
              <w:textAlignment w:val="baseline"/>
              <w:rPr>
                <w:szCs w:val="21"/>
              </w:rPr>
            </w:pPr>
            <w:r>
              <w:rPr>
                <w:szCs w:val="21"/>
              </w:rPr>
              <w:t>24小时平均第95百分位数</w:t>
            </w:r>
          </w:p>
        </w:tc>
        <w:tc>
          <w:tcPr>
            <w:tcW w:w="957" w:type="pct"/>
            <w:vAlign w:val="center"/>
          </w:tcPr>
          <w:p>
            <w:pPr>
              <w:overflowPunct w:val="0"/>
              <w:jc w:val="center"/>
              <w:textAlignment w:val="baseline"/>
              <w:rPr>
                <w:szCs w:val="21"/>
              </w:rPr>
            </w:pPr>
            <w:r>
              <w:rPr>
                <w:szCs w:val="21"/>
              </w:rPr>
              <w:t>4000</w:t>
            </w:r>
          </w:p>
        </w:tc>
        <w:tc>
          <w:tcPr>
            <w:tcW w:w="957" w:type="pct"/>
            <w:vAlign w:val="center"/>
          </w:tcPr>
          <w:p>
            <w:pPr>
              <w:overflowPunct w:val="0"/>
              <w:jc w:val="center"/>
              <w:textAlignment w:val="baseline"/>
              <w:rPr>
                <w:szCs w:val="21"/>
              </w:rPr>
            </w:pPr>
            <w:r>
              <w:rPr>
                <w:szCs w:val="21"/>
              </w:rPr>
              <w:t>1200</w:t>
            </w:r>
          </w:p>
        </w:tc>
        <w:tc>
          <w:tcPr>
            <w:tcW w:w="655" w:type="pct"/>
            <w:shd w:val="clear" w:color="auto" w:fill="auto"/>
            <w:vAlign w:val="center"/>
          </w:tcPr>
          <w:p>
            <w:pPr>
              <w:overflowPunct w:val="0"/>
              <w:jc w:val="center"/>
              <w:textAlignment w:val="baseline"/>
              <w:rPr>
                <w:szCs w:val="21"/>
              </w:rPr>
            </w:pPr>
            <w:r>
              <w:rPr>
                <w:rFonts w:eastAsia="等线"/>
                <w:szCs w:val="21"/>
              </w:rPr>
              <w:t>30.0</w:t>
            </w:r>
          </w:p>
        </w:tc>
        <w:tc>
          <w:tcPr>
            <w:tcW w:w="429" w:type="pct"/>
            <w:vAlign w:val="center"/>
          </w:tcPr>
          <w:p>
            <w:pPr>
              <w:overflowPunct w:val="0"/>
              <w:jc w:val="center"/>
              <w:textAlignment w:val="baseline"/>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34" w:type="pct"/>
            <w:vAlign w:val="center"/>
          </w:tcPr>
          <w:p>
            <w:pPr>
              <w:overflowPunct w:val="0"/>
              <w:jc w:val="center"/>
              <w:textAlignment w:val="baseline"/>
              <w:rPr>
                <w:szCs w:val="21"/>
              </w:rPr>
            </w:pPr>
            <w:r>
              <w:rPr>
                <w:szCs w:val="21"/>
              </w:rPr>
              <w:t>O</w:t>
            </w:r>
            <w:r>
              <w:rPr>
                <w:szCs w:val="21"/>
                <w:vertAlign w:val="subscript"/>
              </w:rPr>
              <w:t>3</w:t>
            </w:r>
          </w:p>
        </w:tc>
        <w:tc>
          <w:tcPr>
            <w:tcW w:w="1567" w:type="pct"/>
            <w:vAlign w:val="center"/>
          </w:tcPr>
          <w:p>
            <w:pPr>
              <w:overflowPunct w:val="0"/>
              <w:jc w:val="center"/>
              <w:textAlignment w:val="baseline"/>
              <w:rPr>
                <w:szCs w:val="21"/>
              </w:rPr>
            </w:pPr>
            <w:r>
              <w:rPr>
                <w:szCs w:val="21"/>
              </w:rPr>
              <w:t>日最大8小时平均值的第90百分位数</w:t>
            </w:r>
          </w:p>
        </w:tc>
        <w:tc>
          <w:tcPr>
            <w:tcW w:w="957" w:type="pct"/>
            <w:vAlign w:val="center"/>
          </w:tcPr>
          <w:p>
            <w:pPr>
              <w:overflowPunct w:val="0"/>
              <w:jc w:val="center"/>
              <w:textAlignment w:val="baseline"/>
              <w:rPr>
                <w:szCs w:val="21"/>
              </w:rPr>
            </w:pPr>
            <w:r>
              <w:rPr>
                <w:szCs w:val="21"/>
              </w:rPr>
              <w:t>160</w:t>
            </w:r>
          </w:p>
        </w:tc>
        <w:tc>
          <w:tcPr>
            <w:tcW w:w="957" w:type="pct"/>
            <w:vAlign w:val="center"/>
          </w:tcPr>
          <w:p>
            <w:pPr>
              <w:overflowPunct w:val="0"/>
              <w:jc w:val="center"/>
              <w:textAlignment w:val="baseline"/>
              <w:rPr>
                <w:szCs w:val="21"/>
              </w:rPr>
            </w:pPr>
            <w:r>
              <w:rPr>
                <w:szCs w:val="21"/>
              </w:rPr>
              <w:t>136</w:t>
            </w:r>
          </w:p>
        </w:tc>
        <w:tc>
          <w:tcPr>
            <w:tcW w:w="655" w:type="pct"/>
            <w:shd w:val="clear" w:color="auto" w:fill="auto"/>
            <w:vAlign w:val="center"/>
          </w:tcPr>
          <w:p>
            <w:pPr>
              <w:overflowPunct w:val="0"/>
              <w:jc w:val="center"/>
              <w:textAlignment w:val="baseline"/>
              <w:rPr>
                <w:szCs w:val="21"/>
              </w:rPr>
            </w:pPr>
            <w:r>
              <w:rPr>
                <w:rFonts w:eastAsia="等线"/>
                <w:szCs w:val="21"/>
              </w:rPr>
              <w:t>85.0</w:t>
            </w:r>
          </w:p>
        </w:tc>
        <w:tc>
          <w:tcPr>
            <w:tcW w:w="429" w:type="pct"/>
            <w:vAlign w:val="center"/>
          </w:tcPr>
          <w:p>
            <w:pPr>
              <w:overflowPunct w:val="0"/>
              <w:jc w:val="center"/>
              <w:textAlignment w:val="baseline"/>
              <w:rPr>
                <w:szCs w:val="21"/>
              </w:rPr>
            </w:pPr>
            <w:r>
              <w:rPr>
                <w:szCs w:val="21"/>
              </w:rPr>
              <w:t>达标</w:t>
            </w:r>
          </w:p>
        </w:tc>
      </w:tr>
    </w:tbl>
    <w:p>
      <w:pPr>
        <w:widowControl/>
        <w:overflowPunct w:val="0"/>
        <w:topLinePunct/>
        <w:autoSpaceDE w:val="0"/>
        <w:autoSpaceDN w:val="0"/>
        <w:adjustRightInd w:val="0"/>
        <w:snapToGrid w:val="0"/>
        <w:spacing w:line="360" w:lineRule="auto"/>
        <w:ind w:firstLine="480" w:firstLineChars="200"/>
        <w:textAlignment w:val="baseline"/>
        <w:rPr>
          <w:bCs/>
          <w:snapToGrid w:val="0"/>
          <w:kern w:val="0"/>
          <w:sz w:val="24"/>
          <w:szCs w:val="24"/>
        </w:rPr>
      </w:pPr>
      <w:r>
        <w:rPr>
          <w:rFonts w:hint="eastAsia"/>
          <w:bCs/>
          <w:snapToGrid w:val="0"/>
          <w:kern w:val="0"/>
          <w:sz w:val="24"/>
          <w:szCs w:val="24"/>
        </w:rPr>
        <w:t>由上表可知，</w:t>
      </w:r>
      <w:r>
        <w:rPr>
          <w:bCs/>
          <w:snapToGrid w:val="0"/>
          <w:kern w:val="0"/>
          <w:sz w:val="24"/>
          <w:szCs w:val="24"/>
        </w:rPr>
        <w:t>项目所在区域</w:t>
      </w:r>
      <w:r>
        <w:rPr>
          <w:rFonts w:hint="eastAsia"/>
          <w:bCs/>
          <w:snapToGrid w:val="0"/>
          <w:kern w:val="0"/>
          <w:sz w:val="24"/>
          <w:szCs w:val="24"/>
        </w:rPr>
        <w:t>各项指标均达到国家二级标准要求，根据</w:t>
      </w:r>
      <w:r>
        <w:rPr>
          <w:bCs/>
          <w:snapToGrid w:val="0"/>
          <w:kern w:val="0"/>
          <w:sz w:val="24"/>
          <w:szCs w:val="24"/>
        </w:rPr>
        <w:t>《环境影响技术导则 大气环境》（HJ2.2-2018）中6.4.1 项目所在区域达标判断规定，本项目所在区域属于达标区。</w:t>
      </w:r>
    </w:p>
    <w:p>
      <w:pPr>
        <w:keepNext/>
        <w:keepLines/>
        <w:numPr>
          <w:ilvl w:val="3"/>
          <w:numId w:val="5"/>
        </w:numPr>
        <w:tabs>
          <w:tab w:val="left" w:pos="432"/>
          <w:tab w:val="left" w:pos="851"/>
          <w:tab w:val="left" w:pos="1247"/>
          <w:tab w:val="clear" w:pos="1389"/>
        </w:tabs>
        <w:adjustRightInd w:val="0"/>
        <w:snapToGrid w:val="0"/>
        <w:spacing w:before="156" w:beforeLines="50" w:after="156" w:afterLines="50"/>
        <w:ind w:left="1290" w:hanging="1290" w:hangingChars="459"/>
        <w:jc w:val="left"/>
        <w:outlineLvl w:val="3"/>
        <w:rPr>
          <w:b/>
          <w:bCs/>
          <w:snapToGrid w:val="0"/>
          <w:sz w:val="28"/>
          <w:szCs w:val="28"/>
        </w:rPr>
      </w:pPr>
      <w:r>
        <w:rPr>
          <w:b/>
          <w:bCs/>
          <w:snapToGrid w:val="0"/>
          <w:sz w:val="28"/>
          <w:szCs w:val="28"/>
        </w:rPr>
        <w:t>环境质量现状监测</w:t>
      </w:r>
    </w:p>
    <w:p>
      <w:pPr>
        <w:adjustRightInd w:val="0"/>
        <w:snapToGrid w:val="0"/>
        <w:spacing w:line="360" w:lineRule="auto"/>
        <w:ind w:firstLine="480" w:firstLineChars="200"/>
        <w:rPr>
          <w:sz w:val="24"/>
          <w:szCs w:val="24"/>
        </w:rPr>
      </w:pPr>
      <w:r>
        <w:rPr>
          <w:sz w:val="24"/>
          <w:szCs w:val="24"/>
        </w:rPr>
        <w:t>由工程分析可知，本项目排放的</w:t>
      </w:r>
      <w:r>
        <w:rPr>
          <w:rFonts w:hint="eastAsia"/>
          <w:sz w:val="24"/>
          <w:szCs w:val="24"/>
        </w:rPr>
        <w:t>特征</w:t>
      </w:r>
      <w:r>
        <w:rPr>
          <w:sz w:val="24"/>
          <w:szCs w:val="24"/>
        </w:rPr>
        <w:t>污染物，主要包括臭气浓度、</w:t>
      </w:r>
      <w:r>
        <w:rPr>
          <w:rFonts w:hint="eastAsia"/>
          <w:sz w:val="24"/>
          <w:szCs w:val="24"/>
        </w:rPr>
        <w:t>TSP</w:t>
      </w:r>
      <w:r>
        <w:rPr>
          <w:sz w:val="24"/>
          <w:szCs w:val="24"/>
        </w:rPr>
        <w:t>。</w:t>
      </w:r>
    </w:p>
    <w:p>
      <w:pPr>
        <w:adjustRightInd w:val="0"/>
        <w:snapToGrid w:val="0"/>
        <w:spacing w:line="360" w:lineRule="auto"/>
        <w:ind w:firstLine="480" w:firstLineChars="200"/>
        <w:rPr>
          <w:sz w:val="24"/>
          <w:szCs w:val="24"/>
        </w:rPr>
      </w:pPr>
      <w:r>
        <w:rPr>
          <w:sz w:val="24"/>
          <w:szCs w:val="24"/>
        </w:rPr>
        <w:t>项目于2021年</w:t>
      </w:r>
      <w:r>
        <w:rPr>
          <w:rFonts w:hint="eastAsia"/>
          <w:sz w:val="24"/>
          <w:szCs w:val="24"/>
        </w:rPr>
        <w:t>7</w:t>
      </w:r>
      <w:r>
        <w:rPr>
          <w:sz w:val="24"/>
          <w:szCs w:val="24"/>
        </w:rPr>
        <w:t>月20日</w:t>
      </w:r>
      <w:r>
        <w:rPr>
          <w:rFonts w:hint="eastAsia"/>
          <w:sz w:val="24"/>
          <w:szCs w:val="24"/>
        </w:rPr>
        <w:t>至</w:t>
      </w:r>
      <w:r>
        <w:rPr>
          <w:sz w:val="24"/>
          <w:szCs w:val="24"/>
        </w:rPr>
        <w:t>26日</w:t>
      </w:r>
      <w:r>
        <w:rPr>
          <w:rFonts w:hint="eastAsia"/>
          <w:sz w:val="24"/>
          <w:szCs w:val="24"/>
        </w:rPr>
        <w:t>和2</w:t>
      </w:r>
      <w:r>
        <w:rPr>
          <w:sz w:val="24"/>
          <w:szCs w:val="24"/>
        </w:rPr>
        <w:t>021</w:t>
      </w:r>
      <w:r>
        <w:rPr>
          <w:rFonts w:hint="eastAsia"/>
          <w:sz w:val="24"/>
          <w:szCs w:val="24"/>
        </w:rPr>
        <w:t>年</w:t>
      </w:r>
      <w:r>
        <w:rPr>
          <w:sz w:val="24"/>
          <w:szCs w:val="24"/>
        </w:rPr>
        <w:t>12</w:t>
      </w:r>
      <w:r>
        <w:rPr>
          <w:rFonts w:hint="eastAsia"/>
          <w:sz w:val="24"/>
          <w:szCs w:val="24"/>
        </w:rPr>
        <w:t>月1</w:t>
      </w:r>
      <w:r>
        <w:rPr>
          <w:sz w:val="24"/>
          <w:szCs w:val="24"/>
        </w:rPr>
        <w:t>4-</w:t>
      </w:r>
      <w:r>
        <w:rPr>
          <w:rFonts w:hint="eastAsia"/>
          <w:sz w:val="24"/>
          <w:szCs w:val="24"/>
        </w:rPr>
        <w:t>2</w:t>
      </w:r>
      <w:r>
        <w:rPr>
          <w:sz w:val="24"/>
          <w:szCs w:val="24"/>
        </w:rPr>
        <w:t>0</w:t>
      </w:r>
      <w:r>
        <w:rPr>
          <w:rFonts w:hint="eastAsia"/>
          <w:sz w:val="24"/>
          <w:szCs w:val="24"/>
        </w:rPr>
        <w:t>日委托辽宁鹏宇环境监测有限公司</w:t>
      </w:r>
      <w:r>
        <w:rPr>
          <w:sz w:val="24"/>
          <w:szCs w:val="24"/>
        </w:rPr>
        <w:t>进行了</w:t>
      </w:r>
      <w:r>
        <w:rPr>
          <w:rFonts w:hint="eastAsia"/>
          <w:sz w:val="24"/>
          <w:szCs w:val="24"/>
        </w:rPr>
        <w:t>环境质量现状</w:t>
      </w:r>
      <w:r>
        <w:rPr>
          <w:sz w:val="24"/>
          <w:szCs w:val="24"/>
        </w:rPr>
        <w:t>监测</w:t>
      </w:r>
      <w:r>
        <w:rPr>
          <w:rFonts w:hint="eastAsia"/>
          <w:sz w:val="24"/>
          <w:szCs w:val="24"/>
        </w:rPr>
        <w:t>，</w:t>
      </w:r>
      <w:r>
        <w:rPr>
          <w:sz w:val="24"/>
          <w:szCs w:val="24"/>
        </w:rPr>
        <w:t>监测</w:t>
      </w:r>
      <w:r>
        <w:rPr>
          <w:rFonts w:hint="eastAsia"/>
          <w:sz w:val="24"/>
          <w:szCs w:val="24"/>
        </w:rPr>
        <w:t>报告编号</w:t>
      </w:r>
      <w:r>
        <w:rPr>
          <w:sz w:val="24"/>
          <w:szCs w:val="24"/>
        </w:rPr>
        <w:t>（</w:t>
      </w:r>
      <w:r>
        <w:rPr>
          <w:rFonts w:hint="eastAsia"/>
          <w:sz w:val="24"/>
          <w:szCs w:val="24"/>
        </w:rPr>
        <w:t>辽鹏环测字PY2107246-001号</w:t>
      </w:r>
      <w:r>
        <w:rPr>
          <w:sz w:val="24"/>
          <w:szCs w:val="24"/>
        </w:rPr>
        <w:t>，</w:t>
      </w:r>
      <w:r>
        <w:rPr>
          <w:rFonts w:hint="eastAsia"/>
          <w:sz w:val="24"/>
          <w:szCs w:val="24"/>
        </w:rPr>
        <w:t>辽鹏环测字PY2112238-001号，具体</w:t>
      </w:r>
      <w:r>
        <w:rPr>
          <w:sz w:val="24"/>
          <w:szCs w:val="24"/>
        </w:rPr>
        <w:t>见附件）</w:t>
      </w:r>
      <w:r>
        <w:rPr>
          <w:rFonts w:hint="eastAsia"/>
          <w:sz w:val="24"/>
          <w:szCs w:val="24"/>
        </w:rPr>
        <w:t>。本项目大气环境质量</w:t>
      </w:r>
      <w:r>
        <w:rPr>
          <w:sz w:val="24"/>
          <w:szCs w:val="24"/>
        </w:rPr>
        <w:t>监测具体情况如下：</w:t>
      </w:r>
    </w:p>
    <w:p>
      <w:pPr>
        <w:spacing w:line="360" w:lineRule="auto"/>
        <w:ind w:firstLine="482" w:firstLineChars="200"/>
        <w:rPr>
          <w:b/>
          <w:sz w:val="24"/>
          <w:szCs w:val="24"/>
        </w:rPr>
      </w:pPr>
      <w:r>
        <w:rPr>
          <w:b/>
          <w:sz w:val="24"/>
          <w:szCs w:val="24"/>
        </w:rPr>
        <w:t>1、监测点位</w:t>
      </w:r>
    </w:p>
    <w:p>
      <w:pPr>
        <w:adjustRightInd w:val="0"/>
        <w:snapToGrid w:val="0"/>
        <w:spacing w:before="156" w:beforeLines="50" w:after="156" w:afterLines="50"/>
        <w:ind w:firstLine="482"/>
        <w:rPr>
          <w:sz w:val="24"/>
          <w:szCs w:val="24"/>
        </w:rPr>
      </w:pPr>
      <w:r>
        <w:rPr>
          <w:sz w:val="24"/>
          <w:szCs w:val="24"/>
        </w:rPr>
        <w:t>共布设2个大气环境监测点位，监测点位具体位置详见表4.3.1-2与图4.3-1。</w:t>
      </w:r>
    </w:p>
    <w:p>
      <w:pPr>
        <w:adjustRightInd w:val="0"/>
        <w:snapToGrid w:val="0"/>
        <w:spacing w:before="156" w:beforeLines="50" w:after="156" w:afterLines="50"/>
        <w:jc w:val="center"/>
        <w:rPr>
          <w:b/>
          <w:sz w:val="24"/>
          <w:szCs w:val="24"/>
        </w:rPr>
      </w:pPr>
      <w:r>
        <w:rPr>
          <w:b/>
          <w:sz w:val="24"/>
          <w:szCs w:val="24"/>
        </w:rPr>
        <w:t>表4.3.1-2 大气监测布点</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8"/>
        <w:gridCol w:w="2204"/>
        <w:gridCol w:w="2016"/>
        <w:gridCol w:w="1704"/>
        <w:gridCol w:w="20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1" w:type="pct"/>
            <w:vMerge w:val="restart"/>
            <w:vAlign w:val="center"/>
          </w:tcPr>
          <w:p>
            <w:pPr>
              <w:adjustRightInd w:val="0"/>
              <w:snapToGrid w:val="0"/>
              <w:jc w:val="center"/>
              <w:rPr>
                <w:szCs w:val="21"/>
                <w:lang w:val="zh-CN"/>
              </w:rPr>
            </w:pPr>
            <w:r>
              <w:rPr>
                <w:rFonts w:hint="eastAsia"/>
                <w:szCs w:val="21"/>
                <w:lang w:val="zh-CN"/>
              </w:rPr>
              <w:t>编号</w:t>
            </w:r>
          </w:p>
        </w:tc>
        <w:tc>
          <w:tcPr>
            <w:tcW w:w="1292" w:type="pct"/>
            <w:vMerge w:val="restart"/>
            <w:vAlign w:val="center"/>
          </w:tcPr>
          <w:p>
            <w:pPr>
              <w:adjustRightInd w:val="0"/>
              <w:snapToGrid w:val="0"/>
              <w:jc w:val="center"/>
              <w:rPr>
                <w:szCs w:val="21"/>
                <w:lang w:val="zh-CN"/>
              </w:rPr>
            </w:pPr>
            <w:r>
              <w:rPr>
                <w:rFonts w:hint="eastAsia"/>
                <w:szCs w:val="21"/>
                <w:lang w:val="zh-CN"/>
              </w:rPr>
              <w:t>监测点位</w:t>
            </w:r>
          </w:p>
        </w:tc>
        <w:tc>
          <w:tcPr>
            <w:tcW w:w="2181" w:type="pct"/>
            <w:gridSpan w:val="2"/>
            <w:vAlign w:val="center"/>
          </w:tcPr>
          <w:p>
            <w:pPr>
              <w:adjustRightInd w:val="0"/>
              <w:snapToGrid w:val="0"/>
              <w:jc w:val="center"/>
              <w:rPr>
                <w:szCs w:val="21"/>
                <w:lang w:val="zh-CN"/>
              </w:rPr>
            </w:pPr>
            <w:r>
              <w:rPr>
                <w:rFonts w:hint="eastAsia"/>
                <w:szCs w:val="21"/>
                <w:lang w:val="zh-CN"/>
              </w:rPr>
              <w:t>经纬度</w:t>
            </w:r>
          </w:p>
        </w:tc>
        <w:tc>
          <w:tcPr>
            <w:tcW w:w="1176" w:type="pct"/>
            <w:vMerge w:val="restart"/>
            <w:vAlign w:val="center"/>
          </w:tcPr>
          <w:p>
            <w:pPr>
              <w:adjustRightInd w:val="0"/>
              <w:snapToGrid w:val="0"/>
              <w:jc w:val="center"/>
              <w:rPr>
                <w:szCs w:val="21"/>
                <w:lang w:val="zh-CN"/>
              </w:rPr>
            </w:pPr>
            <w:r>
              <w:rPr>
                <w:rFonts w:hint="eastAsia"/>
                <w:szCs w:val="21"/>
                <w:lang w:val="zh-CN"/>
              </w:rPr>
              <w:t>与本项目相对位置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1" w:type="pct"/>
            <w:vMerge w:val="continue"/>
            <w:vAlign w:val="center"/>
          </w:tcPr>
          <w:p>
            <w:pPr>
              <w:adjustRightInd w:val="0"/>
              <w:snapToGrid w:val="0"/>
              <w:jc w:val="center"/>
              <w:rPr>
                <w:szCs w:val="21"/>
                <w:lang w:val="zh-CN"/>
              </w:rPr>
            </w:pPr>
          </w:p>
        </w:tc>
        <w:tc>
          <w:tcPr>
            <w:tcW w:w="1292" w:type="pct"/>
            <w:vMerge w:val="continue"/>
            <w:vAlign w:val="center"/>
          </w:tcPr>
          <w:p>
            <w:pPr>
              <w:adjustRightInd w:val="0"/>
              <w:snapToGrid w:val="0"/>
              <w:jc w:val="center"/>
              <w:rPr>
                <w:szCs w:val="21"/>
                <w:lang w:val="zh-CN"/>
              </w:rPr>
            </w:pPr>
          </w:p>
        </w:tc>
        <w:tc>
          <w:tcPr>
            <w:tcW w:w="1182" w:type="pct"/>
            <w:vAlign w:val="center"/>
          </w:tcPr>
          <w:p>
            <w:pPr>
              <w:adjustRightInd w:val="0"/>
              <w:snapToGrid w:val="0"/>
              <w:jc w:val="center"/>
              <w:rPr>
                <w:szCs w:val="21"/>
                <w:lang w:val="zh-CN"/>
              </w:rPr>
            </w:pPr>
            <w:r>
              <w:rPr>
                <w:rFonts w:hint="eastAsia"/>
                <w:szCs w:val="21"/>
                <w:lang w:val="zh-CN"/>
              </w:rPr>
              <w:t>经度</w:t>
            </w:r>
          </w:p>
        </w:tc>
        <w:tc>
          <w:tcPr>
            <w:tcW w:w="999" w:type="pct"/>
            <w:vAlign w:val="center"/>
          </w:tcPr>
          <w:p>
            <w:pPr>
              <w:adjustRightInd w:val="0"/>
              <w:snapToGrid w:val="0"/>
              <w:jc w:val="center"/>
              <w:rPr>
                <w:szCs w:val="21"/>
                <w:lang w:val="zh-CN"/>
              </w:rPr>
            </w:pPr>
            <w:r>
              <w:rPr>
                <w:rFonts w:hint="eastAsia"/>
                <w:szCs w:val="21"/>
                <w:lang w:val="zh-CN"/>
              </w:rPr>
              <w:t>纬度</w:t>
            </w:r>
          </w:p>
        </w:tc>
        <w:tc>
          <w:tcPr>
            <w:tcW w:w="1176" w:type="pct"/>
            <w:vMerge w:val="continue"/>
            <w:vAlign w:val="center"/>
          </w:tcPr>
          <w:p>
            <w:pPr>
              <w:adjustRightInd w:val="0"/>
              <w:snapToGrid w:val="0"/>
              <w:jc w:val="center"/>
              <w:rPr>
                <w:szCs w:val="21"/>
                <w:lang w:val="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1" w:type="pct"/>
            <w:vAlign w:val="center"/>
          </w:tcPr>
          <w:p>
            <w:pPr>
              <w:adjustRightInd w:val="0"/>
              <w:snapToGrid w:val="0"/>
              <w:jc w:val="center"/>
              <w:rPr>
                <w:szCs w:val="21"/>
                <w:lang w:val="zh-CN"/>
              </w:rPr>
            </w:pPr>
            <w:r>
              <w:rPr>
                <w:szCs w:val="21"/>
                <w:lang w:val="zh-CN"/>
              </w:rPr>
              <w:t>1</w:t>
            </w:r>
            <w:r>
              <w:rPr>
                <w:rFonts w:hint="eastAsia"/>
                <w:szCs w:val="21"/>
                <w:lang w:val="zh-CN"/>
              </w:rPr>
              <w:t>#</w:t>
            </w:r>
          </w:p>
        </w:tc>
        <w:tc>
          <w:tcPr>
            <w:tcW w:w="1292" w:type="pct"/>
            <w:vAlign w:val="center"/>
          </w:tcPr>
          <w:p>
            <w:pPr>
              <w:adjustRightInd w:val="0"/>
              <w:snapToGrid w:val="0"/>
              <w:jc w:val="center"/>
              <w:rPr>
                <w:szCs w:val="21"/>
                <w:lang w:val="zh-CN"/>
              </w:rPr>
            </w:pPr>
            <w:r>
              <w:rPr>
                <w:rFonts w:hint="eastAsia"/>
                <w:szCs w:val="21"/>
                <w:lang w:val="zh-CN"/>
              </w:rPr>
              <w:t>项目场址南1</w:t>
            </w:r>
            <w:r>
              <w:rPr>
                <w:szCs w:val="21"/>
                <w:lang w:val="zh-CN"/>
              </w:rPr>
              <w:t>50</w:t>
            </w:r>
            <w:r>
              <w:rPr>
                <w:rFonts w:hint="eastAsia"/>
                <w:szCs w:val="21"/>
                <w:lang w:val="zh-CN"/>
              </w:rPr>
              <w:t>m</w:t>
            </w:r>
          </w:p>
        </w:tc>
        <w:tc>
          <w:tcPr>
            <w:tcW w:w="1182" w:type="pct"/>
            <w:vAlign w:val="center"/>
          </w:tcPr>
          <w:p>
            <w:pPr>
              <w:adjustRightInd w:val="0"/>
              <w:snapToGrid w:val="0"/>
              <w:jc w:val="center"/>
              <w:rPr>
                <w:szCs w:val="21"/>
                <w:lang w:val="zh-CN"/>
              </w:rPr>
            </w:pPr>
            <w:r>
              <w:rPr>
                <w:szCs w:val="21"/>
                <w:lang w:val="zh-CN"/>
              </w:rPr>
              <w:t>41.9955022063</w:t>
            </w:r>
          </w:p>
        </w:tc>
        <w:tc>
          <w:tcPr>
            <w:tcW w:w="999" w:type="pct"/>
            <w:vAlign w:val="center"/>
          </w:tcPr>
          <w:p>
            <w:pPr>
              <w:adjustRightInd w:val="0"/>
              <w:snapToGrid w:val="0"/>
              <w:jc w:val="center"/>
              <w:rPr>
                <w:szCs w:val="21"/>
                <w:lang w:val="zh-CN"/>
              </w:rPr>
            </w:pPr>
            <w:r>
              <w:rPr>
                <w:szCs w:val="21"/>
                <w:lang w:val="zh-CN"/>
              </w:rPr>
              <w:t>117.7046230833</w:t>
            </w:r>
          </w:p>
        </w:tc>
        <w:tc>
          <w:tcPr>
            <w:tcW w:w="1176" w:type="pct"/>
            <w:vAlign w:val="center"/>
          </w:tcPr>
          <w:p>
            <w:pPr>
              <w:adjustRightInd w:val="0"/>
              <w:snapToGrid w:val="0"/>
              <w:jc w:val="center"/>
              <w:rPr>
                <w:szCs w:val="21"/>
                <w:lang w:val="zh-CN"/>
              </w:rPr>
            </w:pPr>
            <w:r>
              <w:rPr>
                <w:rFonts w:hint="eastAsia"/>
                <w:szCs w:val="21"/>
                <w:lang w:val="zh-CN"/>
              </w:rPr>
              <w:t>南1</w:t>
            </w:r>
            <w:r>
              <w:rPr>
                <w:szCs w:val="21"/>
                <w:lang w:val="zh-CN"/>
              </w:rPr>
              <w:t>50</w:t>
            </w:r>
            <w:r>
              <w:rPr>
                <w:rFonts w:hint="eastAsia"/>
                <w:szCs w:val="21"/>
                <w:lang w:val="zh-CN"/>
              </w:rPr>
              <w:t>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1" w:type="pct"/>
            <w:vAlign w:val="center"/>
          </w:tcPr>
          <w:p>
            <w:pPr>
              <w:adjustRightInd w:val="0"/>
              <w:snapToGrid w:val="0"/>
              <w:jc w:val="center"/>
              <w:rPr>
                <w:szCs w:val="21"/>
                <w:lang w:val="zh-CN"/>
              </w:rPr>
            </w:pPr>
            <w:r>
              <w:rPr>
                <w:rFonts w:hint="eastAsia"/>
                <w:szCs w:val="21"/>
                <w:lang w:val="zh-CN"/>
              </w:rPr>
              <w:t>2#</w:t>
            </w:r>
          </w:p>
        </w:tc>
        <w:tc>
          <w:tcPr>
            <w:tcW w:w="1292" w:type="pct"/>
            <w:vAlign w:val="center"/>
          </w:tcPr>
          <w:p>
            <w:pPr>
              <w:adjustRightInd w:val="0"/>
              <w:snapToGrid w:val="0"/>
              <w:jc w:val="center"/>
              <w:rPr>
                <w:szCs w:val="21"/>
                <w:lang w:val="zh-CN"/>
              </w:rPr>
            </w:pPr>
            <w:r>
              <w:rPr>
                <w:rFonts w:hint="eastAsia"/>
                <w:szCs w:val="21"/>
                <w:lang w:val="zh-CN"/>
              </w:rPr>
              <w:t>厂址下风向1</w:t>
            </w:r>
            <w:r>
              <w:rPr>
                <w:szCs w:val="21"/>
                <w:lang w:val="zh-CN"/>
              </w:rPr>
              <w:t>.15</w:t>
            </w:r>
            <w:r>
              <w:rPr>
                <w:rFonts w:hint="eastAsia"/>
                <w:szCs w:val="21"/>
                <w:lang w:val="zh-CN"/>
              </w:rPr>
              <w:t>km处</w:t>
            </w:r>
          </w:p>
        </w:tc>
        <w:tc>
          <w:tcPr>
            <w:tcW w:w="1182" w:type="pct"/>
            <w:vAlign w:val="center"/>
          </w:tcPr>
          <w:p>
            <w:pPr>
              <w:adjustRightInd w:val="0"/>
              <w:snapToGrid w:val="0"/>
              <w:jc w:val="center"/>
              <w:rPr>
                <w:szCs w:val="21"/>
                <w:lang w:val="zh-CN"/>
              </w:rPr>
            </w:pPr>
            <w:r>
              <w:rPr>
                <w:szCs w:val="21"/>
                <w:lang w:val="zh-CN"/>
              </w:rPr>
              <w:t>41.9857803628</w:t>
            </w:r>
          </w:p>
        </w:tc>
        <w:tc>
          <w:tcPr>
            <w:tcW w:w="999" w:type="pct"/>
            <w:vAlign w:val="center"/>
          </w:tcPr>
          <w:p>
            <w:pPr>
              <w:adjustRightInd w:val="0"/>
              <w:snapToGrid w:val="0"/>
              <w:jc w:val="center"/>
              <w:rPr>
                <w:szCs w:val="21"/>
                <w:lang w:val="zh-CN"/>
              </w:rPr>
            </w:pPr>
            <w:r>
              <w:rPr>
                <w:szCs w:val="21"/>
                <w:lang w:val="zh-CN"/>
              </w:rPr>
              <w:t>117.7077080020</w:t>
            </w:r>
          </w:p>
        </w:tc>
        <w:tc>
          <w:tcPr>
            <w:tcW w:w="1176" w:type="pct"/>
            <w:vAlign w:val="center"/>
          </w:tcPr>
          <w:p>
            <w:pPr>
              <w:adjustRightInd w:val="0"/>
              <w:snapToGrid w:val="0"/>
              <w:jc w:val="center"/>
              <w:rPr>
                <w:szCs w:val="21"/>
                <w:lang w:val="zh-CN"/>
              </w:rPr>
            </w:pPr>
            <w:r>
              <w:rPr>
                <w:rFonts w:hint="eastAsia"/>
                <w:szCs w:val="21"/>
                <w:lang w:val="zh-CN"/>
              </w:rPr>
              <w:t>东南偏南1</w:t>
            </w:r>
            <w:r>
              <w:rPr>
                <w:szCs w:val="21"/>
                <w:lang w:val="zh-CN"/>
              </w:rPr>
              <w:t>.15</w:t>
            </w:r>
            <w:r>
              <w:rPr>
                <w:rFonts w:hint="eastAsia"/>
                <w:szCs w:val="21"/>
                <w:lang w:val="zh-CN"/>
              </w:rPr>
              <w:t>km</w:t>
            </w:r>
            <w:r>
              <w:rPr>
                <w:szCs w:val="21"/>
                <w:lang w:val="zh-CN"/>
              </w:rPr>
              <w:t xml:space="preserve"> </w:t>
            </w:r>
          </w:p>
        </w:tc>
      </w:tr>
    </w:tbl>
    <w:p>
      <w:pPr>
        <w:adjustRightInd w:val="0"/>
        <w:snapToGrid w:val="0"/>
        <w:spacing w:before="156" w:beforeLines="50" w:after="156" w:afterLines="50"/>
        <w:ind w:firstLine="482"/>
        <w:rPr>
          <w:b/>
          <w:sz w:val="24"/>
          <w:szCs w:val="24"/>
        </w:rPr>
      </w:pPr>
      <w:r>
        <w:rPr>
          <w:b/>
          <w:sz w:val="24"/>
          <w:szCs w:val="24"/>
        </w:rPr>
        <w:t>2、监测因子</w:t>
      </w:r>
    </w:p>
    <w:p>
      <w:pPr>
        <w:adjustRightInd w:val="0"/>
        <w:snapToGrid w:val="0"/>
        <w:spacing w:line="360" w:lineRule="auto"/>
        <w:ind w:firstLine="480" w:firstLineChars="200"/>
        <w:rPr>
          <w:sz w:val="24"/>
          <w:szCs w:val="24"/>
        </w:rPr>
      </w:pPr>
      <w:r>
        <w:rPr>
          <w:sz w:val="24"/>
          <w:szCs w:val="24"/>
        </w:rPr>
        <w:t>臭气浓度、</w:t>
      </w:r>
      <w:r>
        <w:rPr>
          <w:rFonts w:hint="eastAsia"/>
          <w:sz w:val="24"/>
          <w:szCs w:val="24"/>
        </w:rPr>
        <w:t>TSP。</w:t>
      </w:r>
    </w:p>
    <w:p>
      <w:pPr>
        <w:adjustRightInd w:val="0"/>
        <w:snapToGrid w:val="0"/>
        <w:spacing w:line="360" w:lineRule="auto"/>
        <w:ind w:firstLine="482" w:firstLineChars="200"/>
        <w:rPr>
          <w:b/>
          <w:sz w:val="24"/>
          <w:szCs w:val="24"/>
        </w:rPr>
      </w:pPr>
      <w:r>
        <w:rPr>
          <w:b/>
          <w:sz w:val="24"/>
          <w:szCs w:val="24"/>
        </w:rPr>
        <w:t>3、监测时间及频次</w:t>
      </w:r>
    </w:p>
    <w:p>
      <w:pPr>
        <w:adjustRightInd w:val="0"/>
        <w:snapToGrid w:val="0"/>
        <w:spacing w:line="360" w:lineRule="auto"/>
        <w:ind w:firstLine="480" w:firstLineChars="200"/>
        <w:rPr>
          <w:sz w:val="24"/>
          <w:szCs w:val="24"/>
        </w:rPr>
      </w:pPr>
      <w:r>
        <w:rPr>
          <w:sz w:val="24"/>
          <w:szCs w:val="24"/>
        </w:rPr>
        <w:t>1）监测时间：</w:t>
      </w:r>
    </w:p>
    <w:p>
      <w:pPr>
        <w:adjustRightInd w:val="0"/>
        <w:snapToGrid w:val="0"/>
        <w:spacing w:line="360" w:lineRule="auto"/>
        <w:ind w:firstLine="480" w:firstLineChars="200"/>
        <w:rPr>
          <w:sz w:val="24"/>
          <w:szCs w:val="24"/>
        </w:rPr>
      </w:pPr>
      <w:r>
        <w:rPr>
          <w:sz w:val="24"/>
          <w:szCs w:val="24"/>
        </w:rPr>
        <w:t>监测时间为2021年7月</w:t>
      </w:r>
      <w:r>
        <w:rPr>
          <w:rFonts w:hint="eastAsia"/>
          <w:sz w:val="24"/>
          <w:szCs w:val="24"/>
        </w:rPr>
        <w:t>2</w:t>
      </w:r>
      <w:r>
        <w:rPr>
          <w:sz w:val="24"/>
          <w:szCs w:val="24"/>
        </w:rPr>
        <w:t>0日</w:t>
      </w:r>
      <w:r>
        <w:rPr>
          <w:rFonts w:hint="eastAsia"/>
          <w:sz w:val="24"/>
          <w:szCs w:val="24"/>
        </w:rPr>
        <w:t>~</w:t>
      </w:r>
      <w:r>
        <w:rPr>
          <w:sz w:val="24"/>
          <w:szCs w:val="24"/>
        </w:rPr>
        <w:t>26日，连续监测7天；</w:t>
      </w:r>
      <w:r>
        <w:rPr>
          <w:rFonts w:hint="eastAsia"/>
          <w:sz w:val="24"/>
          <w:szCs w:val="24"/>
        </w:rPr>
        <w:t>TSP监测时间为</w:t>
      </w:r>
      <w:r>
        <w:rPr>
          <w:sz w:val="24"/>
          <w:szCs w:val="24"/>
        </w:rPr>
        <w:t>2021</w:t>
      </w:r>
      <w:r>
        <w:rPr>
          <w:rFonts w:hint="eastAsia"/>
          <w:sz w:val="24"/>
          <w:szCs w:val="24"/>
        </w:rPr>
        <w:t>年</w:t>
      </w:r>
      <w:r>
        <w:rPr>
          <w:sz w:val="24"/>
          <w:szCs w:val="24"/>
        </w:rPr>
        <w:t>12</w:t>
      </w:r>
      <w:r>
        <w:rPr>
          <w:rFonts w:hint="eastAsia"/>
          <w:sz w:val="24"/>
          <w:szCs w:val="24"/>
        </w:rPr>
        <w:t>月</w:t>
      </w:r>
      <w:r>
        <w:rPr>
          <w:sz w:val="24"/>
          <w:szCs w:val="24"/>
        </w:rPr>
        <w:t>14</w:t>
      </w:r>
      <w:r>
        <w:rPr>
          <w:rFonts w:hint="eastAsia"/>
          <w:sz w:val="24"/>
          <w:szCs w:val="24"/>
        </w:rPr>
        <w:t>日至</w:t>
      </w:r>
      <w:r>
        <w:rPr>
          <w:sz w:val="24"/>
          <w:szCs w:val="24"/>
        </w:rPr>
        <w:t>20</w:t>
      </w:r>
      <w:r>
        <w:rPr>
          <w:rFonts w:hint="eastAsia"/>
          <w:sz w:val="24"/>
          <w:szCs w:val="24"/>
        </w:rPr>
        <w:t>日</w:t>
      </w:r>
      <w:r>
        <w:rPr>
          <w:sz w:val="24"/>
          <w:szCs w:val="24"/>
        </w:rPr>
        <w:t>，连续监测7天</w:t>
      </w:r>
      <w:r>
        <w:rPr>
          <w:rFonts w:hint="eastAsia"/>
          <w:sz w:val="24"/>
          <w:szCs w:val="24"/>
        </w:rPr>
        <w:t>。</w:t>
      </w:r>
    </w:p>
    <w:p>
      <w:pPr>
        <w:adjustRightInd w:val="0"/>
        <w:snapToGrid w:val="0"/>
        <w:spacing w:line="360" w:lineRule="auto"/>
        <w:ind w:firstLine="480" w:firstLineChars="200"/>
        <w:rPr>
          <w:sz w:val="24"/>
          <w:szCs w:val="24"/>
        </w:rPr>
      </w:pPr>
      <w:r>
        <w:rPr>
          <w:sz w:val="24"/>
          <w:szCs w:val="24"/>
        </w:rPr>
        <w:t>（2）监测频次</w:t>
      </w:r>
    </w:p>
    <w:p>
      <w:pPr>
        <w:adjustRightInd w:val="0"/>
        <w:snapToGrid w:val="0"/>
        <w:spacing w:line="360" w:lineRule="auto"/>
        <w:ind w:firstLine="480" w:firstLineChars="200"/>
        <w:rPr>
          <w:sz w:val="24"/>
          <w:szCs w:val="24"/>
        </w:rPr>
      </w:pPr>
      <w:r>
        <w:rPr>
          <w:sz w:val="24"/>
          <w:szCs w:val="24"/>
        </w:rPr>
        <w:t>臭气浓度监测1小时平均浓度；连续监测7天。1小时平均浓度采样为每小时至少有45分钟的采样时间。1小时均值每日监测4次，具体监测时间为02:00~3:00、08:00~9:00、14:00~15:00、20:00~21:00；</w:t>
      </w:r>
    </w:p>
    <w:p>
      <w:pPr>
        <w:adjustRightInd w:val="0"/>
        <w:snapToGrid w:val="0"/>
        <w:spacing w:line="360" w:lineRule="auto"/>
        <w:ind w:firstLine="480" w:firstLineChars="200"/>
        <w:rPr>
          <w:kern w:val="0"/>
          <w:sz w:val="24"/>
          <w:szCs w:val="24"/>
        </w:rPr>
      </w:pPr>
      <w:r>
        <w:rPr>
          <w:sz w:val="24"/>
          <w:szCs w:val="24"/>
        </w:rPr>
        <w:t>TSP监测24小时平均浓度</w:t>
      </w:r>
      <w:r>
        <w:rPr>
          <w:rFonts w:hint="eastAsia"/>
          <w:sz w:val="24"/>
          <w:szCs w:val="24"/>
        </w:rPr>
        <w:t>，</w:t>
      </w:r>
      <w:r>
        <w:rPr>
          <w:sz w:val="24"/>
          <w:szCs w:val="24"/>
        </w:rPr>
        <w:t>连续监测7天</w:t>
      </w:r>
      <w:r>
        <w:rPr>
          <w:rFonts w:hint="eastAsia"/>
          <w:sz w:val="24"/>
          <w:szCs w:val="24"/>
        </w:rPr>
        <w:t>。</w:t>
      </w:r>
      <w:r>
        <w:rPr>
          <w:kern w:val="0"/>
          <w:sz w:val="24"/>
          <w:szCs w:val="24"/>
        </w:rPr>
        <w:t>采样同时观测并记录当时的风向、风速、气温、气压、湿度等气象参数。</w:t>
      </w:r>
    </w:p>
    <w:p>
      <w:pPr>
        <w:adjustRightInd w:val="0"/>
        <w:snapToGrid w:val="0"/>
        <w:spacing w:line="360" w:lineRule="auto"/>
        <w:ind w:firstLine="482" w:firstLineChars="200"/>
        <w:rPr>
          <w:b/>
          <w:sz w:val="24"/>
          <w:szCs w:val="24"/>
        </w:rPr>
      </w:pPr>
      <w:r>
        <w:rPr>
          <w:b/>
          <w:sz w:val="24"/>
          <w:szCs w:val="24"/>
        </w:rPr>
        <w:t>4、监测及分析方法</w:t>
      </w:r>
    </w:p>
    <w:p>
      <w:pPr>
        <w:widowControl/>
        <w:adjustRightInd w:val="0"/>
        <w:snapToGrid w:val="0"/>
        <w:spacing w:before="156" w:beforeLines="50" w:line="360" w:lineRule="auto"/>
        <w:ind w:firstLine="480" w:firstLineChars="200"/>
        <w:jc w:val="left"/>
        <w:rPr>
          <w:kern w:val="0"/>
          <w:sz w:val="24"/>
          <w:szCs w:val="24"/>
        </w:rPr>
      </w:pPr>
      <w:r>
        <w:rPr>
          <w:kern w:val="0"/>
          <w:sz w:val="24"/>
          <w:szCs w:val="24"/>
        </w:rPr>
        <w:t>采样方法按《环境监测技术规范》和《环境空气质量标准》（GB 3095-2012）进行。分析方法采用《空气和废气监测分析方法（第四版）》（GB/T14678-93）具体监测分析方法与检出限见表4.3.1-3。</w:t>
      </w:r>
    </w:p>
    <w:p>
      <w:pPr>
        <w:widowControl/>
        <w:adjustRightInd w:val="0"/>
        <w:snapToGrid w:val="0"/>
        <w:spacing w:before="156" w:beforeLines="50" w:line="360" w:lineRule="auto"/>
        <w:jc w:val="left"/>
        <w:rPr>
          <w:kern w:val="0"/>
          <w:sz w:val="24"/>
          <w:szCs w:val="24"/>
        </w:rPr>
      </w:pPr>
      <w:r>
        <w:rPr>
          <w:kern w:val="0"/>
          <w:sz w:val="24"/>
          <w:szCs w:val="24"/>
        </w:rPr>
        <w:drawing>
          <wp:anchor distT="0" distB="0" distL="114300" distR="114300" simplePos="0" relativeHeight="251682816" behindDoc="0" locked="0" layoutInCell="1" allowOverlap="1">
            <wp:simplePos x="0" y="0"/>
            <wp:positionH relativeFrom="column">
              <wp:posOffset>4551045</wp:posOffset>
            </wp:positionH>
            <wp:positionV relativeFrom="paragraph">
              <wp:posOffset>101600</wp:posOffset>
            </wp:positionV>
            <wp:extent cx="731520" cy="768350"/>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731520" cy="768350"/>
                    </a:xfrm>
                    <a:prstGeom prst="rect">
                      <a:avLst/>
                    </a:prstGeom>
                    <a:noFill/>
                  </pic:spPr>
                </pic:pic>
              </a:graphicData>
            </a:graphic>
          </wp:anchor>
        </w:drawing>
      </w:r>
      <w:r>
        <w:rPr>
          <w:sz w:val="24"/>
          <w:szCs w:val="24"/>
        </w:rPr>
        <w:drawing>
          <wp:anchor distT="0" distB="0" distL="114300" distR="114300" simplePos="0" relativeHeight="251685888" behindDoc="0" locked="0" layoutInCell="1" allowOverlap="1">
            <wp:simplePos x="0" y="0"/>
            <wp:positionH relativeFrom="column">
              <wp:posOffset>3701415</wp:posOffset>
            </wp:positionH>
            <wp:positionV relativeFrom="paragraph">
              <wp:posOffset>3315970</wp:posOffset>
            </wp:positionV>
            <wp:extent cx="1533525" cy="296545"/>
            <wp:effectExtent l="0" t="0" r="0" b="8255"/>
            <wp:wrapNone/>
            <wp:docPr id="1408" name="图片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14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533525" cy="296545"/>
                    </a:xfrm>
                    <a:prstGeom prst="rect">
                      <a:avLst/>
                    </a:prstGeom>
                    <a:noFill/>
                    <a:ln>
                      <a:noFill/>
                    </a:ln>
                  </pic:spPr>
                </pic:pic>
              </a:graphicData>
            </a:graphic>
          </wp:anchor>
        </w:drawing>
      </w:r>
      <w:r>
        <w:rPr>
          <w:kern w:val="0"/>
          <w:sz w:val="24"/>
          <w:szCs w:val="24"/>
        </w:rPr>
        <w:drawing>
          <wp:inline distT="0" distB="0" distL="0" distR="0">
            <wp:extent cx="5278120" cy="351409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78120" cy="3514090"/>
                    </a:xfrm>
                    <a:prstGeom prst="rect">
                      <a:avLst/>
                    </a:prstGeom>
                    <a:noFill/>
                    <a:ln>
                      <a:noFill/>
                    </a:ln>
                  </pic:spPr>
                </pic:pic>
              </a:graphicData>
            </a:graphic>
          </wp:inline>
        </w:drawing>
      </w:r>
    </w:p>
    <w:p>
      <w:pPr>
        <w:jc w:val="center"/>
        <w:rPr>
          <w:b/>
          <w:szCs w:val="24"/>
        </w:rPr>
      </w:pPr>
      <w:r>
        <w:rPr>
          <w:b/>
          <w:szCs w:val="24"/>
        </w:rPr>
        <w:t>图4.3-1  本项目环境空气现状监测点位</w:t>
      </w:r>
      <w:r>
        <w:rPr>
          <w:rFonts w:hint="eastAsia"/>
          <w:b/>
          <w:szCs w:val="24"/>
        </w:rPr>
        <w:t>示意</w:t>
      </w:r>
      <w:r>
        <w:rPr>
          <w:b/>
          <w:szCs w:val="24"/>
        </w:rPr>
        <w:t>图</w:t>
      </w:r>
    </w:p>
    <w:p>
      <w:pPr>
        <w:jc w:val="center"/>
        <w:rPr>
          <w:b/>
          <w:szCs w:val="24"/>
        </w:rPr>
      </w:pPr>
    </w:p>
    <w:p>
      <w:pPr>
        <w:jc w:val="center"/>
        <w:rPr>
          <w:b/>
          <w:sz w:val="24"/>
          <w:szCs w:val="24"/>
        </w:rPr>
      </w:pPr>
      <w:r>
        <w:rPr>
          <w:b/>
          <w:sz w:val="24"/>
          <w:szCs w:val="24"/>
        </w:rPr>
        <w:t>表4.3.1-3  大气环境质量监测分析方法</w:t>
      </w:r>
    </w:p>
    <w:tbl>
      <w:tblPr>
        <w:tblStyle w:val="39"/>
        <w:tblW w:w="500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7"/>
        <w:gridCol w:w="1134"/>
        <w:gridCol w:w="5101"/>
        <w:gridCol w:w="16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 w:type="pct"/>
            <w:vAlign w:val="center"/>
          </w:tcPr>
          <w:p>
            <w:pPr>
              <w:jc w:val="center"/>
            </w:pPr>
            <w:r>
              <w:rPr>
                <w:rFonts w:hint="eastAsia"/>
              </w:rPr>
              <w:t>序号</w:t>
            </w:r>
          </w:p>
        </w:tc>
        <w:tc>
          <w:tcPr>
            <w:tcW w:w="665" w:type="pct"/>
            <w:vAlign w:val="center"/>
          </w:tcPr>
          <w:p>
            <w:pPr>
              <w:adjustRightInd w:val="0"/>
              <w:snapToGrid w:val="0"/>
              <w:jc w:val="center"/>
              <w:rPr>
                <w:rFonts w:ascii="宋体" w:hAnsi="宋体" w:cs="宋体"/>
                <w:szCs w:val="21"/>
              </w:rPr>
            </w:pPr>
            <w:r>
              <w:rPr>
                <w:rFonts w:hint="eastAsia" w:ascii="宋体" w:hAnsi="宋体" w:cs="宋体"/>
                <w:szCs w:val="21"/>
              </w:rPr>
              <w:t xml:space="preserve">检测项目                                                                                                                                                                                                                                                                                                                                                                                                                                                                                                                                                                                                                                                                                                                                                                                                                                                                                                                                                                                                                                                                                                                                                                                                                                                                                                                                                                                                                                                                                                                                                                                                                                                                                                                                                                </w:t>
            </w:r>
          </w:p>
        </w:tc>
        <w:tc>
          <w:tcPr>
            <w:tcW w:w="2990" w:type="pct"/>
            <w:vAlign w:val="center"/>
          </w:tcPr>
          <w:p>
            <w:pPr>
              <w:adjustRightInd w:val="0"/>
              <w:snapToGrid w:val="0"/>
              <w:jc w:val="center"/>
              <w:rPr>
                <w:rFonts w:ascii="宋体" w:hAnsi="宋体" w:cs="宋体"/>
                <w:szCs w:val="21"/>
              </w:rPr>
            </w:pPr>
            <w:r>
              <w:rPr>
                <w:rFonts w:hint="eastAsia" w:ascii="宋体" w:hAnsi="宋体" w:cs="宋体"/>
                <w:szCs w:val="21"/>
              </w:rPr>
              <w:t>分 析 方 法</w:t>
            </w:r>
          </w:p>
        </w:tc>
        <w:tc>
          <w:tcPr>
            <w:tcW w:w="948" w:type="pct"/>
            <w:vAlign w:val="center"/>
          </w:tcPr>
          <w:p>
            <w:pPr>
              <w:adjustRightInd w:val="0"/>
              <w:snapToGrid w:val="0"/>
              <w:jc w:val="center"/>
              <w:rPr>
                <w:rFonts w:ascii="宋体" w:hAnsi="宋体" w:cs="宋体"/>
                <w:szCs w:val="21"/>
              </w:rPr>
            </w:pPr>
            <w:r>
              <w:rPr>
                <w:rFonts w:hint="eastAsia" w:ascii="宋体" w:hAnsi="宋体" w:cs="宋体"/>
                <w:szCs w:val="21"/>
              </w:rPr>
              <w:t>检出限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 w:type="pct"/>
            <w:vAlign w:val="center"/>
          </w:tcPr>
          <w:p>
            <w:pPr>
              <w:jc w:val="center"/>
            </w:pPr>
            <w:r>
              <w:rPr>
                <w:rFonts w:hint="eastAsia"/>
              </w:rPr>
              <w:t>1</w:t>
            </w:r>
          </w:p>
        </w:tc>
        <w:tc>
          <w:tcPr>
            <w:tcW w:w="665" w:type="pct"/>
            <w:vAlign w:val="center"/>
          </w:tcPr>
          <w:p>
            <w:pPr>
              <w:adjustRightInd w:val="0"/>
              <w:snapToGrid w:val="0"/>
              <w:jc w:val="center"/>
              <w:rPr>
                <w:rFonts w:ascii="宋体" w:hAnsi="宋体" w:cs="宋体"/>
                <w:szCs w:val="21"/>
              </w:rPr>
            </w:pPr>
            <w:r>
              <w:rPr>
                <w:rFonts w:hint="eastAsia" w:ascii="宋体" w:hAnsi="宋体" w:cs="宋体"/>
                <w:szCs w:val="21"/>
              </w:rPr>
              <w:t>臭气浓度</w:t>
            </w:r>
          </w:p>
        </w:tc>
        <w:tc>
          <w:tcPr>
            <w:tcW w:w="2990" w:type="pct"/>
            <w:vAlign w:val="center"/>
          </w:tcPr>
          <w:p>
            <w:pPr>
              <w:adjustRightInd w:val="0"/>
              <w:snapToGrid w:val="0"/>
              <w:jc w:val="center"/>
              <w:rPr>
                <w:rFonts w:ascii="宋体" w:hAnsi="宋体" w:cs="宋体"/>
                <w:szCs w:val="21"/>
              </w:rPr>
            </w:pPr>
            <w:r>
              <w:rPr>
                <w:rFonts w:hint="eastAsia" w:ascii="宋体" w:hAnsi="宋体" w:cs="宋体"/>
                <w:szCs w:val="21"/>
              </w:rPr>
              <w:t>空气质量 恶臭的测定 三点比较式臭袋法7.2环境臭气样品的稀释及测定</w:t>
            </w:r>
          </w:p>
          <w:p>
            <w:pPr>
              <w:adjustRightInd w:val="0"/>
              <w:snapToGrid w:val="0"/>
              <w:jc w:val="center"/>
              <w:rPr>
                <w:rFonts w:ascii="宋体" w:hAnsi="宋体" w:cs="宋体"/>
                <w:szCs w:val="21"/>
              </w:rPr>
            </w:pPr>
            <w:r>
              <w:rPr>
                <w:rFonts w:hint="eastAsia" w:ascii="宋体" w:hAnsi="宋体" w:cs="宋体"/>
                <w:szCs w:val="21"/>
              </w:rPr>
              <w:t>GB/T 14675-1993</w:t>
            </w:r>
          </w:p>
        </w:tc>
        <w:tc>
          <w:tcPr>
            <w:tcW w:w="948" w:type="pct"/>
            <w:vAlign w:val="center"/>
          </w:tcPr>
          <w:p>
            <w:pPr>
              <w:adjustRightInd w:val="0"/>
              <w:snapToGrid w:val="0"/>
              <w:jc w:val="center"/>
              <w:rPr>
                <w:rFonts w:ascii="宋体" w:hAnsi="宋体" w:cs="宋体"/>
                <w:szCs w:val="21"/>
              </w:rPr>
            </w:pPr>
            <w:r>
              <w:rPr>
                <w:rFonts w:hint="eastAsia" w:ascii="宋体" w:hAnsi="宋体" w:cs="宋体"/>
                <w:szCs w:val="21"/>
              </w:rPr>
              <w:t>10（无量纲）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 w:type="pct"/>
            <w:vAlign w:val="center"/>
          </w:tcPr>
          <w:p>
            <w:pPr>
              <w:jc w:val="center"/>
            </w:pPr>
            <w:r>
              <w:rPr>
                <w:rFonts w:hint="eastAsia"/>
              </w:rPr>
              <w:t>2</w:t>
            </w:r>
          </w:p>
        </w:tc>
        <w:tc>
          <w:tcPr>
            <w:tcW w:w="665" w:type="pct"/>
            <w:vAlign w:val="center"/>
          </w:tcPr>
          <w:p>
            <w:pPr>
              <w:adjustRightInd w:val="0"/>
              <w:snapToGrid w:val="0"/>
              <w:jc w:val="center"/>
              <w:rPr>
                <w:rFonts w:ascii="宋体" w:hAnsi="宋体" w:cs="宋体"/>
                <w:szCs w:val="21"/>
              </w:rPr>
            </w:pPr>
            <w:r>
              <w:rPr>
                <w:rFonts w:hint="eastAsia" w:ascii="宋体" w:hAnsi="宋体" w:cs="宋体"/>
                <w:szCs w:val="21"/>
              </w:rPr>
              <w:t>总悬浮颗粒物</w:t>
            </w:r>
          </w:p>
        </w:tc>
        <w:tc>
          <w:tcPr>
            <w:tcW w:w="2990" w:type="pct"/>
            <w:vAlign w:val="center"/>
          </w:tcPr>
          <w:p>
            <w:pPr>
              <w:adjustRightInd w:val="0"/>
              <w:snapToGrid w:val="0"/>
              <w:jc w:val="center"/>
              <w:rPr>
                <w:rFonts w:ascii="宋体" w:hAnsi="宋体" w:cs="宋体"/>
                <w:szCs w:val="21"/>
              </w:rPr>
            </w:pPr>
            <w:r>
              <w:rPr>
                <w:rFonts w:hint="eastAsia" w:ascii="宋体" w:hAnsi="宋体" w:cs="宋体"/>
                <w:szCs w:val="21"/>
              </w:rPr>
              <w:t>环境空气 总悬浮颗粒物的测定重量法 GB/T 15432-1995及其修改单</w:t>
            </w:r>
          </w:p>
        </w:tc>
        <w:tc>
          <w:tcPr>
            <w:tcW w:w="948" w:type="pct"/>
            <w:vAlign w:val="center"/>
          </w:tcPr>
          <w:p>
            <w:pPr>
              <w:adjustRightInd w:val="0"/>
              <w:snapToGrid w:val="0"/>
              <w:jc w:val="center"/>
              <w:rPr>
                <w:rFonts w:ascii="宋体" w:hAnsi="宋体" w:cs="宋体"/>
                <w:spacing w:val="20"/>
                <w:szCs w:val="21"/>
              </w:rPr>
            </w:pPr>
            <w:r>
              <w:rPr>
                <w:rFonts w:hint="eastAsia" w:ascii="宋体" w:hAnsi="宋体" w:cs="宋体"/>
                <w:szCs w:val="21"/>
              </w:rPr>
              <w:t>0.001mg/ m</w:t>
            </w:r>
            <w:r>
              <w:rPr>
                <w:rFonts w:hint="eastAsia" w:ascii="宋体" w:hAnsi="宋体" w:cs="宋体"/>
                <w:szCs w:val="21"/>
                <w:vertAlign w:val="superscript"/>
              </w:rPr>
              <w:t>3</w:t>
            </w:r>
          </w:p>
        </w:tc>
      </w:tr>
    </w:tbl>
    <w:p>
      <w:pPr>
        <w:pStyle w:val="5"/>
        <w:rPr>
          <w:color w:val="auto"/>
        </w:rPr>
      </w:pPr>
    </w:p>
    <w:p>
      <w:pPr>
        <w:adjustRightInd w:val="0"/>
        <w:snapToGrid w:val="0"/>
        <w:spacing w:before="109" w:beforeLines="35" w:after="109" w:afterLines="35"/>
        <w:jc w:val="center"/>
        <w:rPr>
          <w:b/>
          <w:bCs/>
          <w:sz w:val="24"/>
          <w:szCs w:val="24"/>
        </w:rPr>
      </w:pPr>
      <w:r>
        <w:rPr>
          <w:b/>
          <w:bCs/>
          <w:sz w:val="24"/>
          <w:szCs w:val="24"/>
        </w:rPr>
        <w:t>表4.3</w:t>
      </w:r>
      <w:r>
        <w:rPr>
          <w:b/>
          <w:sz w:val="24"/>
          <w:szCs w:val="24"/>
        </w:rPr>
        <w:t>.1-4-1</w:t>
      </w:r>
      <w:r>
        <w:rPr>
          <w:b/>
          <w:bCs/>
          <w:sz w:val="24"/>
          <w:szCs w:val="24"/>
        </w:rPr>
        <w:t xml:space="preserve"> 现状监测期间气象参数表</w:t>
      </w:r>
      <w:r>
        <w:rPr>
          <w:rFonts w:hint="eastAsia"/>
          <w:b/>
          <w:bCs/>
          <w:sz w:val="24"/>
          <w:szCs w:val="24"/>
        </w:rPr>
        <w:t>（1）</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6"/>
        <w:gridCol w:w="1371"/>
        <w:gridCol w:w="1712"/>
        <w:gridCol w:w="1142"/>
        <w:gridCol w:w="1226"/>
        <w:gridCol w:w="745"/>
        <w:gridCol w:w="10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729" w:type="pct"/>
            <w:vAlign w:val="center"/>
          </w:tcPr>
          <w:p>
            <w:pPr>
              <w:adjustRightInd w:val="0"/>
              <w:snapToGrid w:val="0"/>
              <w:jc w:val="center"/>
              <w:rPr>
                <w:rFonts w:ascii="宋体" w:hAnsi="宋体" w:cs="宋体"/>
                <w:szCs w:val="21"/>
              </w:rPr>
            </w:pPr>
            <w:r>
              <w:rPr>
                <w:rFonts w:hint="eastAsia" w:ascii="宋体" w:hAnsi="宋体" w:cs="宋体"/>
                <w:szCs w:val="21"/>
              </w:rPr>
              <w:t>采样日期</w:t>
            </w:r>
          </w:p>
        </w:tc>
        <w:tc>
          <w:tcPr>
            <w:tcW w:w="806" w:type="pct"/>
            <w:vAlign w:val="center"/>
          </w:tcPr>
          <w:p>
            <w:pPr>
              <w:adjustRightInd w:val="0"/>
              <w:snapToGrid w:val="0"/>
              <w:jc w:val="center"/>
              <w:rPr>
                <w:rFonts w:ascii="宋体" w:hAnsi="宋体" w:cs="宋体"/>
                <w:szCs w:val="21"/>
              </w:rPr>
            </w:pPr>
            <w:r>
              <w:rPr>
                <w:rFonts w:hint="eastAsia" w:ascii="宋体" w:hAnsi="宋体" w:cs="宋体"/>
                <w:szCs w:val="21"/>
              </w:rPr>
              <w:t>采样时间</w:t>
            </w:r>
          </w:p>
        </w:tc>
        <w:tc>
          <w:tcPr>
            <w:tcW w:w="1006" w:type="pct"/>
            <w:vAlign w:val="center"/>
          </w:tcPr>
          <w:p>
            <w:pPr>
              <w:adjustRightInd w:val="0"/>
              <w:snapToGrid w:val="0"/>
              <w:jc w:val="center"/>
              <w:rPr>
                <w:rFonts w:ascii="宋体" w:hAnsi="宋体" w:cs="宋体"/>
                <w:szCs w:val="21"/>
              </w:rPr>
            </w:pPr>
            <w:r>
              <w:rPr>
                <w:rFonts w:hint="eastAsia" w:ascii="宋体" w:hAnsi="宋体" w:cs="宋体"/>
                <w:szCs w:val="21"/>
              </w:rPr>
              <w:t>采样点位</w:t>
            </w:r>
          </w:p>
        </w:tc>
        <w:tc>
          <w:tcPr>
            <w:tcW w:w="672" w:type="pct"/>
            <w:vAlign w:val="center"/>
          </w:tcPr>
          <w:p>
            <w:pPr>
              <w:adjustRightInd w:val="0"/>
              <w:snapToGrid w:val="0"/>
              <w:jc w:val="center"/>
              <w:rPr>
                <w:rFonts w:ascii="宋体" w:hAnsi="宋体" w:cs="宋体"/>
                <w:szCs w:val="21"/>
              </w:rPr>
            </w:pPr>
            <w:r>
              <w:rPr>
                <w:rFonts w:hint="eastAsia" w:ascii="宋体" w:hAnsi="宋体" w:cs="宋体"/>
                <w:szCs w:val="21"/>
              </w:rPr>
              <w:t>气温（℃）</w:t>
            </w:r>
          </w:p>
        </w:tc>
        <w:tc>
          <w:tcPr>
            <w:tcW w:w="721" w:type="pct"/>
            <w:vAlign w:val="center"/>
          </w:tcPr>
          <w:p>
            <w:pPr>
              <w:adjustRightInd w:val="0"/>
              <w:snapToGrid w:val="0"/>
              <w:jc w:val="center"/>
              <w:rPr>
                <w:rFonts w:ascii="宋体" w:hAnsi="宋体" w:cs="宋体"/>
                <w:szCs w:val="21"/>
              </w:rPr>
            </w:pPr>
            <w:r>
              <w:rPr>
                <w:rFonts w:hint="eastAsia" w:ascii="宋体" w:hAnsi="宋体" w:cs="宋体"/>
                <w:szCs w:val="21"/>
              </w:rPr>
              <w:t>气压（kPa）</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风向</w:t>
            </w:r>
          </w:p>
        </w:tc>
        <w:tc>
          <w:tcPr>
            <w:tcW w:w="627" w:type="pct"/>
            <w:vAlign w:val="center"/>
          </w:tcPr>
          <w:p>
            <w:pPr>
              <w:adjustRightInd w:val="0"/>
              <w:snapToGrid w:val="0"/>
              <w:jc w:val="center"/>
              <w:rPr>
                <w:rFonts w:ascii="宋体" w:hAnsi="宋体" w:cs="宋体"/>
                <w:szCs w:val="21"/>
              </w:rPr>
            </w:pPr>
            <w:r>
              <w:rPr>
                <w:rFonts w:hint="eastAsia" w:ascii="宋体" w:hAnsi="宋体" w:cs="宋体"/>
                <w:szCs w:val="21"/>
              </w:rPr>
              <w:t>风速(m/s)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2021.07.20</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22.7</w:t>
            </w:r>
          </w:p>
        </w:tc>
        <w:tc>
          <w:tcPr>
            <w:tcW w:w="721"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87.73</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87.57</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31.3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87.38</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26.7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87.43</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87.76</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24.8</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31.7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87.32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26.9</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87.41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2021.07.21</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22.8</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87.64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29.9</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87.31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25.4</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87.42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87.68</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29.6</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87.35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25.3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87.44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2021.07.22</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20.4</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87.46</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87.35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27.4</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87.26</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28.3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87.14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20.2</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87.49</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22.9</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87.31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27.1</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87.29</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28.1</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87.09</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东南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2021.07.23</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20.7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87.83</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87.77</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27.7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87.57</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20.8</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87.81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87.75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27.8</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87.51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24.9</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87.61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2021.07.24</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87.24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87.15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28.8</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86.95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87.07</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87.22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87.12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28.3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86.99</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24.9</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87.01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2021.07.25</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87.05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25.3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87.97</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27.3</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87.75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23.4</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87.86</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24.8</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87.02</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25.9</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87.91</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27.1</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87.77</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23.6</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87.84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restart"/>
            <w:vAlign w:val="center"/>
          </w:tcPr>
          <w:p>
            <w:pPr>
              <w:adjustRightInd w:val="0"/>
              <w:snapToGrid w:val="0"/>
              <w:jc w:val="center"/>
              <w:rPr>
                <w:rFonts w:ascii="宋体" w:hAnsi="宋体" w:cs="宋体"/>
                <w:kern w:val="0"/>
                <w:szCs w:val="21"/>
              </w:rPr>
            </w:pPr>
            <w:r>
              <w:rPr>
                <w:rFonts w:hint="eastAsia" w:ascii="宋体" w:hAnsi="宋体" w:cs="宋体"/>
                <w:kern w:val="0"/>
                <w:szCs w:val="21"/>
              </w:rPr>
              <w:t>2021.07.26</w:t>
            </w: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项目厂址1#</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20.7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86.93</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21.5</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86.85</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28.7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86.63</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22.4</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86.76</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w:t>
            </w:r>
          </w:p>
        </w:tc>
        <w:tc>
          <w:tcPr>
            <w:tcW w:w="1006" w:type="pct"/>
            <w:vMerge w:val="restart"/>
            <w:vAlign w:val="center"/>
          </w:tcPr>
          <w:p>
            <w:pPr>
              <w:adjustRightInd w:val="0"/>
              <w:snapToGrid w:val="0"/>
              <w:jc w:val="center"/>
              <w:rPr>
                <w:rFonts w:ascii="宋体" w:hAnsi="宋体" w:cs="宋体"/>
                <w:kern w:val="0"/>
                <w:szCs w:val="21"/>
              </w:rPr>
            </w:pPr>
            <w:r>
              <w:rPr>
                <w:rFonts w:hint="eastAsia" w:ascii="宋体" w:hAnsi="宋体" w:cs="宋体"/>
                <w:szCs w:val="21"/>
              </w:rPr>
              <w:t>厂址下风向1km处2#</w:t>
            </w: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20.2</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86.98</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8:00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21.7</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86.83</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14:00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28.2</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86.68</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adjustRightInd w:val="0"/>
              <w:snapToGrid w:val="0"/>
              <w:jc w:val="center"/>
              <w:rPr>
                <w:rFonts w:ascii="宋体" w:hAnsi="宋体" w:cs="宋体"/>
                <w:kern w:val="0"/>
                <w:szCs w:val="21"/>
              </w:rPr>
            </w:pPr>
          </w:p>
        </w:tc>
        <w:tc>
          <w:tcPr>
            <w:tcW w:w="806" w:type="pct"/>
            <w:vAlign w:val="center"/>
          </w:tcPr>
          <w:p>
            <w:pPr>
              <w:adjustRightInd w:val="0"/>
              <w:snapToGrid w:val="0"/>
              <w:jc w:val="center"/>
              <w:rPr>
                <w:rFonts w:ascii="宋体" w:hAnsi="宋体" w:cs="宋体"/>
                <w:kern w:val="0"/>
                <w:szCs w:val="21"/>
              </w:rPr>
            </w:pPr>
            <w:r>
              <w:rPr>
                <w:rFonts w:hint="eastAsia" w:ascii="宋体" w:hAnsi="宋体" w:cs="宋体"/>
                <w:kern w:val="0"/>
                <w:szCs w:val="21"/>
              </w:rPr>
              <w:t>20:00</w:t>
            </w:r>
          </w:p>
        </w:tc>
        <w:tc>
          <w:tcPr>
            <w:tcW w:w="1006" w:type="pct"/>
            <w:vMerge w:val="continue"/>
            <w:vAlign w:val="center"/>
          </w:tcPr>
          <w:p>
            <w:pPr>
              <w:adjustRightInd w:val="0"/>
              <w:snapToGrid w:val="0"/>
              <w:jc w:val="center"/>
              <w:rPr>
                <w:rFonts w:ascii="宋体" w:hAnsi="宋体" w:cs="宋体"/>
                <w:kern w:val="0"/>
                <w:szCs w:val="21"/>
              </w:rPr>
            </w:pPr>
          </w:p>
        </w:tc>
        <w:tc>
          <w:tcPr>
            <w:tcW w:w="672"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22.6</w:t>
            </w:r>
          </w:p>
        </w:tc>
        <w:tc>
          <w:tcPr>
            <w:tcW w:w="721"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86.74</w:t>
            </w:r>
          </w:p>
        </w:tc>
        <w:tc>
          <w:tcPr>
            <w:tcW w:w="439" w:type="pct"/>
            <w:vAlign w:val="center"/>
          </w:tcPr>
          <w:p>
            <w:pPr>
              <w:adjustRightInd w:val="0"/>
              <w:snapToGrid w:val="0"/>
              <w:jc w:val="center"/>
              <w:rPr>
                <w:rFonts w:ascii="宋体" w:hAnsi="宋体" w:cs="宋体"/>
                <w:szCs w:val="21"/>
              </w:rPr>
            </w:pPr>
            <w:r>
              <w:rPr>
                <w:rFonts w:hint="eastAsia" w:ascii="宋体" w:hAnsi="宋体" w:cs="宋体"/>
                <w:szCs w:val="21"/>
              </w:rPr>
              <w:t>西南</w:t>
            </w:r>
          </w:p>
        </w:tc>
        <w:tc>
          <w:tcPr>
            <w:tcW w:w="627" w:type="pct"/>
            <w:vAlign w:val="center"/>
          </w:tcPr>
          <w:p>
            <w:pPr>
              <w:widowControl/>
              <w:adjustRightInd w:val="0"/>
              <w:snapToGrid w:val="0"/>
              <w:jc w:val="center"/>
              <w:textAlignment w:val="center"/>
              <w:rPr>
                <w:rFonts w:ascii="宋体" w:hAnsi="宋体" w:cs="宋体"/>
                <w:kern w:val="0"/>
                <w:szCs w:val="21"/>
                <w:lang w:bidi="ar"/>
              </w:rPr>
            </w:pPr>
            <w:r>
              <w:rPr>
                <w:rFonts w:hint="eastAsia" w:ascii="宋体" w:hAnsi="宋体" w:cs="宋体"/>
                <w:kern w:val="0"/>
                <w:szCs w:val="21"/>
                <w:lang w:bidi="ar"/>
              </w:rPr>
              <w:t>2.3</w:t>
            </w:r>
          </w:p>
        </w:tc>
      </w:tr>
    </w:tbl>
    <w:p>
      <w:pPr>
        <w:adjustRightInd w:val="0"/>
        <w:snapToGrid w:val="0"/>
        <w:spacing w:line="360" w:lineRule="auto"/>
        <w:ind w:firstLine="482" w:firstLineChars="200"/>
        <w:rPr>
          <w:b/>
          <w:sz w:val="24"/>
          <w:szCs w:val="24"/>
        </w:rPr>
      </w:pPr>
    </w:p>
    <w:p>
      <w:pPr>
        <w:adjustRightInd w:val="0"/>
        <w:snapToGrid w:val="0"/>
        <w:spacing w:before="109" w:beforeLines="35" w:after="109" w:afterLines="35"/>
        <w:jc w:val="center"/>
        <w:rPr>
          <w:b/>
          <w:bCs/>
          <w:sz w:val="24"/>
          <w:szCs w:val="24"/>
        </w:rPr>
      </w:pPr>
      <w:r>
        <w:rPr>
          <w:b/>
          <w:bCs/>
          <w:sz w:val="24"/>
          <w:szCs w:val="24"/>
        </w:rPr>
        <w:t>表4.3</w:t>
      </w:r>
      <w:r>
        <w:rPr>
          <w:b/>
          <w:sz w:val="24"/>
          <w:szCs w:val="24"/>
        </w:rPr>
        <w:t>.1-4-2</w:t>
      </w:r>
      <w:r>
        <w:rPr>
          <w:b/>
          <w:bCs/>
          <w:sz w:val="24"/>
          <w:szCs w:val="24"/>
        </w:rPr>
        <w:t xml:space="preserve"> 现状监测期间气象参数表</w:t>
      </w:r>
      <w:r>
        <w:rPr>
          <w:rFonts w:hint="eastAsia"/>
          <w:b/>
          <w:bCs/>
          <w:sz w:val="24"/>
          <w:szCs w:val="24"/>
        </w:rPr>
        <w:t>（</w:t>
      </w:r>
      <w:r>
        <w:rPr>
          <w:b/>
          <w:bCs/>
          <w:sz w:val="24"/>
          <w:szCs w:val="24"/>
        </w:rPr>
        <w:t>2</w:t>
      </w:r>
      <w:r>
        <w:rPr>
          <w:rFonts w:hint="eastAsia"/>
          <w:b/>
          <w:bCs/>
          <w:sz w:val="24"/>
          <w:szCs w:val="24"/>
        </w:rPr>
        <w:t>）</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6"/>
        <w:gridCol w:w="900"/>
        <w:gridCol w:w="1474"/>
        <w:gridCol w:w="1222"/>
        <w:gridCol w:w="1222"/>
        <w:gridCol w:w="1222"/>
        <w:gridCol w:w="122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62" w:type="pct"/>
            <w:gridSpan w:val="2"/>
            <w:vAlign w:val="center"/>
          </w:tcPr>
          <w:p>
            <w:pPr>
              <w:adjustRightInd w:val="0"/>
              <w:snapToGrid w:val="0"/>
              <w:jc w:val="center"/>
              <w:rPr>
                <w:rFonts w:ascii="宋体" w:hAnsi="宋体" w:cs="宋体"/>
                <w:szCs w:val="21"/>
              </w:rPr>
            </w:pPr>
            <w:r>
              <w:rPr>
                <w:rFonts w:hint="eastAsia" w:ascii="宋体" w:hAnsi="宋体" w:cs="宋体"/>
                <w:szCs w:val="21"/>
              </w:rPr>
              <w:t>采样时间</w:t>
            </w:r>
          </w:p>
        </w:tc>
        <w:tc>
          <w:tcPr>
            <w:tcW w:w="866" w:type="pct"/>
            <w:vAlign w:val="center"/>
          </w:tcPr>
          <w:p>
            <w:pPr>
              <w:adjustRightInd w:val="0"/>
              <w:snapToGrid w:val="0"/>
              <w:jc w:val="center"/>
              <w:rPr>
                <w:rFonts w:ascii="宋体" w:hAnsi="宋体" w:cs="宋体"/>
                <w:szCs w:val="21"/>
              </w:rPr>
            </w:pPr>
            <w:r>
              <w:rPr>
                <w:rFonts w:hint="eastAsia" w:ascii="宋体" w:hAnsi="宋体" w:cs="宋体"/>
                <w:szCs w:val="21"/>
              </w:rPr>
              <w:t>检测点位名称</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气温（℃）</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气压（kPa）</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风向</w:t>
            </w:r>
          </w:p>
        </w:tc>
        <w:tc>
          <w:tcPr>
            <w:tcW w:w="719" w:type="pct"/>
            <w:vAlign w:val="center"/>
          </w:tcPr>
          <w:p>
            <w:pPr>
              <w:adjustRightInd w:val="0"/>
              <w:snapToGrid w:val="0"/>
              <w:jc w:val="center"/>
              <w:rPr>
                <w:rFonts w:ascii="宋体" w:hAnsi="宋体" w:cs="宋体"/>
                <w:szCs w:val="21"/>
              </w:rPr>
            </w:pPr>
            <w:r>
              <w:rPr>
                <w:rFonts w:hint="eastAsia" w:ascii="宋体" w:hAnsi="宋体" w:cs="宋体"/>
                <w:szCs w:val="21"/>
              </w:rPr>
              <w:t>风速(m/s)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2021.12.14</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-12.3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88.76</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-11.8</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88.67</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-3.4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88.52</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88.59</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-12.6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88.78</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-11.6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88.65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-3.3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88.51</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-10.0</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88.56</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2021.12.15</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-12.5</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89.14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-13.6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89.23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0.7</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-7.4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89.09</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-12.7</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89.16</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-13.4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89.21</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0.8</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-7.3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89.08</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2021.12.16</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89.46</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89.53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89.47</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-15.8</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89.64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89.48</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89.51</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-10.1</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89.45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-15.9</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89.65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2021.12.17</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-19.5</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89.84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-19.1</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89.76</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89.73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89.73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-19.6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89.85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-19.0</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89.75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-10.4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89.70</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-15.5</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89.74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2021.12.18</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89.07</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-11.2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88.98</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-7.6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88.93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-14.3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89.02</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-15.3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89.06</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-11.1</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88.97</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-7.5</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88.92</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-14.2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89.01</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2021.12.19</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-14.7</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88.93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-9.4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88.85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88.78</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88.81</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-14.5</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88.91</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-9.2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88.84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1.7</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88.77</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88.82</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restart"/>
            <w:vAlign w:val="center"/>
          </w:tcPr>
          <w:p>
            <w:pPr>
              <w:tabs>
                <w:tab w:val="left" w:pos="2435"/>
              </w:tabs>
              <w:suppressAutoHyphens/>
              <w:topLinePunct/>
              <w:adjustRightInd w:val="0"/>
              <w:snapToGrid w:val="0"/>
              <w:jc w:val="center"/>
              <w:textAlignment w:val="baseline"/>
              <w:rPr>
                <w:rFonts w:ascii="宋体" w:hAnsi="宋体" w:cs="宋体"/>
                <w:kern w:val="0"/>
                <w:szCs w:val="21"/>
              </w:rPr>
            </w:pPr>
            <w:r>
              <w:rPr>
                <w:rFonts w:hint="eastAsia" w:ascii="宋体" w:hAnsi="宋体" w:cs="宋体"/>
                <w:kern w:val="0"/>
                <w:szCs w:val="21"/>
              </w:rPr>
              <w:t>2021.12.20</w:t>
            </w: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项目厂址</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-8.2</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88.73</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-4.6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88.65</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3.5</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88.54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adjustRightInd w:val="0"/>
              <w:snapToGrid w:val="0"/>
              <w:jc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88.69</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tabs>
                <w:tab w:val="left" w:pos="2435"/>
              </w:tabs>
              <w:suppressAutoHyphens/>
              <w:topLinePunct/>
              <w:adjustRightInd w:val="0"/>
              <w:snapToGrid w:val="0"/>
              <w:jc w:val="center"/>
              <w:textAlignment w:val="baseline"/>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w:t>
            </w:r>
          </w:p>
        </w:tc>
        <w:tc>
          <w:tcPr>
            <w:tcW w:w="866" w:type="pct"/>
            <w:vMerge w:val="restart"/>
            <w:vAlign w:val="center"/>
          </w:tcPr>
          <w:p>
            <w:pPr>
              <w:adjustRightInd w:val="0"/>
              <w:snapToGrid w:val="0"/>
              <w:jc w:val="center"/>
              <w:rPr>
                <w:rFonts w:ascii="宋体" w:hAnsi="宋体" w:cs="宋体"/>
                <w:szCs w:val="21"/>
              </w:rPr>
            </w:pPr>
            <w:r>
              <w:rPr>
                <w:rFonts w:hint="eastAsia" w:ascii="宋体" w:hAnsi="宋体" w:cs="宋体"/>
                <w:szCs w:val="21"/>
              </w:rPr>
              <w:t>厂址下风向1km处</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-8.1</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88.72</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8:00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-4.4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88.64</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kern w:val="0"/>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14:00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3.6</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88.52</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2" w:type="pct"/>
            <w:vMerge w:val="continue"/>
            <w:vAlign w:val="center"/>
          </w:tcPr>
          <w:p>
            <w:pPr>
              <w:adjustRightInd w:val="0"/>
              <w:snapToGrid w:val="0"/>
              <w:jc w:val="center"/>
              <w:rPr>
                <w:rFonts w:ascii="宋体" w:hAnsi="宋体" w:cs="宋体"/>
                <w:szCs w:val="21"/>
              </w:rPr>
            </w:pPr>
          </w:p>
        </w:tc>
        <w:tc>
          <w:tcPr>
            <w:tcW w:w="530" w:type="pct"/>
            <w:vAlign w:val="center"/>
          </w:tcPr>
          <w:p>
            <w:pPr>
              <w:adjustRightInd w:val="0"/>
              <w:snapToGrid w:val="0"/>
              <w:jc w:val="center"/>
              <w:rPr>
                <w:rFonts w:ascii="宋体" w:hAnsi="宋体" w:cs="宋体"/>
                <w:szCs w:val="21"/>
              </w:rPr>
            </w:pPr>
            <w:r>
              <w:rPr>
                <w:rFonts w:hint="eastAsia" w:ascii="宋体" w:hAnsi="宋体" w:cs="宋体"/>
                <w:szCs w:val="21"/>
              </w:rPr>
              <w:t>20:00</w:t>
            </w:r>
          </w:p>
        </w:tc>
        <w:tc>
          <w:tcPr>
            <w:tcW w:w="866" w:type="pct"/>
            <w:vMerge w:val="continue"/>
            <w:vAlign w:val="center"/>
          </w:tcPr>
          <w:p>
            <w:pPr>
              <w:widowControl/>
              <w:adjustRightInd w:val="0"/>
              <w:snapToGrid w:val="0"/>
              <w:jc w:val="center"/>
              <w:textAlignment w:val="center"/>
              <w:rPr>
                <w:rFonts w:ascii="宋体" w:hAnsi="宋体" w:cs="宋体"/>
                <w:szCs w:val="21"/>
              </w:rPr>
            </w:pP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-2.4</w:t>
            </w:r>
          </w:p>
        </w:tc>
        <w:tc>
          <w:tcPr>
            <w:tcW w:w="718"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88.60</w:t>
            </w:r>
          </w:p>
        </w:tc>
        <w:tc>
          <w:tcPr>
            <w:tcW w:w="718" w:type="pct"/>
            <w:vAlign w:val="center"/>
          </w:tcPr>
          <w:p>
            <w:pPr>
              <w:adjustRightInd w:val="0"/>
              <w:snapToGrid w:val="0"/>
              <w:jc w:val="center"/>
              <w:rPr>
                <w:rFonts w:ascii="宋体" w:hAnsi="宋体" w:cs="宋体"/>
                <w:szCs w:val="21"/>
              </w:rPr>
            </w:pPr>
            <w:r>
              <w:rPr>
                <w:rFonts w:hint="eastAsia" w:ascii="宋体" w:hAnsi="宋体" w:cs="宋体"/>
                <w:szCs w:val="21"/>
              </w:rPr>
              <w:t>西北</w:t>
            </w:r>
          </w:p>
        </w:tc>
        <w:tc>
          <w:tcPr>
            <w:tcW w:w="719" w:type="pct"/>
            <w:vAlign w:val="center"/>
          </w:tcPr>
          <w:p>
            <w:pPr>
              <w:widowControl/>
              <w:adjustRightInd w:val="0"/>
              <w:snapToGrid w:val="0"/>
              <w:jc w:val="center"/>
              <w:textAlignment w:val="center"/>
              <w:rPr>
                <w:rFonts w:ascii="宋体" w:hAnsi="宋体" w:cs="宋体"/>
                <w:szCs w:val="21"/>
              </w:rPr>
            </w:pPr>
            <w:r>
              <w:rPr>
                <w:rFonts w:hint="eastAsia" w:ascii="宋体" w:hAnsi="宋体" w:cs="宋体"/>
                <w:szCs w:val="21"/>
              </w:rPr>
              <w:t>2.3</w:t>
            </w:r>
          </w:p>
        </w:tc>
      </w:tr>
    </w:tbl>
    <w:p>
      <w:pPr>
        <w:adjustRightInd w:val="0"/>
        <w:snapToGrid w:val="0"/>
        <w:spacing w:before="109" w:beforeLines="35" w:after="109" w:afterLines="35"/>
        <w:jc w:val="center"/>
        <w:rPr>
          <w:b/>
          <w:bCs/>
          <w:sz w:val="24"/>
          <w:szCs w:val="24"/>
        </w:rPr>
      </w:pPr>
    </w:p>
    <w:p>
      <w:pPr>
        <w:adjustRightInd w:val="0"/>
        <w:snapToGrid w:val="0"/>
        <w:spacing w:line="360" w:lineRule="auto"/>
        <w:ind w:firstLine="482" w:firstLineChars="200"/>
        <w:rPr>
          <w:b/>
          <w:sz w:val="24"/>
          <w:szCs w:val="24"/>
        </w:rPr>
      </w:pPr>
      <w:r>
        <w:rPr>
          <w:b/>
          <w:sz w:val="24"/>
          <w:szCs w:val="24"/>
        </w:rPr>
        <w:t>5、环境质量现状监测结果</w:t>
      </w:r>
    </w:p>
    <w:p>
      <w:pPr>
        <w:adjustRightInd w:val="0"/>
        <w:snapToGrid w:val="0"/>
        <w:spacing w:line="360" w:lineRule="auto"/>
        <w:ind w:firstLine="480" w:firstLineChars="200"/>
        <w:jc w:val="left"/>
        <w:rPr>
          <w:b/>
          <w:sz w:val="24"/>
          <w:szCs w:val="24"/>
        </w:rPr>
      </w:pPr>
      <w:r>
        <w:rPr>
          <w:rFonts w:hint="eastAsia"/>
          <w:sz w:val="24"/>
          <w:szCs w:val="24"/>
        </w:rPr>
        <w:t>监测结果见</w:t>
      </w:r>
      <w:r>
        <w:rPr>
          <w:kern w:val="0"/>
          <w:sz w:val="24"/>
          <w:szCs w:val="24"/>
        </w:rPr>
        <w:t>表4.3.1-5。由表可知：</w:t>
      </w:r>
      <w:r>
        <w:rPr>
          <w:sz w:val="24"/>
          <w:szCs w:val="24"/>
        </w:rPr>
        <w:t>监测期间，厂址及厂址</w:t>
      </w:r>
      <w:r>
        <w:rPr>
          <w:sz w:val="24"/>
        </w:rPr>
        <w:t>下风向</w:t>
      </w:r>
      <w:r>
        <w:rPr>
          <w:rFonts w:hint="eastAsia"/>
          <w:sz w:val="24"/>
        </w:rPr>
        <w:t>监测点</w:t>
      </w:r>
      <w:r>
        <w:rPr>
          <w:sz w:val="24"/>
          <w:szCs w:val="24"/>
        </w:rPr>
        <w:t>处</w:t>
      </w:r>
      <w:r>
        <w:rPr>
          <w:rFonts w:hint="eastAsia"/>
          <w:sz w:val="24"/>
          <w:szCs w:val="24"/>
        </w:rPr>
        <w:t>臭气浓度</w:t>
      </w:r>
      <w:r>
        <w:rPr>
          <w:sz w:val="24"/>
          <w:szCs w:val="24"/>
        </w:rPr>
        <w:t>1h平均浓度均满足《恶臭污染物排放标准》（GB14554－93）要求；TSP 24h平均浓度均满足《环境空气质量标准》(GB3095-2012)及修改单二级标准相应要求。</w:t>
      </w:r>
    </w:p>
    <w:p>
      <w:pPr>
        <w:spacing w:before="60" w:after="60" w:line="380" w:lineRule="exact"/>
        <w:jc w:val="center"/>
        <w:rPr>
          <w:b/>
          <w:sz w:val="24"/>
          <w:szCs w:val="24"/>
        </w:rPr>
      </w:pPr>
      <w:r>
        <w:rPr>
          <w:b/>
          <w:szCs w:val="21"/>
        </w:rPr>
        <w:t>表4.3.1-5  特征污染物现状监测监测指标统计结果及分析   单位μg/m</w:t>
      </w:r>
      <w:r>
        <w:rPr>
          <w:b/>
          <w:szCs w:val="21"/>
          <w:vertAlign w:val="superscript"/>
        </w:rPr>
        <w:t>3</w:t>
      </w:r>
    </w:p>
    <w:tbl>
      <w:tblPr>
        <w:tblStyle w:val="39"/>
        <w:tblW w:w="870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756"/>
        <w:gridCol w:w="1134"/>
        <w:gridCol w:w="992"/>
        <w:gridCol w:w="930"/>
        <w:gridCol w:w="1745"/>
        <w:gridCol w:w="1032"/>
        <w:gridCol w:w="566"/>
        <w:gridCol w:w="5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757" w:type="dxa"/>
            <w:vAlign w:val="center"/>
          </w:tcPr>
          <w:p>
            <w:pPr>
              <w:adjustRightInd w:val="0"/>
              <w:snapToGrid w:val="0"/>
              <w:jc w:val="center"/>
              <w:rPr>
                <w:bCs/>
              </w:rPr>
            </w:pPr>
            <w:r>
              <w:rPr>
                <w:bCs/>
              </w:rPr>
              <w:t>监测点位</w:t>
            </w:r>
          </w:p>
        </w:tc>
        <w:tc>
          <w:tcPr>
            <w:tcW w:w="1134" w:type="dxa"/>
            <w:vAlign w:val="center"/>
          </w:tcPr>
          <w:p>
            <w:pPr>
              <w:adjustRightInd w:val="0"/>
              <w:snapToGrid w:val="0"/>
              <w:jc w:val="center"/>
              <w:rPr>
                <w:bCs/>
              </w:rPr>
            </w:pPr>
            <w:r>
              <w:rPr>
                <w:bCs/>
              </w:rPr>
              <w:t>污染物</w:t>
            </w:r>
          </w:p>
        </w:tc>
        <w:tc>
          <w:tcPr>
            <w:tcW w:w="992" w:type="dxa"/>
            <w:vAlign w:val="center"/>
          </w:tcPr>
          <w:p>
            <w:pPr>
              <w:adjustRightInd w:val="0"/>
              <w:snapToGrid w:val="0"/>
              <w:jc w:val="center"/>
              <w:rPr>
                <w:bCs/>
              </w:rPr>
            </w:pPr>
            <w:r>
              <w:rPr>
                <w:bCs/>
              </w:rPr>
              <w:t>平均时间</w:t>
            </w:r>
          </w:p>
        </w:tc>
        <w:tc>
          <w:tcPr>
            <w:tcW w:w="930" w:type="dxa"/>
            <w:vAlign w:val="center"/>
          </w:tcPr>
          <w:p>
            <w:pPr>
              <w:adjustRightInd w:val="0"/>
              <w:snapToGrid w:val="0"/>
              <w:jc w:val="center"/>
              <w:rPr>
                <w:bCs/>
              </w:rPr>
            </w:pPr>
            <w:r>
              <w:rPr>
                <w:bCs/>
              </w:rPr>
              <w:t>标准值</w:t>
            </w:r>
          </w:p>
          <w:p>
            <w:pPr>
              <w:adjustRightInd w:val="0"/>
              <w:snapToGrid w:val="0"/>
              <w:jc w:val="center"/>
              <w:rPr>
                <w:bCs/>
              </w:rPr>
            </w:pPr>
            <w:r>
              <w:rPr>
                <w:bCs/>
              </w:rPr>
              <w:t>mg/m</w:t>
            </w:r>
            <w:r>
              <w:rPr>
                <w:bCs/>
                <w:vertAlign w:val="superscript"/>
              </w:rPr>
              <w:t>3</w:t>
            </w:r>
          </w:p>
        </w:tc>
        <w:tc>
          <w:tcPr>
            <w:tcW w:w="1745" w:type="dxa"/>
            <w:vAlign w:val="center"/>
          </w:tcPr>
          <w:p>
            <w:pPr>
              <w:adjustRightInd w:val="0"/>
              <w:snapToGrid w:val="0"/>
              <w:jc w:val="center"/>
              <w:rPr>
                <w:bCs/>
              </w:rPr>
            </w:pPr>
            <w:r>
              <w:rPr>
                <w:bCs/>
              </w:rPr>
              <w:t>监测浓度范围</w:t>
            </w:r>
          </w:p>
          <w:p>
            <w:pPr>
              <w:adjustRightInd w:val="0"/>
              <w:snapToGrid w:val="0"/>
              <w:jc w:val="center"/>
              <w:rPr>
                <w:bCs/>
              </w:rPr>
            </w:pPr>
            <w:r>
              <w:rPr>
                <w:bCs/>
              </w:rPr>
              <w:t>mg/m</w:t>
            </w:r>
            <w:r>
              <w:rPr>
                <w:bCs/>
                <w:vertAlign w:val="superscript"/>
              </w:rPr>
              <w:t>3</w:t>
            </w:r>
          </w:p>
        </w:tc>
        <w:tc>
          <w:tcPr>
            <w:tcW w:w="0" w:type="auto"/>
            <w:vAlign w:val="center"/>
          </w:tcPr>
          <w:p>
            <w:pPr>
              <w:adjustRightInd w:val="0"/>
              <w:snapToGrid w:val="0"/>
              <w:jc w:val="center"/>
              <w:rPr>
                <w:bCs/>
              </w:rPr>
            </w:pPr>
            <w:r>
              <w:rPr>
                <w:bCs/>
              </w:rPr>
              <w:t>最大浓度占标率%</w:t>
            </w:r>
          </w:p>
        </w:tc>
        <w:tc>
          <w:tcPr>
            <w:tcW w:w="0" w:type="auto"/>
            <w:vAlign w:val="center"/>
          </w:tcPr>
          <w:p>
            <w:pPr>
              <w:adjustRightInd w:val="0"/>
              <w:snapToGrid w:val="0"/>
              <w:jc w:val="center"/>
              <w:rPr>
                <w:bCs/>
              </w:rPr>
            </w:pPr>
            <w:r>
              <w:rPr>
                <w:bCs/>
              </w:rPr>
              <w:t>超标率/%</w:t>
            </w:r>
          </w:p>
        </w:tc>
        <w:tc>
          <w:tcPr>
            <w:tcW w:w="0" w:type="auto"/>
            <w:vAlign w:val="center"/>
          </w:tcPr>
          <w:p>
            <w:pPr>
              <w:adjustRightInd w:val="0"/>
              <w:snapToGrid w:val="0"/>
              <w:jc w:val="center"/>
              <w:rPr>
                <w:bCs/>
              </w:rPr>
            </w:pPr>
            <w:r>
              <w:rPr>
                <w:bCs/>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757" w:type="dxa"/>
            <w:vMerge w:val="restart"/>
            <w:vAlign w:val="center"/>
          </w:tcPr>
          <w:p>
            <w:pPr>
              <w:adjustRightInd w:val="0"/>
              <w:snapToGrid w:val="0"/>
              <w:jc w:val="center"/>
              <w:rPr>
                <w:bCs/>
              </w:rPr>
            </w:pPr>
            <w:r>
              <w:rPr>
                <w:bCs/>
              </w:rPr>
              <w:t>1#</w:t>
            </w:r>
          </w:p>
          <w:p>
            <w:pPr>
              <w:adjustRightInd w:val="0"/>
              <w:snapToGrid w:val="0"/>
              <w:jc w:val="center"/>
              <w:rPr>
                <w:bCs/>
              </w:rPr>
            </w:pPr>
            <w:r>
              <w:rPr>
                <w:rFonts w:hint="eastAsia"/>
                <w:szCs w:val="21"/>
                <w:lang w:val="zh-CN"/>
              </w:rPr>
              <w:t>项目场址南1</w:t>
            </w:r>
            <w:r>
              <w:rPr>
                <w:szCs w:val="21"/>
                <w:lang w:val="zh-CN"/>
              </w:rPr>
              <w:t>50</w:t>
            </w:r>
            <w:r>
              <w:rPr>
                <w:rFonts w:hint="eastAsia"/>
                <w:szCs w:val="21"/>
                <w:lang w:val="zh-CN"/>
              </w:rPr>
              <w:t>m</w:t>
            </w:r>
          </w:p>
        </w:tc>
        <w:tc>
          <w:tcPr>
            <w:tcW w:w="1134" w:type="dxa"/>
            <w:vAlign w:val="center"/>
          </w:tcPr>
          <w:p>
            <w:pPr>
              <w:adjustRightInd w:val="0"/>
              <w:snapToGrid w:val="0"/>
              <w:jc w:val="center"/>
              <w:rPr>
                <w:bCs/>
              </w:rPr>
            </w:pPr>
            <w:r>
              <w:rPr>
                <w:bCs/>
              </w:rPr>
              <w:t>臭气浓度</w:t>
            </w:r>
          </w:p>
        </w:tc>
        <w:tc>
          <w:tcPr>
            <w:tcW w:w="992" w:type="dxa"/>
            <w:vAlign w:val="center"/>
          </w:tcPr>
          <w:p>
            <w:pPr>
              <w:adjustRightInd w:val="0"/>
              <w:snapToGrid w:val="0"/>
              <w:jc w:val="center"/>
              <w:rPr>
                <w:bCs/>
              </w:rPr>
            </w:pPr>
            <w:r>
              <w:rPr>
                <w:bCs/>
              </w:rPr>
              <w:t>1h</w:t>
            </w:r>
          </w:p>
        </w:tc>
        <w:tc>
          <w:tcPr>
            <w:tcW w:w="930" w:type="dxa"/>
            <w:vAlign w:val="center"/>
          </w:tcPr>
          <w:p>
            <w:pPr>
              <w:adjustRightInd w:val="0"/>
              <w:snapToGrid w:val="0"/>
              <w:jc w:val="center"/>
              <w:rPr>
                <w:bCs/>
              </w:rPr>
            </w:pPr>
            <w:r>
              <w:rPr>
                <w:bCs/>
              </w:rPr>
              <w:t>--</w:t>
            </w:r>
          </w:p>
        </w:tc>
        <w:tc>
          <w:tcPr>
            <w:tcW w:w="1745" w:type="dxa"/>
            <w:vAlign w:val="center"/>
          </w:tcPr>
          <w:p>
            <w:pPr>
              <w:adjustRightInd w:val="0"/>
              <w:snapToGrid w:val="0"/>
              <w:jc w:val="center"/>
              <w:rPr>
                <w:bCs/>
              </w:rPr>
            </w:pPr>
            <w:r>
              <w:rPr>
                <w:bCs/>
              </w:rPr>
              <w:t>＜10~12</w:t>
            </w:r>
          </w:p>
        </w:tc>
        <w:tc>
          <w:tcPr>
            <w:tcW w:w="0" w:type="auto"/>
            <w:vAlign w:val="center"/>
          </w:tcPr>
          <w:p>
            <w:pPr>
              <w:adjustRightInd w:val="0"/>
              <w:snapToGrid w:val="0"/>
              <w:jc w:val="center"/>
              <w:rPr>
                <w:bCs/>
              </w:rPr>
            </w:pPr>
            <w:r>
              <w:rPr>
                <w:bCs/>
              </w:rPr>
              <w:t>--</w:t>
            </w:r>
          </w:p>
        </w:tc>
        <w:tc>
          <w:tcPr>
            <w:tcW w:w="0" w:type="auto"/>
            <w:vAlign w:val="center"/>
          </w:tcPr>
          <w:p>
            <w:pPr>
              <w:adjustRightInd w:val="0"/>
              <w:snapToGrid w:val="0"/>
              <w:jc w:val="center"/>
              <w:rPr>
                <w:bCs/>
              </w:rPr>
            </w:pPr>
            <w:r>
              <w:rPr>
                <w:bCs/>
              </w:rPr>
              <w:t>--</w:t>
            </w:r>
          </w:p>
        </w:tc>
        <w:tc>
          <w:tcPr>
            <w:tcW w:w="0" w:type="auto"/>
            <w:vAlign w:val="center"/>
          </w:tcPr>
          <w:p>
            <w:pPr>
              <w:adjustRightInd w:val="0"/>
              <w:snapToGrid w:val="0"/>
              <w:jc w:val="center"/>
              <w:rPr>
                <w:bCs/>
              </w:rPr>
            </w:pPr>
            <w:r>
              <w:rPr>
                <w:bCs/>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757" w:type="dxa"/>
            <w:vMerge w:val="continue"/>
            <w:vAlign w:val="center"/>
          </w:tcPr>
          <w:p>
            <w:pPr>
              <w:widowControl/>
              <w:adjustRightInd w:val="0"/>
              <w:snapToGrid w:val="0"/>
              <w:jc w:val="center"/>
              <w:rPr>
                <w:bCs/>
              </w:rPr>
            </w:pPr>
          </w:p>
        </w:tc>
        <w:tc>
          <w:tcPr>
            <w:tcW w:w="1134" w:type="dxa"/>
            <w:vAlign w:val="center"/>
          </w:tcPr>
          <w:p>
            <w:pPr>
              <w:adjustRightInd w:val="0"/>
              <w:snapToGrid w:val="0"/>
              <w:jc w:val="center"/>
              <w:rPr>
                <w:bCs/>
              </w:rPr>
            </w:pPr>
            <w:r>
              <w:rPr>
                <w:rFonts w:hint="eastAsia"/>
                <w:bCs/>
                <w:kern w:val="0"/>
                <w:lang w:bidi="ar"/>
              </w:rPr>
              <w:t>TSP</w:t>
            </w:r>
          </w:p>
        </w:tc>
        <w:tc>
          <w:tcPr>
            <w:tcW w:w="992" w:type="dxa"/>
            <w:vAlign w:val="center"/>
          </w:tcPr>
          <w:p>
            <w:pPr>
              <w:adjustRightInd w:val="0"/>
              <w:snapToGrid w:val="0"/>
              <w:jc w:val="center"/>
              <w:rPr>
                <w:bCs/>
              </w:rPr>
            </w:pPr>
            <w:r>
              <w:rPr>
                <w:bCs/>
              </w:rPr>
              <w:t>24h</w:t>
            </w:r>
          </w:p>
        </w:tc>
        <w:tc>
          <w:tcPr>
            <w:tcW w:w="930" w:type="dxa"/>
            <w:vAlign w:val="center"/>
          </w:tcPr>
          <w:p>
            <w:pPr>
              <w:adjustRightInd w:val="0"/>
              <w:snapToGrid w:val="0"/>
              <w:jc w:val="center"/>
              <w:rPr>
                <w:bCs/>
              </w:rPr>
            </w:pPr>
            <w:r>
              <w:rPr>
                <w:rFonts w:hint="eastAsia"/>
                <w:bCs/>
              </w:rPr>
              <w:t>0</w:t>
            </w:r>
            <w:r>
              <w:rPr>
                <w:bCs/>
              </w:rPr>
              <w:t>.3</w:t>
            </w:r>
          </w:p>
        </w:tc>
        <w:tc>
          <w:tcPr>
            <w:tcW w:w="1745" w:type="dxa"/>
            <w:vAlign w:val="center"/>
          </w:tcPr>
          <w:p>
            <w:pPr>
              <w:adjustRightInd w:val="0"/>
              <w:snapToGrid w:val="0"/>
              <w:jc w:val="center"/>
              <w:rPr>
                <w:bCs/>
              </w:rPr>
            </w:pPr>
            <w:r>
              <w:rPr>
                <w:rFonts w:hint="eastAsia"/>
                <w:bCs/>
              </w:rPr>
              <w:t>0</w:t>
            </w:r>
            <w:r>
              <w:rPr>
                <w:bCs/>
              </w:rPr>
              <w:t>.131-0.138</w:t>
            </w:r>
          </w:p>
        </w:tc>
        <w:tc>
          <w:tcPr>
            <w:tcW w:w="0" w:type="auto"/>
            <w:vAlign w:val="center"/>
          </w:tcPr>
          <w:p>
            <w:pPr>
              <w:adjustRightInd w:val="0"/>
              <w:snapToGrid w:val="0"/>
              <w:jc w:val="center"/>
              <w:rPr>
                <w:bCs/>
              </w:rPr>
            </w:pPr>
            <w:r>
              <w:rPr>
                <w:bCs/>
              </w:rPr>
              <w:t>44</w:t>
            </w:r>
          </w:p>
        </w:tc>
        <w:tc>
          <w:tcPr>
            <w:tcW w:w="0" w:type="auto"/>
            <w:vAlign w:val="center"/>
          </w:tcPr>
          <w:p>
            <w:pPr>
              <w:adjustRightInd w:val="0"/>
              <w:snapToGrid w:val="0"/>
              <w:jc w:val="center"/>
              <w:rPr>
                <w:bCs/>
              </w:rPr>
            </w:pPr>
            <w:r>
              <w:rPr>
                <w:bCs/>
              </w:rPr>
              <w:t>0</w:t>
            </w:r>
          </w:p>
        </w:tc>
        <w:tc>
          <w:tcPr>
            <w:tcW w:w="0" w:type="auto"/>
            <w:vAlign w:val="center"/>
          </w:tcPr>
          <w:p>
            <w:pPr>
              <w:adjustRightInd w:val="0"/>
              <w:snapToGrid w:val="0"/>
              <w:jc w:val="center"/>
              <w:rPr>
                <w:bCs/>
              </w:rPr>
            </w:pPr>
            <w:r>
              <w:rPr>
                <w:bCs/>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757" w:type="dxa"/>
            <w:vMerge w:val="restart"/>
            <w:vAlign w:val="center"/>
          </w:tcPr>
          <w:p>
            <w:pPr>
              <w:adjustRightInd w:val="0"/>
              <w:snapToGrid w:val="0"/>
              <w:jc w:val="center"/>
              <w:rPr>
                <w:bCs/>
              </w:rPr>
            </w:pPr>
            <w:r>
              <w:rPr>
                <w:bCs/>
              </w:rPr>
              <w:t>2#</w:t>
            </w:r>
            <w:r>
              <w:rPr>
                <w:rFonts w:hint="eastAsia"/>
                <w:bCs/>
              </w:rPr>
              <w:t>场</w:t>
            </w:r>
            <w:r>
              <w:rPr>
                <w:rFonts w:hint="eastAsia"/>
                <w:bCs/>
                <w:lang w:val="zh-CN"/>
              </w:rPr>
              <w:t>址下风向1</w:t>
            </w:r>
            <w:r>
              <w:rPr>
                <w:bCs/>
                <w:lang w:val="zh-CN"/>
              </w:rPr>
              <w:t>.15</w:t>
            </w:r>
            <w:r>
              <w:rPr>
                <w:rFonts w:hint="eastAsia"/>
                <w:bCs/>
                <w:lang w:val="zh-CN"/>
              </w:rPr>
              <w:t>km处</w:t>
            </w:r>
          </w:p>
        </w:tc>
        <w:tc>
          <w:tcPr>
            <w:tcW w:w="1134" w:type="dxa"/>
            <w:vAlign w:val="center"/>
          </w:tcPr>
          <w:p>
            <w:pPr>
              <w:adjustRightInd w:val="0"/>
              <w:snapToGrid w:val="0"/>
              <w:jc w:val="center"/>
              <w:rPr>
                <w:bCs/>
              </w:rPr>
            </w:pPr>
            <w:r>
              <w:rPr>
                <w:bCs/>
              </w:rPr>
              <w:t>臭气浓度</w:t>
            </w:r>
          </w:p>
        </w:tc>
        <w:tc>
          <w:tcPr>
            <w:tcW w:w="992" w:type="dxa"/>
            <w:vAlign w:val="center"/>
          </w:tcPr>
          <w:p>
            <w:pPr>
              <w:adjustRightInd w:val="0"/>
              <w:snapToGrid w:val="0"/>
              <w:jc w:val="center"/>
              <w:rPr>
                <w:bCs/>
              </w:rPr>
            </w:pPr>
            <w:r>
              <w:rPr>
                <w:bCs/>
              </w:rPr>
              <w:t>1h</w:t>
            </w:r>
          </w:p>
        </w:tc>
        <w:tc>
          <w:tcPr>
            <w:tcW w:w="930" w:type="dxa"/>
            <w:vAlign w:val="center"/>
          </w:tcPr>
          <w:p>
            <w:pPr>
              <w:adjustRightInd w:val="0"/>
              <w:snapToGrid w:val="0"/>
              <w:jc w:val="center"/>
              <w:rPr>
                <w:bCs/>
              </w:rPr>
            </w:pPr>
            <w:r>
              <w:rPr>
                <w:bCs/>
              </w:rPr>
              <w:t>--</w:t>
            </w:r>
          </w:p>
        </w:tc>
        <w:tc>
          <w:tcPr>
            <w:tcW w:w="1745" w:type="dxa"/>
            <w:vAlign w:val="center"/>
          </w:tcPr>
          <w:p>
            <w:pPr>
              <w:adjustRightInd w:val="0"/>
              <w:snapToGrid w:val="0"/>
              <w:jc w:val="center"/>
              <w:rPr>
                <w:bCs/>
              </w:rPr>
            </w:pPr>
            <w:r>
              <w:rPr>
                <w:rFonts w:hint="eastAsia"/>
                <w:bCs/>
              </w:rPr>
              <w:t>1</w:t>
            </w:r>
            <w:r>
              <w:rPr>
                <w:bCs/>
              </w:rPr>
              <w:t>1</w:t>
            </w:r>
            <w:r>
              <w:rPr>
                <w:rFonts w:hint="eastAsia"/>
                <w:bCs/>
              </w:rPr>
              <w:t>~</w:t>
            </w:r>
            <w:r>
              <w:rPr>
                <w:bCs/>
              </w:rPr>
              <w:t>14</w:t>
            </w:r>
          </w:p>
        </w:tc>
        <w:tc>
          <w:tcPr>
            <w:tcW w:w="0" w:type="auto"/>
            <w:vAlign w:val="center"/>
          </w:tcPr>
          <w:p>
            <w:pPr>
              <w:adjustRightInd w:val="0"/>
              <w:snapToGrid w:val="0"/>
              <w:jc w:val="center"/>
              <w:rPr>
                <w:bCs/>
              </w:rPr>
            </w:pPr>
            <w:r>
              <w:rPr>
                <w:bCs/>
              </w:rPr>
              <w:t>--</w:t>
            </w:r>
          </w:p>
        </w:tc>
        <w:tc>
          <w:tcPr>
            <w:tcW w:w="0" w:type="auto"/>
            <w:vAlign w:val="center"/>
          </w:tcPr>
          <w:p>
            <w:pPr>
              <w:adjustRightInd w:val="0"/>
              <w:snapToGrid w:val="0"/>
              <w:jc w:val="center"/>
              <w:rPr>
                <w:bCs/>
              </w:rPr>
            </w:pPr>
            <w:r>
              <w:rPr>
                <w:bCs/>
              </w:rPr>
              <w:t>--</w:t>
            </w:r>
          </w:p>
        </w:tc>
        <w:tc>
          <w:tcPr>
            <w:tcW w:w="0" w:type="auto"/>
            <w:vAlign w:val="center"/>
          </w:tcPr>
          <w:p>
            <w:pPr>
              <w:adjustRightInd w:val="0"/>
              <w:snapToGrid w:val="0"/>
              <w:jc w:val="center"/>
              <w:rPr>
                <w:bCs/>
              </w:rPr>
            </w:pPr>
            <w:r>
              <w:rPr>
                <w:bCs/>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4" w:hRule="atLeast"/>
          <w:jc w:val="center"/>
        </w:trPr>
        <w:tc>
          <w:tcPr>
            <w:tcW w:w="1757" w:type="dxa"/>
            <w:vMerge w:val="continue"/>
            <w:vAlign w:val="center"/>
          </w:tcPr>
          <w:p>
            <w:pPr>
              <w:adjustRightInd w:val="0"/>
              <w:snapToGrid w:val="0"/>
              <w:jc w:val="center"/>
              <w:rPr>
                <w:bCs/>
              </w:rPr>
            </w:pPr>
          </w:p>
        </w:tc>
        <w:tc>
          <w:tcPr>
            <w:tcW w:w="1134" w:type="dxa"/>
            <w:vAlign w:val="center"/>
          </w:tcPr>
          <w:p>
            <w:pPr>
              <w:adjustRightInd w:val="0"/>
              <w:snapToGrid w:val="0"/>
              <w:jc w:val="center"/>
              <w:rPr>
                <w:bCs/>
              </w:rPr>
            </w:pPr>
            <w:r>
              <w:rPr>
                <w:rFonts w:hint="eastAsia"/>
                <w:bCs/>
                <w:kern w:val="0"/>
                <w:lang w:bidi="ar"/>
              </w:rPr>
              <w:t>TSP</w:t>
            </w:r>
          </w:p>
        </w:tc>
        <w:tc>
          <w:tcPr>
            <w:tcW w:w="992" w:type="dxa"/>
            <w:vAlign w:val="center"/>
          </w:tcPr>
          <w:p>
            <w:pPr>
              <w:adjustRightInd w:val="0"/>
              <w:snapToGrid w:val="0"/>
              <w:jc w:val="center"/>
              <w:rPr>
                <w:bCs/>
              </w:rPr>
            </w:pPr>
            <w:r>
              <w:rPr>
                <w:rFonts w:hint="eastAsia"/>
                <w:bCs/>
              </w:rPr>
              <w:t>2</w:t>
            </w:r>
            <w:r>
              <w:rPr>
                <w:bCs/>
              </w:rPr>
              <w:t>4</w:t>
            </w:r>
            <w:r>
              <w:rPr>
                <w:rFonts w:hint="eastAsia"/>
                <w:bCs/>
              </w:rPr>
              <w:t>h</w:t>
            </w:r>
          </w:p>
        </w:tc>
        <w:tc>
          <w:tcPr>
            <w:tcW w:w="930" w:type="dxa"/>
            <w:vAlign w:val="center"/>
          </w:tcPr>
          <w:p>
            <w:pPr>
              <w:adjustRightInd w:val="0"/>
              <w:snapToGrid w:val="0"/>
              <w:jc w:val="center"/>
              <w:rPr>
                <w:bCs/>
              </w:rPr>
            </w:pPr>
            <w:r>
              <w:rPr>
                <w:rFonts w:hint="eastAsia"/>
                <w:bCs/>
              </w:rPr>
              <w:t>0</w:t>
            </w:r>
            <w:r>
              <w:rPr>
                <w:bCs/>
              </w:rPr>
              <w:t>.3</w:t>
            </w:r>
          </w:p>
        </w:tc>
        <w:tc>
          <w:tcPr>
            <w:tcW w:w="1745" w:type="dxa"/>
            <w:vAlign w:val="center"/>
          </w:tcPr>
          <w:p>
            <w:pPr>
              <w:adjustRightInd w:val="0"/>
              <w:snapToGrid w:val="0"/>
              <w:jc w:val="center"/>
              <w:rPr>
                <w:bCs/>
              </w:rPr>
            </w:pPr>
            <w:r>
              <w:rPr>
                <w:rFonts w:hint="eastAsia"/>
                <w:bCs/>
              </w:rPr>
              <w:t>0</w:t>
            </w:r>
            <w:r>
              <w:rPr>
                <w:bCs/>
              </w:rPr>
              <w:t>.132-0.138</w:t>
            </w:r>
          </w:p>
        </w:tc>
        <w:tc>
          <w:tcPr>
            <w:tcW w:w="0" w:type="auto"/>
            <w:vAlign w:val="center"/>
          </w:tcPr>
          <w:p>
            <w:pPr>
              <w:adjustRightInd w:val="0"/>
              <w:snapToGrid w:val="0"/>
              <w:jc w:val="center"/>
              <w:rPr>
                <w:bCs/>
              </w:rPr>
            </w:pPr>
            <w:r>
              <w:rPr>
                <w:rFonts w:hint="eastAsia"/>
                <w:bCs/>
              </w:rPr>
              <w:t>4</w:t>
            </w:r>
            <w:r>
              <w:rPr>
                <w:bCs/>
              </w:rPr>
              <w:t>6</w:t>
            </w:r>
          </w:p>
        </w:tc>
        <w:tc>
          <w:tcPr>
            <w:tcW w:w="0" w:type="auto"/>
            <w:vAlign w:val="center"/>
          </w:tcPr>
          <w:p>
            <w:pPr>
              <w:adjustRightInd w:val="0"/>
              <w:snapToGrid w:val="0"/>
              <w:jc w:val="center"/>
              <w:rPr>
                <w:bCs/>
              </w:rPr>
            </w:pPr>
            <w:r>
              <w:rPr>
                <w:bCs/>
              </w:rPr>
              <w:t>0</w:t>
            </w:r>
          </w:p>
        </w:tc>
        <w:tc>
          <w:tcPr>
            <w:tcW w:w="0" w:type="auto"/>
            <w:vAlign w:val="center"/>
          </w:tcPr>
          <w:p>
            <w:pPr>
              <w:adjustRightInd w:val="0"/>
              <w:snapToGrid w:val="0"/>
              <w:jc w:val="center"/>
              <w:rPr>
                <w:bCs/>
              </w:rPr>
            </w:pPr>
            <w:r>
              <w:rPr>
                <w:bCs/>
              </w:rPr>
              <w:t>达标</w:t>
            </w:r>
          </w:p>
        </w:tc>
      </w:tr>
    </w:tbl>
    <w:p>
      <w:pPr>
        <w:keepNext/>
        <w:keepLines/>
        <w:numPr>
          <w:ilvl w:val="2"/>
          <w:numId w:val="5"/>
        </w:numPr>
        <w:tabs>
          <w:tab w:val="left" w:pos="432"/>
          <w:tab w:val="left" w:pos="567"/>
          <w:tab w:val="left" w:pos="1021"/>
          <w:tab w:val="clear" w:pos="1163"/>
        </w:tabs>
        <w:adjustRightInd w:val="0"/>
        <w:snapToGrid w:val="0"/>
        <w:spacing w:before="260" w:after="120" w:line="360" w:lineRule="auto"/>
        <w:ind w:left="0" w:firstLine="0"/>
        <w:jc w:val="left"/>
        <w:outlineLvl w:val="2"/>
        <w:rPr>
          <w:b/>
          <w:bCs/>
          <w:snapToGrid w:val="0"/>
          <w:sz w:val="28"/>
          <w:szCs w:val="28"/>
        </w:rPr>
      </w:pPr>
      <w:r>
        <w:rPr>
          <w:b/>
          <w:bCs/>
          <w:snapToGrid w:val="0"/>
          <w:sz w:val="28"/>
          <w:szCs w:val="28"/>
        </w:rPr>
        <w:t>地表水环境质量现状</w:t>
      </w:r>
    </w:p>
    <w:p>
      <w:pPr>
        <w:spacing w:line="360" w:lineRule="auto"/>
        <w:ind w:firstLine="480" w:firstLineChars="200"/>
        <w:rPr>
          <w:bCs/>
          <w:sz w:val="24"/>
          <w:szCs w:val="24"/>
        </w:rPr>
      </w:pPr>
      <w:r>
        <w:rPr>
          <w:rFonts w:hint="eastAsia"/>
          <w:bCs/>
          <w:sz w:val="24"/>
          <w:szCs w:val="24"/>
        </w:rPr>
        <w:t>根据承德市生态环境局发布2</w:t>
      </w:r>
      <w:r>
        <w:rPr>
          <w:bCs/>
          <w:sz w:val="24"/>
          <w:szCs w:val="24"/>
        </w:rPr>
        <w:t>021</w:t>
      </w:r>
      <w:r>
        <w:rPr>
          <w:rFonts w:hint="eastAsia"/>
          <w:bCs/>
          <w:sz w:val="24"/>
          <w:szCs w:val="24"/>
        </w:rPr>
        <w:t>年</w:t>
      </w:r>
      <w:r>
        <w:rPr>
          <w:bCs/>
          <w:sz w:val="24"/>
          <w:szCs w:val="24"/>
        </w:rPr>
        <w:t>5</w:t>
      </w:r>
      <w:r>
        <w:rPr>
          <w:rFonts w:hint="eastAsia"/>
          <w:bCs/>
          <w:sz w:val="24"/>
          <w:szCs w:val="24"/>
        </w:rPr>
        <w:t>月发布的《2</w:t>
      </w:r>
      <w:r>
        <w:rPr>
          <w:bCs/>
          <w:sz w:val="24"/>
          <w:szCs w:val="24"/>
        </w:rPr>
        <w:t>020</w:t>
      </w:r>
      <w:r>
        <w:rPr>
          <w:rFonts w:hint="eastAsia"/>
          <w:bCs/>
          <w:sz w:val="24"/>
          <w:szCs w:val="24"/>
        </w:rPr>
        <w:t>年承德市生态环境状况公报》，伊逊河共设置地表水常规监测断面3个，2</w:t>
      </w:r>
      <w:r>
        <w:rPr>
          <w:bCs/>
          <w:sz w:val="24"/>
          <w:szCs w:val="24"/>
        </w:rPr>
        <w:t>020</w:t>
      </w:r>
      <w:r>
        <w:rPr>
          <w:rFonts w:hint="eastAsia"/>
          <w:bCs/>
          <w:sz w:val="24"/>
          <w:szCs w:val="24"/>
        </w:rPr>
        <w:t>年伊逊河流域水质状况为优，与2</w:t>
      </w:r>
      <w:r>
        <w:rPr>
          <w:bCs/>
          <w:sz w:val="24"/>
          <w:szCs w:val="24"/>
        </w:rPr>
        <w:t>019</w:t>
      </w:r>
      <w:r>
        <w:rPr>
          <w:rFonts w:hint="eastAsia"/>
          <w:bCs/>
          <w:sz w:val="24"/>
          <w:szCs w:val="24"/>
        </w:rPr>
        <w:t>年比较伊逊河地表水环境无明显变化，其中围场上游和唐三营断面水质状况继续保持Ⅱ类水质不变，李台断面Ⅱ类水质下降为Ⅲ类水质。具体见图4</w:t>
      </w:r>
      <w:r>
        <w:rPr>
          <w:bCs/>
          <w:sz w:val="24"/>
          <w:szCs w:val="24"/>
        </w:rPr>
        <w:t>.3-2</w:t>
      </w:r>
      <w:r>
        <w:rPr>
          <w:rFonts w:hint="eastAsia"/>
          <w:bCs/>
          <w:sz w:val="24"/>
          <w:szCs w:val="24"/>
        </w:rPr>
        <w:t>。</w:t>
      </w:r>
    </w:p>
    <w:p>
      <w:pPr>
        <w:spacing w:line="360" w:lineRule="auto"/>
        <w:ind w:firstLine="480" w:firstLineChars="200"/>
        <w:rPr>
          <w:sz w:val="24"/>
          <w:szCs w:val="24"/>
        </w:rPr>
      </w:pPr>
      <w:r>
        <w:rPr>
          <w:rFonts w:hint="eastAsia"/>
          <w:bCs/>
          <w:sz w:val="24"/>
          <w:szCs w:val="24"/>
        </w:rPr>
        <w:t>伊逊河“围场上游”监测断面位于本项目附近河道上游</w:t>
      </w:r>
      <w:r>
        <w:rPr>
          <w:bCs/>
          <w:sz w:val="24"/>
          <w:szCs w:val="24"/>
        </w:rPr>
        <w:t>5</w:t>
      </w:r>
      <w:r>
        <w:rPr>
          <w:rFonts w:hint="eastAsia"/>
          <w:bCs/>
          <w:sz w:val="24"/>
          <w:szCs w:val="24"/>
        </w:rPr>
        <w:t>km处，因此项目附近伊逊河水质达到《地表水环境质量标准》（GB3838-2002）Ⅱ类标准。</w:t>
      </w:r>
    </w:p>
    <w:p>
      <w:pPr>
        <w:spacing w:line="360" w:lineRule="auto"/>
        <w:rPr>
          <w:sz w:val="24"/>
          <w:szCs w:val="24"/>
        </w:rPr>
      </w:pPr>
      <w:r>
        <w:rPr>
          <w:sz w:val="24"/>
          <w:szCs w:val="24"/>
        </w:rPr>
        <w:drawing>
          <wp:inline distT="0" distB="0" distL="0" distR="0">
            <wp:extent cx="5274310" cy="1390650"/>
            <wp:effectExtent l="0" t="0" r="2540" b="0"/>
            <wp:docPr id="1426" name="图片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4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4310" cy="1390650"/>
                    </a:xfrm>
                    <a:prstGeom prst="rect">
                      <a:avLst/>
                    </a:prstGeom>
                    <a:noFill/>
                    <a:ln>
                      <a:noFill/>
                    </a:ln>
                  </pic:spPr>
                </pic:pic>
              </a:graphicData>
            </a:graphic>
          </wp:inline>
        </w:drawing>
      </w:r>
    </w:p>
    <w:p>
      <w:pPr>
        <w:spacing w:line="360" w:lineRule="auto"/>
        <w:jc w:val="center"/>
        <w:rPr>
          <w:b/>
          <w:bCs/>
          <w:sz w:val="24"/>
          <w:szCs w:val="24"/>
        </w:rPr>
      </w:pPr>
      <w:r>
        <w:rPr>
          <w:rFonts w:hint="eastAsia"/>
          <w:b/>
          <w:bCs/>
          <w:sz w:val="24"/>
          <w:szCs w:val="24"/>
        </w:rPr>
        <w:t>图4</w:t>
      </w:r>
      <w:r>
        <w:rPr>
          <w:b/>
          <w:bCs/>
          <w:sz w:val="24"/>
          <w:szCs w:val="24"/>
        </w:rPr>
        <w:t xml:space="preserve">.3-2  </w:t>
      </w:r>
      <w:r>
        <w:rPr>
          <w:rFonts w:hint="eastAsia"/>
          <w:b/>
          <w:bCs/>
          <w:sz w:val="24"/>
          <w:szCs w:val="24"/>
        </w:rPr>
        <w:t>《2020年承德市生态环境状况公报》截图</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1021"/>
        <w:jc w:val="left"/>
        <w:outlineLvl w:val="2"/>
        <w:rPr>
          <w:b/>
          <w:bCs/>
          <w:snapToGrid w:val="0"/>
          <w:sz w:val="28"/>
          <w:szCs w:val="28"/>
        </w:rPr>
      </w:pPr>
      <w:bookmarkStart w:id="117" w:name="_Toc518025865"/>
      <w:r>
        <w:rPr>
          <w:b/>
          <w:bCs/>
          <w:snapToGrid w:val="0"/>
          <w:sz w:val="28"/>
          <w:szCs w:val="28"/>
        </w:rPr>
        <w:t>地下水环境</w:t>
      </w:r>
      <w:bookmarkEnd w:id="117"/>
      <w:r>
        <w:rPr>
          <w:rFonts w:hint="eastAsia"/>
          <w:b/>
          <w:bCs/>
          <w:snapToGrid w:val="0"/>
          <w:sz w:val="28"/>
          <w:szCs w:val="28"/>
        </w:rPr>
        <w:t>现状</w:t>
      </w:r>
    </w:p>
    <w:p>
      <w:pPr>
        <w:adjustRightInd w:val="0"/>
        <w:snapToGrid w:val="0"/>
        <w:spacing w:line="360" w:lineRule="auto"/>
        <w:ind w:firstLine="480" w:firstLineChars="200"/>
        <w:rPr>
          <w:sz w:val="24"/>
          <w:szCs w:val="24"/>
        </w:rPr>
      </w:pPr>
      <w:bookmarkStart w:id="118" w:name="_Hlk32075102"/>
      <w:r>
        <w:rPr>
          <w:rFonts w:hint="eastAsia"/>
          <w:sz w:val="24"/>
          <w:szCs w:val="24"/>
        </w:rPr>
        <w:t>项目于2021年7月25日-31日委托辽宁鹏宇环境监测有限公司</w:t>
      </w:r>
      <w:r>
        <w:rPr>
          <w:sz w:val="24"/>
          <w:szCs w:val="24"/>
        </w:rPr>
        <w:t>对</w:t>
      </w:r>
      <w:r>
        <w:rPr>
          <w:rFonts w:hint="eastAsia"/>
          <w:sz w:val="24"/>
          <w:szCs w:val="24"/>
        </w:rPr>
        <w:t>项目区域</w:t>
      </w:r>
      <w:r>
        <w:rPr>
          <w:sz w:val="24"/>
          <w:szCs w:val="24"/>
        </w:rPr>
        <w:t>地下水进行了现场采样监测（监测报告编号：PY2107246-001，具体监测报告见附件）</w:t>
      </w:r>
      <w:r>
        <w:rPr>
          <w:rFonts w:hint="eastAsia"/>
          <w:sz w:val="24"/>
          <w:szCs w:val="24"/>
        </w:rPr>
        <w:t>，并于2</w:t>
      </w:r>
      <w:r>
        <w:rPr>
          <w:sz w:val="24"/>
          <w:szCs w:val="24"/>
        </w:rPr>
        <w:t>021</w:t>
      </w:r>
      <w:r>
        <w:rPr>
          <w:rFonts w:hint="eastAsia"/>
          <w:sz w:val="24"/>
          <w:szCs w:val="24"/>
        </w:rPr>
        <w:t>年1</w:t>
      </w:r>
      <w:r>
        <w:rPr>
          <w:sz w:val="24"/>
          <w:szCs w:val="24"/>
        </w:rPr>
        <w:t>2</w:t>
      </w:r>
      <w:r>
        <w:rPr>
          <w:rFonts w:hint="eastAsia"/>
          <w:sz w:val="24"/>
          <w:szCs w:val="24"/>
        </w:rPr>
        <w:t>月1</w:t>
      </w:r>
      <w:r>
        <w:rPr>
          <w:sz w:val="24"/>
          <w:szCs w:val="24"/>
        </w:rPr>
        <w:t>4</w:t>
      </w:r>
      <w:r>
        <w:rPr>
          <w:rFonts w:hint="eastAsia"/>
          <w:sz w:val="24"/>
          <w:szCs w:val="24"/>
        </w:rPr>
        <w:t>日再次进行了监测（监测报告编号：</w:t>
      </w:r>
      <w:bookmarkStart w:id="119" w:name="_Hlk93095502"/>
      <w:r>
        <w:rPr>
          <w:sz w:val="24"/>
          <w:szCs w:val="24"/>
        </w:rPr>
        <w:t>PY2112238-001</w:t>
      </w:r>
      <w:bookmarkEnd w:id="119"/>
      <w:r>
        <w:rPr>
          <w:rFonts w:hint="eastAsia"/>
          <w:sz w:val="24"/>
          <w:szCs w:val="24"/>
        </w:rPr>
        <w:t>）</w:t>
      </w:r>
      <w:r>
        <w:rPr>
          <w:sz w:val="24"/>
          <w:szCs w:val="24"/>
        </w:rPr>
        <w:t>。</w:t>
      </w:r>
      <w:r>
        <w:rPr>
          <w:rFonts w:hint="eastAsia"/>
          <w:sz w:val="24"/>
          <w:szCs w:val="24"/>
        </w:rPr>
        <w:t>同时引用《围场满族蒙古族自治县餐厨垃圾无害化处理厂项目环境影响报告书》中的地下水监测数据。</w:t>
      </w:r>
    </w:p>
    <w:p>
      <w:pPr>
        <w:adjustRightInd w:val="0"/>
        <w:snapToGrid w:val="0"/>
        <w:spacing w:line="360" w:lineRule="auto"/>
        <w:ind w:firstLine="482" w:firstLineChars="200"/>
        <w:rPr>
          <w:b/>
          <w:sz w:val="24"/>
          <w:szCs w:val="24"/>
        </w:rPr>
      </w:pPr>
      <w:r>
        <w:rPr>
          <w:b/>
          <w:sz w:val="24"/>
          <w:szCs w:val="24"/>
        </w:rPr>
        <w:t>（1）监测点位</w:t>
      </w:r>
    </w:p>
    <w:p>
      <w:pPr>
        <w:adjustRightInd w:val="0"/>
        <w:snapToGrid w:val="0"/>
        <w:spacing w:line="360" w:lineRule="auto"/>
        <w:ind w:firstLine="480" w:firstLineChars="200"/>
        <w:rPr>
          <w:b/>
          <w:sz w:val="24"/>
          <w:szCs w:val="24"/>
        </w:rPr>
      </w:pPr>
      <w:r>
        <w:rPr>
          <w:rFonts w:hint="eastAsia"/>
          <w:sz w:val="24"/>
          <w:szCs w:val="24"/>
        </w:rPr>
        <w:t>本次评价根据评价区内项目情况及其周围敏感点的分布，共布设</w:t>
      </w:r>
      <w:r>
        <w:rPr>
          <w:sz w:val="24"/>
          <w:szCs w:val="24"/>
        </w:rPr>
        <w:t>14</w:t>
      </w:r>
      <w:r>
        <w:rPr>
          <w:rFonts w:hint="eastAsia"/>
          <w:sz w:val="24"/>
          <w:szCs w:val="24"/>
        </w:rPr>
        <w:t>个潜水水质、水位监测点位，其中有</w:t>
      </w:r>
      <w:r>
        <w:rPr>
          <w:sz w:val="24"/>
          <w:szCs w:val="24"/>
        </w:rPr>
        <w:t>7</w:t>
      </w:r>
      <w:r>
        <w:rPr>
          <w:rFonts w:hint="eastAsia"/>
          <w:sz w:val="24"/>
          <w:szCs w:val="24"/>
        </w:rPr>
        <w:t>个为地下水质与水位监测点，点位信息见表4</w:t>
      </w:r>
      <w:r>
        <w:rPr>
          <w:sz w:val="24"/>
          <w:szCs w:val="24"/>
        </w:rPr>
        <w:t>.3.3-1</w:t>
      </w:r>
      <w:r>
        <w:rPr>
          <w:rFonts w:hint="eastAsia"/>
          <w:sz w:val="24"/>
          <w:szCs w:val="24"/>
        </w:rPr>
        <w:t>，点位分布情况见图</w:t>
      </w:r>
      <w:r>
        <w:rPr>
          <w:sz w:val="24"/>
          <w:szCs w:val="24"/>
        </w:rPr>
        <w:t>4</w:t>
      </w:r>
      <w:r>
        <w:rPr>
          <w:rFonts w:hint="eastAsia"/>
          <w:sz w:val="24"/>
          <w:szCs w:val="24"/>
        </w:rPr>
        <w:t>.3-</w:t>
      </w:r>
      <w:r>
        <w:rPr>
          <w:sz w:val="24"/>
          <w:szCs w:val="24"/>
        </w:rPr>
        <w:t>3</w:t>
      </w:r>
      <w:r>
        <w:rPr>
          <w:rFonts w:hint="eastAsia"/>
          <w:sz w:val="24"/>
          <w:szCs w:val="24"/>
        </w:rPr>
        <w:t>。</w:t>
      </w:r>
    </w:p>
    <w:p>
      <w:pPr>
        <w:spacing w:line="360" w:lineRule="auto"/>
        <w:jc w:val="center"/>
        <w:rPr>
          <w:b/>
          <w:bCs/>
          <w:sz w:val="24"/>
          <w:szCs w:val="24"/>
        </w:rPr>
      </w:pPr>
      <w:r>
        <w:rPr>
          <w:rFonts w:hint="eastAsia"/>
          <w:b/>
          <w:bCs/>
          <w:sz w:val="24"/>
          <w:szCs w:val="24"/>
        </w:rPr>
        <w:t>表4</w:t>
      </w:r>
      <w:r>
        <w:rPr>
          <w:b/>
          <w:bCs/>
          <w:sz w:val="24"/>
          <w:szCs w:val="24"/>
        </w:rPr>
        <w:t>.</w:t>
      </w:r>
      <w:r>
        <w:rPr>
          <w:rFonts w:hint="eastAsia"/>
          <w:b/>
          <w:bCs/>
          <w:sz w:val="24"/>
          <w:szCs w:val="24"/>
        </w:rPr>
        <w:t>3.</w:t>
      </w:r>
      <w:r>
        <w:rPr>
          <w:b/>
          <w:bCs/>
          <w:sz w:val="24"/>
          <w:szCs w:val="24"/>
        </w:rPr>
        <w:t>3</w:t>
      </w:r>
      <w:r>
        <w:rPr>
          <w:b/>
          <w:bCs/>
          <w:sz w:val="24"/>
          <w:szCs w:val="24"/>
        </w:rPr>
        <w:noBreakHyphen/>
      </w:r>
      <w:r>
        <w:rPr>
          <w:b/>
          <w:bCs/>
          <w:sz w:val="24"/>
          <w:szCs w:val="24"/>
        </w:rPr>
        <w:t>1 地下水监测点信息表</w:t>
      </w:r>
    </w:p>
    <w:tbl>
      <w:tblPr>
        <w:tblStyle w:val="39"/>
        <w:tblW w:w="86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319"/>
        <w:gridCol w:w="1276"/>
        <w:gridCol w:w="850"/>
        <w:gridCol w:w="709"/>
        <w:gridCol w:w="709"/>
        <w:gridCol w:w="709"/>
        <w:gridCol w:w="708"/>
        <w:gridCol w:w="16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kern w:val="0"/>
                <w:sz w:val="18"/>
                <w:szCs w:val="18"/>
              </w:rPr>
            </w:pPr>
            <w:r>
              <w:rPr>
                <w:kern w:val="0"/>
                <w:sz w:val="18"/>
                <w:szCs w:val="18"/>
              </w:rPr>
              <w:t>编号</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位置</w:t>
            </w:r>
          </w:p>
        </w:tc>
        <w:tc>
          <w:tcPr>
            <w:tcW w:w="1276" w:type="dxa"/>
            <w:shd w:val="clear" w:color="auto" w:fill="auto"/>
            <w:noWrap/>
            <w:vAlign w:val="center"/>
          </w:tcPr>
          <w:p>
            <w:pPr>
              <w:widowControl/>
              <w:adjustRightInd w:val="0"/>
              <w:snapToGrid w:val="0"/>
              <w:ind w:left="-105" w:leftChars="-50" w:right="-105" w:rightChars="-50"/>
              <w:jc w:val="center"/>
              <w:rPr>
                <w:kern w:val="0"/>
                <w:sz w:val="18"/>
                <w:szCs w:val="18"/>
              </w:rPr>
            </w:pPr>
            <w:r>
              <w:rPr>
                <w:kern w:val="0"/>
                <w:sz w:val="18"/>
                <w:szCs w:val="18"/>
              </w:rPr>
              <w:t>坐标</w:t>
            </w:r>
          </w:p>
        </w:tc>
        <w:tc>
          <w:tcPr>
            <w:tcW w:w="850" w:type="dxa"/>
            <w:shd w:val="clear" w:color="auto" w:fill="auto"/>
            <w:noWrap/>
            <w:vAlign w:val="center"/>
          </w:tcPr>
          <w:p>
            <w:pPr>
              <w:widowControl/>
              <w:adjustRightInd w:val="0"/>
              <w:snapToGrid w:val="0"/>
              <w:jc w:val="center"/>
              <w:rPr>
                <w:kern w:val="0"/>
                <w:sz w:val="18"/>
                <w:szCs w:val="18"/>
              </w:rPr>
            </w:pPr>
            <w:r>
              <w:rPr>
                <w:kern w:val="0"/>
                <w:sz w:val="18"/>
                <w:szCs w:val="18"/>
              </w:rPr>
              <w:t>井口高程m</w:t>
            </w:r>
          </w:p>
        </w:tc>
        <w:tc>
          <w:tcPr>
            <w:tcW w:w="709" w:type="dxa"/>
            <w:shd w:val="clear" w:color="auto" w:fill="auto"/>
            <w:noWrap/>
            <w:vAlign w:val="center"/>
          </w:tcPr>
          <w:p>
            <w:pPr>
              <w:widowControl/>
              <w:adjustRightInd w:val="0"/>
              <w:snapToGrid w:val="0"/>
              <w:ind w:left="-105" w:leftChars="-50" w:right="-105" w:rightChars="-50"/>
              <w:jc w:val="center"/>
              <w:rPr>
                <w:kern w:val="0"/>
                <w:sz w:val="18"/>
                <w:szCs w:val="18"/>
              </w:rPr>
            </w:pPr>
            <w:r>
              <w:rPr>
                <w:kern w:val="0"/>
                <w:sz w:val="18"/>
                <w:szCs w:val="18"/>
              </w:rPr>
              <w:t>水位埋深m</w:t>
            </w:r>
          </w:p>
        </w:tc>
        <w:tc>
          <w:tcPr>
            <w:tcW w:w="709" w:type="dxa"/>
            <w:shd w:val="clear" w:color="auto" w:fill="auto"/>
            <w:vAlign w:val="center"/>
          </w:tcPr>
          <w:p>
            <w:pPr>
              <w:widowControl/>
              <w:adjustRightInd w:val="0"/>
              <w:snapToGrid w:val="0"/>
              <w:jc w:val="center"/>
              <w:rPr>
                <w:kern w:val="0"/>
                <w:sz w:val="18"/>
                <w:szCs w:val="18"/>
              </w:rPr>
            </w:pPr>
            <w:r>
              <w:rPr>
                <w:kern w:val="0"/>
                <w:sz w:val="18"/>
                <w:szCs w:val="18"/>
              </w:rPr>
              <w:t>井深m</w:t>
            </w:r>
          </w:p>
        </w:tc>
        <w:tc>
          <w:tcPr>
            <w:tcW w:w="709" w:type="dxa"/>
            <w:shd w:val="clear" w:color="auto" w:fill="auto"/>
            <w:noWrap/>
            <w:vAlign w:val="center"/>
          </w:tcPr>
          <w:p>
            <w:pPr>
              <w:widowControl/>
              <w:adjustRightInd w:val="0"/>
              <w:snapToGrid w:val="0"/>
              <w:jc w:val="center"/>
              <w:rPr>
                <w:kern w:val="0"/>
                <w:sz w:val="18"/>
                <w:szCs w:val="18"/>
              </w:rPr>
            </w:pPr>
            <w:r>
              <w:rPr>
                <w:kern w:val="0"/>
                <w:sz w:val="18"/>
                <w:szCs w:val="18"/>
              </w:rPr>
              <w:t>水位m</w:t>
            </w:r>
          </w:p>
        </w:tc>
        <w:tc>
          <w:tcPr>
            <w:tcW w:w="708" w:type="dxa"/>
            <w:shd w:val="clear" w:color="auto" w:fill="auto"/>
            <w:noWrap/>
            <w:vAlign w:val="center"/>
          </w:tcPr>
          <w:p>
            <w:pPr>
              <w:widowControl/>
              <w:adjustRightInd w:val="0"/>
              <w:snapToGrid w:val="0"/>
              <w:jc w:val="center"/>
              <w:rPr>
                <w:kern w:val="0"/>
                <w:sz w:val="18"/>
                <w:szCs w:val="18"/>
              </w:rPr>
            </w:pPr>
            <w:r>
              <w:rPr>
                <w:kern w:val="0"/>
                <w:sz w:val="18"/>
                <w:szCs w:val="18"/>
              </w:rPr>
              <w:t>监测内容</w:t>
            </w:r>
          </w:p>
        </w:tc>
        <w:tc>
          <w:tcPr>
            <w:tcW w:w="1658" w:type="dxa"/>
            <w:vAlign w:val="center"/>
          </w:tcPr>
          <w:p>
            <w:pPr>
              <w:widowControl/>
              <w:adjustRightInd w:val="0"/>
              <w:snapToGrid w:val="0"/>
              <w:jc w:val="center"/>
              <w:rPr>
                <w:kern w:val="0"/>
                <w:sz w:val="18"/>
                <w:szCs w:val="18"/>
              </w:rPr>
            </w:pPr>
            <w:r>
              <w:rPr>
                <w:rFonts w:hint="eastAsia"/>
                <w:kern w:val="0"/>
                <w:sz w:val="18"/>
                <w:szCs w:val="18"/>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G1</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本厂址西侧钻孔</w:t>
            </w:r>
            <w:r>
              <w:rPr>
                <w:rFonts w:hint="eastAsia"/>
                <w:kern w:val="0"/>
                <w:sz w:val="18"/>
                <w:szCs w:val="18"/>
              </w:rPr>
              <w:t>1</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117°42′37.84″E</w:t>
            </w:r>
          </w:p>
          <w:p>
            <w:pPr>
              <w:adjustRightInd w:val="0"/>
              <w:snapToGrid w:val="0"/>
              <w:ind w:left="-105" w:leftChars="-50" w:right="-105" w:rightChars="-50"/>
              <w:jc w:val="center"/>
              <w:rPr>
                <w:rFonts w:eastAsia="等线"/>
                <w:kern w:val="0"/>
                <w:sz w:val="18"/>
                <w:szCs w:val="18"/>
              </w:rPr>
            </w:pPr>
            <w:r>
              <w:rPr>
                <w:rFonts w:eastAsia="等线"/>
                <w:kern w:val="0"/>
                <w:sz w:val="18"/>
                <w:szCs w:val="18"/>
              </w:rPr>
              <w:t>42°0′13.31″N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980.4</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41.9</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50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938.5</w:t>
            </w:r>
          </w:p>
        </w:tc>
        <w:tc>
          <w:tcPr>
            <w:tcW w:w="708" w:type="dxa"/>
            <w:vMerge w:val="restart"/>
            <w:shd w:val="clear" w:color="auto" w:fill="auto"/>
            <w:noWrap/>
            <w:vAlign w:val="center"/>
          </w:tcPr>
          <w:p>
            <w:pPr>
              <w:widowControl/>
              <w:adjustRightInd w:val="0"/>
              <w:snapToGrid w:val="0"/>
              <w:jc w:val="center"/>
              <w:rPr>
                <w:kern w:val="0"/>
                <w:sz w:val="18"/>
                <w:szCs w:val="18"/>
              </w:rPr>
            </w:pPr>
            <w:r>
              <w:rPr>
                <w:kern w:val="0"/>
                <w:sz w:val="18"/>
                <w:szCs w:val="18"/>
              </w:rPr>
              <w:t>水质、水位</w:t>
            </w:r>
          </w:p>
        </w:tc>
        <w:tc>
          <w:tcPr>
            <w:tcW w:w="1658" w:type="dxa"/>
            <w:vAlign w:val="center"/>
          </w:tcPr>
          <w:p>
            <w:pPr>
              <w:widowControl/>
              <w:adjustRightInd w:val="0"/>
              <w:snapToGrid w:val="0"/>
              <w:jc w:val="center"/>
              <w:rPr>
                <w:kern w:val="0"/>
                <w:sz w:val="18"/>
                <w:szCs w:val="18"/>
              </w:rPr>
            </w:pPr>
            <w:r>
              <w:rPr>
                <w:sz w:val="18"/>
                <w:szCs w:val="18"/>
              </w:rPr>
              <w:t>PY2112238-001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G2</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本厂址西侧钻孔</w:t>
            </w:r>
            <w:r>
              <w:rPr>
                <w:rFonts w:hint="eastAsia"/>
                <w:kern w:val="0"/>
                <w:sz w:val="18"/>
                <w:szCs w:val="18"/>
              </w:rPr>
              <w:t>2</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117°42′22.01″E</w:t>
            </w:r>
          </w:p>
          <w:p>
            <w:pPr>
              <w:widowControl/>
              <w:adjustRightInd w:val="0"/>
              <w:snapToGrid w:val="0"/>
              <w:ind w:left="-105" w:leftChars="-50" w:right="-105" w:rightChars="-50"/>
              <w:jc w:val="center"/>
              <w:rPr>
                <w:rFonts w:eastAsia="等线"/>
                <w:kern w:val="0"/>
                <w:sz w:val="18"/>
                <w:szCs w:val="18"/>
              </w:rPr>
            </w:pPr>
            <w:r>
              <w:rPr>
                <w:rFonts w:eastAsia="等线"/>
                <w:kern w:val="0"/>
                <w:sz w:val="18"/>
                <w:szCs w:val="18"/>
              </w:rPr>
              <w:t>42°0′14.14″N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972.9</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35.5</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50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937.4</w:t>
            </w:r>
          </w:p>
        </w:tc>
        <w:tc>
          <w:tcPr>
            <w:tcW w:w="708" w:type="dxa"/>
            <w:vMerge w:val="continue"/>
            <w:shd w:val="clear" w:color="auto" w:fill="auto"/>
            <w:noWrap/>
            <w:vAlign w:val="center"/>
          </w:tcPr>
          <w:p>
            <w:pPr>
              <w:widowControl/>
              <w:adjustRightInd w:val="0"/>
              <w:snapToGrid w:val="0"/>
              <w:jc w:val="center"/>
              <w:rPr>
                <w:kern w:val="0"/>
                <w:sz w:val="18"/>
                <w:szCs w:val="18"/>
              </w:rPr>
            </w:pPr>
          </w:p>
        </w:tc>
        <w:tc>
          <w:tcPr>
            <w:tcW w:w="1658" w:type="dxa"/>
            <w:vAlign w:val="center"/>
          </w:tcPr>
          <w:p>
            <w:pPr>
              <w:widowControl/>
              <w:adjustRightInd w:val="0"/>
              <w:snapToGrid w:val="0"/>
              <w:jc w:val="center"/>
              <w:rPr>
                <w:sz w:val="18"/>
                <w:szCs w:val="18"/>
              </w:rPr>
            </w:pPr>
            <w:r>
              <w:rPr>
                <w:rFonts w:hint="eastAsia"/>
                <w:kern w:val="0"/>
                <w:sz w:val="18"/>
                <w:szCs w:val="18"/>
              </w:rPr>
              <w:t>围场满族蒙古族自治县餐厨垃圾无害化处理厂项目环境影响报告书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G3</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本厂址内钻孔</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117°42′27.37″E</w:t>
            </w:r>
          </w:p>
          <w:p>
            <w:pPr>
              <w:adjustRightInd w:val="0"/>
              <w:snapToGrid w:val="0"/>
              <w:ind w:left="-105" w:leftChars="-50" w:right="-105" w:rightChars="-50"/>
              <w:jc w:val="center"/>
              <w:rPr>
                <w:rFonts w:eastAsia="等线"/>
                <w:kern w:val="0"/>
                <w:sz w:val="18"/>
                <w:szCs w:val="18"/>
              </w:rPr>
            </w:pPr>
            <w:r>
              <w:rPr>
                <w:rFonts w:eastAsia="等线"/>
                <w:kern w:val="0"/>
                <w:sz w:val="18"/>
                <w:szCs w:val="18"/>
              </w:rPr>
              <w:t>42°0′10.97″N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960.2</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23.4</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50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936.8</w:t>
            </w:r>
          </w:p>
        </w:tc>
        <w:tc>
          <w:tcPr>
            <w:tcW w:w="708" w:type="dxa"/>
            <w:shd w:val="clear" w:color="auto" w:fill="auto"/>
            <w:noWrap/>
            <w:vAlign w:val="center"/>
          </w:tcPr>
          <w:p>
            <w:pPr>
              <w:adjustRightInd w:val="0"/>
              <w:snapToGrid w:val="0"/>
              <w:jc w:val="center"/>
              <w:rPr>
                <w:kern w:val="0"/>
                <w:sz w:val="18"/>
                <w:szCs w:val="18"/>
              </w:rPr>
            </w:pPr>
            <w:r>
              <w:rPr>
                <w:rFonts w:hint="eastAsia"/>
                <w:kern w:val="0"/>
                <w:sz w:val="18"/>
                <w:szCs w:val="18"/>
              </w:rPr>
              <w:t>水位</w:t>
            </w:r>
          </w:p>
        </w:tc>
        <w:tc>
          <w:tcPr>
            <w:tcW w:w="1658" w:type="dxa"/>
            <w:vAlign w:val="center"/>
          </w:tcPr>
          <w:p>
            <w:pPr>
              <w:adjustRightInd w:val="0"/>
              <w:snapToGrid w:val="0"/>
              <w:jc w:val="center"/>
              <w:rPr>
                <w:kern w:val="0"/>
                <w:sz w:val="18"/>
                <w:szCs w:val="18"/>
              </w:rPr>
            </w:pPr>
            <w:r>
              <w:rPr>
                <w:rFonts w:hint="eastAsia"/>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G4</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本项目厂址南侧生活垃圾焚烧厂内钻孔1</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117°42'13.44"E</w:t>
            </w:r>
          </w:p>
          <w:p>
            <w:pPr>
              <w:adjustRightInd w:val="0"/>
              <w:snapToGrid w:val="0"/>
              <w:ind w:left="-105" w:leftChars="-50" w:right="-105" w:rightChars="-50"/>
              <w:jc w:val="center"/>
              <w:rPr>
                <w:rFonts w:eastAsia="等线"/>
                <w:kern w:val="0"/>
                <w:sz w:val="18"/>
                <w:szCs w:val="18"/>
              </w:rPr>
            </w:pPr>
            <w:r>
              <w:rPr>
                <w:rFonts w:eastAsia="等线"/>
                <w:kern w:val="0"/>
                <w:sz w:val="18"/>
                <w:szCs w:val="18"/>
              </w:rPr>
              <w:t>41°59'47.26"N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950.57</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23.2</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50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927.37</w:t>
            </w:r>
          </w:p>
        </w:tc>
        <w:tc>
          <w:tcPr>
            <w:tcW w:w="708" w:type="dxa"/>
            <w:shd w:val="clear" w:color="auto" w:fill="auto"/>
            <w:noWrap/>
            <w:vAlign w:val="center"/>
          </w:tcPr>
          <w:p>
            <w:pPr>
              <w:adjustRightInd w:val="0"/>
              <w:snapToGrid w:val="0"/>
              <w:jc w:val="center"/>
              <w:rPr>
                <w:rFonts w:eastAsia="等线"/>
                <w:kern w:val="0"/>
                <w:sz w:val="18"/>
                <w:szCs w:val="18"/>
              </w:rPr>
            </w:pPr>
            <w:r>
              <w:rPr>
                <w:kern w:val="0"/>
                <w:sz w:val="18"/>
                <w:szCs w:val="18"/>
              </w:rPr>
              <w:t>水质、水位</w:t>
            </w:r>
          </w:p>
        </w:tc>
        <w:tc>
          <w:tcPr>
            <w:tcW w:w="1658" w:type="dxa"/>
            <w:vAlign w:val="center"/>
          </w:tcPr>
          <w:p>
            <w:pPr>
              <w:adjustRightInd w:val="0"/>
              <w:snapToGrid w:val="0"/>
              <w:jc w:val="center"/>
              <w:rPr>
                <w:rFonts w:eastAsia="等线"/>
                <w:kern w:val="0"/>
                <w:sz w:val="18"/>
                <w:szCs w:val="18"/>
              </w:rPr>
            </w:pPr>
            <w:r>
              <w:rPr>
                <w:sz w:val="18"/>
                <w:szCs w:val="18"/>
              </w:rPr>
              <w:t>PY2112238-001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G5</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本项目厂址南侧生活垃圾焚烧厂内钻孔2</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117°42'18.42"E</w:t>
            </w:r>
          </w:p>
          <w:p>
            <w:pPr>
              <w:adjustRightInd w:val="0"/>
              <w:snapToGrid w:val="0"/>
              <w:ind w:left="-105" w:leftChars="-50" w:right="-105" w:rightChars="-50"/>
              <w:jc w:val="center"/>
              <w:rPr>
                <w:rFonts w:eastAsia="等线"/>
                <w:kern w:val="0"/>
                <w:sz w:val="18"/>
                <w:szCs w:val="18"/>
              </w:rPr>
            </w:pPr>
            <w:r>
              <w:rPr>
                <w:rFonts w:eastAsia="等线"/>
                <w:kern w:val="0"/>
                <w:sz w:val="18"/>
                <w:szCs w:val="18"/>
              </w:rPr>
              <w:t>41°59'42.46"N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hint="eastAsia" w:eastAsia="等线"/>
                <w:kern w:val="0"/>
                <w:sz w:val="18"/>
                <w:szCs w:val="18"/>
              </w:rPr>
              <w:t>9</w:t>
            </w:r>
            <w:r>
              <w:rPr>
                <w:rFonts w:eastAsia="等线"/>
                <w:kern w:val="0"/>
                <w:sz w:val="18"/>
                <w:szCs w:val="18"/>
              </w:rPr>
              <w:t>50</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hint="eastAsia" w:eastAsia="等线"/>
                <w:kern w:val="0"/>
                <w:sz w:val="18"/>
                <w:szCs w:val="18"/>
              </w:rPr>
              <w:t>2</w:t>
            </w:r>
            <w:r>
              <w:rPr>
                <w:rFonts w:eastAsia="等线"/>
                <w:kern w:val="0"/>
                <w:sz w:val="18"/>
                <w:szCs w:val="18"/>
              </w:rPr>
              <w:t>3.7</w:t>
            </w:r>
          </w:p>
        </w:tc>
        <w:tc>
          <w:tcPr>
            <w:tcW w:w="709" w:type="dxa"/>
            <w:shd w:val="clear" w:color="auto" w:fill="auto"/>
            <w:vAlign w:val="center"/>
          </w:tcPr>
          <w:p>
            <w:pPr>
              <w:widowControl/>
              <w:adjustRightInd w:val="0"/>
              <w:snapToGrid w:val="0"/>
              <w:jc w:val="center"/>
              <w:rPr>
                <w:rFonts w:eastAsia="等线"/>
                <w:kern w:val="0"/>
                <w:sz w:val="18"/>
                <w:szCs w:val="18"/>
              </w:rPr>
            </w:pPr>
            <w:r>
              <w:rPr>
                <w:rFonts w:hint="eastAsia" w:eastAsia="等线"/>
                <w:kern w:val="0"/>
                <w:sz w:val="18"/>
                <w:szCs w:val="18"/>
              </w:rPr>
              <w:t>3</w:t>
            </w:r>
            <w:r>
              <w:rPr>
                <w:rFonts w:eastAsia="等线"/>
                <w:kern w:val="0"/>
                <w:sz w:val="18"/>
                <w:szCs w:val="18"/>
              </w:rPr>
              <w:t>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hint="eastAsia" w:eastAsia="等线"/>
                <w:kern w:val="0"/>
                <w:sz w:val="18"/>
                <w:szCs w:val="18"/>
              </w:rPr>
              <w:t>9</w:t>
            </w:r>
            <w:r>
              <w:rPr>
                <w:rFonts w:eastAsia="等线"/>
                <w:kern w:val="0"/>
                <w:sz w:val="18"/>
                <w:szCs w:val="18"/>
              </w:rPr>
              <w:t>26</w:t>
            </w:r>
            <w:r>
              <w:rPr>
                <w:rFonts w:hint="eastAsia" w:eastAsia="等线"/>
                <w:kern w:val="0"/>
                <w:sz w:val="18"/>
                <w:szCs w:val="18"/>
              </w:rPr>
              <w:t>.3</w:t>
            </w:r>
          </w:p>
        </w:tc>
        <w:tc>
          <w:tcPr>
            <w:tcW w:w="708" w:type="dxa"/>
            <w:shd w:val="clear" w:color="auto" w:fill="auto"/>
            <w:noWrap/>
            <w:vAlign w:val="center"/>
          </w:tcPr>
          <w:p>
            <w:pPr>
              <w:adjustRightInd w:val="0"/>
              <w:snapToGrid w:val="0"/>
              <w:jc w:val="center"/>
              <w:rPr>
                <w:rFonts w:eastAsia="等线"/>
                <w:kern w:val="0"/>
                <w:sz w:val="18"/>
                <w:szCs w:val="18"/>
              </w:rPr>
            </w:pPr>
            <w:r>
              <w:rPr>
                <w:kern w:val="0"/>
                <w:sz w:val="18"/>
                <w:szCs w:val="18"/>
              </w:rPr>
              <w:t>水位</w:t>
            </w:r>
          </w:p>
        </w:tc>
        <w:tc>
          <w:tcPr>
            <w:tcW w:w="1658" w:type="dxa"/>
            <w:vAlign w:val="center"/>
          </w:tcPr>
          <w:p>
            <w:pPr>
              <w:adjustRightInd w:val="0"/>
              <w:snapToGrid w:val="0"/>
              <w:jc w:val="center"/>
              <w:rPr>
                <w:rFonts w:eastAsia="等线"/>
                <w:kern w:val="0"/>
                <w:sz w:val="18"/>
                <w:szCs w:val="18"/>
              </w:rPr>
            </w:pPr>
            <w:r>
              <w:rPr>
                <w:rFonts w:eastAsia="等线"/>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G6</w:t>
            </w:r>
          </w:p>
        </w:tc>
        <w:tc>
          <w:tcPr>
            <w:tcW w:w="1319" w:type="dxa"/>
            <w:shd w:val="clear" w:color="auto" w:fill="auto"/>
            <w:vAlign w:val="center"/>
          </w:tcPr>
          <w:p>
            <w:pPr>
              <w:widowControl/>
              <w:adjustRightInd w:val="0"/>
              <w:snapToGrid w:val="0"/>
              <w:jc w:val="center"/>
              <w:rPr>
                <w:kern w:val="0"/>
                <w:sz w:val="18"/>
                <w:szCs w:val="18"/>
              </w:rPr>
            </w:pPr>
            <w:r>
              <w:rPr>
                <w:kern w:val="0"/>
                <w:sz w:val="18"/>
                <w:szCs w:val="18"/>
              </w:rPr>
              <w:t>土城子村民井</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118°42'41.28"E</w:t>
            </w:r>
          </w:p>
          <w:p>
            <w:pPr>
              <w:adjustRightInd w:val="0"/>
              <w:snapToGrid w:val="0"/>
              <w:ind w:left="-105" w:leftChars="-50" w:right="-105" w:rightChars="-50"/>
              <w:jc w:val="center"/>
              <w:rPr>
                <w:rFonts w:eastAsia="等线"/>
                <w:kern w:val="0"/>
                <w:sz w:val="18"/>
                <w:szCs w:val="18"/>
              </w:rPr>
            </w:pPr>
            <w:r>
              <w:rPr>
                <w:rFonts w:eastAsia="等线"/>
                <w:kern w:val="0"/>
                <w:sz w:val="18"/>
                <w:szCs w:val="18"/>
              </w:rPr>
              <w:t>40°59'18.54"N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911</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6.83</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18</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904.17</w:t>
            </w:r>
          </w:p>
        </w:tc>
        <w:tc>
          <w:tcPr>
            <w:tcW w:w="708" w:type="dxa"/>
            <w:vMerge w:val="restart"/>
            <w:shd w:val="clear" w:color="auto" w:fill="auto"/>
            <w:noWrap/>
            <w:vAlign w:val="center"/>
          </w:tcPr>
          <w:p>
            <w:pPr>
              <w:adjustRightInd w:val="0"/>
              <w:snapToGrid w:val="0"/>
              <w:jc w:val="center"/>
              <w:rPr>
                <w:rFonts w:eastAsia="等线"/>
                <w:kern w:val="0"/>
                <w:sz w:val="18"/>
                <w:szCs w:val="18"/>
              </w:rPr>
            </w:pPr>
            <w:r>
              <w:rPr>
                <w:kern w:val="0"/>
                <w:sz w:val="18"/>
                <w:szCs w:val="18"/>
              </w:rPr>
              <w:t>水质、水位</w:t>
            </w:r>
          </w:p>
        </w:tc>
        <w:tc>
          <w:tcPr>
            <w:tcW w:w="1658" w:type="dxa"/>
            <w:vMerge w:val="restart"/>
            <w:vAlign w:val="center"/>
          </w:tcPr>
          <w:p>
            <w:pPr>
              <w:adjustRightInd w:val="0"/>
              <w:snapToGrid w:val="0"/>
              <w:jc w:val="center"/>
              <w:rPr>
                <w:kern w:val="0"/>
                <w:sz w:val="18"/>
                <w:szCs w:val="18"/>
              </w:rPr>
            </w:pPr>
            <w:r>
              <w:rPr>
                <w:kern w:val="0"/>
                <w:sz w:val="18"/>
                <w:szCs w:val="18"/>
              </w:rPr>
              <w:t>PY2107246-001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G7</w:t>
            </w:r>
          </w:p>
        </w:tc>
        <w:tc>
          <w:tcPr>
            <w:tcW w:w="1319" w:type="dxa"/>
            <w:shd w:val="clear" w:color="auto" w:fill="auto"/>
            <w:vAlign w:val="center"/>
          </w:tcPr>
          <w:p>
            <w:pPr>
              <w:widowControl/>
              <w:adjustRightInd w:val="0"/>
              <w:snapToGrid w:val="0"/>
              <w:jc w:val="center"/>
              <w:rPr>
                <w:kern w:val="0"/>
                <w:sz w:val="18"/>
                <w:szCs w:val="18"/>
              </w:rPr>
            </w:pPr>
            <w:r>
              <w:rPr>
                <w:kern w:val="0"/>
                <w:sz w:val="18"/>
                <w:szCs w:val="18"/>
              </w:rPr>
              <w:t>龙头山村民井</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118°43'5.84"E</w:t>
            </w:r>
          </w:p>
          <w:p>
            <w:pPr>
              <w:adjustRightInd w:val="0"/>
              <w:snapToGrid w:val="0"/>
              <w:ind w:left="-105" w:leftChars="-50" w:right="-105" w:rightChars="-50"/>
              <w:jc w:val="center"/>
              <w:rPr>
                <w:rFonts w:eastAsia="等线"/>
                <w:kern w:val="0"/>
                <w:sz w:val="18"/>
                <w:szCs w:val="18"/>
              </w:rPr>
            </w:pPr>
            <w:r>
              <w:rPr>
                <w:rFonts w:eastAsia="等线"/>
                <w:kern w:val="0"/>
                <w:sz w:val="18"/>
                <w:szCs w:val="18"/>
              </w:rPr>
              <w:t>40°59'39.52"N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884</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3.27</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7</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880.73</w:t>
            </w:r>
          </w:p>
        </w:tc>
        <w:tc>
          <w:tcPr>
            <w:tcW w:w="708" w:type="dxa"/>
            <w:vMerge w:val="continue"/>
            <w:shd w:val="clear" w:color="auto" w:fill="auto"/>
            <w:noWrap/>
            <w:vAlign w:val="center"/>
          </w:tcPr>
          <w:p>
            <w:pPr>
              <w:adjustRightInd w:val="0"/>
              <w:snapToGrid w:val="0"/>
              <w:jc w:val="center"/>
              <w:rPr>
                <w:rFonts w:eastAsia="等线"/>
                <w:kern w:val="0"/>
                <w:sz w:val="18"/>
                <w:szCs w:val="18"/>
              </w:rPr>
            </w:pPr>
          </w:p>
        </w:tc>
        <w:tc>
          <w:tcPr>
            <w:tcW w:w="1658" w:type="dxa"/>
            <w:vMerge w:val="continue"/>
            <w:vAlign w:val="center"/>
          </w:tcPr>
          <w:p>
            <w:pPr>
              <w:adjustRightInd w:val="0"/>
              <w:snapToGrid w:val="0"/>
              <w:jc w:val="center"/>
              <w:rPr>
                <w:rFonts w:eastAsia="等线"/>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G8</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凯拓商砼水泥厂内水井</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117°42'15.26"E</w:t>
            </w:r>
          </w:p>
          <w:p>
            <w:pPr>
              <w:adjustRightInd w:val="0"/>
              <w:snapToGrid w:val="0"/>
              <w:ind w:left="-105" w:leftChars="-50" w:right="-105" w:rightChars="-50"/>
              <w:jc w:val="center"/>
              <w:rPr>
                <w:rFonts w:eastAsia="等线"/>
                <w:kern w:val="0"/>
                <w:sz w:val="18"/>
                <w:szCs w:val="18"/>
              </w:rPr>
            </w:pPr>
            <w:r>
              <w:rPr>
                <w:rFonts w:eastAsia="等线"/>
                <w:kern w:val="0"/>
                <w:sz w:val="18"/>
                <w:szCs w:val="18"/>
              </w:rPr>
              <w:t>41°59'16.06"N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886</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4.76</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20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881.24</w:t>
            </w:r>
          </w:p>
        </w:tc>
        <w:tc>
          <w:tcPr>
            <w:tcW w:w="708" w:type="dxa"/>
            <w:vMerge w:val="continue"/>
            <w:shd w:val="clear" w:color="auto" w:fill="auto"/>
            <w:vAlign w:val="center"/>
          </w:tcPr>
          <w:p>
            <w:pPr>
              <w:widowControl/>
              <w:adjustRightInd w:val="0"/>
              <w:snapToGrid w:val="0"/>
              <w:jc w:val="center"/>
              <w:rPr>
                <w:kern w:val="0"/>
                <w:sz w:val="18"/>
                <w:szCs w:val="18"/>
              </w:rPr>
            </w:pPr>
          </w:p>
        </w:tc>
        <w:tc>
          <w:tcPr>
            <w:tcW w:w="1658" w:type="dxa"/>
            <w:vAlign w:val="center"/>
          </w:tcPr>
          <w:p>
            <w:pPr>
              <w:widowControl/>
              <w:adjustRightInd w:val="0"/>
              <w:snapToGrid w:val="0"/>
              <w:jc w:val="center"/>
              <w:rPr>
                <w:kern w:val="0"/>
                <w:sz w:val="18"/>
                <w:szCs w:val="18"/>
              </w:rPr>
            </w:pPr>
            <w:r>
              <w:rPr>
                <w:sz w:val="18"/>
                <w:szCs w:val="18"/>
              </w:rPr>
              <w:t>PY2112238-001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G9</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二十三号村民井</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117°42′48.08″E</w:t>
            </w:r>
          </w:p>
          <w:p>
            <w:pPr>
              <w:widowControl/>
              <w:adjustRightInd w:val="0"/>
              <w:snapToGrid w:val="0"/>
              <w:ind w:left="-105" w:leftChars="-50" w:right="-105" w:rightChars="-50"/>
              <w:jc w:val="center"/>
              <w:rPr>
                <w:rFonts w:eastAsia="等线"/>
                <w:kern w:val="0"/>
                <w:sz w:val="18"/>
                <w:szCs w:val="18"/>
              </w:rPr>
            </w:pPr>
            <w:r>
              <w:rPr>
                <w:rFonts w:eastAsia="等线"/>
                <w:kern w:val="0"/>
                <w:sz w:val="18"/>
                <w:szCs w:val="18"/>
              </w:rPr>
              <w:t>41°59′11.91″N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884.5</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5.8</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8</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878.7</w:t>
            </w:r>
          </w:p>
        </w:tc>
        <w:tc>
          <w:tcPr>
            <w:tcW w:w="708" w:type="dxa"/>
            <w:shd w:val="clear" w:color="auto" w:fill="auto"/>
            <w:vAlign w:val="center"/>
          </w:tcPr>
          <w:p>
            <w:pPr>
              <w:widowControl/>
              <w:adjustRightInd w:val="0"/>
              <w:snapToGrid w:val="0"/>
              <w:jc w:val="center"/>
              <w:rPr>
                <w:kern w:val="0"/>
                <w:sz w:val="18"/>
                <w:szCs w:val="18"/>
              </w:rPr>
            </w:pPr>
            <w:r>
              <w:rPr>
                <w:kern w:val="0"/>
                <w:sz w:val="18"/>
                <w:szCs w:val="18"/>
              </w:rPr>
              <w:t>水位</w:t>
            </w:r>
          </w:p>
        </w:tc>
        <w:tc>
          <w:tcPr>
            <w:tcW w:w="1658" w:type="dxa"/>
            <w:vAlign w:val="center"/>
          </w:tcPr>
          <w:p>
            <w:pPr>
              <w:widowControl/>
              <w:adjustRightInd w:val="0"/>
              <w:snapToGrid w:val="0"/>
              <w:jc w:val="center"/>
              <w:rPr>
                <w:kern w:val="0"/>
                <w:sz w:val="18"/>
                <w:szCs w:val="18"/>
              </w:rPr>
            </w:pPr>
            <w:r>
              <w:rPr>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G10</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承德森禧木业厂内钻孔1</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117°42'41.65"E</w:t>
            </w:r>
          </w:p>
          <w:p>
            <w:pPr>
              <w:adjustRightInd w:val="0"/>
              <w:snapToGrid w:val="0"/>
              <w:ind w:left="-105" w:leftChars="-50" w:right="-105" w:rightChars="-50"/>
              <w:jc w:val="center"/>
              <w:rPr>
                <w:rFonts w:eastAsia="等线"/>
                <w:kern w:val="0"/>
                <w:sz w:val="18"/>
                <w:szCs w:val="18"/>
              </w:rPr>
            </w:pPr>
            <w:r>
              <w:rPr>
                <w:rFonts w:eastAsia="等线"/>
                <w:kern w:val="0"/>
                <w:sz w:val="18"/>
                <w:szCs w:val="18"/>
              </w:rPr>
              <w:t>41°59'2.38"N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881</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hint="eastAsia" w:eastAsia="等线"/>
                <w:kern w:val="0"/>
                <w:sz w:val="18"/>
                <w:szCs w:val="18"/>
              </w:rPr>
              <w:t>3</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10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878</w:t>
            </w:r>
          </w:p>
        </w:tc>
        <w:tc>
          <w:tcPr>
            <w:tcW w:w="708" w:type="dxa"/>
            <w:shd w:val="clear" w:color="auto" w:fill="auto"/>
            <w:vAlign w:val="center"/>
          </w:tcPr>
          <w:p>
            <w:pPr>
              <w:widowControl/>
              <w:adjustRightInd w:val="0"/>
              <w:snapToGrid w:val="0"/>
              <w:jc w:val="center"/>
              <w:rPr>
                <w:kern w:val="0"/>
                <w:sz w:val="18"/>
                <w:szCs w:val="18"/>
              </w:rPr>
            </w:pPr>
            <w:r>
              <w:rPr>
                <w:kern w:val="0"/>
                <w:sz w:val="18"/>
                <w:szCs w:val="18"/>
              </w:rPr>
              <w:t>水位</w:t>
            </w:r>
          </w:p>
        </w:tc>
        <w:tc>
          <w:tcPr>
            <w:tcW w:w="1658" w:type="dxa"/>
            <w:vAlign w:val="center"/>
          </w:tcPr>
          <w:p>
            <w:pPr>
              <w:widowControl/>
              <w:adjustRightInd w:val="0"/>
              <w:snapToGrid w:val="0"/>
              <w:jc w:val="center"/>
              <w:rPr>
                <w:kern w:val="0"/>
                <w:sz w:val="18"/>
                <w:szCs w:val="18"/>
              </w:rPr>
            </w:pPr>
            <w:r>
              <w:rPr>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G11</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二十二号民井</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118°42'37.77"E</w:t>
            </w:r>
          </w:p>
          <w:p>
            <w:pPr>
              <w:widowControl/>
              <w:adjustRightInd w:val="0"/>
              <w:snapToGrid w:val="0"/>
              <w:ind w:left="-105" w:leftChars="-50" w:right="-105" w:rightChars="-50"/>
              <w:jc w:val="center"/>
              <w:rPr>
                <w:rFonts w:eastAsia="等线"/>
                <w:kern w:val="0"/>
                <w:sz w:val="18"/>
                <w:szCs w:val="18"/>
              </w:rPr>
            </w:pPr>
            <w:r>
              <w:rPr>
                <w:rFonts w:eastAsia="等线"/>
                <w:kern w:val="0"/>
                <w:sz w:val="18"/>
                <w:szCs w:val="18"/>
              </w:rPr>
              <w:t>40°59'26.67"N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879.9</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eastAsia="等线"/>
                <w:kern w:val="0"/>
                <w:sz w:val="18"/>
                <w:szCs w:val="18"/>
              </w:rPr>
              <w:t>2.7</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8</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877.2</w:t>
            </w:r>
          </w:p>
        </w:tc>
        <w:tc>
          <w:tcPr>
            <w:tcW w:w="708" w:type="dxa"/>
            <w:vAlign w:val="center"/>
          </w:tcPr>
          <w:p>
            <w:pPr>
              <w:widowControl/>
              <w:adjustRightInd w:val="0"/>
              <w:snapToGrid w:val="0"/>
              <w:jc w:val="center"/>
              <w:rPr>
                <w:kern w:val="0"/>
                <w:sz w:val="18"/>
                <w:szCs w:val="18"/>
              </w:rPr>
            </w:pPr>
            <w:r>
              <w:rPr>
                <w:kern w:val="0"/>
                <w:sz w:val="18"/>
                <w:szCs w:val="18"/>
              </w:rPr>
              <w:t>水质、水位</w:t>
            </w:r>
          </w:p>
        </w:tc>
        <w:tc>
          <w:tcPr>
            <w:tcW w:w="1658" w:type="dxa"/>
            <w:vAlign w:val="center"/>
          </w:tcPr>
          <w:p>
            <w:pPr>
              <w:widowControl/>
              <w:adjustRightInd w:val="0"/>
              <w:snapToGrid w:val="0"/>
              <w:jc w:val="center"/>
              <w:rPr>
                <w:kern w:val="0"/>
                <w:sz w:val="18"/>
                <w:szCs w:val="18"/>
              </w:rPr>
            </w:pPr>
            <w:r>
              <w:rPr>
                <w:kern w:val="0"/>
                <w:sz w:val="18"/>
                <w:szCs w:val="18"/>
              </w:rPr>
              <w:t>PY2107246-001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G12</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承德森禧木业厂内钻孔2</w:t>
            </w:r>
          </w:p>
        </w:tc>
        <w:tc>
          <w:tcPr>
            <w:tcW w:w="1276"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eastAsia="等线"/>
                <w:kern w:val="0"/>
                <w:sz w:val="18"/>
                <w:szCs w:val="18"/>
              </w:rPr>
              <w:t>117°42'42.52"E</w:t>
            </w:r>
          </w:p>
          <w:p>
            <w:pPr>
              <w:widowControl/>
              <w:adjustRightInd w:val="0"/>
              <w:snapToGrid w:val="0"/>
              <w:ind w:left="-105" w:leftChars="-50" w:right="-105" w:rightChars="-50"/>
              <w:jc w:val="center"/>
              <w:rPr>
                <w:rFonts w:eastAsia="等线"/>
                <w:kern w:val="0"/>
                <w:sz w:val="18"/>
                <w:szCs w:val="18"/>
              </w:rPr>
            </w:pPr>
            <w:r>
              <w:rPr>
                <w:rFonts w:eastAsia="等线"/>
                <w:kern w:val="0"/>
                <w:sz w:val="18"/>
                <w:szCs w:val="18"/>
              </w:rPr>
              <w:t>41°58'54.74"N</w:t>
            </w:r>
          </w:p>
        </w:tc>
        <w:tc>
          <w:tcPr>
            <w:tcW w:w="850" w:type="dxa"/>
            <w:shd w:val="clear" w:color="auto" w:fill="auto"/>
            <w:noWrap/>
            <w:vAlign w:val="center"/>
          </w:tcPr>
          <w:p>
            <w:pPr>
              <w:widowControl/>
              <w:adjustRightInd w:val="0"/>
              <w:snapToGrid w:val="0"/>
              <w:jc w:val="center"/>
              <w:rPr>
                <w:rFonts w:eastAsia="等线"/>
                <w:kern w:val="0"/>
                <w:sz w:val="18"/>
                <w:szCs w:val="18"/>
              </w:rPr>
            </w:pPr>
            <w:r>
              <w:rPr>
                <w:rFonts w:hint="eastAsia" w:eastAsia="等线"/>
                <w:kern w:val="0"/>
                <w:sz w:val="18"/>
                <w:szCs w:val="18"/>
              </w:rPr>
              <w:t>8</w:t>
            </w:r>
            <w:r>
              <w:rPr>
                <w:rFonts w:eastAsia="等线"/>
                <w:kern w:val="0"/>
                <w:sz w:val="18"/>
                <w:szCs w:val="18"/>
              </w:rPr>
              <w:t>78.53</w:t>
            </w:r>
          </w:p>
        </w:tc>
        <w:tc>
          <w:tcPr>
            <w:tcW w:w="709" w:type="dxa"/>
            <w:shd w:val="clear" w:color="auto" w:fill="auto"/>
            <w:noWrap/>
            <w:vAlign w:val="center"/>
          </w:tcPr>
          <w:p>
            <w:pPr>
              <w:widowControl/>
              <w:adjustRightInd w:val="0"/>
              <w:snapToGrid w:val="0"/>
              <w:jc w:val="center"/>
              <w:rPr>
                <w:rFonts w:eastAsia="等线"/>
                <w:kern w:val="0"/>
                <w:sz w:val="18"/>
                <w:szCs w:val="18"/>
              </w:rPr>
            </w:pPr>
            <w:r>
              <w:rPr>
                <w:rFonts w:hint="eastAsia" w:eastAsia="等线"/>
                <w:kern w:val="0"/>
                <w:sz w:val="18"/>
                <w:szCs w:val="18"/>
              </w:rPr>
              <w:t>2</w:t>
            </w:r>
          </w:p>
        </w:tc>
        <w:tc>
          <w:tcPr>
            <w:tcW w:w="709" w:type="dxa"/>
            <w:shd w:val="clear" w:color="auto" w:fill="auto"/>
            <w:vAlign w:val="center"/>
          </w:tcPr>
          <w:p>
            <w:pPr>
              <w:widowControl/>
              <w:adjustRightInd w:val="0"/>
              <w:snapToGrid w:val="0"/>
              <w:jc w:val="center"/>
              <w:rPr>
                <w:rFonts w:eastAsia="等线"/>
                <w:kern w:val="0"/>
                <w:sz w:val="18"/>
                <w:szCs w:val="18"/>
              </w:rPr>
            </w:pPr>
            <w:r>
              <w:rPr>
                <w:rFonts w:hint="eastAsia" w:eastAsia="等线"/>
                <w:kern w:val="0"/>
                <w:sz w:val="18"/>
                <w:szCs w:val="18"/>
              </w:rPr>
              <w:t>9</w:t>
            </w:r>
            <w:r>
              <w:rPr>
                <w:rFonts w:eastAsia="等线"/>
                <w:kern w:val="0"/>
                <w:sz w:val="18"/>
                <w:szCs w:val="18"/>
              </w:rPr>
              <w:t>.8</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rFonts w:hint="eastAsia" w:eastAsia="等线"/>
                <w:kern w:val="0"/>
                <w:sz w:val="18"/>
                <w:szCs w:val="18"/>
              </w:rPr>
              <w:t>8</w:t>
            </w:r>
            <w:r>
              <w:rPr>
                <w:rFonts w:eastAsia="等线"/>
                <w:kern w:val="0"/>
                <w:sz w:val="18"/>
                <w:szCs w:val="18"/>
              </w:rPr>
              <w:t>78.53</w:t>
            </w:r>
          </w:p>
        </w:tc>
        <w:tc>
          <w:tcPr>
            <w:tcW w:w="708" w:type="dxa"/>
            <w:vAlign w:val="center"/>
          </w:tcPr>
          <w:p>
            <w:pPr>
              <w:widowControl/>
              <w:adjustRightInd w:val="0"/>
              <w:snapToGrid w:val="0"/>
              <w:jc w:val="center"/>
              <w:rPr>
                <w:kern w:val="0"/>
                <w:sz w:val="18"/>
                <w:szCs w:val="18"/>
              </w:rPr>
            </w:pPr>
            <w:r>
              <w:rPr>
                <w:kern w:val="0"/>
                <w:sz w:val="18"/>
                <w:szCs w:val="18"/>
              </w:rPr>
              <w:t>水位</w:t>
            </w:r>
          </w:p>
        </w:tc>
        <w:tc>
          <w:tcPr>
            <w:tcW w:w="1658" w:type="dxa"/>
            <w:vAlign w:val="center"/>
          </w:tcPr>
          <w:p>
            <w:pPr>
              <w:widowControl/>
              <w:adjustRightInd w:val="0"/>
              <w:snapToGrid w:val="0"/>
              <w:jc w:val="center"/>
              <w:rPr>
                <w:kern w:val="0"/>
                <w:sz w:val="18"/>
                <w:szCs w:val="18"/>
              </w:rPr>
            </w:pPr>
            <w:r>
              <w:rPr>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G13</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金子村纸箱厂内水井</w:t>
            </w:r>
          </w:p>
        </w:tc>
        <w:tc>
          <w:tcPr>
            <w:tcW w:w="1276" w:type="dxa"/>
            <w:shd w:val="clear" w:color="auto" w:fill="auto"/>
            <w:noWrap/>
            <w:vAlign w:val="center"/>
          </w:tcPr>
          <w:p>
            <w:pPr>
              <w:widowControl/>
              <w:adjustRightInd w:val="0"/>
              <w:snapToGrid w:val="0"/>
              <w:ind w:left="-105" w:leftChars="-50" w:right="-105" w:rightChars="-50"/>
              <w:jc w:val="center"/>
              <w:rPr>
                <w:kern w:val="0"/>
                <w:sz w:val="18"/>
                <w:szCs w:val="18"/>
              </w:rPr>
            </w:pPr>
            <w:r>
              <w:rPr>
                <w:kern w:val="0"/>
                <w:sz w:val="18"/>
                <w:szCs w:val="18"/>
              </w:rPr>
              <w:t>117°44'1.45" E</w:t>
            </w:r>
          </w:p>
          <w:p>
            <w:pPr>
              <w:widowControl/>
              <w:adjustRightInd w:val="0"/>
              <w:snapToGrid w:val="0"/>
              <w:ind w:left="-105" w:leftChars="-50" w:right="-105" w:rightChars="-50"/>
              <w:jc w:val="center"/>
              <w:rPr>
                <w:rFonts w:eastAsia="等线"/>
                <w:kern w:val="0"/>
                <w:sz w:val="18"/>
                <w:szCs w:val="18"/>
              </w:rPr>
            </w:pPr>
            <w:r>
              <w:rPr>
                <w:kern w:val="0"/>
                <w:sz w:val="18"/>
                <w:szCs w:val="18"/>
              </w:rPr>
              <w:t>41°58'42.48" N</w:t>
            </w:r>
          </w:p>
        </w:tc>
        <w:tc>
          <w:tcPr>
            <w:tcW w:w="850" w:type="dxa"/>
            <w:shd w:val="clear" w:color="auto" w:fill="auto"/>
            <w:noWrap/>
            <w:vAlign w:val="center"/>
          </w:tcPr>
          <w:p>
            <w:pPr>
              <w:widowControl/>
              <w:adjustRightInd w:val="0"/>
              <w:snapToGrid w:val="0"/>
              <w:jc w:val="center"/>
              <w:rPr>
                <w:rFonts w:eastAsia="等线"/>
                <w:kern w:val="0"/>
                <w:sz w:val="18"/>
                <w:szCs w:val="18"/>
              </w:rPr>
            </w:pPr>
            <w:r>
              <w:rPr>
                <w:kern w:val="0"/>
                <w:sz w:val="18"/>
                <w:szCs w:val="18"/>
              </w:rPr>
              <w:t>880</w:t>
            </w:r>
          </w:p>
        </w:tc>
        <w:tc>
          <w:tcPr>
            <w:tcW w:w="709" w:type="dxa"/>
            <w:shd w:val="clear" w:color="auto" w:fill="auto"/>
            <w:noWrap/>
            <w:vAlign w:val="center"/>
          </w:tcPr>
          <w:p>
            <w:pPr>
              <w:widowControl/>
              <w:adjustRightInd w:val="0"/>
              <w:snapToGrid w:val="0"/>
              <w:jc w:val="center"/>
              <w:rPr>
                <w:rFonts w:eastAsia="等线"/>
                <w:kern w:val="0"/>
                <w:sz w:val="18"/>
                <w:szCs w:val="18"/>
              </w:rPr>
            </w:pPr>
            <w:r>
              <w:rPr>
                <w:kern w:val="0"/>
                <w:sz w:val="18"/>
                <w:szCs w:val="18"/>
              </w:rPr>
              <w:t>10.62</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15</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kern w:val="0"/>
                <w:sz w:val="18"/>
                <w:szCs w:val="18"/>
              </w:rPr>
              <w:t>869.38</w:t>
            </w:r>
          </w:p>
        </w:tc>
        <w:tc>
          <w:tcPr>
            <w:tcW w:w="708" w:type="dxa"/>
            <w:vAlign w:val="center"/>
          </w:tcPr>
          <w:p>
            <w:pPr>
              <w:widowControl/>
              <w:adjustRightInd w:val="0"/>
              <w:snapToGrid w:val="0"/>
              <w:jc w:val="center"/>
              <w:rPr>
                <w:kern w:val="0"/>
                <w:sz w:val="18"/>
                <w:szCs w:val="18"/>
              </w:rPr>
            </w:pPr>
            <w:r>
              <w:rPr>
                <w:kern w:val="0"/>
                <w:sz w:val="18"/>
                <w:szCs w:val="18"/>
              </w:rPr>
              <w:t>水位</w:t>
            </w:r>
          </w:p>
        </w:tc>
        <w:tc>
          <w:tcPr>
            <w:tcW w:w="1658" w:type="dxa"/>
            <w:vAlign w:val="center"/>
          </w:tcPr>
          <w:p>
            <w:pPr>
              <w:widowControl/>
              <w:adjustRightInd w:val="0"/>
              <w:snapToGrid w:val="0"/>
              <w:jc w:val="center"/>
              <w:rPr>
                <w:kern w:val="0"/>
                <w:sz w:val="18"/>
                <w:szCs w:val="18"/>
              </w:rPr>
            </w:pPr>
            <w:r>
              <w:rPr>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widowControl/>
              <w:adjustRightInd w:val="0"/>
              <w:snapToGrid w:val="0"/>
              <w:jc w:val="center"/>
              <w:rPr>
                <w:rFonts w:eastAsia="等线"/>
                <w:kern w:val="0"/>
                <w:sz w:val="18"/>
                <w:szCs w:val="18"/>
              </w:rPr>
            </w:pPr>
            <w:r>
              <w:rPr>
                <w:rFonts w:eastAsia="等线"/>
                <w:kern w:val="0"/>
                <w:sz w:val="18"/>
                <w:szCs w:val="18"/>
              </w:rPr>
              <w:t>G14</w:t>
            </w:r>
          </w:p>
        </w:tc>
        <w:tc>
          <w:tcPr>
            <w:tcW w:w="1319" w:type="dxa"/>
            <w:shd w:val="clear" w:color="auto" w:fill="auto"/>
            <w:noWrap/>
            <w:vAlign w:val="center"/>
          </w:tcPr>
          <w:p>
            <w:pPr>
              <w:widowControl/>
              <w:adjustRightInd w:val="0"/>
              <w:snapToGrid w:val="0"/>
              <w:jc w:val="center"/>
              <w:rPr>
                <w:kern w:val="0"/>
                <w:sz w:val="18"/>
                <w:szCs w:val="18"/>
              </w:rPr>
            </w:pPr>
            <w:r>
              <w:rPr>
                <w:kern w:val="0"/>
                <w:sz w:val="18"/>
                <w:szCs w:val="18"/>
              </w:rPr>
              <w:t>金子村民井</w:t>
            </w:r>
          </w:p>
        </w:tc>
        <w:tc>
          <w:tcPr>
            <w:tcW w:w="1276" w:type="dxa"/>
            <w:shd w:val="clear" w:color="auto" w:fill="auto"/>
            <w:noWrap/>
            <w:vAlign w:val="center"/>
          </w:tcPr>
          <w:p>
            <w:pPr>
              <w:widowControl/>
              <w:adjustRightInd w:val="0"/>
              <w:snapToGrid w:val="0"/>
              <w:ind w:left="-105" w:leftChars="-50" w:right="-105" w:rightChars="-50"/>
              <w:jc w:val="center"/>
              <w:rPr>
                <w:kern w:val="0"/>
                <w:sz w:val="18"/>
                <w:szCs w:val="18"/>
              </w:rPr>
            </w:pPr>
            <w:r>
              <w:rPr>
                <w:kern w:val="0"/>
                <w:sz w:val="18"/>
                <w:szCs w:val="18"/>
              </w:rPr>
              <w:t>117°44'36.15" E</w:t>
            </w:r>
          </w:p>
          <w:p>
            <w:pPr>
              <w:widowControl/>
              <w:adjustRightInd w:val="0"/>
              <w:snapToGrid w:val="0"/>
              <w:ind w:left="-105" w:leftChars="-50" w:right="-105" w:rightChars="-50"/>
              <w:jc w:val="center"/>
              <w:rPr>
                <w:rFonts w:eastAsia="等线"/>
                <w:kern w:val="0"/>
                <w:sz w:val="18"/>
                <w:szCs w:val="18"/>
              </w:rPr>
            </w:pPr>
            <w:r>
              <w:rPr>
                <w:kern w:val="0"/>
                <w:sz w:val="18"/>
                <w:szCs w:val="18"/>
              </w:rPr>
              <w:t>41°58'34.52" N</w:t>
            </w:r>
          </w:p>
        </w:tc>
        <w:tc>
          <w:tcPr>
            <w:tcW w:w="850" w:type="dxa"/>
            <w:shd w:val="clear" w:color="auto" w:fill="auto"/>
            <w:noWrap/>
            <w:vAlign w:val="center"/>
          </w:tcPr>
          <w:p>
            <w:pPr>
              <w:widowControl/>
              <w:adjustRightInd w:val="0"/>
              <w:snapToGrid w:val="0"/>
              <w:jc w:val="center"/>
              <w:rPr>
                <w:rFonts w:eastAsia="等线"/>
                <w:kern w:val="0"/>
                <w:sz w:val="18"/>
                <w:szCs w:val="18"/>
              </w:rPr>
            </w:pPr>
            <w:r>
              <w:rPr>
                <w:kern w:val="0"/>
                <w:sz w:val="18"/>
                <w:szCs w:val="18"/>
              </w:rPr>
              <w:t>874.65</w:t>
            </w:r>
          </w:p>
        </w:tc>
        <w:tc>
          <w:tcPr>
            <w:tcW w:w="709" w:type="dxa"/>
            <w:shd w:val="clear" w:color="auto" w:fill="auto"/>
            <w:noWrap/>
            <w:vAlign w:val="center"/>
          </w:tcPr>
          <w:p>
            <w:pPr>
              <w:widowControl/>
              <w:adjustRightInd w:val="0"/>
              <w:snapToGrid w:val="0"/>
              <w:jc w:val="center"/>
              <w:rPr>
                <w:rFonts w:eastAsia="等线"/>
                <w:kern w:val="0"/>
                <w:sz w:val="18"/>
                <w:szCs w:val="18"/>
              </w:rPr>
            </w:pPr>
            <w:r>
              <w:rPr>
                <w:kern w:val="0"/>
                <w:sz w:val="18"/>
                <w:szCs w:val="18"/>
              </w:rPr>
              <w:t>9.61</w:t>
            </w:r>
          </w:p>
        </w:tc>
        <w:tc>
          <w:tcPr>
            <w:tcW w:w="709" w:type="dxa"/>
            <w:shd w:val="clear" w:color="auto" w:fill="auto"/>
            <w:vAlign w:val="center"/>
          </w:tcPr>
          <w:p>
            <w:pPr>
              <w:widowControl/>
              <w:adjustRightInd w:val="0"/>
              <w:snapToGrid w:val="0"/>
              <w:jc w:val="center"/>
              <w:rPr>
                <w:rFonts w:eastAsia="等线"/>
                <w:kern w:val="0"/>
                <w:sz w:val="18"/>
                <w:szCs w:val="18"/>
              </w:rPr>
            </w:pPr>
            <w:r>
              <w:rPr>
                <w:rFonts w:eastAsia="等线"/>
                <w:kern w:val="0"/>
                <w:sz w:val="18"/>
                <w:szCs w:val="18"/>
              </w:rPr>
              <w:t>20</w:t>
            </w:r>
          </w:p>
        </w:tc>
        <w:tc>
          <w:tcPr>
            <w:tcW w:w="709" w:type="dxa"/>
            <w:shd w:val="clear" w:color="auto" w:fill="auto"/>
            <w:noWrap/>
            <w:vAlign w:val="center"/>
          </w:tcPr>
          <w:p>
            <w:pPr>
              <w:widowControl/>
              <w:adjustRightInd w:val="0"/>
              <w:snapToGrid w:val="0"/>
              <w:ind w:left="-105" w:leftChars="-50" w:right="-105" w:rightChars="-50"/>
              <w:jc w:val="center"/>
              <w:rPr>
                <w:rFonts w:eastAsia="等线"/>
                <w:kern w:val="0"/>
                <w:sz w:val="18"/>
                <w:szCs w:val="18"/>
              </w:rPr>
            </w:pPr>
            <w:r>
              <w:rPr>
                <w:kern w:val="0"/>
                <w:sz w:val="18"/>
                <w:szCs w:val="18"/>
              </w:rPr>
              <w:t>865.39</w:t>
            </w:r>
          </w:p>
        </w:tc>
        <w:tc>
          <w:tcPr>
            <w:tcW w:w="708" w:type="dxa"/>
            <w:vAlign w:val="center"/>
          </w:tcPr>
          <w:p>
            <w:pPr>
              <w:widowControl/>
              <w:adjustRightInd w:val="0"/>
              <w:snapToGrid w:val="0"/>
              <w:jc w:val="center"/>
              <w:rPr>
                <w:kern w:val="0"/>
                <w:sz w:val="18"/>
                <w:szCs w:val="18"/>
              </w:rPr>
            </w:pPr>
            <w:r>
              <w:rPr>
                <w:kern w:val="0"/>
                <w:sz w:val="18"/>
                <w:szCs w:val="18"/>
              </w:rPr>
              <w:t>水位</w:t>
            </w:r>
          </w:p>
        </w:tc>
        <w:tc>
          <w:tcPr>
            <w:tcW w:w="1658" w:type="dxa"/>
            <w:vAlign w:val="center"/>
          </w:tcPr>
          <w:p>
            <w:pPr>
              <w:widowControl/>
              <w:adjustRightInd w:val="0"/>
              <w:snapToGrid w:val="0"/>
              <w:jc w:val="center"/>
              <w:rPr>
                <w:kern w:val="0"/>
                <w:sz w:val="18"/>
                <w:szCs w:val="18"/>
              </w:rPr>
            </w:pPr>
            <w:r>
              <w:rPr>
                <w:kern w:val="0"/>
                <w:sz w:val="18"/>
                <w:szCs w:val="18"/>
              </w:rPr>
              <w:t>/</w:t>
            </w:r>
          </w:p>
        </w:tc>
      </w:tr>
    </w:tbl>
    <w:p>
      <w:pPr>
        <w:adjustRightInd w:val="0"/>
        <w:snapToGrid w:val="0"/>
        <w:spacing w:line="360" w:lineRule="auto"/>
        <w:ind w:firstLine="480" w:firstLineChars="200"/>
        <w:rPr>
          <w:sz w:val="24"/>
          <w:szCs w:val="24"/>
        </w:rPr>
      </w:pPr>
    </w:p>
    <w:bookmarkEnd w:id="118"/>
    <w:p>
      <w:r>
        <w:drawing>
          <wp:inline distT="0" distB="0" distL="0" distR="0">
            <wp:extent cx="5278120" cy="354457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8120" cy="3544570"/>
                    </a:xfrm>
                    <a:prstGeom prst="rect">
                      <a:avLst/>
                    </a:prstGeom>
                    <a:noFill/>
                    <a:ln>
                      <a:noFill/>
                    </a:ln>
                  </pic:spPr>
                </pic:pic>
              </a:graphicData>
            </a:graphic>
          </wp:inline>
        </w:drawing>
      </w:r>
    </w:p>
    <w:p>
      <w:pPr>
        <w:jc w:val="center"/>
        <w:rPr>
          <w:b/>
        </w:rPr>
      </w:pPr>
      <w:r>
        <w:rPr>
          <w:b/>
          <w:bCs/>
          <w:sz w:val="24"/>
          <w:szCs w:val="24"/>
        </w:rPr>
        <w:t>图4.3-3  本项目地下水环境现状监测点位图</w:t>
      </w:r>
    </w:p>
    <w:p>
      <w:pPr>
        <w:adjustRightInd w:val="0"/>
        <w:snapToGrid w:val="0"/>
        <w:spacing w:line="360" w:lineRule="auto"/>
        <w:ind w:firstLine="482" w:firstLineChars="200"/>
        <w:rPr>
          <w:b/>
          <w:sz w:val="24"/>
          <w:szCs w:val="24"/>
        </w:rPr>
      </w:pPr>
      <w:r>
        <w:rPr>
          <w:b/>
          <w:sz w:val="24"/>
          <w:szCs w:val="24"/>
        </w:rPr>
        <w:t>（2）</w:t>
      </w:r>
      <w:r>
        <w:rPr>
          <w:b/>
          <w:sz w:val="24"/>
        </w:rPr>
        <w:t>监测因子</w:t>
      </w:r>
    </w:p>
    <w:p>
      <w:pPr>
        <w:adjustRightInd w:val="0"/>
        <w:snapToGrid w:val="0"/>
        <w:spacing w:line="360" w:lineRule="auto"/>
        <w:ind w:firstLine="480" w:firstLineChars="200"/>
        <w:rPr>
          <w:rFonts w:eastAsiaTheme="minorEastAsia"/>
          <w:sz w:val="24"/>
          <w:szCs w:val="24"/>
        </w:rPr>
      </w:pPr>
      <w:r>
        <w:rPr>
          <w:rFonts w:eastAsiaTheme="minorEastAsia"/>
          <w:sz w:val="24"/>
          <w:szCs w:val="24"/>
        </w:rPr>
        <w:t>水化学因子：K</w:t>
      </w:r>
      <w:r>
        <w:rPr>
          <w:rFonts w:eastAsiaTheme="minorEastAsia"/>
          <w:sz w:val="24"/>
          <w:szCs w:val="24"/>
          <w:vertAlign w:val="superscript"/>
        </w:rPr>
        <w:t>+</w:t>
      </w:r>
      <w:r>
        <w:rPr>
          <w:rFonts w:eastAsiaTheme="minorEastAsia"/>
          <w:sz w:val="24"/>
          <w:szCs w:val="24"/>
        </w:rPr>
        <w:t>、Na</w:t>
      </w:r>
      <w:r>
        <w:rPr>
          <w:rFonts w:eastAsiaTheme="minorEastAsia"/>
          <w:sz w:val="24"/>
          <w:szCs w:val="24"/>
          <w:vertAlign w:val="superscript"/>
        </w:rPr>
        <w:t>+</w:t>
      </w:r>
      <w:r>
        <w:rPr>
          <w:rFonts w:eastAsiaTheme="minorEastAsia"/>
          <w:sz w:val="24"/>
          <w:szCs w:val="24"/>
        </w:rPr>
        <w:t>、Ca</w:t>
      </w:r>
      <w:r>
        <w:rPr>
          <w:rFonts w:eastAsiaTheme="minorEastAsia"/>
          <w:sz w:val="24"/>
          <w:szCs w:val="24"/>
          <w:vertAlign w:val="superscript"/>
        </w:rPr>
        <w:t>2+</w:t>
      </w:r>
      <w:r>
        <w:rPr>
          <w:rFonts w:eastAsiaTheme="minorEastAsia"/>
          <w:sz w:val="24"/>
          <w:szCs w:val="24"/>
        </w:rPr>
        <w:t>、Mg</w:t>
      </w:r>
      <w:r>
        <w:rPr>
          <w:rFonts w:eastAsiaTheme="minorEastAsia"/>
          <w:sz w:val="24"/>
          <w:szCs w:val="24"/>
          <w:vertAlign w:val="superscript"/>
        </w:rPr>
        <w:t>2+</w:t>
      </w:r>
      <w:r>
        <w:rPr>
          <w:rFonts w:eastAsiaTheme="minorEastAsia"/>
          <w:sz w:val="24"/>
          <w:szCs w:val="24"/>
        </w:rPr>
        <w:t>、CO</w:t>
      </w:r>
      <w:r>
        <w:rPr>
          <w:rFonts w:eastAsiaTheme="minorEastAsia"/>
          <w:sz w:val="24"/>
          <w:szCs w:val="24"/>
          <w:vertAlign w:val="subscript"/>
        </w:rPr>
        <w:t>3</w:t>
      </w:r>
      <w:r>
        <w:rPr>
          <w:rFonts w:eastAsiaTheme="minorEastAsia"/>
          <w:sz w:val="24"/>
          <w:szCs w:val="24"/>
          <w:vertAlign w:val="superscript"/>
        </w:rPr>
        <w:t>2-</w:t>
      </w:r>
      <w:r>
        <w:rPr>
          <w:rFonts w:eastAsiaTheme="minorEastAsia"/>
          <w:sz w:val="24"/>
          <w:szCs w:val="24"/>
        </w:rPr>
        <w:t>、HCO</w:t>
      </w:r>
      <w:r>
        <w:rPr>
          <w:rFonts w:eastAsiaTheme="minorEastAsia"/>
          <w:sz w:val="24"/>
          <w:szCs w:val="24"/>
          <w:vertAlign w:val="subscript"/>
        </w:rPr>
        <w:t>3</w:t>
      </w:r>
      <w:r>
        <w:rPr>
          <w:rFonts w:eastAsiaTheme="minorEastAsia"/>
          <w:sz w:val="24"/>
          <w:szCs w:val="24"/>
          <w:vertAlign w:val="superscript"/>
        </w:rPr>
        <w:t>-</w:t>
      </w:r>
      <w:r>
        <w:rPr>
          <w:rFonts w:eastAsiaTheme="minorEastAsia"/>
          <w:sz w:val="24"/>
          <w:szCs w:val="24"/>
        </w:rPr>
        <w:t>、Cl</w:t>
      </w:r>
      <w:r>
        <w:rPr>
          <w:rFonts w:eastAsiaTheme="minorEastAsia"/>
          <w:sz w:val="24"/>
          <w:szCs w:val="24"/>
          <w:vertAlign w:val="superscript"/>
        </w:rPr>
        <w:t>-</w:t>
      </w:r>
      <w:r>
        <w:rPr>
          <w:rFonts w:eastAsiaTheme="minorEastAsia"/>
          <w:sz w:val="24"/>
          <w:szCs w:val="24"/>
        </w:rPr>
        <w:t>、SO</w:t>
      </w:r>
      <w:r>
        <w:rPr>
          <w:rFonts w:eastAsiaTheme="minorEastAsia"/>
          <w:sz w:val="24"/>
          <w:szCs w:val="24"/>
          <w:vertAlign w:val="subscript"/>
        </w:rPr>
        <w:t>4</w:t>
      </w:r>
      <w:r>
        <w:rPr>
          <w:rFonts w:eastAsiaTheme="minorEastAsia"/>
          <w:sz w:val="24"/>
          <w:szCs w:val="24"/>
          <w:vertAlign w:val="superscript"/>
        </w:rPr>
        <w:t>2-</w:t>
      </w:r>
    </w:p>
    <w:p>
      <w:pPr>
        <w:adjustRightInd w:val="0"/>
        <w:snapToGrid w:val="0"/>
        <w:spacing w:line="360" w:lineRule="auto"/>
        <w:ind w:firstLine="480" w:firstLineChars="200"/>
        <w:rPr>
          <w:rFonts w:eastAsiaTheme="minorEastAsia"/>
          <w:sz w:val="24"/>
          <w:szCs w:val="24"/>
        </w:rPr>
      </w:pPr>
      <w:r>
        <w:rPr>
          <w:rFonts w:eastAsiaTheme="minorEastAsia"/>
          <w:sz w:val="24"/>
          <w:szCs w:val="24"/>
        </w:rPr>
        <w:t>基本水质因子：pH</w:t>
      </w:r>
      <w:r>
        <w:rPr>
          <w:rFonts w:hint="eastAsia" w:eastAsiaTheme="minorEastAsia"/>
          <w:sz w:val="24"/>
          <w:szCs w:val="24"/>
        </w:rPr>
        <w:t>、色度、浑浊度、总硬度、溶解性总固体、挥发酚、耗氧量、硝酸盐氮、亚硝酸盐氮、氨氮、氟化物、硫酸盐、总大肠菌群、菌落总数、氯化物、铁、锰、铜、锌、氰化物、汞、砷、硒、锑、六价铬、硫化物、碘化物、三氯甲烷、四氯化碳、阴离子表面活性剂、苯、甲苯、钴、镍、铍、钡、镉、铅</w:t>
      </w:r>
      <w:r>
        <w:rPr>
          <w:rFonts w:eastAsiaTheme="minorEastAsia"/>
          <w:sz w:val="24"/>
          <w:szCs w:val="24"/>
        </w:rPr>
        <w:t>。</w:t>
      </w:r>
    </w:p>
    <w:p>
      <w:pPr>
        <w:adjustRightInd w:val="0"/>
        <w:snapToGrid w:val="0"/>
        <w:spacing w:line="360" w:lineRule="auto"/>
        <w:ind w:firstLine="482" w:firstLineChars="200"/>
        <w:rPr>
          <w:b/>
          <w:sz w:val="24"/>
          <w:szCs w:val="24"/>
        </w:rPr>
      </w:pPr>
      <w:r>
        <w:rPr>
          <w:b/>
          <w:sz w:val="24"/>
          <w:szCs w:val="24"/>
        </w:rPr>
        <w:t>（3）监测频次</w:t>
      </w:r>
    </w:p>
    <w:p>
      <w:pPr>
        <w:adjustRightInd w:val="0"/>
        <w:snapToGrid w:val="0"/>
        <w:spacing w:line="360" w:lineRule="auto"/>
        <w:ind w:firstLine="480" w:firstLineChars="200"/>
        <w:rPr>
          <w:sz w:val="24"/>
          <w:szCs w:val="24"/>
        </w:rPr>
      </w:pPr>
      <w:r>
        <w:rPr>
          <w:sz w:val="24"/>
        </w:rPr>
        <w:t>采样</w:t>
      </w:r>
      <w:r>
        <w:rPr>
          <w:rFonts w:hint="eastAsia"/>
          <w:sz w:val="24"/>
        </w:rPr>
        <w:t>1天，监测1次</w:t>
      </w:r>
      <w:r>
        <w:rPr>
          <w:rFonts w:hint="eastAsia"/>
          <w:sz w:val="24"/>
          <w:szCs w:val="24"/>
        </w:rPr>
        <w:t>。</w:t>
      </w:r>
    </w:p>
    <w:p>
      <w:pPr>
        <w:spacing w:line="360" w:lineRule="auto"/>
        <w:ind w:firstLine="482" w:firstLineChars="200"/>
        <w:rPr>
          <w:b/>
          <w:sz w:val="24"/>
        </w:rPr>
      </w:pPr>
      <w:r>
        <w:rPr>
          <w:b/>
          <w:sz w:val="24"/>
        </w:rPr>
        <w:t>（4）监测分析方法</w:t>
      </w:r>
    </w:p>
    <w:p>
      <w:pPr>
        <w:spacing w:line="336" w:lineRule="auto"/>
        <w:ind w:firstLine="480" w:firstLineChars="200"/>
        <w:rPr>
          <w:sz w:val="24"/>
        </w:rPr>
      </w:pPr>
      <w:r>
        <w:rPr>
          <w:sz w:val="24"/>
        </w:rPr>
        <w:t>见表4.3.3-2。</w:t>
      </w:r>
    </w:p>
    <w:p>
      <w:pPr>
        <w:spacing w:line="336" w:lineRule="auto"/>
        <w:jc w:val="center"/>
        <w:rPr>
          <w:b/>
          <w:sz w:val="24"/>
        </w:rPr>
      </w:pPr>
      <w:r>
        <w:rPr>
          <w:b/>
          <w:sz w:val="24"/>
        </w:rPr>
        <w:t>表4.3.3-2  地下水监测分析方法</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2976"/>
        <w:gridCol w:w="1277"/>
        <w:gridCol w:w="30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28" w:type="pct"/>
            <w:shd w:val="clear" w:color="auto" w:fill="auto"/>
            <w:noWrap/>
            <w:vAlign w:val="center"/>
          </w:tcPr>
          <w:p>
            <w:pPr>
              <w:widowControl/>
              <w:adjustRightInd w:val="0"/>
              <w:snapToGrid w:val="0"/>
              <w:jc w:val="center"/>
              <w:rPr>
                <w:kern w:val="0"/>
                <w:sz w:val="20"/>
              </w:rPr>
            </w:pPr>
            <w:r>
              <w:rPr>
                <w:kern w:val="0"/>
                <w:sz w:val="20"/>
              </w:rPr>
              <w:t>项目名称</w:t>
            </w:r>
          </w:p>
        </w:tc>
        <w:tc>
          <w:tcPr>
            <w:tcW w:w="1745" w:type="pct"/>
            <w:shd w:val="clear" w:color="auto" w:fill="auto"/>
            <w:noWrap/>
            <w:vAlign w:val="center"/>
          </w:tcPr>
          <w:p>
            <w:pPr>
              <w:widowControl/>
              <w:adjustRightInd w:val="0"/>
              <w:snapToGrid w:val="0"/>
              <w:jc w:val="center"/>
              <w:rPr>
                <w:kern w:val="0"/>
                <w:sz w:val="20"/>
              </w:rPr>
            </w:pPr>
            <w:r>
              <w:rPr>
                <w:kern w:val="0"/>
                <w:sz w:val="20"/>
              </w:rPr>
              <w:t>标准方法及标准代号</w:t>
            </w:r>
          </w:p>
        </w:tc>
        <w:tc>
          <w:tcPr>
            <w:tcW w:w="749" w:type="pct"/>
            <w:shd w:val="clear" w:color="auto" w:fill="auto"/>
            <w:noWrap/>
            <w:vAlign w:val="center"/>
          </w:tcPr>
          <w:p>
            <w:pPr>
              <w:widowControl/>
              <w:adjustRightInd w:val="0"/>
              <w:snapToGrid w:val="0"/>
              <w:jc w:val="center"/>
              <w:rPr>
                <w:kern w:val="0"/>
                <w:sz w:val="20"/>
              </w:rPr>
            </w:pPr>
            <w:r>
              <w:rPr>
                <w:kern w:val="0"/>
                <w:sz w:val="20"/>
              </w:rPr>
              <w:t>检出限</w:t>
            </w:r>
          </w:p>
        </w:tc>
        <w:tc>
          <w:tcPr>
            <w:tcW w:w="1778" w:type="pct"/>
            <w:shd w:val="clear" w:color="auto" w:fill="auto"/>
            <w:noWrap/>
            <w:vAlign w:val="center"/>
          </w:tcPr>
          <w:p>
            <w:pPr>
              <w:widowControl/>
              <w:adjustRightInd w:val="0"/>
              <w:snapToGrid w:val="0"/>
              <w:jc w:val="center"/>
              <w:rPr>
                <w:kern w:val="0"/>
                <w:sz w:val="20"/>
              </w:rPr>
            </w:pPr>
            <w:r>
              <w:rPr>
                <w:kern w:val="0"/>
                <w:sz w:val="20"/>
              </w:rPr>
              <w:t>仪器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pH</w:t>
            </w:r>
          </w:p>
        </w:tc>
        <w:tc>
          <w:tcPr>
            <w:tcW w:w="1745" w:type="pct"/>
            <w:noWrap/>
            <w:vAlign w:val="center"/>
          </w:tcPr>
          <w:p>
            <w:pPr>
              <w:widowControl/>
              <w:adjustRightInd w:val="0"/>
              <w:snapToGrid w:val="0"/>
              <w:jc w:val="center"/>
              <w:rPr>
                <w:kern w:val="0"/>
                <w:sz w:val="20"/>
              </w:rPr>
            </w:pPr>
            <w:r>
              <w:rPr>
                <w:kern w:val="0"/>
                <w:sz w:val="20"/>
              </w:rPr>
              <w:t>水质 pH的测定 电极法HJ1147-2020</w:t>
            </w:r>
          </w:p>
        </w:tc>
        <w:tc>
          <w:tcPr>
            <w:tcW w:w="749" w:type="pct"/>
            <w:noWrap/>
            <w:vAlign w:val="center"/>
          </w:tcPr>
          <w:p>
            <w:pPr>
              <w:adjustRightInd w:val="0"/>
              <w:snapToGrid w:val="0"/>
              <w:jc w:val="center"/>
              <w:rPr>
                <w:kern w:val="0"/>
                <w:sz w:val="20"/>
              </w:rPr>
            </w:pPr>
            <w:r>
              <w:rPr>
                <w:kern w:val="0"/>
                <w:sz w:val="20"/>
              </w:rPr>
              <w:t>--</w:t>
            </w:r>
          </w:p>
        </w:tc>
        <w:tc>
          <w:tcPr>
            <w:tcW w:w="1778" w:type="pct"/>
            <w:noWrap/>
            <w:vAlign w:val="center"/>
          </w:tcPr>
          <w:p>
            <w:pPr>
              <w:adjustRightInd w:val="0"/>
              <w:snapToGrid w:val="0"/>
              <w:jc w:val="center"/>
              <w:rPr>
                <w:sz w:val="20"/>
              </w:rPr>
            </w:pPr>
            <w:r>
              <w:rPr>
                <w:sz w:val="20"/>
              </w:rPr>
              <w:t>PHBJ-260便携式pH计</w:t>
            </w:r>
          </w:p>
          <w:p>
            <w:pPr>
              <w:adjustRightInd w:val="0"/>
              <w:snapToGrid w:val="0"/>
              <w:jc w:val="center"/>
              <w:rPr>
                <w:sz w:val="20"/>
              </w:rPr>
            </w:pPr>
            <w:r>
              <w:rPr>
                <w:sz w:val="20"/>
              </w:rPr>
              <w:t>仪器编号：PY/G-1225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浑浊度</w:t>
            </w:r>
          </w:p>
        </w:tc>
        <w:tc>
          <w:tcPr>
            <w:tcW w:w="1745" w:type="pct"/>
            <w:noWrap/>
            <w:vAlign w:val="center"/>
          </w:tcPr>
          <w:p>
            <w:pPr>
              <w:widowControl/>
              <w:adjustRightInd w:val="0"/>
              <w:snapToGrid w:val="0"/>
              <w:jc w:val="center"/>
              <w:rPr>
                <w:kern w:val="0"/>
                <w:sz w:val="20"/>
              </w:rPr>
            </w:pPr>
            <w:r>
              <w:rPr>
                <w:kern w:val="0"/>
                <w:sz w:val="20"/>
              </w:rPr>
              <w:t>水质 浊度的测定 浊度计法HJ 1075-2019</w:t>
            </w:r>
          </w:p>
        </w:tc>
        <w:tc>
          <w:tcPr>
            <w:tcW w:w="749" w:type="pct"/>
            <w:noWrap/>
            <w:vAlign w:val="center"/>
          </w:tcPr>
          <w:p>
            <w:pPr>
              <w:adjustRightInd w:val="0"/>
              <w:snapToGrid w:val="0"/>
              <w:jc w:val="center"/>
              <w:rPr>
                <w:kern w:val="0"/>
                <w:sz w:val="20"/>
              </w:rPr>
            </w:pPr>
            <w:r>
              <w:rPr>
                <w:kern w:val="0"/>
                <w:sz w:val="20"/>
              </w:rPr>
              <w:t>0.3NTU</w:t>
            </w:r>
          </w:p>
        </w:tc>
        <w:tc>
          <w:tcPr>
            <w:tcW w:w="1778" w:type="pct"/>
            <w:noWrap/>
            <w:vAlign w:val="center"/>
          </w:tcPr>
          <w:p>
            <w:pPr>
              <w:adjustRightInd w:val="0"/>
              <w:snapToGrid w:val="0"/>
              <w:jc w:val="center"/>
              <w:rPr>
                <w:sz w:val="20"/>
              </w:rPr>
            </w:pPr>
            <w:r>
              <w:rPr>
                <w:sz w:val="20"/>
              </w:rPr>
              <w:t>WGZ—2000浊度计</w:t>
            </w:r>
          </w:p>
          <w:p>
            <w:pPr>
              <w:adjustRightInd w:val="0"/>
              <w:snapToGrid w:val="0"/>
              <w:jc w:val="center"/>
              <w:rPr>
                <w:sz w:val="20"/>
              </w:rPr>
            </w:pPr>
            <w:r>
              <w:rPr>
                <w:sz w:val="20"/>
              </w:rPr>
              <w:t>仪器编号：PY/G-1207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色度</w:t>
            </w:r>
          </w:p>
        </w:tc>
        <w:tc>
          <w:tcPr>
            <w:tcW w:w="1745" w:type="pct"/>
            <w:noWrap/>
            <w:vAlign w:val="center"/>
          </w:tcPr>
          <w:p>
            <w:pPr>
              <w:widowControl/>
              <w:adjustRightInd w:val="0"/>
              <w:snapToGrid w:val="0"/>
              <w:jc w:val="center"/>
              <w:rPr>
                <w:kern w:val="0"/>
                <w:sz w:val="20"/>
              </w:rPr>
            </w:pPr>
            <w:r>
              <w:rPr>
                <w:kern w:val="0"/>
                <w:sz w:val="20"/>
              </w:rPr>
              <w:t>铂-钴标准比色法 《生活饮用水标准检验方法》 感官性状和物理指标GB/T 5750.4-2006 （1.1）</w:t>
            </w:r>
          </w:p>
        </w:tc>
        <w:tc>
          <w:tcPr>
            <w:tcW w:w="749" w:type="pct"/>
            <w:noWrap/>
            <w:vAlign w:val="center"/>
          </w:tcPr>
          <w:p>
            <w:pPr>
              <w:adjustRightInd w:val="0"/>
              <w:snapToGrid w:val="0"/>
              <w:jc w:val="center"/>
              <w:rPr>
                <w:kern w:val="0"/>
                <w:sz w:val="20"/>
              </w:rPr>
            </w:pPr>
            <w:r>
              <w:rPr>
                <w:kern w:val="0"/>
                <w:sz w:val="20"/>
              </w:rPr>
              <w:t>5度</w:t>
            </w:r>
          </w:p>
        </w:tc>
        <w:tc>
          <w:tcPr>
            <w:tcW w:w="1778" w:type="pct"/>
            <w:noWrap/>
            <w:vAlign w:val="center"/>
          </w:tcPr>
          <w:p>
            <w:pPr>
              <w:adjustRightInd w:val="0"/>
              <w:snapToGrid w:val="0"/>
              <w:jc w:val="center"/>
              <w:rPr>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铜</w:t>
            </w:r>
          </w:p>
        </w:tc>
        <w:tc>
          <w:tcPr>
            <w:tcW w:w="1745" w:type="pct"/>
            <w:vMerge w:val="restart"/>
            <w:noWrap/>
            <w:vAlign w:val="center"/>
          </w:tcPr>
          <w:p>
            <w:pPr>
              <w:widowControl/>
              <w:adjustRightInd w:val="0"/>
              <w:snapToGrid w:val="0"/>
              <w:jc w:val="center"/>
              <w:rPr>
                <w:kern w:val="0"/>
                <w:sz w:val="20"/>
              </w:rPr>
            </w:pPr>
            <w:r>
              <w:rPr>
                <w:kern w:val="0"/>
                <w:sz w:val="20"/>
              </w:rPr>
              <w:t>水质 铜、锌、铅、镉的测定原子吸收分光光度法GB/T 7475-1987</w:t>
            </w:r>
          </w:p>
        </w:tc>
        <w:tc>
          <w:tcPr>
            <w:tcW w:w="749" w:type="pct"/>
            <w:noWrap/>
            <w:vAlign w:val="center"/>
          </w:tcPr>
          <w:p>
            <w:pPr>
              <w:adjustRightInd w:val="0"/>
              <w:snapToGrid w:val="0"/>
              <w:jc w:val="center"/>
              <w:rPr>
                <w:kern w:val="0"/>
                <w:sz w:val="20"/>
              </w:rPr>
            </w:pPr>
            <w:r>
              <w:rPr>
                <w:kern w:val="0"/>
                <w:sz w:val="20"/>
              </w:rPr>
              <w:t>1μg/L</w:t>
            </w:r>
          </w:p>
        </w:tc>
        <w:tc>
          <w:tcPr>
            <w:tcW w:w="1778" w:type="pct"/>
            <w:vMerge w:val="restart"/>
            <w:noWrap/>
            <w:vAlign w:val="center"/>
          </w:tcPr>
          <w:p>
            <w:pPr>
              <w:adjustRightInd w:val="0"/>
              <w:snapToGrid w:val="0"/>
              <w:jc w:val="center"/>
              <w:rPr>
                <w:sz w:val="20"/>
              </w:rPr>
            </w:pPr>
            <w:r>
              <w:rPr>
                <w:sz w:val="20"/>
              </w:rPr>
              <w:t>AA—7000原子吸收分光光度计</w:t>
            </w:r>
          </w:p>
          <w:p>
            <w:pPr>
              <w:adjustRightInd w:val="0"/>
              <w:snapToGrid w:val="0"/>
              <w:jc w:val="center"/>
              <w:rPr>
                <w:sz w:val="20"/>
              </w:rPr>
            </w:pPr>
            <w:r>
              <w:rPr>
                <w:sz w:val="20"/>
              </w:rPr>
              <w:t>仪器编号：PY/G-1103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锌</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0.05mg/L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氟化物</w:t>
            </w:r>
          </w:p>
        </w:tc>
        <w:tc>
          <w:tcPr>
            <w:tcW w:w="1745" w:type="pct"/>
            <w:noWrap/>
            <w:vAlign w:val="center"/>
          </w:tcPr>
          <w:p>
            <w:pPr>
              <w:widowControl/>
              <w:adjustRightInd w:val="0"/>
              <w:snapToGrid w:val="0"/>
              <w:jc w:val="center"/>
              <w:rPr>
                <w:kern w:val="0"/>
                <w:sz w:val="20"/>
              </w:rPr>
            </w:pPr>
            <w:r>
              <w:rPr>
                <w:kern w:val="0"/>
                <w:sz w:val="20"/>
              </w:rPr>
              <w:t>水质 氟化物的测定 氟试剂分光光度法HJ 488-2009</w:t>
            </w:r>
          </w:p>
        </w:tc>
        <w:tc>
          <w:tcPr>
            <w:tcW w:w="749" w:type="pct"/>
            <w:noWrap/>
            <w:vAlign w:val="center"/>
          </w:tcPr>
          <w:p>
            <w:pPr>
              <w:adjustRightInd w:val="0"/>
              <w:snapToGrid w:val="0"/>
              <w:jc w:val="center"/>
              <w:rPr>
                <w:kern w:val="0"/>
                <w:sz w:val="20"/>
              </w:rPr>
            </w:pPr>
            <w:r>
              <w:rPr>
                <w:kern w:val="0"/>
                <w:sz w:val="20"/>
              </w:rPr>
              <w:t>0.02mg/L</w:t>
            </w:r>
          </w:p>
        </w:tc>
        <w:tc>
          <w:tcPr>
            <w:tcW w:w="1778" w:type="pct"/>
            <w:vMerge w:val="restart"/>
            <w:noWrap/>
            <w:vAlign w:val="center"/>
          </w:tcPr>
          <w:p>
            <w:pPr>
              <w:adjustRightInd w:val="0"/>
              <w:snapToGrid w:val="0"/>
              <w:jc w:val="center"/>
              <w:rPr>
                <w:sz w:val="20"/>
              </w:rPr>
            </w:pPr>
            <w:r>
              <w:rPr>
                <w:sz w:val="20"/>
              </w:rPr>
              <w:t>N2S可见分光光度计</w:t>
            </w:r>
          </w:p>
          <w:p>
            <w:pPr>
              <w:adjustRightInd w:val="0"/>
              <w:snapToGrid w:val="0"/>
              <w:jc w:val="center"/>
              <w:rPr>
                <w:sz w:val="20"/>
              </w:rPr>
            </w:pPr>
            <w:r>
              <w:rPr>
                <w:sz w:val="20"/>
              </w:rPr>
              <w:t>仪器编号：PY/G-1204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氨氮</w:t>
            </w:r>
          </w:p>
        </w:tc>
        <w:tc>
          <w:tcPr>
            <w:tcW w:w="1745" w:type="pct"/>
            <w:noWrap/>
            <w:vAlign w:val="center"/>
          </w:tcPr>
          <w:p>
            <w:pPr>
              <w:widowControl/>
              <w:adjustRightInd w:val="0"/>
              <w:snapToGrid w:val="0"/>
              <w:jc w:val="center"/>
              <w:rPr>
                <w:kern w:val="0"/>
                <w:sz w:val="20"/>
              </w:rPr>
            </w:pPr>
            <w:r>
              <w:rPr>
                <w:kern w:val="0"/>
                <w:sz w:val="20"/>
              </w:rPr>
              <w:t>水质 氨氮的测定 纳氏试剂分光光度法HJ 535-2009</w:t>
            </w:r>
          </w:p>
        </w:tc>
        <w:tc>
          <w:tcPr>
            <w:tcW w:w="749" w:type="pct"/>
            <w:noWrap/>
            <w:vAlign w:val="center"/>
          </w:tcPr>
          <w:p>
            <w:pPr>
              <w:adjustRightInd w:val="0"/>
              <w:snapToGrid w:val="0"/>
              <w:jc w:val="center"/>
              <w:rPr>
                <w:kern w:val="0"/>
                <w:sz w:val="20"/>
              </w:rPr>
            </w:pPr>
            <w:r>
              <w:rPr>
                <w:kern w:val="0"/>
                <w:sz w:val="20"/>
              </w:rPr>
              <w:t>0.025mg/L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sz w:val="20"/>
              </w:rPr>
              <w:t>硫化物</w:t>
            </w:r>
          </w:p>
        </w:tc>
        <w:tc>
          <w:tcPr>
            <w:tcW w:w="1745" w:type="pct"/>
            <w:noWrap/>
            <w:vAlign w:val="center"/>
          </w:tcPr>
          <w:p>
            <w:pPr>
              <w:adjustRightInd w:val="0"/>
              <w:snapToGrid w:val="0"/>
              <w:jc w:val="center"/>
              <w:rPr>
                <w:kern w:val="0"/>
                <w:sz w:val="20"/>
              </w:rPr>
            </w:pPr>
            <w:r>
              <w:rPr>
                <w:sz w:val="20"/>
              </w:rPr>
              <w:t>水质 硫化物的测定 亚甲基蓝分光光度法GB/T 16489-1996</w:t>
            </w:r>
          </w:p>
        </w:tc>
        <w:tc>
          <w:tcPr>
            <w:tcW w:w="749" w:type="pct"/>
            <w:noWrap/>
            <w:vAlign w:val="center"/>
          </w:tcPr>
          <w:p>
            <w:pPr>
              <w:adjustRightInd w:val="0"/>
              <w:snapToGrid w:val="0"/>
              <w:jc w:val="center"/>
              <w:rPr>
                <w:kern w:val="0"/>
                <w:sz w:val="20"/>
              </w:rPr>
            </w:pPr>
            <w:r>
              <w:rPr>
                <w:sz w:val="20"/>
              </w:rPr>
              <w:t>0.005mg/L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碘化物</w:t>
            </w:r>
          </w:p>
        </w:tc>
        <w:tc>
          <w:tcPr>
            <w:tcW w:w="1745" w:type="pct"/>
            <w:noWrap/>
            <w:vAlign w:val="center"/>
          </w:tcPr>
          <w:p>
            <w:pPr>
              <w:adjustRightInd w:val="0"/>
              <w:snapToGrid w:val="0"/>
              <w:jc w:val="center"/>
              <w:rPr>
                <w:sz w:val="20"/>
              </w:rPr>
            </w:pPr>
            <w:r>
              <w:rPr>
                <w:sz w:val="20"/>
              </w:rPr>
              <w:t>水质 碘化物的测定 离子色谱法  HJ 778-2015</w:t>
            </w:r>
          </w:p>
        </w:tc>
        <w:tc>
          <w:tcPr>
            <w:tcW w:w="749" w:type="pct"/>
            <w:noWrap/>
            <w:vAlign w:val="center"/>
          </w:tcPr>
          <w:p>
            <w:pPr>
              <w:adjustRightInd w:val="0"/>
              <w:snapToGrid w:val="0"/>
              <w:jc w:val="center"/>
              <w:rPr>
                <w:sz w:val="20"/>
              </w:rPr>
            </w:pPr>
            <w:r>
              <w:rPr>
                <w:sz w:val="20"/>
              </w:rPr>
              <w:t>0.002mg/L</w:t>
            </w:r>
          </w:p>
        </w:tc>
        <w:tc>
          <w:tcPr>
            <w:tcW w:w="1778" w:type="pct"/>
            <w:noWrap/>
            <w:vAlign w:val="center"/>
          </w:tcPr>
          <w:p>
            <w:pPr>
              <w:adjustRightInd w:val="0"/>
              <w:snapToGrid w:val="0"/>
              <w:jc w:val="center"/>
              <w:rPr>
                <w:bCs/>
                <w:sz w:val="20"/>
              </w:rPr>
            </w:pPr>
            <w:r>
              <w:rPr>
                <w:bCs/>
                <w:sz w:val="20"/>
              </w:rPr>
              <w:t>CIC-D120离子色谱仪</w:t>
            </w:r>
          </w:p>
          <w:p>
            <w:pPr>
              <w:adjustRightInd w:val="0"/>
              <w:snapToGrid w:val="0"/>
              <w:jc w:val="center"/>
              <w:rPr>
                <w:sz w:val="20"/>
              </w:rPr>
            </w:pPr>
            <w:r>
              <w:rPr>
                <w:bCs/>
                <w:sz w:val="20"/>
              </w:rPr>
              <w:t>仪器编号：</w:t>
            </w:r>
            <w:r>
              <w:rPr>
                <w:kern w:val="0"/>
                <w:sz w:val="20"/>
              </w:rPr>
              <w:t>PY/G-1105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砷</w:t>
            </w:r>
          </w:p>
        </w:tc>
        <w:tc>
          <w:tcPr>
            <w:tcW w:w="1745" w:type="pct"/>
            <w:vMerge w:val="restart"/>
            <w:noWrap/>
            <w:vAlign w:val="center"/>
          </w:tcPr>
          <w:p>
            <w:pPr>
              <w:widowControl/>
              <w:adjustRightInd w:val="0"/>
              <w:snapToGrid w:val="0"/>
              <w:jc w:val="center"/>
              <w:rPr>
                <w:kern w:val="0"/>
                <w:sz w:val="20"/>
              </w:rPr>
            </w:pPr>
            <w:r>
              <w:rPr>
                <w:kern w:val="0"/>
                <w:sz w:val="20"/>
              </w:rPr>
              <w:t>水质 汞、砷、硒、铋和锑的测定原子荧光法HJ 694-2014</w:t>
            </w:r>
          </w:p>
        </w:tc>
        <w:tc>
          <w:tcPr>
            <w:tcW w:w="749" w:type="pct"/>
            <w:noWrap/>
            <w:vAlign w:val="center"/>
          </w:tcPr>
          <w:p>
            <w:pPr>
              <w:adjustRightInd w:val="0"/>
              <w:snapToGrid w:val="0"/>
              <w:jc w:val="center"/>
              <w:rPr>
                <w:kern w:val="0"/>
                <w:sz w:val="20"/>
              </w:rPr>
            </w:pPr>
            <w:r>
              <w:rPr>
                <w:kern w:val="0"/>
                <w:sz w:val="20"/>
              </w:rPr>
              <w:t>0.3μg/L</w:t>
            </w:r>
          </w:p>
        </w:tc>
        <w:tc>
          <w:tcPr>
            <w:tcW w:w="1778" w:type="pct"/>
            <w:vMerge w:val="restart"/>
            <w:noWrap/>
            <w:vAlign w:val="center"/>
          </w:tcPr>
          <w:p>
            <w:pPr>
              <w:adjustRightInd w:val="0"/>
              <w:snapToGrid w:val="0"/>
              <w:jc w:val="center"/>
              <w:rPr>
                <w:sz w:val="20"/>
              </w:rPr>
            </w:pPr>
            <w:r>
              <w:rPr>
                <w:sz w:val="20"/>
              </w:rPr>
              <w:t>AFS—8220原子荧光光度计</w:t>
            </w:r>
          </w:p>
          <w:p>
            <w:pPr>
              <w:adjustRightInd w:val="0"/>
              <w:snapToGrid w:val="0"/>
              <w:jc w:val="center"/>
              <w:rPr>
                <w:sz w:val="20"/>
              </w:rPr>
            </w:pPr>
            <w:r>
              <w:rPr>
                <w:sz w:val="20"/>
              </w:rPr>
              <w:t>仪器编号：PY/G-1104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汞</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0.04μg/L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硒</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sz w:val="20"/>
              </w:rPr>
              <w:t>0.4μg/L</w:t>
            </w:r>
          </w:p>
        </w:tc>
        <w:tc>
          <w:tcPr>
            <w:tcW w:w="1778" w:type="pct"/>
            <w:vMerge w:val="continue"/>
            <w:noWrap/>
            <w:vAlign w:val="center"/>
          </w:tcPr>
          <w:p>
            <w:pPr>
              <w:adjustRightInd w:val="0"/>
              <w:snapToGrid w:val="0"/>
              <w:jc w:val="center"/>
              <w:rPr>
                <w:sz w:val="20"/>
              </w:rPr>
            </w:pPr>
          </w:p>
        </w:tc>
      </w:tr>
      <w:tr>
        <w:tblPrEx>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锑</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0.2μg/L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六价铬</w:t>
            </w:r>
          </w:p>
        </w:tc>
        <w:tc>
          <w:tcPr>
            <w:tcW w:w="1745" w:type="pct"/>
            <w:noWrap/>
            <w:vAlign w:val="center"/>
          </w:tcPr>
          <w:p>
            <w:pPr>
              <w:widowControl/>
              <w:adjustRightInd w:val="0"/>
              <w:snapToGrid w:val="0"/>
              <w:jc w:val="center"/>
              <w:rPr>
                <w:kern w:val="0"/>
                <w:sz w:val="20"/>
              </w:rPr>
            </w:pPr>
            <w:r>
              <w:rPr>
                <w:kern w:val="0"/>
                <w:sz w:val="20"/>
              </w:rPr>
              <w:t>二苯碳酰二肼分光光度法 《生活饮用水标准检验方法》 金属指标GB/T 5750.6-2006（10.1）</w:t>
            </w:r>
          </w:p>
        </w:tc>
        <w:tc>
          <w:tcPr>
            <w:tcW w:w="749" w:type="pct"/>
            <w:noWrap/>
            <w:vAlign w:val="center"/>
          </w:tcPr>
          <w:p>
            <w:pPr>
              <w:adjustRightInd w:val="0"/>
              <w:snapToGrid w:val="0"/>
              <w:jc w:val="center"/>
              <w:rPr>
                <w:kern w:val="0"/>
                <w:sz w:val="20"/>
              </w:rPr>
            </w:pPr>
            <w:r>
              <w:rPr>
                <w:kern w:val="0"/>
                <w:sz w:val="20"/>
              </w:rPr>
              <w:t>0.004mg/L</w:t>
            </w:r>
          </w:p>
        </w:tc>
        <w:tc>
          <w:tcPr>
            <w:tcW w:w="1778" w:type="pct"/>
            <w:vMerge w:val="restart"/>
            <w:noWrap/>
            <w:vAlign w:val="center"/>
          </w:tcPr>
          <w:p>
            <w:pPr>
              <w:adjustRightInd w:val="0"/>
              <w:snapToGrid w:val="0"/>
              <w:jc w:val="center"/>
              <w:rPr>
                <w:sz w:val="20"/>
              </w:rPr>
            </w:pPr>
            <w:r>
              <w:rPr>
                <w:sz w:val="20"/>
              </w:rPr>
              <w:t>N2S可见分光光度计</w:t>
            </w:r>
          </w:p>
          <w:p>
            <w:pPr>
              <w:adjustRightInd w:val="0"/>
              <w:snapToGrid w:val="0"/>
              <w:jc w:val="center"/>
              <w:rPr>
                <w:sz w:val="20"/>
              </w:rPr>
            </w:pPr>
            <w:r>
              <w:rPr>
                <w:sz w:val="20"/>
              </w:rPr>
              <w:t>仪器编号：PY/G-1204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氰化物</w:t>
            </w:r>
          </w:p>
        </w:tc>
        <w:tc>
          <w:tcPr>
            <w:tcW w:w="1745" w:type="pct"/>
            <w:noWrap/>
            <w:vAlign w:val="center"/>
          </w:tcPr>
          <w:p>
            <w:pPr>
              <w:widowControl/>
              <w:adjustRightInd w:val="0"/>
              <w:snapToGrid w:val="0"/>
              <w:jc w:val="center"/>
              <w:rPr>
                <w:kern w:val="0"/>
                <w:sz w:val="20"/>
              </w:rPr>
            </w:pPr>
            <w:r>
              <w:rPr>
                <w:kern w:val="0"/>
                <w:sz w:val="20"/>
              </w:rPr>
              <w:t>异烟酸-吡唑酮分光光度法 《生活饮用水标准检验方法》 无机非金属指标GB/T 5750.5-2006（4.1）</w:t>
            </w:r>
          </w:p>
        </w:tc>
        <w:tc>
          <w:tcPr>
            <w:tcW w:w="749" w:type="pct"/>
            <w:noWrap/>
            <w:vAlign w:val="center"/>
          </w:tcPr>
          <w:p>
            <w:pPr>
              <w:adjustRightInd w:val="0"/>
              <w:snapToGrid w:val="0"/>
              <w:jc w:val="center"/>
              <w:rPr>
                <w:kern w:val="0"/>
                <w:sz w:val="20"/>
              </w:rPr>
            </w:pPr>
            <w:r>
              <w:rPr>
                <w:kern w:val="0"/>
                <w:sz w:val="20"/>
              </w:rPr>
              <w:t>0.002mg/L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挥发酚</w:t>
            </w:r>
          </w:p>
        </w:tc>
        <w:tc>
          <w:tcPr>
            <w:tcW w:w="1745" w:type="pct"/>
            <w:noWrap/>
            <w:vAlign w:val="center"/>
          </w:tcPr>
          <w:p>
            <w:pPr>
              <w:widowControl/>
              <w:adjustRightInd w:val="0"/>
              <w:snapToGrid w:val="0"/>
              <w:jc w:val="center"/>
              <w:rPr>
                <w:kern w:val="0"/>
                <w:sz w:val="20"/>
              </w:rPr>
            </w:pPr>
            <w:r>
              <w:rPr>
                <w:kern w:val="0"/>
                <w:sz w:val="20"/>
              </w:rPr>
              <w:t>水质 挥发酚的测定 4-氨基安替比林分光光度法HJ 503-2009</w:t>
            </w:r>
          </w:p>
        </w:tc>
        <w:tc>
          <w:tcPr>
            <w:tcW w:w="749" w:type="pct"/>
            <w:noWrap/>
            <w:vAlign w:val="center"/>
          </w:tcPr>
          <w:p>
            <w:pPr>
              <w:adjustRightInd w:val="0"/>
              <w:snapToGrid w:val="0"/>
              <w:jc w:val="center"/>
              <w:rPr>
                <w:kern w:val="0"/>
                <w:sz w:val="20"/>
              </w:rPr>
            </w:pPr>
            <w:r>
              <w:rPr>
                <w:kern w:val="0"/>
                <w:sz w:val="20"/>
              </w:rPr>
              <w:t>萃取法</w:t>
            </w:r>
          </w:p>
          <w:p>
            <w:pPr>
              <w:adjustRightInd w:val="0"/>
              <w:snapToGrid w:val="0"/>
              <w:jc w:val="center"/>
              <w:rPr>
                <w:kern w:val="0"/>
                <w:sz w:val="20"/>
              </w:rPr>
            </w:pPr>
            <w:r>
              <w:rPr>
                <w:kern w:val="0"/>
                <w:sz w:val="20"/>
              </w:rPr>
              <w:t>0.0003mg/L</w:t>
            </w:r>
          </w:p>
        </w:tc>
        <w:tc>
          <w:tcPr>
            <w:tcW w:w="1778" w:type="pct"/>
            <w:vMerge w:val="continue"/>
            <w:noWrap/>
            <w:vAlign w:val="center"/>
          </w:tcPr>
          <w:p>
            <w:pPr>
              <w:adjustRightInd w:val="0"/>
              <w:snapToGrid w:val="0"/>
              <w:jc w:val="center"/>
              <w:rPr>
                <w:sz w:val="20"/>
              </w:rPr>
            </w:pPr>
          </w:p>
        </w:tc>
      </w:tr>
      <w:tr>
        <w:tblPrEx>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sz w:val="20"/>
              </w:rPr>
              <w:t>阴离子表面活性剂</w:t>
            </w:r>
          </w:p>
        </w:tc>
        <w:tc>
          <w:tcPr>
            <w:tcW w:w="1745" w:type="pct"/>
            <w:noWrap/>
            <w:vAlign w:val="center"/>
          </w:tcPr>
          <w:p>
            <w:pPr>
              <w:adjustRightInd w:val="0"/>
              <w:snapToGrid w:val="0"/>
              <w:jc w:val="center"/>
              <w:rPr>
                <w:kern w:val="0"/>
                <w:sz w:val="20"/>
              </w:rPr>
            </w:pPr>
            <w:r>
              <w:rPr>
                <w:sz w:val="20"/>
              </w:rPr>
              <w:t>亚甲蓝分光光度法 《生活饮用水标准检验方法》 感官性状和物理指标GB/T 5750.4-2006（10.1）</w:t>
            </w:r>
          </w:p>
        </w:tc>
        <w:tc>
          <w:tcPr>
            <w:tcW w:w="749" w:type="pct"/>
            <w:noWrap/>
            <w:vAlign w:val="center"/>
          </w:tcPr>
          <w:p>
            <w:pPr>
              <w:adjustRightInd w:val="0"/>
              <w:snapToGrid w:val="0"/>
              <w:jc w:val="center"/>
              <w:rPr>
                <w:kern w:val="0"/>
                <w:sz w:val="20"/>
              </w:rPr>
            </w:pPr>
            <w:r>
              <w:rPr>
                <w:sz w:val="20"/>
              </w:rPr>
              <w:t>0.050mg/L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硫酸盐</w:t>
            </w:r>
          </w:p>
        </w:tc>
        <w:tc>
          <w:tcPr>
            <w:tcW w:w="1745" w:type="pct"/>
            <w:noWrap/>
            <w:vAlign w:val="center"/>
          </w:tcPr>
          <w:p>
            <w:pPr>
              <w:widowControl/>
              <w:adjustRightInd w:val="0"/>
              <w:snapToGrid w:val="0"/>
              <w:jc w:val="center"/>
              <w:rPr>
                <w:kern w:val="0"/>
                <w:sz w:val="20"/>
              </w:rPr>
            </w:pPr>
            <w:r>
              <w:rPr>
                <w:kern w:val="0"/>
                <w:sz w:val="20"/>
              </w:rPr>
              <w:t>水质 硫酸盐的测定 铬酸钡分光光度法（试行）HJ/T 342-2007</w:t>
            </w:r>
          </w:p>
        </w:tc>
        <w:tc>
          <w:tcPr>
            <w:tcW w:w="749" w:type="pct"/>
            <w:noWrap/>
            <w:vAlign w:val="center"/>
          </w:tcPr>
          <w:p>
            <w:pPr>
              <w:adjustRightInd w:val="0"/>
              <w:snapToGrid w:val="0"/>
              <w:jc w:val="center"/>
              <w:rPr>
                <w:kern w:val="0"/>
                <w:sz w:val="20"/>
              </w:rPr>
            </w:pPr>
            <w:r>
              <w:rPr>
                <w:kern w:val="0"/>
                <w:sz w:val="20"/>
              </w:rPr>
              <w:t>8mg/L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硝酸盐氮</w:t>
            </w:r>
          </w:p>
        </w:tc>
        <w:tc>
          <w:tcPr>
            <w:tcW w:w="1745" w:type="pct"/>
            <w:noWrap/>
            <w:vAlign w:val="center"/>
          </w:tcPr>
          <w:p>
            <w:pPr>
              <w:widowControl/>
              <w:adjustRightInd w:val="0"/>
              <w:snapToGrid w:val="0"/>
              <w:jc w:val="center"/>
              <w:rPr>
                <w:kern w:val="0"/>
                <w:sz w:val="20"/>
              </w:rPr>
            </w:pPr>
            <w:r>
              <w:rPr>
                <w:kern w:val="0"/>
                <w:sz w:val="20"/>
              </w:rPr>
              <w:t>水质 硝酸盐氮的测定 酚二磺酸分光光度法GB/T 7480-1987</w:t>
            </w:r>
          </w:p>
        </w:tc>
        <w:tc>
          <w:tcPr>
            <w:tcW w:w="749" w:type="pct"/>
            <w:noWrap/>
            <w:vAlign w:val="center"/>
          </w:tcPr>
          <w:p>
            <w:pPr>
              <w:adjustRightInd w:val="0"/>
              <w:snapToGrid w:val="0"/>
              <w:jc w:val="center"/>
              <w:rPr>
                <w:kern w:val="0"/>
                <w:sz w:val="20"/>
              </w:rPr>
            </w:pPr>
            <w:r>
              <w:rPr>
                <w:kern w:val="0"/>
                <w:sz w:val="20"/>
              </w:rPr>
              <w:t>0.02mg/L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亚硝酸盐氮</w:t>
            </w:r>
          </w:p>
        </w:tc>
        <w:tc>
          <w:tcPr>
            <w:tcW w:w="1745" w:type="pct"/>
            <w:noWrap/>
            <w:vAlign w:val="center"/>
          </w:tcPr>
          <w:p>
            <w:pPr>
              <w:widowControl/>
              <w:adjustRightInd w:val="0"/>
              <w:snapToGrid w:val="0"/>
              <w:jc w:val="center"/>
              <w:rPr>
                <w:kern w:val="0"/>
                <w:sz w:val="20"/>
              </w:rPr>
            </w:pPr>
            <w:r>
              <w:rPr>
                <w:kern w:val="0"/>
                <w:sz w:val="20"/>
              </w:rPr>
              <w:t>水质 亚硝酸盐氮的测定 分光光度法GB/T 7493-1987</w:t>
            </w:r>
          </w:p>
        </w:tc>
        <w:tc>
          <w:tcPr>
            <w:tcW w:w="749" w:type="pct"/>
            <w:noWrap/>
            <w:vAlign w:val="center"/>
          </w:tcPr>
          <w:p>
            <w:pPr>
              <w:adjustRightInd w:val="0"/>
              <w:snapToGrid w:val="0"/>
              <w:jc w:val="center"/>
              <w:rPr>
                <w:kern w:val="0"/>
                <w:sz w:val="20"/>
              </w:rPr>
            </w:pPr>
            <w:r>
              <w:rPr>
                <w:kern w:val="0"/>
                <w:sz w:val="20"/>
              </w:rPr>
              <w:t>0.003mg/L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氯化物</w:t>
            </w:r>
          </w:p>
        </w:tc>
        <w:tc>
          <w:tcPr>
            <w:tcW w:w="1745" w:type="pct"/>
            <w:noWrap/>
            <w:vAlign w:val="center"/>
          </w:tcPr>
          <w:p>
            <w:pPr>
              <w:widowControl/>
              <w:adjustRightInd w:val="0"/>
              <w:snapToGrid w:val="0"/>
              <w:jc w:val="center"/>
              <w:rPr>
                <w:kern w:val="0"/>
                <w:sz w:val="20"/>
              </w:rPr>
            </w:pPr>
            <w:r>
              <w:rPr>
                <w:kern w:val="0"/>
                <w:sz w:val="20"/>
              </w:rPr>
              <w:t>硝酸银滴定法《生活饮用水标准检验方法》无机非金属指标GB/T5750.5-2006（2.1）</w:t>
            </w:r>
          </w:p>
        </w:tc>
        <w:tc>
          <w:tcPr>
            <w:tcW w:w="749" w:type="pct"/>
            <w:noWrap/>
            <w:vAlign w:val="center"/>
          </w:tcPr>
          <w:p>
            <w:pPr>
              <w:adjustRightInd w:val="0"/>
              <w:snapToGrid w:val="0"/>
              <w:jc w:val="center"/>
              <w:rPr>
                <w:kern w:val="0"/>
                <w:sz w:val="20"/>
              </w:rPr>
            </w:pPr>
            <w:r>
              <w:rPr>
                <w:kern w:val="0"/>
                <w:sz w:val="20"/>
              </w:rPr>
              <w:t>1.0mg/L</w:t>
            </w:r>
          </w:p>
        </w:tc>
        <w:tc>
          <w:tcPr>
            <w:tcW w:w="1778" w:type="pct"/>
            <w:noWrap/>
            <w:vAlign w:val="center"/>
          </w:tcPr>
          <w:p>
            <w:pPr>
              <w:adjustRightInd w:val="0"/>
              <w:snapToGrid w:val="0"/>
              <w:jc w:val="center"/>
              <w:rPr>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铁</w:t>
            </w:r>
          </w:p>
        </w:tc>
        <w:tc>
          <w:tcPr>
            <w:tcW w:w="1745" w:type="pct"/>
            <w:vMerge w:val="restart"/>
            <w:noWrap/>
            <w:vAlign w:val="center"/>
          </w:tcPr>
          <w:p>
            <w:pPr>
              <w:widowControl/>
              <w:adjustRightInd w:val="0"/>
              <w:snapToGrid w:val="0"/>
              <w:jc w:val="center"/>
              <w:rPr>
                <w:kern w:val="0"/>
                <w:sz w:val="20"/>
              </w:rPr>
            </w:pPr>
            <w:r>
              <w:rPr>
                <w:kern w:val="0"/>
                <w:sz w:val="20"/>
              </w:rPr>
              <w:t>水质 铁、锰的测定 火焰原子吸收分光光度法GB/T 11911-1989</w:t>
            </w:r>
          </w:p>
        </w:tc>
        <w:tc>
          <w:tcPr>
            <w:tcW w:w="749" w:type="pct"/>
            <w:noWrap/>
            <w:vAlign w:val="center"/>
          </w:tcPr>
          <w:p>
            <w:pPr>
              <w:adjustRightInd w:val="0"/>
              <w:snapToGrid w:val="0"/>
              <w:jc w:val="center"/>
              <w:rPr>
                <w:kern w:val="0"/>
                <w:sz w:val="20"/>
              </w:rPr>
            </w:pPr>
            <w:r>
              <w:rPr>
                <w:kern w:val="0"/>
                <w:sz w:val="20"/>
              </w:rPr>
              <w:t>0.03mg/L</w:t>
            </w:r>
          </w:p>
        </w:tc>
        <w:tc>
          <w:tcPr>
            <w:tcW w:w="1778" w:type="pct"/>
            <w:vMerge w:val="restart"/>
            <w:noWrap/>
            <w:vAlign w:val="center"/>
          </w:tcPr>
          <w:p>
            <w:pPr>
              <w:adjustRightInd w:val="0"/>
              <w:snapToGrid w:val="0"/>
              <w:jc w:val="center"/>
              <w:rPr>
                <w:sz w:val="20"/>
              </w:rPr>
            </w:pPr>
            <w:r>
              <w:rPr>
                <w:sz w:val="20"/>
              </w:rPr>
              <w:t>AA—7000原子吸收分光光度计</w:t>
            </w:r>
          </w:p>
          <w:p>
            <w:pPr>
              <w:adjustRightInd w:val="0"/>
              <w:snapToGrid w:val="0"/>
              <w:jc w:val="center"/>
              <w:rPr>
                <w:sz w:val="20"/>
              </w:rPr>
            </w:pPr>
            <w:r>
              <w:rPr>
                <w:sz w:val="20"/>
              </w:rPr>
              <w:t>仪器编号：PY/G-1103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锰</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0.01mg/L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CO</w:t>
            </w:r>
            <w:r>
              <w:rPr>
                <w:kern w:val="0"/>
                <w:sz w:val="20"/>
                <w:vertAlign w:val="subscript"/>
              </w:rPr>
              <w:t>3</w:t>
            </w:r>
            <w:r>
              <w:rPr>
                <w:kern w:val="0"/>
                <w:sz w:val="20"/>
                <w:vertAlign w:val="superscript"/>
              </w:rPr>
              <w:t>2-</w:t>
            </w:r>
          </w:p>
        </w:tc>
        <w:tc>
          <w:tcPr>
            <w:tcW w:w="1745" w:type="pct"/>
            <w:vMerge w:val="restart"/>
            <w:noWrap/>
            <w:vAlign w:val="center"/>
          </w:tcPr>
          <w:p>
            <w:pPr>
              <w:widowControl/>
              <w:adjustRightInd w:val="0"/>
              <w:snapToGrid w:val="0"/>
              <w:jc w:val="center"/>
              <w:rPr>
                <w:kern w:val="0"/>
                <w:sz w:val="20"/>
              </w:rPr>
            </w:pPr>
            <w:r>
              <w:rPr>
                <w:kern w:val="0"/>
                <w:sz w:val="20"/>
              </w:rPr>
              <w:t>地下水质检验方法 滴定法测定碳酸根、重碳酸根和氢氧根DZ/T 0064.49-2021</w:t>
            </w:r>
          </w:p>
        </w:tc>
        <w:tc>
          <w:tcPr>
            <w:tcW w:w="749" w:type="pct"/>
            <w:noWrap/>
            <w:vAlign w:val="center"/>
          </w:tcPr>
          <w:p>
            <w:pPr>
              <w:adjustRightInd w:val="0"/>
              <w:snapToGrid w:val="0"/>
              <w:jc w:val="center"/>
              <w:rPr>
                <w:kern w:val="0"/>
                <w:sz w:val="20"/>
              </w:rPr>
            </w:pPr>
            <w:r>
              <w:rPr>
                <w:kern w:val="0"/>
                <w:sz w:val="20"/>
              </w:rPr>
              <w:t>--</w:t>
            </w:r>
          </w:p>
        </w:tc>
        <w:tc>
          <w:tcPr>
            <w:tcW w:w="1778" w:type="pct"/>
            <w:noWrap/>
            <w:vAlign w:val="center"/>
          </w:tcPr>
          <w:p>
            <w:pPr>
              <w:adjustRightInd w:val="0"/>
              <w:snapToGrid w:val="0"/>
              <w:jc w:val="center"/>
              <w:rPr>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HCO</w:t>
            </w:r>
            <w:r>
              <w:rPr>
                <w:kern w:val="0"/>
                <w:sz w:val="20"/>
                <w:vertAlign w:val="subscript"/>
              </w:rPr>
              <w:t>3</w:t>
            </w:r>
            <w:r>
              <w:rPr>
                <w:kern w:val="0"/>
                <w:sz w:val="20"/>
                <w:vertAlign w:val="superscript"/>
              </w:rPr>
              <w:t>-</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w:t>
            </w:r>
          </w:p>
        </w:tc>
        <w:tc>
          <w:tcPr>
            <w:tcW w:w="1778" w:type="pct"/>
            <w:noWrap/>
            <w:vAlign w:val="center"/>
          </w:tcPr>
          <w:p>
            <w:pPr>
              <w:adjustRightInd w:val="0"/>
              <w:snapToGrid w:val="0"/>
              <w:jc w:val="center"/>
              <w:rPr>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Cl</w:t>
            </w:r>
            <w:r>
              <w:rPr>
                <w:kern w:val="0"/>
                <w:sz w:val="20"/>
                <w:vertAlign w:val="superscript"/>
              </w:rPr>
              <w:t>-</w:t>
            </w:r>
          </w:p>
        </w:tc>
        <w:tc>
          <w:tcPr>
            <w:tcW w:w="1745" w:type="pct"/>
            <w:vMerge w:val="restart"/>
            <w:noWrap/>
            <w:vAlign w:val="center"/>
          </w:tcPr>
          <w:p>
            <w:pPr>
              <w:widowControl/>
              <w:adjustRightInd w:val="0"/>
              <w:snapToGrid w:val="0"/>
              <w:jc w:val="center"/>
              <w:rPr>
                <w:kern w:val="0"/>
                <w:sz w:val="20"/>
              </w:rPr>
            </w:pPr>
            <w:r>
              <w:rPr>
                <w:kern w:val="0"/>
                <w:sz w:val="20"/>
              </w:rPr>
              <w:t>水质 无机阴离子（F</w:t>
            </w:r>
            <w:r>
              <w:rPr>
                <w:kern w:val="0"/>
                <w:sz w:val="20"/>
                <w:vertAlign w:val="superscript"/>
              </w:rPr>
              <w:t>-</w:t>
            </w:r>
            <w:r>
              <w:rPr>
                <w:kern w:val="0"/>
                <w:sz w:val="20"/>
              </w:rPr>
              <w:t>、Cl</w:t>
            </w:r>
            <w:r>
              <w:rPr>
                <w:kern w:val="0"/>
                <w:sz w:val="20"/>
                <w:vertAlign w:val="superscript"/>
              </w:rPr>
              <w:t>-</w:t>
            </w:r>
            <w:r>
              <w:rPr>
                <w:kern w:val="0"/>
                <w:sz w:val="20"/>
              </w:rPr>
              <w:t>、NO</w:t>
            </w:r>
            <w:r>
              <w:rPr>
                <w:kern w:val="0"/>
                <w:sz w:val="20"/>
                <w:vertAlign w:val="subscript"/>
              </w:rPr>
              <w:t>2</w:t>
            </w:r>
            <w:r>
              <w:rPr>
                <w:kern w:val="0"/>
                <w:sz w:val="20"/>
                <w:vertAlign w:val="superscript"/>
              </w:rPr>
              <w:t>-</w:t>
            </w:r>
            <w:r>
              <w:rPr>
                <w:kern w:val="0"/>
                <w:sz w:val="20"/>
              </w:rPr>
              <w:t>、Br</w:t>
            </w:r>
            <w:r>
              <w:rPr>
                <w:kern w:val="0"/>
                <w:sz w:val="20"/>
                <w:vertAlign w:val="superscript"/>
              </w:rPr>
              <w:t>-</w:t>
            </w:r>
            <w:r>
              <w:rPr>
                <w:kern w:val="0"/>
                <w:sz w:val="20"/>
              </w:rPr>
              <w:t>、NO</w:t>
            </w:r>
            <w:r>
              <w:rPr>
                <w:kern w:val="0"/>
                <w:sz w:val="20"/>
                <w:vertAlign w:val="subscript"/>
              </w:rPr>
              <w:t>3</w:t>
            </w:r>
            <w:r>
              <w:rPr>
                <w:kern w:val="0"/>
                <w:sz w:val="20"/>
                <w:vertAlign w:val="superscript"/>
              </w:rPr>
              <w:t>-</w:t>
            </w:r>
            <w:r>
              <w:rPr>
                <w:kern w:val="0"/>
                <w:sz w:val="20"/>
              </w:rPr>
              <w:t>、PO</w:t>
            </w:r>
            <w:r>
              <w:rPr>
                <w:kern w:val="0"/>
                <w:sz w:val="20"/>
                <w:vertAlign w:val="subscript"/>
              </w:rPr>
              <w:t>4</w:t>
            </w:r>
            <w:r>
              <w:rPr>
                <w:kern w:val="0"/>
                <w:sz w:val="20"/>
                <w:vertAlign w:val="superscript"/>
              </w:rPr>
              <w:t>3-</w:t>
            </w:r>
            <w:r>
              <w:rPr>
                <w:kern w:val="0"/>
                <w:sz w:val="20"/>
              </w:rPr>
              <w:t>、SO</w:t>
            </w:r>
            <w:r>
              <w:rPr>
                <w:kern w:val="0"/>
                <w:sz w:val="20"/>
                <w:vertAlign w:val="subscript"/>
              </w:rPr>
              <w:t>3</w:t>
            </w:r>
            <w:r>
              <w:rPr>
                <w:kern w:val="0"/>
                <w:sz w:val="20"/>
                <w:vertAlign w:val="superscript"/>
              </w:rPr>
              <w:t>2-</w:t>
            </w:r>
            <w:r>
              <w:rPr>
                <w:kern w:val="0"/>
                <w:sz w:val="20"/>
              </w:rPr>
              <w:t>、SO</w:t>
            </w:r>
            <w:r>
              <w:rPr>
                <w:kern w:val="0"/>
                <w:sz w:val="20"/>
                <w:vertAlign w:val="subscript"/>
              </w:rPr>
              <w:t>4</w:t>
            </w:r>
            <w:r>
              <w:rPr>
                <w:kern w:val="0"/>
                <w:sz w:val="20"/>
                <w:vertAlign w:val="superscript"/>
              </w:rPr>
              <w:t>2-</w:t>
            </w:r>
            <w:r>
              <w:rPr>
                <w:kern w:val="0"/>
                <w:sz w:val="20"/>
              </w:rPr>
              <w:t>）的测定 离子色谱法HJ 84-2016</w:t>
            </w:r>
          </w:p>
        </w:tc>
        <w:tc>
          <w:tcPr>
            <w:tcW w:w="749" w:type="pct"/>
            <w:noWrap/>
            <w:vAlign w:val="center"/>
          </w:tcPr>
          <w:p>
            <w:pPr>
              <w:adjustRightInd w:val="0"/>
              <w:snapToGrid w:val="0"/>
              <w:jc w:val="center"/>
              <w:rPr>
                <w:kern w:val="0"/>
                <w:sz w:val="20"/>
              </w:rPr>
            </w:pPr>
            <w:r>
              <w:rPr>
                <w:kern w:val="0"/>
                <w:sz w:val="20"/>
              </w:rPr>
              <w:t>0.007mg/L</w:t>
            </w:r>
          </w:p>
        </w:tc>
        <w:tc>
          <w:tcPr>
            <w:tcW w:w="1778" w:type="pct"/>
            <w:vMerge w:val="restart"/>
            <w:noWrap/>
            <w:vAlign w:val="center"/>
          </w:tcPr>
          <w:p>
            <w:pPr>
              <w:adjustRightInd w:val="0"/>
              <w:snapToGrid w:val="0"/>
              <w:jc w:val="center"/>
              <w:rPr>
                <w:sz w:val="20"/>
              </w:rPr>
            </w:pPr>
            <w:r>
              <w:rPr>
                <w:sz w:val="20"/>
              </w:rPr>
              <w:t>CIC-D120离子色谱仪</w:t>
            </w:r>
          </w:p>
          <w:p>
            <w:pPr>
              <w:adjustRightInd w:val="0"/>
              <w:snapToGrid w:val="0"/>
              <w:jc w:val="center"/>
              <w:rPr>
                <w:sz w:val="20"/>
              </w:rPr>
            </w:pPr>
            <w:r>
              <w:rPr>
                <w:sz w:val="20"/>
              </w:rPr>
              <w:t>仪器编号：PY/G-1105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SO</w:t>
            </w:r>
            <w:r>
              <w:rPr>
                <w:kern w:val="0"/>
                <w:sz w:val="20"/>
                <w:vertAlign w:val="subscript"/>
              </w:rPr>
              <w:t>4</w:t>
            </w:r>
            <w:r>
              <w:rPr>
                <w:kern w:val="0"/>
                <w:sz w:val="20"/>
                <w:vertAlign w:val="superscript"/>
              </w:rPr>
              <w:t>2-</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0.018mg/L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Na</w:t>
            </w:r>
            <w:r>
              <w:rPr>
                <w:kern w:val="0"/>
                <w:sz w:val="20"/>
                <w:vertAlign w:val="superscript"/>
              </w:rPr>
              <w:t>+</w:t>
            </w:r>
          </w:p>
        </w:tc>
        <w:tc>
          <w:tcPr>
            <w:tcW w:w="1745" w:type="pct"/>
            <w:vMerge w:val="restart"/>
            <w:noWrap/>
            <w:vAlign w:val="center"/>
          </w:tcPr>
          <w:p>
            <w:pPr>
              <w:widowControl/>
              <w:adjustRightInd w:val="0"/>
              <w:snapToGrid w:val="0"/>
              <w:jc w:val="center"/>
              <w:rPr>
                <w:kern w:val="0"/>
                <w:sz w:val="20"/>
              </w:rPr>
            </w:pPr>
            <w:r>
              <w:rPr>
                <w:kern w:val="0"/>
                <w:sz w:val="20"/>
              </w:rPr>
              <w:t>水质 可溶性阳离子（Li</w:t>
            </w:r>
            <w:r>
              <w:rPr>
                <w:kern w:val="0"/>
                <w:sz w:val="20"/>
                <w:vertAlign w:val="superscript"/>
              </w:rPr>
              <w:t>+</w:t>
            </w:r>
            <w:r>
              <w:rPr>
                <w:kern w:val="0"/>
                <w:sz w:val="20"/>
              </w:rPr>
              <w:t>、Na</w:t>
            </w:r>
            <w:r>
              <w:rPr>
                <w:kern w:val="0"/>
                <w:sz w:val="20"/>
                <w:vertAlign w:val="superscript"/>
              </w:rPr>
              <w:t>+</w:t>
            </w:r>
            <w:r>
              <w:rPr>
                <w:kern w:val="0"/>
                <w:sz w:val="20"/>
              </w:rPr>
              <w:t>、NH</w:t>
            </w:r>
            <w:r>
              <w:rPr>
                <w:kern w:val="0"/>
                <w:sz w:val="20"/>
                <w:vertAlign w:val="subscript"/>
              </w:rPr>
              <w:t>4</w:t>
            </w:r>
            <w:r>
              <w:rPr>
                <w:kern w:val="0"/>
                <w:sz w:val="20"/>
                <w:vertAlign w:val="superscript"/>
              </w:rPr>
              <w:t>+</w:t>
            </w:r>
            <w:r>
              <w:rPr>
                <w:kern w:val="0"/>
                <w:sz w:val="20"/>
              </w:rPr>
              <w:t>、K</w:t>
            </w:r>
            <w:r>
              <w:rPr>
                <w:kern w:val="0"/>
                <w:sz w:val="20"/>
                <w:vertAlign w:val="superscript"/>
              </w:rPr>
              <w:t>+</w:t>
            </w:r>
            <w:r>
              <w:rPr>
                <w:kern w:val="0"/>
                <w:sz w:val="20"/>
              </w:rPr>
              <w:t>、Ca</w:t>
            </w:r>
            <w:r>
              <w:rPr>
                <w:kern w:val="0"/>
                <w:sz w:val="20"/>
                <w:vertAlign w:val="superscript"/>
              </w:rPr>
              <w:t>2+</w:t>
            </w:r>
            <w:r>
              <w:rPr>
                <w:kern w:val="0"/>
                <w:sz w:val="20"/>
              </w:rPr>
              <w:t>、Mg</w:t>
            </w:r>
            <w:r>
              <w:rPr>
                <w:kern w:val="0"/>
                <w:sz w:val="20"/>
                <w:vertAlign w:val="superscript"/>
              </w:rPr>
              <w:t>2+</w:t>
            </w:r>
            <w:r>
              <w:rPr>
                <w:kern w:val="0"/>
                <w:sz w:val="20"/>
              </w:rPr>
              <w:t>）的测定 离子色谱法HJ 812-2016</w:t>
            </w:r>
          </w:p>
        </w:tc>
        <w:tc>
          <w:tcPr>
            <w:tcW w:w="749" w:type="pct"/>
            <w:noWrap/>
            <w:vAlign w:val="center"/>
          </w:tcPr>
          <w:p>
            <w:pPr>
              <w:adjustRightInd w:val="0"/>
              <w:snapToGrid w:val="0"/>
              <w:jc w:val="center"/>
              <w:rPr>
                <w:kern w:val="0"/>
                <w:sz w:val="20"/>
              </w:rPr>
            </w:pPr>
            <w:r>
              <w:rPr>
                <w:kern w:val="0"/>
                <w:sz w:val="20"/>
              </w:rPr>
              <w:t>0.02mg/L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K</w:t>
            </w:r>
            <w:r>
              <w:rPr>
                <w:kern w:val="0"/>
                <w:sz w:val="20"/>
                <w:vertAlign w:val="superscript"/>
              </w:rPr>
              <w:t>+</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0.02mg/L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Ca</w:t>
            </w:r>
            <w:r>
              <w:rPr>
                <w:kern w:val="0"/>
                <w:sz w:val="20"/>
                <w:vertAlign w:val="superscript"/>
              </w:rPr>
              <w:t>2+</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0.03mg/L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Mg</w:t>
            </w:r>
            <w:r>
              <w:rPr>
                <w:kern w:val="0"/>
                <w:sz w:val="20"/>
                <w:vertAlign w:val="superscript"/>
              </w:rPr>
              <w:t>2+</w:t>
            </w:r>
          </w:p>
        </w:tc>
        <w:tc>
          <w:tcPr>
            <w:tcW w:w="1745" w:type="pct"/>
            <w:vMerge w:val="continue"/>
            <w:noWrap/>
            <w:vAlign w:val="center"/>
          </w:tcPr>
          <w:p>
            <w:pPr>
              <w:widowControl/>
              <w:adjustRightInd w:val="0"/>
              <w:snapToGrid w:val="0"/>
              <w:jc w:val="center"/>
              <w:rPr>
                <w:kern w:val="0"/>
                <w:sz w:val="20"/>
              </w:rPr>
            </w:pPr>
          </w:p>
        </w:tc>
        <w:tc>
          <w:tcPr>
            <w:tcW w:w="749" w:type="pct"/>
            <w:noWrap/>
            <w:vAlign w:val="center"/>
          </w:tcPr>
          <w:p>
            <w:pPr>
              <w:adjustRightInd w:val="0"/>
              <w:snapToGrid w:val="0"/>
              <w:jc w:val="center"/>
              <w:rPr>
                <w:kern w:val="0"/>
                <w:sz w:val="20"/>
              </w:rPr>
            </w:pPr>
            <w:r>
              <w:rPr>
                <w:kern w:val="0"/>
                <w:sz w:val="20"/>
              </w:rPr>
              <w:t>0.02mg/L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总硬度</w:t>
            </w:r>
          </w:p>
        </w:tc>
        <w:tc>
          <w:tcPr>
            <w:tcW w:w="1745" w:type="pct"/>
            <w:noWrap/>
            <w:vAlign w:val="center"/>
          </w:tcPr>
          <w:p>
            <w:pPr>
              <w:widowControl/>
              <w:adjustRightInd w:val="0"/>
              <w:snapToGrid w:val="0"/>
              <w:jc w:val="center"/>
              <w:rPr>
                <w:kern w:val="0"/>
                <w:sz w:val="20"/>
              </w:rPr>
            </w:pPr>
            <w:r>
              <w:rPr>
                <w:kern w:val="0"/>
                <w:sz w:val="20"/>
              </w:rPr>
              <w:t>水质 钙和镁总量的测定 EDTA滴定法GB/T 7477-1987</w:t>
            </w:r>
          </w:p>
        </w:tc>
        <w:tc>
          <w:tcPr>
            <w:tcW w:w="749" w:type="pct"/>
            <w:noWrap/>
            <w:vAlign w:val="center"/>
          </w:tcPr>
          <w:p>
            <w:pPr>
              <w:adjustRightInd w:val="0"/>
              <w:snapToGrid w:val="0"/>
              <w:jc w:val="center"/>
              <w:rPr>
                <w:kern w:val="0"/>
                <w:sz w:val="20"/>
              </w:rPr>
            </w:pPr>
            <w:r>
              <w:rPr>
                <w:kern w:val="0"/>
                <w:sz w:val="20"/>
              </w:rPr>
              <w:t>0.05m</w:t>
            </w:r>
            <w:r>
              <w:rPr>
                <w:rFonts w:hint="eastAsia"/>
                <w:kern w:val="0"/>
                <w:sz w:val="20"/>
              </w:rPr>
              <w:t>g</w:t>
            </w:r>
            <w:r>
              <w:rPr>
                <w:kern w:val="0"/>
                <w:sz w:val="20"/>
              </w:rPr>
              <w:t>/L</w:t>
            </w:r>
          </w:p>
        </w:tc>
        <w:tc>
          <w:tcPr>
            <w:tcW w:w="1778" w:type="pct"/>
            <w:noWrap/>
            <w:vAlign w:val="center"/>
          </w:tcPr>
          <w:p>
            <w:pPr>
              <w:adjustRightInd w:val="0"/>
              <w:snapToGrid w:val="0"/>
              <w:jc w:val="center"/>
              <w:rPr>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溶解性总固体</w:t>
            </w:r>
          </w:p>
        </w:tc>
        <w:tc>
          <w:tcPr>
            <w:tcW w:w="1745" w:type="pct"/>
            <w:noWrap/>
            <w:vAlign w:val="center"/>
          </w:tcPr>
          <w:p>
            <w:pPr>
              <w:widowControl/>
              <w:adjustRightInd w:val="0"/>
              <w:snapToGrid w:val="0"/>
              <w:jc w:val="center"/>
              <w:rPr>
                <w:kern w:val="0"/>
                <w:sz w:val="20"/>
              </w:rPr>
            </w:pPr>
            <w:r>
              <w:rPr>
                <w:kern w:val="0"/>
                <w:sz w:val="20"/>
              </w:rPr>
              <w:t>称量法 《生活饮用水标准检验方法》 感官性状和物理指标GB/T 5750.4-2006 (8.1)</w:t>
            </w:r>
          </w:p>
        </w:tc>
        <w:tc>
          <w:tcPr>
            <w:tcW w:w="749" w:type="pct"/>
            <w:noWrap/>
            <w:vAlign w:val="center"/>
          </w:tcPr>
          <w:p>
            <w:pPr>
              <w:adjustRightInd w:val="0"/>
              <w:snapToGrid w:val="0"/>
              <w:jc w:val="center"/>
              <w:rPr>
                <w:kern w:val="0"/>
                <w:sz w:val="20"/>
              </w:rPr>
            </w:pPr>
            <w:r>
              <w:rPr>
                <w:kern w:val="0"/>
                <w:sz w:val="20"/>
              </w:rPr>
              <w:t>--</w:t>
            </w:r>
          </w:p>
        </w:tc>
        <w:tc>
          <w:tcPr>
            <w:tcW w:w="1778" w:type="pct"/>
            <w:noWrap/>
            <w:vAlign w:val="center"/>
          </w:tcPr>
          <w:p>
            <w:pPr>
              <w:adjustRightInd w:val="0"/>
              <w:snapToGrid w:val="0"/>
              <w:jc w:val="center"/>
              <w:rPr>
                <w:sz w:val="20"/>
              </w:rPr>
            </w:pPr>
            <w:r>
              <w:rPr>
                <w:sz w:val="20"/>
              </w:rPr>
              <w:t>FA224电子天平</w:t>
            </w:r>
          </w:p>
          <w:p>
            <w:pPr>
              <w:adjustRightInd w:val="0"/>
              <w:snapToGrid w:val="0"/>
              <w:jc w:val="center"/>
              <w:rPr>
                <w:sz w:val="20"/>
              </w:rPr>
            </w:pPr>
            <w:r>
              <w:rPr>
                <w:sz w:val="20"/>
              </w:rPr>
              <w:t>仪器编号：PY/G-3314</w:t>
            </w:r>
          </w:p>
          <w:p>
            <w:pPr>
              <w:adjustRightInd w:val="0"/>
              <w:snapToGrid w:val="0"/>
              <w:jc w:val="center"/>
              <w:rPr>
                <w:sz w:val="20"/>
              </w:rPr>
            </w:pPr>
            <w:r>
              <w:rPr>
                <w:sz w:val="20"/>
              </w:rPr>
              <w:t>101—1AB</w:t>
            </w:r>
          </w:p>
          <w:p>
            <w:pPr>
              <w:adjustRightInd w:val="0"/>
              <w:snapToGrid w:val="0"/>
              <w:jc w:val="center"/>
              <w:rPr>
                <w:sz w:val="20"/>
              </w:rPr>
            </w:pPr>
            <w:r>
              <w:rPr>
                <w:sz w:val="20"/>
              </w:rPr>
              <w:t>电热鼓风干燥箱</w:t>
            </w:r>
          </w:p>
          <w:p>
            <w:pPr>
              <w:adjustRightInd w:val="0"/>
              <w:snapToGrid w:val="0"/>
              <w:jc w:val="center"/>
              <w:rPr>
                <w:sz w:val="20"/>
              </w:rPr>
            </w:pPr>
            <w:r>
              <w:rPr>
                <w:sz w:val="20"/>
              </w:rPr>
              <w:t>仪器编号：PY/G-3211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耗氧量</w:t>
            </w:r>
          </w:p>
        </w:tc>
        <w:tc>
          <w:tcPr>
            <w:tcW w:w="1745" w:type="pct"/>
            <w:noWrap/>
            <w:vAlign w:val="center"/>
          </w:tcPr>
          <w:p>
            <w:pPr>
              <w:widowControl/>
              <w:adjustRightInd w:val="0"/>
              <w:snapToGrid w:val="0"/>
              <w:jc w:val="center"/>
              <w:rPr>
                <w:kern w:val="0"/>
                <w:sz w:val="20"/>
              </w:rPr>
            </w:pPr>
            <w:r>
              <w:rPr>
                <w:kern w:val="0"/>
                <w:sz w:val="20"/>
              </w:rPr>
              <w:t>酸性法《生活饮用水标准检验方法》有机物综合指标GB/T5750.7-2006（1.1）</w:t>
            </w:r>
          </w:p>
        </w:tc>
        <w:tc>
          <w:tcPr>
            <w:tcW w:w="749" w:type="pct"/>
            <w:noWrap/>
            <w:vAlign w:val="center"/>
          </w:tcPr>
          <w:p>
            <w:pPr>
              <w:adjustRightInd w:val="0"/>
              <w:snapToGrid w:val="0"/>
              <w:jc w:val="center"/>
              <w:rPr>
                <w:kern w:val="0"/>
                <w:sz w:val="20"/>
              </w:rPr>
            </w:pPr>
            <w:r>
              <w:rPr>
                <w:kern w:val="0"/>
                <w:sz w:val="20"/>
              </w:rPr>
              <w:t>0.05mg/L</w:t>
            </w:r>
          </w:p>
        </w:tc>
        <w:tc>
          <w:tcPr>
            <w:tcW w:w="1778" w:type="pct"/>
            <w:noWrap/>
            <w:vAlign w:val="center"/>
          </w:tcPr>
          <w:p>
            <w:pPr>
              <w:adjustRightInd w:val="0"/>
              <w:snapToGrid w:val="0"/>
              <w:jc w:val="center"/>
              <w:rPr>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总大肠菌群</w:t>
            </w:r>
          </w:p>
        </w:tc>
        <w:tc>
          <w:tcPr>
            <w:tcW w:w="1745" w:type="pct"/>
            <w:noWrap/>
            <w:vAlign w:val="center"/>
          </w:tcPr>
          <w:p>
            <w:pPr>
              <w:widowControl/>
              <w:adjustRightInd w:val="0"/>
              <w:snapToGrid w:val="0"/>
              <w:jc w:val="center"/>
              <w:rPr>
                <w:kern w:val="0"/>
                <w:sz w:val="20"/>
              </w:rPr>
            </w:pPr>
            <w:r>
              <w:rPr>
                <w:kern w:val="0"/>
                <w:sz w:val="20"/>
              </w:rPr>
              <w:t>多管发酵法《生活饮用水标准检验方法》 微生物指标GB/T 5750.12-2006（2.1）</w:t>
            </w:r>
          </w:p>
        </w:tc>
        <w:tc>
          <w:tcPr>
            <w:tcW w:w="749" w:type="pct"/>
            <w:noWrap/>
            <w:vAlign w:val="center"/>
          </w:tcPr>
          <w:p>
            <w:pPr>
              <w:adjustRightInd w:val="0"/>
              <w:snapToGrid w:val="0"/>
              <w:jc w:val="center"/>
              <w:rPr>
                <w:kern w:val="0"/>
                <w:sz w:val="20"/>
              </w:rPr>
            </w:pPr>
            <w:r>
              <w:rPr>
                <w:kern w:val="0"/>
                <w:sz w:val="20"/>
              </w:rPr>
              <w:t>--</w:t>
            </w:r>
          </w:p>
        </w:tc>
        <w:tc>
          <w:tcPr>
            <w:tcW w:w="1778" w:type="pct"/>
            <w:noWrap/>
            <w:vAlign w:val="center"/>
          </w:tcPr>
          <w:p>
            <w:pPr>
              <w:adjustRightInd w:val="0"/>
              <w:snapToGrid w:val="0"/>
              <w:jc w:val="center"/>
              <w:rPr>
                <w:sz w:val="20"/>
              </w:rPr>
            </w:pPr>
            <w:r>
              <w:rPr>
                <w:sz w:val="20"/>
              </w:rPr>
              <w:t>SPX—150BⅢ生化培养箱</w:t>
            </w:r>
          </w:p>
          <w:p>
            <w:pPr>
              <w:adjustRightInd w:val="0"/>
              <w:snapToGrid w:val="0"/>
              <w:jc w:val="center"/>
              <w:rPr>
                <w:sz w:val="20"/>
              </w:rPr>
            </w:pPr>
            <w:r>
              <w:rPr>
                <w:sz w:val="20"/>
              </w:rPr>
              <w:t>仪器编号：PY/G-3221</w:t>
            </w:r>
          </w:p>
          <w:p>
            <w:pPr>
              <w:adjustRightInd w:val="0"/>
              <w:snapToGrid w:val="0"/>
              <w:jc w:val="center"/>
              <w:rPr>
                <w:sz w:val="20"/>
              </w:rPr>
            </w:pPr>
            <w:r>
              <w:rPr>
                <w:sz w:val="20"/>
              </w:rPr>
              <w:t>使用仪器：LDZX—30L立式高压蒸汽灭菌器</w:t>
            </w:r>
          </w:p>
          <w:p>
            <w:pPr>
              <w:adjustRightInd w:val="0"/>
              <w:snapToGrid w:val="0"/>
              <w:jc w:val="center"/>
              <w:rPr>
                <w:sz w:val="20"/>
              </w:rPr>
            </w:pPr>
            <w:r>
              <w:rPr>
                <w:sz w:val="20"/>
              </w:rPr>
              <w:t>仪器编号：PY/G-3322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kern w:val="0"/>
                <w:sz w:val="20"/>
              </w:rPr>
              <w:t>菌落总数</w:t>
            </w:r>
          </w:p>
        </w:tc>
        <w:tc>
          <w:tcPr>
            <w:tcW w:w="1745" w:type="pct"/>
            <w:noWrap/>
            <w:vAlign w:val="center"/>
          </w:tcPr>
          <w:p>
            <w:pPr>
              <w:widowControl/>
              <w:adjustRightInd w:val="0"/>
              <w:snapToGrid w:val="0"/>
              <w:jc w:val="center"/>
              <w:rPr>
                <w:kern w:val="0"/>
                <w:sz w:val="20"/>
              </w:rPr>
            </w:pPr>
            <w:r>
              <w:rPr>
                <w:kern w:val="0"/>
                <w:sz w:val="20"/>
              </w:rPr>
              <w:t>平皿计数法《生活饮用水标准检验方法》 微生物指标GB/T 5750.12-2006（1.1）</w:t>
            </w:r>
          </w:p>
        </w:tc>
        <w:tc>
          <w:tcPr>
            <w:tcW w:w="749" w:type="pct"/>
            <w:noWrap/>
            <w:vAlign w:val="center"/>
          </w:tcPr>
          <w:p>
            <w:pPr>
              <w:adjustRightInd w:val="0"/>
              <w:snapToGrid w:val="0"/>
              <w:jc w:val="center"/>
              <w:rPr>
                <w:kern w:val="0"/>
                <w:sz w:val="20"/>
              </w:rPr>
            </w:pPr>
            <w:r>
              <w:rPr>
                <w:kern w:val="0"/>
                <w:sz w:val="20"/>
              </w:rPr>
              <w:t>--</w:t>
            </w:r>
          </w:p>
        </w:tc>
        <w:tc>
          <w:tcPr>
            <w:tcW w:w="1778" w:type="pct"/>
            <w:noWrap/>
            <w:vAlign w:val="center"/>
          </w:tcPr>
          <w:p>
            <w:pPr>
              <w:adjustRightInd w:val="0"/>
              <w:snapToGrid w:val="0"/>
              <w:jc w:val="center"/>
              <w:rPr>
                <w:sz w:val="20"/>
              </w:rPr>
            </w:pPr>
            <w:r>
              <w:rPr>
                <w:sz w:val="20"/>
              </w:rPr>
              <w:t>SPX—150BⅢ生化培养箱</w:t>
            </w:r>
          </w:p>
          <w:p>
            <w:pPr>
              <w:adjustRightInd w:val="0"/>
              <w:snapToGrid w:val="0"/>
              <w:jc w:val="center"/>
              <w:rPr>
                <w:sz w:val="20"/>
              </w:rPr>
            </w:pPr>
            <w:r>
              <w:rPr>
                <w:sz w:val="20"/>
              </w:rPr>
              <w:t>仪器编号：PY/G-3221</w:t>
            </w:r>
          </w:p>
          <w:p>
            <w:pPr>
              <w:adjustRightInd w:val="0"/>
              <w:snapToGrid w:val="0"/>
              <w:jc w:val="center"/>
              <w:rPr>
                <w:sz w:val="20"/>
              </w:rPr>
            </w:pPr>
            <w:r>
              <w:rPr>
                <w:sz w:val="20"/>
              </w:rPr>
              <w:t>LDZX—30L立式高压蒸汽灭菌器</w:t>
            </w:r>
          </w:p>
          <w:p>
            <w:pPr>
              <w:adjustRightInd w:val="0"/>
              <w:snapToGrid w:val="0"/>
              <w:jc w:val="center"/>
              <w:rPr>
                <w:sz w:val="20"/>
              </w:rPr>
            </w:pPr>
            <w:r>
              <w:rPr>
                <w:sz w:val="20"/>
              </w:rPr>
              <w:t>仪器编号：PY/G-3322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sz w:val="20"/>
              </w:rPr>
              <w:t>三氯甲烷</w:t>
            </w:r>
          </w:p>
        </w:tc>
        <w:tc>
          <w:tcPr>
            <w:tcW w:w="1745" w:type="pct"/>
            <w:vMerge w:val="restart"/>
            <w:noWrap/>
            <w:vAlign w:val="center"/>
          </w:tcPr>
          <w:p>
            <w:pPr>
              <w:adjustRightInd w:val="0"/>
              <w:snapToGrid w:val="0"/>
              <w:jc w:val="center"/>
              <w:rPr>
                <w:kern w:val="0"/>
                <w:sz w:val="20"/>
              </w:rPr>
            </w:pPr>
            <w:r>
              <w:rPr>
                <w:sz w:val="20"/>
              </w:rPr>
              <w:t>水质 挥发性卤代烃的测定 顶空气相色谱法HJ 620-2011</w:t>
            </w:r>
          </w:p>
        </w:tc>
        <w:tc>
          <w:tcPr>
            <w:tcW w:w="749" w:type="pct"/>
            <w:noWrap/>
            <w:vAlign w:val="center"/>
          </w:tcPr>
          <w:p>
            <w:pPr>
              <w:adjustRightInd w:val="0"/>
              <w:snapToGrid w:val="0"/>
              <w:jc w:val="center"/>
              <w:rPr>
                <w:kern w:val="0"/>
                <w:sz w:val="20"/>
              </w:rPr>
            </w:pPr>
            <w:r>
              <w:rPr>
                <w:sz w:val="20"/>
              </w:rPr>
              <w:t>0.02μg/L</w:t>
            </w:r>
          </w:p>
        </w:tc>
        <w:tc>
          <w:tcPr>
            <w:tcW w:w="1778" w:type="pct"/>
            <w:vMerge w:val="restart"/>
            <w:noWrap/>
            <w:vAlign w:val="center"/>
          </w:tcPr>
          <w:p>
            <w:pPr>
              <w:adjustRightInd w:val="0"/>
              <w:snapToGrid w:val="0"/>
              <w:jc w:val="center"/>
              <w:rPr>
                <w:bCs/>
                <w:sz w:val="20"/>
              </w:rPr>
            </w:pPr>
            <w:r>
              <w:rPr>
                <w:sz w:val="20"/>
              </w:rPr>
              <w:t>GC—2030</w:t>
            </w:r>
            <w:r>
              <w:rPr>
                <w:bCs/>
                <w:sz w:val="20"/>
              </w:rPr>
              <w:t>气相色谱仪</w:t>
            </w:r>
          </w:p>
          <w:p>
            <w:pPr>
              <w:adjustRightInd w:val="0"/>
              <w:snapToGrid w:val="0"/>
              <w:jc w:val="center"/>
              <w:rPr>
                <w:sz w:val="20"/>
              </w:rPr>
            </w:pPr>
            <w:r>
              <w:rPr>
                <w:bCs/>
                <w:sz w:val="20"/>
              </w:rPr>
              <w:t>仪器编号：</w:t>
            </w:r>
            <w:r>
              <w:rPr>
                <w:kern w:val="0"/>
                <w:sz w:val="20"/>
              </w:rPr>
              <w:t>PY/G-1101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kern w:val="0"/>
                <w:sz w:val="20"/>
              </w:rPr>
            </w:pPr>
            <w:r>
              <w:rPr>
                <w:sz w:val="20"/>
              </w:rPr>
              <w:t>四氯化碳</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kern w:val="0"/>
                <w:sz w:val="20"/>
              </w:rPr>
            </w:pPr>
            <w:r>
              <w:rPr>
                <w:sz w:val="20"/>
              </w:rPr>
              <w:t>0.03μg/L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苯</w:t>
            </w:r>
          </w:p>
        </w:tc>
        <w:tc>
          <w:tcPr>
            <w:tcW w:w="1745" w:type="pct"/>
            <w:vMerge w:val="restart"/>
            <w:noWrap/>
            <w:vAlign w:val="center"/>
          </w:tcPr>
          <w:p>
            <w:pPr>
              <w:adjustRightInd w:val="0"/>
              <w:snapToGrid w:val="0"/>
              <w:jc w:val="center"/>
              <w:rPr>
                <w:kern w:val="0"/>
                <w:sz w:val="20"/>
              </w:rPr>
            </w:pPr>
            <w:r>
              <w:rPr>
                <w:sz w:val="20"/>
              </w:rPr>
              <w:t>水质 苯系物的测定 顶空/气相色谱法HJ 1067-2019</w:t>
            </w:r>
          </w:p>
        </w:tc>
        <w:tc>
          <w:tcPr>
            <w:tcW w:w="749" w:type="pct"/>
            <w:noWrap/>
            <w:vAlign w:val="center"/>
          </w:tcPr>
          <w:p>
            <w:pPr>
              <w:adjustRightInd w:val="0"/>
              <w:snapToGrid w:val="0"/>
              <w:jc w:val="center"/>
              <w:rPr>
                <w:sz w:val="20"/>
              </w:rPr>
            </w:pPr>
            <w:r>
              <w:rPr>
                <w:sz w:val="20"/>
              </w:rPr>
              <w:t>2μg/L</w:t>
            </w:r>
          </w:p>
        </w:tc>
        <w:tc>
          <w:tcPr>
            <w:tcW w:w="1778" w:type="pct"/>
            <w:vMerge w:val="continue"/>
            <w:noWrap/>
            <w:vAlign w:val="center"/>
          </w:tcPr>
          <w:p>
            <w:pPr>
              <w:adjustRightInd w:val="0"/>
              <w:snapToGrid w:val="0"/>
              <w:jc w:val="center"/>
              <w:rPr>
                <w:sz w:val="20"/>
              </w:rPr>
            </w:pPr>
          </w:p>
        </w:tc>
      </w:tr>
      <w:tr>
        <w:tblPrEx>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甲苯</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sz w:val="20"/>
              </w:rPr>
            </w:pPr>
            <w:r>
              <w:rPr>
                <w:sz w:val="20"/>
              </w:rPr>
              <w:t>2μg/L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钴</w:t>
            </w:r>
          </w:p>
        </w:tc>
        <w:tc>
          <w:tcPr>
            <w:tcW w:w="1745" w:type="pct"/>
            <w:vMerge w:val="restart"/>
            <w:noWrap/>
            <w:vAlign w:val="center"/>
          </w:tcPr>
          <w:p>
            <w:pPr>
              <w:adjustRightInd w:val="0"/>
              <w:snapToGrid w:val="0"/>
              <w:jc w:val="center"/>
              <w:rPr>
                <w:kern w:val="0"/>
                <w:sz w:val="20"/>
              </w:rPr>
            </w:pPr>
            <w:r>
              <w:rPr>
                <w:sz w:val="20"/>
              </w:rPr>
              <w:t>水质 65种元素的测定 电感耦合等离子体质谱法HJ 700-2014</w:t>
            </w:r>
          </w:p>
        </w:tc>
        <w:tc>
          <w:tcPr>
            <w:tcW w:w="749" w:type="pct"/>
            <w:noWrap/>
            <w:vAlign w:val="center"/>
          </w:tcPr>
          <w:p>
            <w:pPr>
              <w:adjustRightInd w:val="0"/>
              <w:snapToGrid w:val="0"/>
              <w:jc w:val="center"/>
              <w:rPr>
                <w:sz w:val="20"/>
              </w:rPr>
            </w:pPr>
            <w:r>
              <w:rPr>
                <w:spacing w:val="20"/>
                <w:sz w:val="20"/>
              </w:rPr>
              <w:t>0.03μ</w:t>
            </w:r>
            <w:r>
              <w:rPr>
                <w:sz w:val="20"/>
              </w:rPr>
              <w:t>g/L</w:t>
            </w:r>
          </w:p>
        </w:tc>
        <w:tc>
          <w:tcPr>
            <w:tcW w:w="1778" w:type="pct"/>
            <w:vMerge w:val="restart"/>
            <w:noWrap/>
            <w:vAlign w:val="center"/>
          </w:tcPr>
          <w:p>
            <w:pPr>
              <w:adjustRightInd w:val="0"/>
              <w:snapToGrid w:val="0"/>
              <w:jc w:val="center"/>
              <w:rPr>
                <w:sz w:val="20"/>
              </w:rPr>
            </w:pPr>
            <w:r>
              <w:rPr>
                <w:sz w:val="20"/>
              </w:rPr>
              <w:t>ICP-MS2000E电感耦合等离子体质谱仪</w:t>
            </w:r>
          </w:p>
          <w:p>
            <w:pPr>
              <w:adjustRightInd w:val="0"/>
              <w:snapToGrid w:val="0"/>
              <w:jc w:val="center"/>
              <w:rPr>
                <w:sz w:val="20"/>
              </w:rPr>
            </w:pPr>
            <w:r>
              <w:rPr>
                <w:bCs/>
                <w:sz w:val="20"/>
              </w:rPr>
              <w:t>仪器编号：</w:t>
            </w:r>
            <w:r>
              <w:rPr>
                <w:sz w:val="20"/>
              </w:rPr>
              <w:t xml:space="preserve"> PY /G-1115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镍</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sz w:val="20"/>
              </w:rPr>
            </w:pPr>
            <w:r>
              <w:rPr>
                <w:spacing w:val="20"/>
                <w:sz w:val="20"/>
              </w:rPr>
              <w:t>0.06μ</w:t>
            </w:r>
            <w:r>
              <w:rPr>
                <w:sz w:val="20"/>
              </w:rPr>
              <w:t>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铍</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sz w:val="20"/>
              </w:rPr>
            </w:pPr>
            <w:r>
              <w:rPr>
                <w:spacing w:val="20"/>
                <w:sz w:val="20"/>
              </w:rPr>
              <w:t>0.04μ</w:t>
            </w:r>
            <w:r>
              <w:rPr>
                <w:sz w:val="20"/>
              </w:rPr>
              <w:t>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钡</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sz w:val="20"/>
              </w:rPr>
            </w:pPr>
            <w:r>
              <w:rPr>
                <w:spacing w:val="20"/>
                <w:sz w:val="20"/>
              </w:rPr>
              <w:t>0.20μ</w:t>
            </w:r>
            <w:r>
              <w:rPr>
                <w:sz w:val="20"/>
              </w:rPr>
              <w:t>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镉</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sz w:val="20"/>
              </w:rPr>
            </w:pPr>
            <w:r>
              <w:rPr>
                <w:spacing w:val="20"/>
                <w:sz w:val="20"/>
              </w:rPr>
              <w:t>0.05μ</w:t>
            </w:r>
            <w:r>
              <w:rPr>
                <w:sz w:val="20"/>
              </w:rPr>
              <w:t>g/L</w:t>
            </w:r>
          </w:p>
        </w:tc>
        <w:tc>
          <w:tcPr>
            <w:tcW w:w="1778" w:type="pct"/>
            <w:vMerge w:val="continue"/>
            <w:noWrap/>
            <w:vAlign w:val="center"/>
          </w:tcPr>
          <w:p>
            <w:pPr>
              <w:adjustRightInd w:val="0"/>
              <w:snapToGrid w:val="0"/>
              <w:jc w:val="center"/>
              <w:rPr>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shd w:val="clear" w:color="auto" w:fill="auto"/>
            <w:noWrap/>
            <w:vAlign w:val="center"/>
          </w:tcPr>
          <w:p>
            <w:pPr>
              <w:adjustRightInd w:val="0"/>
              <w:snapToGrid w:val="0"/>
              <w:jc w:val="center"/>
              <w:rPr>
                <w:sz w:val="20"/>
              </w:rPr>
            </w:pPr>
            <w:r>
              <w:rPr>
                <w:sz w:val="20"/>
              </w:rPr>
              <w:t>铅</w:t>
            </w:r>
          </w:p>
        </w:tc>
        <w:tc>
          <w:tcPr>
            <w:tcW w:w="1745" w:type="pct"/>
            <w:vMerge w:val="continue"/>
            <w:noWrap/>
            <w:vAlign w:val="center"/>
          </w:tcPr>
          <w:p>
            <w:pPr>
              <w:adjustRightInd w:val="0"/>
              <w:snapToGrid w:val="0"/>
              <w:jc w:val="center"/>
              <w:rPr>
                <w:kern w:val="0"/>
                <w:sz w:val="20"/>
              </w:rPr>
            </w:pPr>
          </w:p>
        </w:tc>
        <w:tc>
          <w:tcPr>
            <w:tcW w:w="749" w:type="pct"/>
            <w:noWrap/>
            <w:vAlign w:val="center"/>
          </w:tcPr>
          <w:p>
            <w:pPr>
              <w:adjustRightInd w:val="0"/>
              <w:snapToGrid w:val="0"/>
              <w:jc w:val="center"/>
              <w:rPr>
                <w:sz w:val="20"/>
              </w:rPr>
            </w:pPr>
            <w:r>
              <w:rPr>
                <w:spacing w:val="20"/>
                <w:sz w:val="20"/>
              </w:rPr>
              <w:t>0.09μ</w:t>
            </w:r>
            <w:r>
              <w:rPr>
                <w:sz w:val="20"/>
              </w:rPr>
              <w:t>g/L</w:t>
            </w:r>
          </w:p>
        </w:tc>
        <w:tc>
          <w:tcPr>
            <w:tcW w:w="1778" w:type="pct"/>
            <w:vMerge w:val="continue"/>
            <w:noWrap/>
            <w:vAlign w:val="center"/>
          </w:tcPr>
          <w:p>
            <w:pPr>
              <w:adjustRightInd w:val="0"/>
              <w:snapToGrid w:val="0"/>
              <w:jc w:val="center"/>
              <w:rPr>
                <w:sz w:val="20"/>
              </w:rPr>
            </w:pPr>
          </w:p>
        </w:tc>
      </w:tr>
    </w:tbl>
    <w:p>
      <w:pPr>
        <w:adjustRightInd w:val="0"/>
        <w:snapToGrid w:val="0"/>
        <w:spacing w:before="156" w:beforeLines="50" w:line="360" w:lineRule="auto"/>
        <w:ind w:firstLine="482" w:firstLineChars="200"/>
        <w:rPr>
          <w:b/>
          <w:sz w:val="24"/>
        </w:rPr>
      </w:pPr>
      <w:r>
        <w:rPr>
          <w:b/>
          <w:sz w:val="24"/>
        </w:rPr>
        <w:t>（5）评价标准及评价方法</w:t>
      </w:r>
    </w:p>
    <w:p>
      <w:pPr>
        <w:spacing w:line="336" w:lineRule="auto"/>
        <w:ind w:firstLine="480" w:firstLineChars="200"/>
        <w:rPr>
          <w:sz w:val="24"/>
        </w:rPr>
      </w:pPr>
      <w:r>
        <w:rPr>
          <w:sz w:val="24"/>
        </w:rPr>
        <w:t>采用</w:t>
      </w:r>
      <w:r>
        <w:rPr>
          <w:rFonts w:hint="eastAsia"/>
          <w:sz w:val="24"/>
        </w:rPr>
        <w:t>标准</w:t>
      </w:r>
      <w:r>
        <w:rPr>
          <w:sz w:val="24"/>
        </w:rPr>
        <w:t>指数法对地下水进行现状评价，评价标准执行《地下水质量标准》（GB/T 14848-2017）中的</w:t>
      </w:r>
      <w:r>
        <w:rPr>
          <w:rFonts w:hint="eastAsia" w:ascii="宋体" w:hAnsi="宋体" w:cs="宋体"/>
          <w:sz w:val="24"/>
        </w:rPr>
        <w:t>Ⅲ</w:t>
      </w:r>
      <w:r>
        <w:rPr>
          <w:sz w:val="24"/>
        </w:rPr>
        <w:t>类标准。</w:t>
      </w:r>
    </w:p>
    <w:p>
      <w:pPr>
        <w:spacing w:line="336" w:lineRule="auto"/>
        <w:ind w:firstLine="482" w:firstLineChars="200"/>
        <w:rPr>
          <w:b/>
          <w:sz w:val="24"/>
        </w:rPr>
      </w:pPr>
      <w:r>
        <w:rPr>
          <w:b/>
          <w:sz w:val="24"/>
        </w:rPr>
        <w:t>（6）监测结果</w:t>
      </w:r>
    </w:p>
    <w:p>
      <w:pPr>
        <w:spacing w:line="336" w:lineRule="auto"/>
        <w:ind w:firstLine="480" w:firstLineChars="200"/>
        <w:rPr>
          <w:sz w:val="24"/>
          <w:szCs w:val="24"/>
        </w:rPr>
      </w:pPr>
      <w:r>
        <w:rPr>
          <w:rFonts w:hint="eastAsia"/>
          <w:sz w:val="24"/>
          <w:szCs w:val="24"/>
        </w:rPr>
        <w:t>监测及评价</w:t>
      </w:r>
      <w:r>
        <w:rPr>
          <w:sz w:val="24"/>
          <w:szCs w:val="24"/>
        </w:rPr>
        <w:t>结果见表</w:t>
      </w:r>
      <w:r>
        <w:rPr>
          <w:rFonts w:hint="eastAsia"/>
          <w:sz w:val="24"/>
          <w:szCs w:val="24"/>
        </w:rPr>
        <w:t>4</w:t>
      </w:r>
      <w:r>
        <w:rPr>
          <w:sz w:val="24"/>
          <w:szCs w:val="24"/>
        </w:rPr>
        <w:t>.3.3-3</w:t>
      </w:r>
      <w:r>
        <w:rPr>
          <w:rFonts w:hint="eastAsia"/>
          <w:sz w:val="24"/>
          <w:szCs w:val="24"/>
        </w:rPr>
        <w:t>，现状监测统计结果见</w:t>
      </w:r>
      <w:r>
        <w:rPr>
          <w:sz w:val="24"/>
          <w:szCs w:val="24"/>
        </w:rPr>
        <w:t>表</w:t>
      </w:r>
      <w:r>
        <w:rPr>
          <w:rFonts w:hint="eastAsia"/>
          <w:sz w:val="24"/>
          <w:szCs w:val="24"/>
        </w:rPr>
        <w:t>4</w:t>
      </w:r>
      <w:r>
        <w:rPr>
          <w:sz w:val="24"/>
          <w:szCs w:val="24"/>
        </w:rPr>
        <w:t>.3.3-4</w:t>
      </w:r>
      <w:r>
        <w:rPr>
          <w:rFonts w:hint="eastAsia"/>
          <w:sz w:val="24"/>
          <w:szCs w:val="24"/>
        </w:rPr>
        <w:t>。</w:t>
      </w:r>
    </w:p>
    <w:p>
      <w:pPr>
        <w:spacing w:line="336" w:lineRule="auto"/>
        <w:ind w:firstLine="480" w:firstLineChars="200"/>
        <w:rPr>
          <w:sz w:val="24"/>
          <w:szCs w:val="24"/>
        </w:rPr>
      </w:pPr>
      <w:r>
        <w:rPr>
          <w:rFonts w:hint="eastAsia"/>
          <w:sz w:val="24"/>
          <w:szCs w:val="24"/>
        </w:rPr>
        <w:t>由</w:t>
      </w:r>
      <w:r>
        <w:rPr>
          <w:sz w:val="24"/>
          <w:szCs w:val="24"/>
        </w:rPr>
        <w:t>表</w:t>
      </w:r>
      <w:r>
        <w:rPr>
          <w:rFonts w:hint="eastAsia"/>
          <w:sz w:val="24"/>
          <w:szCs w:val="24"/>
        </w:rPr>
        <w:t>4</w:t>
      </w:r>
      <w:r>
        <w:rPr>
          <w:sz w:val="24"/>
          <w:szCs w:val="24"/>
        </w:rPr>
        <w:t>.3.3-4</w:t>
      </w:r>
      <w:r>
        <w:rPr>
          <w:rFonts w:hint="eastAsia"/>
          <w:sz w:val="24"/>
          <w:szCs w:val="24"/>
        </w:rPr>
        <w:t>可知，各监测因子的标准差在</w:t>
      </w:r>
      <w:r>
        <w:rPr>
          <w:sz w:val="24"/>
          <w:szCs w:val="24"/>
        </w:rPr>
        <w:t>0.0</w:t>
      </w:r>
      <w:r>
        <w:rPr>
          <w:rFonts w:hint="eastAsia"/>
          <w:sz w:val="24"/>
          <w:szCs w:val="24"/>
        </w:rPr>
        <w:t>~</w:t>
      </w:r>
      <w:r>
        <w:rPr>
          <w:sz w:val="24"/>
          <w:szCs w:val="24"/>
        </w:rPr>
        <w:t>99.964</w:t>
      </w:r>
      <w:r>
        <w:rPr>
          <w:rFonts w:hint="eastAsia"/>
          <w:sz w:val="24"/>
          <w:szCs w:val="24"/>
        </w:rPr>
        <w:t>之间；色度、浑浊度、挥发酚、总磷、亚硝酸盐氮、总大肠菌群、CO</w:t>
      </w:r>
      <w:r>
        <w:rPr>
          <w:sz w:val="24"/>
          <w:szCs w:val="24"/>
          <w:vertAlign w:val="subscript"/>
        </w:rPr>
        <w:t>3</w:t>
      </w:r>
      <w:r>
        <w:rPr>
          <w:sz w:val="24"/>
          <w:szCs w:val="24"/>
          <w:vertAlign w:val="superscript"/>
        </w:rPr>
        <w:t>2</w:t>
      </w:r>
      <w:r>
        <w:rPr>
          <w:rFonts w:hint="eastAsia"/>
          <w:sz w:val="24"/>
          <w:szCs w:val="24"/>
          <w:vertAlign w:val="superscript"/>
        </w:rPr>
        <w:t>-</w:t>
      </w:r>
      <w:r>
        <w:rPr>
          <w:rFonts w:hint="eastAsia"/>
          <w:sz w:val="24"/>
          <w:szCs w:val="24"/>
        </w:rPr>
        <w:t>、铁、锰、铜、锌、氰化物、汞、砷、硒、锑、六价铬、石油类、硫化物、碘化物、三氯甲烷、四氯化碳、阴离子表面活性剂、苯、甲苯、钴、镍、铍、钡、镉、铅的检出率为0%，硝酸盐氮、氟化物、K+的检出率为8</w:t>
      </w:r>
      <w:r>
        <w:rPr>
          <w:sz w:val="24"/>
          <w:szCs w:val="24"/>
        </w:rPr>
        <w:t>6</w:t>
      </w:r>
      <w:r>
        <w:rPr>
          <w:rFonts w:hint="eastAsia"/>
          <w:sz w:val="24"/>
          <w:szCs w:val="24"/>
        </w:rPr>
        <w:t>%，硫酸盐、氯化物的检出限为4</w:t>
      </w:r>
      <w:r>
        <w:rPr>
          <w:sz w:val="24"/>
          <w:szCs w:val="24"/>
        </w:rPr>
        <w:t>3</w:t>
      </w:r>
      <w:r>
        <w:rPr>
          <w:rFonts w:hint="eastAsia"/>
          <w:sz w:val="24"/>
          <w:szCs w:val="24"/>
        </w:rPr>
        <w:t>%，其余监测因子的检出率均为1</w:t>
      </w:r>
      <w:r>
        <w:rPr>
          <w:sz w:val="24"/>
          <w:szCs w:val="24"/>
        </w:rPr>
        <w:t>00</w:t>
      </w:r>
      <w:r>
        <w:rPr>
          <w:rFonts w:hint="eastAsia"/>
          <w:sz w:val="24"/>
          <w:szCs w:val="24"/>
        </w:rPr>
        <w:t>%；各监测因子的超标率均为0%。</w:t>
      </w:r>
    </w:p>
    <w:p>
      <w:pPr>
        <w:spacing w:line="336" w:lineRule="auto"/>
        <w:ind w:firstLine="480" w:firstLineChars="200"/>
        <w:rPr>
          <w:sz w:val="24"/>
          <w:szCs w:val="24"/>
        </w:rPr>
      </w:pPr>
      <w:r>
        <w:rPr>
          <w:rFonts w:hint="eastAsia"/>
          <w:sz w:val="24"/>
          <w:szCs w:val="24"/>
        </w:rPr>
        <w:t>由表可知</w:t>
      </w:r>
      <w:r>
        <w:rPr>
          <w:sz w:val="24"/>
          <w:szCs w:val="24"/>
        </w:rPr>
        <w:t>表</w:t>
      </w:r>
      <w:r>
        <w:rPr>
          <w:rFonts w:hint="eastAsia"/>
          <w:sz w:val="24"/>
          <w:szCs w:val="24"/>
        </w:rPr>
        <w:t>4</w:t>
      </w:r>
      <w:r>
        <w:rPr>
          <w:sz w:val="24"/>
          <w:szCs w:val="24"/>
        </w:rPr>
        <w:t>.3.3-3</w:t>
      </w:r>
      <w:r>
        <w:rPr>
          <w:rFonts w:hint="eastAsia"/>
          <w:sz w:val="24"/>
          <w:szCs w:val="24"/>
        </w:rPr>
        <w:t>，本厂址西侧钻孔1、厂址西侧钻孔2、本项目厂址南侧生活垃圾焚烧厂内钻孔1、凯拓商砼水泥厂水井、土城子村、龙头山村和二十二号村处地下水监测井的因子均满足《地下水质量标准》(GB/T14848-2017）的III类标准，</w:t>
      </w:r>
      <w:r>
        <w:rPr>
          <w:sz w:val="24"/>
          <w:szCs w:val="24"/>
        </w:rPr>
        <w:t>石油类</w:t>
      </w:r>
      <w:r>
        <w:rPr>
          <w:rFonts w:hint="eastAsia"/>
          <w:sz w:val="24"/>
          <w:szCs w:val="24"/>
        </w:rPr>
        <w:t>、总磷</w:t>
      </w:r>
      <w:r>
        <w:rPr>
          <w:sz w:val="24"/>
          <w:szCs w:val="24"/>
        </w:rPr>
        <w:t>满足《地表水环境质量标准》（GB3838-2002）Ⅲ类标准要求。</w:t>
      </w:r>
    </w:p>
    <w:p>
      <w:pPr>
        <w:spacing w:line="336" w:lineRule="auto"/>
        <w:ind w:firstLine="482" w:firstLineChars="200"/>
        <w:rPr>
          <w:b/>
          <w:sz w:val="24"/>
        </w:rPr>
        <w:sectPr>
          <w:headerReference r:id="rId11" w:type="default"/>
          <w:footerReference r:id="rId12" w:type="default"/>
          <w:footerReference r:id="rId13" w:type="even"/>
          <w:pgSz w:w="11906" w:h="16838"/>
          <w:pgMar w:top="1440" w:right="1797" w:bottom="1440" w:left="1797" w:header="851" w:footer="992" w:gutter="0"/>
          <w:cols w:space="425" w:num="1"/>
          <w:docGrid w:type="lines" w:linePitch="312" w:charSpace="0"/>
        </w:sectPr>
      </w:pPr>
    </w:p>
    <w:p>
      <w:pPr>
        <w:jc w:val="center"/>
        <w:rPr>
          <w:b/>
          <w:sz w:val="24"/>
          <w:szCs w:val="24"/>
        </w:rPr>
      </w:pPr>
      <w:r>
        <w:rPr>
          <w:rFonts w:hint="eastAsia"/>
          <w:b/>
          <w:sz w:val="24"/>
          <w:szCs w:val="24"/>
        </w:rPr>
        <w:t>表4</w:t>
      </w:r>
      <w:r>
        <w:rPr>
          <w:b/>
          <w:sz w:val="24"/>
          <w:szCs w:val="24"/>
        </w:rPr>
        <w:t>.3</w:t>
      </w:r>
      <w:r>
        <w:rPr>
          <w:rFonts w:hint="eastAsia"/>
          <w:b/>
          <w:sz w:val="24"/>
          <w:szCs w:val="24"/>
        </w:rPr>
        <w:t>.3</w:t>
      </w:r>
      <w:r>
        <w:rPr>
          <w:b/>
          <w:sz w:val="24"/>
          <w:szCs w:val="24"/>
        </w:rPr>
        <w:noBreakHyphen/>
      </w:r>
      <w:r>
        <w:rPr>
          <w:b/>
          <w:sz w:val="24"/>
          <w:szCs w:val="24"/>
        </w:rPr>
        <w:t>3   地下水环境质量现状监测结果及评价一览表</w:t>
      </w:r>
      <w:r>
        <w:rPr>
          <w:rFonts w:hint="eastAsia"/>
          <w:b/>
          <w:sz w:val="24"/>
          <w:szCs w:val="24"/>
        </w:rPr>
        <w:t>（一）</w:t>
      </w:r>
    </w:p>
    <w:tbl>
      <w:tblPr>
        <w:tblStyle w:val="39"/>
        <w:tblW w:w="495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41"/>
        <w:gridCol w:w="1283"/>
        <w:gridCol w:w="1078"/>
        <w:gridCol w:w="1106"/>
        <w:gridCol w:w="1106"/>
        <w:gridCol w:w="1078"/>
        <w:gridCol w:w="1106"/>
        <w:gridCol w:w="1106"/>
        <w:gridCol w:w="1078"/>
        <w:gridCol w:w="1106"/>
        <w:gridCol w:w="1106"/>
        <w:gridCol w:w="10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Merge w:val="restart"/>
            <w:shd w:val="clear" w:color="auto" w:fill="auto"/>
            <w:vAlign w:val="center"/>
          </w:tcPr>
          <w:p>
            <w:pPr>
              <w:widowControl/>
              <w:adjustRightInd w:val="0"/>
              <w:snapToGrid w:val="0"/>
              <w:jc w:val="center"/>
              <w:rPr>
                <w:kern w:val="0"/>
                <w:szCs w:val="21"/>
              </w:rPr>
            </w:pPr>
            <w:r>
              <w:rPr>
                <w:kern w:val="0"/>
                <w:szCs w:val="21"/>
              </w:rPr>
              <w:t>检测项目</w:t>
            </w:r>
          </w:p>
        </w:tc>
        <w:tc>
          <w:tcPr>
            <w:tcW w:w="457" w:type="pct"/>
            <w:vMerge w:val="restart"/>
            <w:shd w:val="clear" w:color="auto" w:fill="auto"/>
            <w:vAlign w:val="center"/>
          </w:tcPr>
          <w:p>
            <w:pPr>
              <w:widowControl/>
              <w:adjustRightInd w:val="0"/>
              <w:snapToGrid w:val="0"/>
              <w:jc w:val="center"/>
              <w:rPr>
                <w:kern w:val="0"/>
                <w:szCs w:val="21"/>
              </w:rPr>
            </w:pPr>
            <w:r>
              <w:rPr>
                <w:kern w:val="0"/>
                <w:szCs w:val="21"/>
              </w:rPr>
              <w:t>单位</w:t>
            </w:r>
          </w:p>
        </w:tc>
        <w:tc>
          <w:tcPr>
            <w:tcW w:w="1172" w:type="pct"/>
            <w:gridSpan w:val="3"/>
            <w:shd w:val="clear" w:color="auto" w:fill="auto"/>
            <w:vAlign w:val="center"/>
          </w:tcPr>
          <w:p>
            <w:pPr>
              <w:widowControl/>
              <w:adjustRightInd w:val="0"/>
              <w:snapToGrid w:val="0"/>
              <w:jc w:val="center"/>
              <w:rPr>
                <w:kern w:val="0"/>
                <w:szCs w:val="21"/>
              </w:rPr>
            </w:pPr>
            <w:r>
              <w:rPr>
                <w:rFonts w:hint="eastAsia"/>
                <w:kern w:val="0"/>
                <w:szCs w:val="21"/>
              </w:rPr>
              <w:t>G1本厂址西侧钻孔1</w:t>
            </w:r>
          </w:p>
        </w:tc>
        <w:tc>
          <w:tcPr>
            <w:tcW w:w="1172" w:type="pct"/>
            <w:gridSpan w:val="3"/>
            <w:shd w:val="clear" w:color="auto" w:fill="auto"/>
            <w:vAlign w:val="center"/>
          </w:tcPr>
          <w:p>
            <w:pPr>
              <w:widowControl/>
              <w:adjustRightInd w:val="0"/>
              <w:snapToGrid w:val="0"/>
              <w:jc w:val="center"/>
              <w:rPr>
                <w:kern w:val="0"/>
                <w:szCs w:val="21"/>
              </w:rPr>
            </w:pPr>
            <w:r>
              <w:rPr>
                <w:rFonts w:hint="eastAsia"/>
                <w:kern w:val="0"/>
                <w:szCs w:val="21"/>
              </w:rPr>
              <w:t>G</w:t>
            </w:r>
            <w:r>
              <w:rPr>
                <w:kern w:val="0"/>
                <w:szCs w:val="21"/>
              </w:rPr>
              <w:t>4</w:t>
            </w:r>
            <w:r>
              <w:rPr>
                <w:rFonts w:hint="eastAsia"/>
                <w:kern w:val="0"/>
                <w:szCs w:val="21"/>
              </w:rPr>
              <w:t>本项目厂址南侧</w:t>
            </w:r>
          </w:p>
          <w:p>
            <w:pPr>
              <w:widowControl/>
              <w:adjustRightInd w:val="0"/>
              <w:snapToGrid w:val="0"/>
              <w:jc w:val="center"/>
              <w:rPr>
                <w:kern w:val="0"/>
                <w:szCs w:val="21"/>
              </w:rPr>
            </w:pPr>
            <w:r>
              <w:rPr>
                <w:rFonts w:hint="eastAsia"/>
                <w:kern w:val="0"/>
                <w:szCs w:val="21"/>
              </w:rPr>
              <w:t>生活垃圾焚烧厂内钻孔1</w:t>
            </w:r>
          </w:p>
        </w:tc>
        <w:tc>
          <w:tcPr>
            <w:tcW w:w="1172" w:type="pct"/>
            <w:gridSpan w:val="3"/>
            <w:shd w:val="clear" w:color="auto" w:fill="auto"/>
            <w:vAlign w:val="center"/>
          </w:tcPr>
          <w:p>
            <w:pPr>
              <w:widowControl/>
              <w:adjustRightInd w:val="0"/>
              <w:snapToGrid w:val="0"/>
              <w:jc w:val="center"/>
              <w:rPr>
                <w:kern w:val="0"/>
                <w:szCs w:val="21"/>
              </w:rPr>
            </w:pPr>
            <w:r>
              <w:rPr>
                <w:rFonts w:hint="eastAsia"/>
                <w:kern w:val="0"/>
                <w:szCs w:val="21"/>
              </w:rPr>
              <w:t>G8凯拓商砼水泥厂内水井</w:t>
            </w:r>
          </w:p>
        </w:tc>
        <w:tc>
          <w:tcPr>
            <w:tcW w:w="371" w:type="pct"/>
            <w:vMerge w:val="restart"/>
            <w:shd w:val="clear" w:color="auto" w:fill="auto"/>
            <w:vAlign w:val="center"/>
          </w:tcPr>
          <w:p>
            <w:pPr>
              <w:widowControl/>
              <w:adjustRightInd w:val="0"/>
              <w:snapToGrid w:val="0"/>
              <w:jc w:val="center"/>
              <w:rPr>
                <w:kern w:val="0"/>
                <w:szCs w:val="21"/>
              </w:rPr>
            </w:pPr>
            <w:r>
              <w:rPr>
                <w:kern w:val="0"/>
                <w:szCs w:val="21"/>
              </w:rPr>
              <w:t>III类</w:t>
            </w:r>
          </w:p>
          <w:p>
            <w:pPr>
              <w:widowControl/>
              <w:adjustRightInd w:val="0"/>
              <w:snapToGrid w:val="0"/>
              <w:jc w:val="center"/>
              <w:rPr>
                <w:kern w:val="0"/>
                <w:szCs w:val="21"/>
              </w:rPr>
            </w:pPr>
            <w:r>
              <w:rPr>
                <w:kern w:val="0"/>
                <w:szCs w:val="21"/>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vMerge w:val="continue"/>
            <w:shd w:val="clear" w:color="auto" w:fill="auto"/>
            <w:vAlign w:val="center"/>
          </w:tcPr>
          <w:p>
            <w:pPr>
              <w:widowControl/>
              <w:adjustRightInd w:val="0"/>
              <w:snapToGrid w:val="0"/>
              <w:jc w:val="center"/>
              <w:rPr>
                <w:kern w:val="0"/>
                <w:szCs w:val="21"/>
              </w:rPr>
            </w:pPr>
          </w:p>
        </w:tc>
        <w:tc>
          <w:tcPr>
            <w:tcW w:w="457" w:type="pct"/>
            <w:vMerge w:val="continue"/>
            <w:shd w:val="clear" w:color="auto" w:fill="auto"/>
            <w:vAlign w:val="center"/>
          </w:tcPr>
          <w:p>
            <w:pPr>
              <w:widowControl/>
              <w:adjustRightInd w:val="0"/>
              <w:snapToGrid w:val="0"/>
              <w:jc w:val="center"/>
              <w:rPr>
                <w:kern w:val="0"/>
                <w:szCs w:val="21"/>
              </w:rPr>
            </w:pPr>
          </w:p>
        </w:tc>
        <w:tc>
          <w:tcPr>
            <w:tcW w:w="384" w:type="pct"/>
            <w:shd w:val="clear" w:color="auto" w:fill="auto"/>
            <w:vAlign w:val="center"/>
          </w:tcPr>
          <w:p>
            <w:pPr>
              <w:widowControl/>
              <w:adjustRightInd w:val="0"/>
              <w:snapToGrid w:val="0"/>
              <w:jc w:val="center"/>
              <w:rPr>
                <w:kern w:val="0"/>
                <w:szCs w:val="21"/>
              </w:rPr>
            </w:pPr>
            <w:r>
              <w:rPr>
                <w:kern w:val="0"/>
                <w:szCs w:val="21"/>
              </w:rPr>
              <w:t>监测值</w:t>
            </w:r>
          </w:p>
        </w:tc>
        <w:tc>
          <w:tcPr>
            <w:tcW w:w="394" w:type="pct"/>
            <w:shd w:val="clear" w:color="auto" w:fill="auto"/>
            <w:vAlign w:val="center"/>
          </w:tcPr>
          <w:p>
            <w:pPr>
              <w:widowControl/>
              <w:adjustRightInd w:val="0"/>
              <w:snapToGrid w:val="0"/>
              <w:jc w:val="center"/>
              <w:rPr>
                <w:kern w:val="0"/>
                <w:szCs w:val="21"/>
              </w:rPr>
            </w:pPr>
            <w:r>
              <w:rPr>
                <w:kern w:val="0"/>
                <w:szCs w:val="21"/>
              </w:rPr>
              <w:t>标准指数</w:t>
            </w:r>
          </w:p>
        </w:tc>
        <w:tc>
          <w:tcPr>
            <w:tcW w:w="394" w:type="pct"/>
            <w:shd w:val="clear" w:color="auto" w:fill="auto"/>
            <w:vAlign w:val="center"/>
          </w:tcPr>
          <w:p>
            <w:pPr>
              <w:widowControl/>
              <w:adjustRightInd w:val="0"/>
              <w:snapToGrid w:val="0"/>
              <w:jc w:val="center"/>
              <w:rPr>
                <w:kern w:val="0"/>
                <w:szCs w:val="21"/>
              </w:rPr>
            </w:pPr>
            <w:r>
              <w:rPr>
                <w:kern w:val="0"/>
                <w:szCs w:val="21"/>
              </w:rPr>
              <w:t>达标判定</w:t>
            </w:r>
          </w:p>
        </w:tc>
        <w:tc>
          <w:tcPr>
            <w:tcW w:w="384" w:type="pct"/>
            <w:shd w:val="clear" w:color="auto" w:fill="auto"/>
            <w:vAlign w:val="center"/>
          </w:tcPr>
          <w:p>
            <w:pPr>
              <w:widowControl/>
              <w:adjustRightInd w:val="0"/>
              <w:snapToGrid w:val="0"/>
              <w:jc w:val="center"/>
              <w:rPr>
                <w:kern w:val="0"/>
                <w:szCs w:val="21"/>
              </w:rPr>
            </w:pPr>
            <w:r>
              <w:rPr>
                <w:kern w:val="0"/>
                <w:szCs w:val="21"/>
              </w:rPr>
              <w:t>监测值</w:t>
            </w:r>
          </w:p>
        </w:tc>
        <w:tc>
          <w:tcPr>
            <w:tcW w:w="394" w:type="pct"/>
            <w:shd w:val="clear" w:color="auto" w:fill="auto"/>
            <w:vAlign w:val="center"/>
          </w:tcPr>
          <w:p>
            <w:pPr>
              <w:widowControl/>
              <w:adjustRightInd w:val="0"/>
              <w:snapToGrid w:val="0"/>
              <w:jc w:val="center"/>
              <w:rPr>
                <w:kern w:val="0"/>
                <w:szCs w:val="21"/>
              </w:rPr>
            </w:pPr>
            <w:r>
              <w:rPr>
                <w:kern w:val="0"/>
                <w:szCs w:val="21"/>
              </w:rPr>
              <w:t>标准指数</w:t>
            </w:r>
          </w:p>
        </w:tc>
        <w:tc>
          <w:tcPr>
            <w:tcW w:w="394" w:type="pct"/>
            <w:shd w:val="clear" w:color="auto" w:fill="auto"/>
            <w:vAlign w:val="center"/>
          </w:tcPr>
          <w:p>
            <w:pPr>
              <w:widowControl/>
              <w:adjustRightInd w:val="0"/>
              <w:snapToGrid w:val="0"/>
              <w:jc w:val="center"/>
              <w:rPr>
                <w:kern w:val="0"/>
                <w:szCs w:val="21"/>
              </w:rPr>
            </w:pPr>
            <w:r>
              <w:rPr>
                <w:kern w:val="0"/>
                <w:szCs w:val="21"/>
              </w:rPr>
              <w:t>达标判定</w:t>
            </w:r>
          </w:p>
        </w:tc>
        <w:tc>
          <w:tcPr>
            <w:tcW w:w="384" w:type="pct"/>
            <w:shd w:val="clear" w:color="auto" w:fill="auto"/>
            <w:vAlign w:val="center"/>
          </w:tcPr>
          <w:p>
            <w:pPr>
              <w:widowControl/>
              <w:adjustRightInd w:val="0"/>
              <w:snapToGrid w:val="0"/>
              <w:jc w:val="center"/>
              <w:rPr>
                <w:kern w:val="0"/>
                <w:szCs w:val="21"/>
              </w:rPr>
            </w:pPr>
            <w:r>
              <w:rPr>
                <w:kern w:val="0"/>
                <w:szCs w:val="21"/>
              </w:rPr>
              <w:t>监测值</w:t>
            </w:r>
          </w:p>
        </w:tc>
        <w:tc>
          <w:tcPr>
            <w:tcW w:w="394" w:type="pct"/>
            <w:shd w:val="clear" w:color="auto" w:fill="auto"/>
            <w:vAlign w:val="center"/>
          </w:tcPr>
          <w:p>
            <w:pPr>
              <w:widowControl/>
              <w:adjustRightInd w:val="0"/>
              <w:snapToGrid w:val="0"/>
              <w:jc w:val="center"/>
              <w:rPr>
                <w:kern w:val="0"/>
                <w:szCs w:val="21"/>
              </w:rPr>
            </w:pPr>
            <w:r>
              <w:rPr>
                <w:kern w:val="0"/>
                <w:szCs w:val="21"/>
              </w:rPr>
              <w:t>标准指数</w:t>
            </w:r>
          </w:p>
        </w:tc>
        <w:tc>
          <w:tcPr>
            <w:tcW w:w="394" w:type="pct"/>
            <w:shd w:val="clear" w:color="auto" w:fill="auto"/>
            <w:vAlign w:val="center"/>
          </w:tcPr>
          <w:p>
            <w:pPr>
              <w:widowControl/>
              <w:adjustRightInd w:val="0"/>
              <w:snapToGrid w:val="0"/>
              <w:jc w:val="center"/>
              <w:rPr>
                <w:kern w:val="0"/>
                <w:szCs w:val="21"/>
              </w:rPr>
            </w:pPr>
            <w:r>
              <w:rPr>
                <w:kern w:val="0"/>
                <w:szCs w:val="21"/>
              </w:rPr>
              <w:t>达标判定</w:t>
            </w:r>
          </w:p>
        </w:tc>
        <w:tc>
          <w:tcPr>
            <w:tcW w:w="371" w:type="pct"/>
            <w:vMerge w:val="continue"/>
            <w:shd w:val="clear" w:color="auto" w:fill="auto"/>
            <w:vAlign w:val="center"/>
          </w:tcPr>
          <w:p>
            <w:pPr>
              <w:widowControl/>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pH</w:t>
            </w:r>
          </w:p>
        </w:tc>
        <w:tc>
          <w:tcPr>
            <w:tcW w:w="457"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7.5</w:t>
            </w:r>
          </w:p>
        </w:tc>
        <w:tc>
          <w:tcPr>
            <w:tcW w:w="394" w:type="pct"/>
            <w:shd w:val="clear" w:color="auto" w:fill="auto"/>
            <w:vAlign w:val="center"/>
          </w:tcPr>
          <w:p>
            <w:pPr>
              <w:widowControl/>
              <w:adjustRightInd w:val="0"/>
              <w:snapToGrid w:val="0"/>
              <w:jc w:val="center"/>
              <w:rPr>
                <w:kern w:val="0"/>
                <w:sz w:val="20"/>
              </w:rPr>
            </w:pPr>
            <w:r>
              <w:rPr>
                <w:sz w:val="20"/>
              </w:rPr>
              <w:t>0.6667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7.6</w:t>
            </w:r>
          </w:p>
        </w:tc>
        <w:tc>
          <w:tcPr>
            <w:tcW w:w="394" w:type="pct"/>
            <w:shd w:val="clear" w:color="auto" w:fill="auto"/>
            <w:vAlign w:val="center"/>
          </w:tcPr>
          <w:p>
            <w:pPr>
              <w:widowControl/>
              <w:adjustRightInd w:val="0"/>
              <w:snapToGrid w:val="0"/>
              <w:jc w:val="center"/>
              <w:rPr>
                <w:kern w:val="0"/>
                <w:sz w:val="20"/>
              </w:rPr>
            </w:pPr>
            <w:r>
              <w:rPr>
                <w:sz w:val="20"/>
              </w:rPr>
              <w:t>0.6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7.7</w:t>
            </w:r>
          </w:p>
        </w:tc>
        <w:tc>
          <w:tcPr>
            <w:tcW w:w="394" w:type="pct"/>
            <w:shd w:val="clear" w:color="auto" w:fill="auto"/>
            <w:noWrap/>
            <w:vAlign w:val="center"/>
          </w:tcPr>
          <w:p>
            <w:pPr>
              <w:widowControl/>
              <w:adjustRightInd w:val="0"/>
              <w:snapToGrid w:val="0"/>
              <w:jc w:val="center"/>
              <w:rPr>
                <w:kern w:val="0"/>
                <w:sz w:val="20"/>
              </w:rPr>
            </w:pPr>
            <w:r>
              <w:rPr>
                <w:sz w:val="20"/>
              </w:rPr>
              <w:t>0.5333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6.5-8.5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色度</w:t>
            </w:r>
          </w:p>
        </w:tc>
        <w:tc>
          <w:tcPr>
            <w:tcW w:w="457" w:type="pct"/>
            <w:shd w:val="clear" w:color="auto" w:fill="auto"/>
            <w:vAlign w:val="center"/>
          </w:tcPr>
          <w:p>
            <w:pPr>
              <w:widowControl/>
              <w:adjustRightInd w:val="0"/>
              <w:snapToGrid w:val="0"/>
              <w:jc w:val="center"/>
              <w:rPr>
                <w:kern w:val="0"/>
                <w:sz w:val="20"/>
              </w:rPr>
            </w:pPr>
            <w:r>
              <w:rPr>
                <w:sz w:val="20"/>
              </w:rPr>
              <w:t>度</w:t>
            </w:r>
          </w:p>
        </w:tc>
        <w:tc>
          <w:tcPr>
            <w:tcW w:w="384" w:type="pct"/>
            <w:shd w:val="clear" w:color="auto" w:fill="auto"/>
            <w:vAlign w:val="center"/>
          </w:tcPr>
          <w:p>
            <w:pPr>
              <w:widowControl/>
              <w:adjustRightInd w:val="0"/>
              <w:snapToGrid w:val="0"/>
              <w:jc w:val="center"/>
              <w:rPr>
                <w:kern w:val="0"/>
                <w:sz w:val="20"/>
              </w:rPr>
            </w:pPr>
            <w:r>
              <w:rPr>
                <w:sz w:val="20"/>
              </w:rPr>
              <w:t>＜5</w:t>
            </w:r>
          </w:p>
        </w:tc>
        <w:tc>
          <w:tcPr>
            <w:tcW w:w="394" w:type="pct"/>
            <w:shd w:val="clear" w:color="auto" w:fill="auto"/>
            <w:vAlign w:val="center"/>
          </w:tcPr>
          <w:p>
            <w:pPr>
              <w:widowControl/>
              <w:adjustRightInd w:val="0"/>
              <w:snapToGrid w:val="0"/>
              <w:jc w:val="center"/>
              <w:rPr>
                <w:kern w:val="0"/>
                <w:sz w:val="20"/>
              </w:rPr>
            </w:pPr>
            <w:r>
              <w:rPr>
                <w:sz w:val="20"/>
              </w:rPr>
              <w:t>0.333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w:t>
            </w:r>
          </w:p>
        </w:tc>
        <w:tc>
          <w:tcPr>
            <w:tcW w:w="394" w:type="pct"/>
            <w:shd w:val="clear" w:color="auto" w:fill="auto"/>
            <w:vAlign w:val="center"/>
          </w:tcPr>
          <w:p>
            <w:pPr>
              <w:widowControl/>
              <w:adjustRightInd w:val="0"/>
              <w:snapToGrid w:val="0"/>
              <w:jc w:val="center"/>
              <w:rPr>
                <w:kern w:val="0"/>
                <w:sz w:val="20"/>
              </w:rPr>
            </w:pPr>
            <w:r>
              <w:rPr>
                <w:sz w:val="20"/>
              </w:rPr>
              <w:t>0.333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w:t>
            </w:r>
          </w:p>
        </w:tc>
        <w:tc>
          <w:tcPr>
            <w:tcW w:w="394" w:type="pct"/>
            <w:shd w:val="clear" w:color="auto" w:fill="auto"/>
            <w:noWrap/>
            <w:vAlign w:val="center"/>
          </w:tcPr>
          <w:p>
            <w:pPr>
              <w:widowControl/>
              <w:adjustRightInd w:val="0"/>
              <w:snapToGrid w:val="0"/>
              <w:jc w:val="center"/>
              <w:rPr>
                <w:kern w:val="0"/>
                <w:sz w:val="20"/>
              </w:rPr>
            </w:pPr>
            <w:r>
              <w:rPr>
                <w:sz w:val="20"/>
              </w:rPr>
              <w:t>0.333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浑浊度</w:t>
            </w:r>
          </w:p>
        </w:tc>
        <w:tc>
          <w:tcPr>
            <w:tcW w:w="457" w:type="pct"/>
            <w:shd w:val="clear" w:color="auto" w:fill="auto"/>
            <w:vAlign w:val="center"/>
          </w:tcPr>
          <w:p>
            <w:pPr>
              <w:widowControl/>
              <w:adjustRightInd w:val="0"/>
              <w:snapToGrid w:val="0"/>
              <w:jc w:val="center"/>
              <w:rPr>
                <w:kern w:val="0"/>
                <w:sz w:val="20"/>
              </w:rPr>
            </w:pPr>
            <w:r>
              <w:rPr>
                <w:sz w:val="20"/>
              </w:rPr>
              <w:t>NTU</w:t>
            </w:r>
          </w:p>
        </w:tc>
        <w:tc>
          <w:tcPr>
            <w:tcW w:w="384" w:type="pct"/>
            <w:shd w:val="clear" w:color="auto" w:fill="auto"/>
            <w:vAlign w:val="center"/>
          </w:tcPr>
          <w:p>
            <w:pPr>
              <w:widowControl/>
              <w:adjustRightInd w:val="0"/>
              <w:snapToGrid w:val="0"/>
              <w:jc w:val="center"/>
              <w:rPr>
                <w:kern w:val="0"/>
                <w:sz w:val="20"/>
              </w:rPr>
            </w:pPr>
            <w:r>
              <w:rPr>
                <w:sz w:val="20"/>
              </w:rPr>
              <w:t>＜0.3</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＜0.3</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＜0.3</w:t>
            </w:r>
          </w:p>
        </w:tc>
        <w:tc>
          <w:tcPr>
            <w:tcW w:w="394" w:type="pct"/>
            <w:shd w:val="clear" w:color="auto" w:fill="auto"/>
            <w:noWrap/>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总硬度</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189</w:t>
            </w:r>
          </w:p>
        </w:tc>
        <w:tc>
          <w:tcPr>
            <w:tcW w:w="394" w:type="pct"/>
            <w:shd w:val="clear" w:color="auto" w:fill="auto"/>
            <w:vAlign w:val="center"/>
          </w:tcPr>
          <w:p>
            <w:pPr>
              <w:widowControl/>
              <w:adjustRightInd w:val="0"/>
              <w:snapToGrid w:val="0"/>
              <w:jc w:val="center"/>
              <w:rPr>
                <w:kern w:val="0"/>
                <w:sz w:val="20"/>
              </w:rPr>
            </w:pPr>
            <w:r>
              <w:rPr>
                <w:sz w:val="20"/>
              </w:rPr>
              <w:t>0.42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193</w:t>
            </w:r>
          </w:p>
        </w:tc>
        <w:tc>
          <w:tcPr>
            <w:tcW w:w="394" w:type="pct"/>
            <w:shd w:val="clear" w:color="auto" w:fill="auto"/>
            <w:vAlign w:val="center"/>
          </w:tcPr>
          <w:p>
            <w:pPr>
              <w:widowControl/>
              <w:adjustRightInd w:val="0"/>
              <w:snapToGrid w:val="0"/>
              <w:jc w:val="center"/>
              <w:rPr>
                <w:kern w:val="0"/>
                <w:sz w:val="20"/>
              </w:rPr>
            </w:pPr>
            <w:r>
              <w:rPr>
                <w:sz w:val="20"/>
              </w:rPr>
              <w:t>0.4289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191</w:t>
            </w:r>
          </w:p>
        </w:tc>
        <w:tc>
          <w:tcPr>
            <w:tcW w:w="394" w:type="pct"/>
            <w:shd w:val="clear" w:color="auto" w:fill="auto"/>
            <w:noWrap/>
            <w:vAlign w:val="center"/>
          </w:tcPr>
          <w:p>
            <w:pPr>
              <w:widowControl/>
              <w:adjustRightInd w:val="0"/>
              <w:snapToGrid w:val="0"/>
              <w:jc w:val="center"/>
              <w:rPr>
                <w:kern w:val="0"/>
                <w:sz w:val="20"/>
              </w:rPr>
            </w:pPr>
            <w:r>
              <w:rPr>
                <w:sz w:val="20"/>
              </w:rPr>
              <w:t>0.4244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溶解性总固体</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305</w:t>
            </w:r>
          </w:p>
        </w:tc>
        <w:tc>
          <w:tcPr>
            <w:tcW w:w="394" w:type="pct"/>
            <w:shd w:val="clear" w:color="auto" w:fill="auto"/>
            <w:vAlign w:val="center"/>
          </w:tcPr>
          <w:p>
            <w:pPr>
              <w:widowControl/>
              <w:adjustRightInd w:val="0"/>
              <w:snapToGrid w:val="0"/>
              <w:jc w:val="center"/>
              <w:rPr>
                <w:kern w:val="0"/>
                <w:sz w:val="20"/>
              </w:rPr>
            </w:pPr>
            <w:r>
              <w:rPr>
                <w:sz w:val="20"/>
              </w:rPr>
              <w:t>0.305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299</w:t>
            </w:r>
          </w:p>
        </w:tc>
        <w:tc>
          <w:tcPr>
            <w:tcW w:w="394" w:type="pct"/>
            <w:shd w:val="clear" w:color="auto" w:fill="auto"/>
            <w:vAlign w:val="center"/>
          </w:tcPr>
          <w:p>
            <w:pPr>
              <w:widowControl/>
              <w:adjustRightInd w:val="0"/>
              <w:snapToGrid w:val="0"/>
              <w:jc w:val="center"/>
              <w:rPr>
                <w:kern w:val="0"/>
                <w:sz w:val="20"/>
              </w:rPr>
            </w:pPr>
            <w:r>
              <w:rPr>
                <w:sz w:val="20"/>
              </w:rPr>
              <w:t>0.299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308</w:t>
            </w:r>
          </w:p>
        </w:tc>
        <w:tc>
          <w:tcPr>
            <w:tcW w:w="394" w:type="pct"/>
            <w:shd w:val="clear" w:color="auto" w:fill="auto"/>
            <w:vAlign w:val="center"/>
          </w:tcPr>
          <w:p>
            <w:pPr>
              <w:widowControl/>
              <w:adjustRightInd w:val="0"/>
              <w:snapToGrid w:val="0"/>
              <w:jc w:val="center"/>
              <w:rPr>
                <w:kern w:val="0"/>
                <w:sz w:val="20"/>
              </w:rPr>
            </w:pPr>
            <w:r>
              <w:rPr>
                <w:sz w:val="20"/>
              </w:rPr>
              <w:t>0.308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挥发酚</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0.15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0.15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0.15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耗氧量</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1.54</w:t>
            </w:r>
          </w:p>
        </w:tc>
        <w:tc>
          <w:tcPr>
            <w:tcW w:w="394" w:type="pct"/>
            <w:shd w:val="clear" w:color="auto" w:fill="auto"/>
            <w:vAlign w:val="center"/>
          </w:tcPr>
          <w:p>
            <w:pPr>
              <w:widowControl/>
              <w:adjustRightInd w:val="0"/>
              <w:snapToGrid w:val="0"/>
              <w:jc w:val="center"/>
              <w:rPr>
                <w:kern w:val="0"/>
                <w:sz w:val="20"/>
              </w:rPr>
            </w:pPr>
            <w:r>
              <w:rPr>
                <w:sz w:val="20"/>
              </w:rPr>
              <w:t>0.5133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1.49</w:t>
            </w:r>
          </w:p>
        </w:tc>
        <w:tc>
          <w:tcPr>
            <w:tcW w:w="394" w:type="pct"/>
            <w:shd w:val="clear" w:color="auto" w:fill="auto"/>
            <w:vAlign w:val="center"/>
          </w:tcPr>
          <w:p>
            <w:pPr>
              <w:widowControl/>
              <w:adjustRightInd w:val="0"/>
              <w:snapToGrid w:val="0"/>
              <w:jc w:val="center"/>
              <w:rPr>
                <w:kern w:val="0"/>
                <w:sz w:val="20"/>
              </w:rPr>
            </w:pPr>
            <w:r>
              <w:rPr>
                <w:sz w:val="20"/>
              </w:rPr>
              <w:t>0.4967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1.52</w:t>
            </w:r>
          </w:p>
        </w:tc>
        <w:tc>
          <w:tcPr>
            <w:tcW w:w="394" w:type="pct"/>
            <w:shd w:val="clear" w:color="auto" w:fill="auto"/>
            <w:vAlign w:val="center"/>
          </w:tcPr>
          <w:p>
            <w:pPr>
              <w:widowControl/>
              <w:adjustRightInd w:val="0"/>
              <w:snapToGrid w:val="0"/>
              <w:jc w:val="center"/>
              <w:rPr>
                <w:kern w:val="0"/>
                <w:sz w:val="20"/>
              </w:rPr>
            </w:pPr>
            <w:r>
              <w:rPr>
                <w:sz w:val="20"/>
              </w:rPr>
              <w:t>0.5067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总磷</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硝酸盐氮</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5.97</w:t>
            </w:r>
          </w:p>
        </w:tc>
        <w:tc>
          <w:tcPr>
            <w:tcW w:w="394" w:type="pct"/>
            <w:shd w:val="clear" w:color="auto" w:fill="auto"/>
            <w:vAlign w:val="center"/>
          </w:tcPr>
          <w:p>
            <w:pPr>
              <w:widowControl/>
              <w:adjustRightInd w:val="0"/>
              <w:snapToGrid w:val="0"/>
              <w:jc w:val="center"/>
              <w:rPr>
                <w:kern w:val="0"/>
                <w:sz w:val="20"/>
              </w:rPr>
            </w:pPr>
            <w:r>
              <w:rPr>
                <w:sz w:val="20"/>
              </w:rPr>
              <w:t>0.2985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5.82</w:t>
            </w:r>
          </w:p>
        </w:tc>
        <w:tc>
          <w:tcPr>
            <w:tcW w:w="394" w:type="pct"/>
            <w:shd w:val="clear" w:color="auto" w:fill="auto"/>
            <w:vAlign w:val="center"/>
          </w:tcPr>
          <w:p>
            <w:pPr>
              <w:widowControl/>
              <w:adjustRightInd w:val="0"/>
              <w:snapToGrid w:val="0"/>
              <w:jc w:val="center"/>
              <w:rPr>
                <w:kern w:val="0"/>
                <w:sz w:val="20"/>
              </w:rPr>
            </w:pPr>
            <w:r>
              <w:rPr>
                <w:sz w:val="20"/>
              </w:rPr>
              <w:t>0.291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5.93</w:t>
            </w:r>
          </w:p>
        </w:tc>
        <w:tc>
          <w:tcPr>
            <w:tcW w:w="394" w:type="pct"/>
            <w:shd w:val="clear" w:color="auto" w:fill="auto"/>
            <w:vAlign w:val="center"/>
          </w:tcPr>
          <w:p>
            <w:pPr>
              <w:widowControl/>
              <w:adjustRightInd w:val="0"/>
              <w:snapToGrid w:val="0"/>
              <w:jc w:val="center"/>
              <w:rPr>
                <w:kern w:val="0"/>
                <w:sz w:val="20"/>
              </w:rPr>
            </w:pPr>
            <w:r>
              <w:rPr>
                <w:sz w:val="20"/>
              </w:rPr>
              <w:t>0.2965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亚硝酸盐氮</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氨氮</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0.254</w:t>
            </w:r>
          </w:p>
        </w:tc>
        <w:tc>
          <w:tcPr>
            <w:tcW w:w="394" w:type="pct"/>
            <w:shd w:val="clear" w:color="auto" w:fill="auto"/>
            <w:vAlign w:val="center"/>
          </w:tcPr>
          <w:p>
            <w:pPr>
              <w:widowControl/>
              <w:adjustRightInd w:val="0"/>
              <w:snapToGrid w:val="0"/>
              <w:jc w:val="center"/>
              <w:rPr>
                <w:kern w:val="0"/>
                <w:sz w:val="20"/>
              </w:rPr>
            </w:pPr>
            <w:r>
              <w:rPr>
                <w:sz w:val="20"/>
              </w:rPr>
              <w:t>0.508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0.269</w:t>
            </w:r>
          </w:p>
        </w:tc>
        <w:tc>
          <w:tcPr>
            <w:tcW w:w="394" w:type="pct"/>
            <w:shd w:val="clear" w:color="auto" w:fill="auto"/>
            <w:vAlign w:val="center"/>
          </w:tcPr>
          <w:p>
            <w:pPr>
              <w:widowControl/>
              <w:adjustRightInd w:val="0"/>
              <w:snapToGrid w:val="0"/>
              <w:jc w:val="center"/>
              <w:rPr>
                <w:kern w:val="0"/>
                <w:sz w:val="20"/>
              </w:rPr>
            </w:pPr>
            <w:r>
              <w:rPr>
                <w:sz w:val="20"/>
              </w:rPr>
              <w:t>0.538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0.26</w:t>
            </w:r>
          </w:p>
        </w:tc>
        <w:tc>
          <w:tcPr>
            <w:tcW w:w="394" w:type="pct"/>
            <w:shd w:val="clear" w:color="auto" w:fill="auto"/>
            <w:vAlign w:val="center"/>
          </w:tcPr>
          <w:p>
            <w:pPr>
              <w:widowControl/>
              <w:adjustRightInd w:val="0"/>
              <w:snapToGrid w:val="0"/>
              <w:jc w:val="center"/>
              <w:rPr>
                <w:kern w:val="0"/>
                <w:sz w:val="20"/>
              </w:rPr>
            </w:pPr>
            <w:r>
              <w:rPr>
                <w:sz w:val="20"/>
              </w:rPr>
              <w:t>0.52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氟化物</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0.19</w:t>
            </w:r>
          </w:p>
        </w:tc>
        <w:tc>
          <w:tcPr>
            <w:tcW w:w="394" w:type="pct"/>
            <w:shd w:val="clear" w:color="auto" w:fill="auto"/>
            <w:vAlign w:val="center"/>
          </w:tcPr>
          <w:p>
            <w:pPr>
              <w:widowControl/>
              <w:adjustRightInd w:val="0"/>
              <w:snapToGrid w:val="0"/>
              <w:jc w:val="center"/>
              <w:rPr>
                <w:kern w:val="0"/>
                <w:sz w:val="20"/>
              </w:rPr>
            </w:pPr>
            <w:r>
              <w:rPr>
                <w:sz w:val="20"/>
              </w:rPr>
              <w:t>0.19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0.17</w:t>
            </w:r>
          </w:p>
        </w:tc>
        <w:tc>
          <w:tcPr>
            <w:tcW w:w="394" w:type="pct"/>
            <w:shd w:val="clear" w:color="auto" w:fill="auto"/>
            <w:vAlign w:val="center"/>
          </w:tcPr>
          <w:p>
            <w:pPr>
              <w:widowControl/>
              <w:adjustRightInd w:val="0"/>
              <w:snapToGrid w:val="0"/>
              <w:jc w:val="center"/>
              <w:rPr>
                <w:kern w:val="0"/>
                <w:sz w:val="20"/>
              </w:rPr>
            </w:pPr>
            <w:r>
              <w:rPr>
                <w:sz w:val="20"/>
              </w:rPr>
              <w:t>0.17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0.21</w:t>
            </w:r>
          </w:p>
        </w:tc>
        <w:tc>
          <w:tcPr>
            <w:tcW w:w="394" w:type="pct"/>
            <w:shd w:val="clear" w:color="auto" w:fill="auto"/>
            <w:vAlign w:val="center"/>
          </w:tcPr>
          <w:p>
            <w:pPr>
              <w:widowControl/>
              <w:adjustRightInd w:val="0"/>
              <w:snapToGrid w:val="0"/>
              <w:jc w:val="center"/>
              <w:rPr>
                <w:kern w:val="0"/>
                <w:sz w:val="20"/>
              </w:rPr>
            </w:pPr>
            <w:r>
              <w:rPr>
                <w:sz w:val="20"/>
              </w:rPr>
              <w:t>0.21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硫酸盐</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58.1</w:t>
            </w:r>
          </w:p>
        </w:tc>
        <w:tc>
          <w:tcPr>
            <w:tcW w:w="394" w:type="pct"/>
            <w:shd w:val="clear" w:color="auto" w:fill="auto"/>
            <w:vAlign w:val="center"/>
          </w:tcPr>
          <w:p>
            <w:pPr>
              <w:widowControl/>
              <w:adjustRightInd w:val="0"/>
              <w:snapToGrid w:val="0"/>
              <w:jc w:val="center"/>
              <w:rPr>
                <w:kern w:val="0"/>
                <w:sz w:val="20"/>
              </w:rPr>
            </w:pPr>
            <w:r>
              <w:rPr>
                <w:sz w:val="20"/>
              </w:rPr>
              <w:t>0.2324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58.8</w:t>
            </w:r>
          </w:p>
        </w:tc>
        <w:tc>
          <w:tcPr>
            <w:tcW w:w="394" w:type="pct"/>
            <w:shd w:val="clear" w:color="auto" w:fill="auto"/>
            <w:vAlign w:val="center"/>
          </w:tcPr>
          <w:p>
            <w:pPr>
              <w:widowControl/>
              <w:adjustRightInd w:val="0"/>
              <w:snapToGrid w:val="0"/>
              <w:jc w:val="center"/>
              <w:rPr>
                <w:kern w:val="0"/>
                <w:sz w:val="20"/>
              </w:rPr>
            </w:pPr>
            <w:r>
              <w:rPr>
                <w:sz w:val="20"/>
              </w:rPr>
              <w:t>0.2352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59.5</w:t>
            </w:r>
          </w:p>
        </w:tc>
        <w:tc>
          <w:tcPr>
            <w:tcW w:w="394" w:type="pct"/>
            <w:shd w:val="clear" w:color="auto" w:fill="auto"/>
            <w:vAlign w:val="center"/>
          </w:tcPr>
          <w:p>
            <w:pPr>
              <w:widowControl/>
              <w:adjustRightInd w:val="0"/>
              <w:snapToGrid w:val="0"/>
              <w:jc w:val="center"/>
              <w:rPr>
                <w:kern w:val="0"/>
                <w:sz w:val="20"/>
              </w:rPr>
            </w:pPr>
            <w:r>
              <w:rPr>
                <w:sz w:val="20"/>
              </w:rPr>
              <w:t>0.238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总大肠菌群</w:t>
            </w:r>
          </w:p>
        </w:tc>
        <w:tc>
          <w:tcPr>
            <w:tcW w:w="457" w:type="pct"/>
            <w:shd w:val="clear" w:color="auto" w:fill="auto"/>
            <w:vAlign w:val="center"/>
          </w:tcPr>
          <w:p>
            <w:pPr>
              <w:widowControl/>
              <w:adjustRightInd w:val="0"/>
              <w:snapToGrid w:val="0"/>
              <w:jc w:val="center"/>
              <w:rPr>
                <w:kern w:val="0"/>
                <w:sz w:val="20"/>
              </w:rPr>
            </w:pPr>
            <w:r>
              <w:rPr>
                <w:sz w:val="20"/>
              </w:rPr>
              <w:t>MPN/100mL</w:t>
            </w:r>
          </w:p>
        </w:tc>
        <w:tc>
          <w:tcPr>
            <w:tcW w:w="384" w:type="pct"/>
            <w:shd w:val="clear" w:color="auto" w:fill="auto"/>
            <w:vAlign w:val="center"/>
          </w:tcPr>
          <w:p>
            <w:pPr>
              <w:widowControl/>
              <w:adjustRightInd w:val="0"/>
              <w:snapToGrid w:val="0"/>
              <w:jc w:val="center"/>
              <w:rPr>
                <w:kern w:val="0"/>
                <w:sz w:val="20"/>
              </w:rPr>
            </w:pPr>
            <w:r>
              <w:rPr>
                <w:sz w:val="20"/>
              </w:rPr>
              <w:t>未检出</w:t>
            </w:r>
          </w:p>
        </w:tc>
        <w:tc>
          <w:tcPr>
            <w:tcW w:w="394" w:type="pct"/>
            <w:shd w:val="clear" w:color="auto" w:fill="auto"/>
            <w:vAlign w:val="center"/>
          </w:tcPr>
          <w:p>
            <w:pPr>
              <w:widowControl/>
              <w:adjustRightInd w:val="0"/>
              <w:snapToGrid w:val="0"/>
              <w:jc w:val="center"/>
              <w:rPr>
                <w:kern w:val="0"/>
                <w:sz w:val="20"/>
              </w:rPr>
            </w:pPr>
            <w:r>
              <w:rPr>
                <w:sz w:val="20"/>
              </w:rPr>
              <w:t>0</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未检出</w:t>
            </w:r>
          </w:p>
        </w:tc>
        <w:tc>
          <w:tcPr>
            <w:tcW w:w="394" w:type="pct"/>
            <w:shd w:val="clear" w:color="auto" w:fill="auto"/>
            <w:vAlign w:val="center"/>
          </w:tcPr>
          <w:p>
            <w:pPr>
              <w:widowControl/>
              <w:adjustRightInd w:val="0"/>
              <w:snapToGrid w:val="0"/>
              <w:jc w:val="center"/>
              <w:rPr>
                <w:kern w:val="0"/>
                <w:sz w:val="20"/>
              </w:rPr>
            </w:pPr>
            <w:r>
              <w:rPr>
                <w:sz w:val="20"/>
              </w:rPr>
              <w:t>0</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未检出</w:t>
            </w:r>
          </w:p>
        </w:tc>
        <w:tc>
          <w:tcPr>
            <w:tcW w:w="394" w:type="pct"/>
            <w:shd w:val="clear" w:color="auto" w:fill="auto"/>
            <w:vAlign w:val="center"/>
          </w:tcPr>
          <w:p>
            <w:pPr>
              <w:widowControl/>
              <w:adjustRightInd w:val="0"/>
              <w:snapToGrid w:val="0"/>
              <w:jc w:val="center"/>
              <w:rPr>
                <w:kern w:val="0"/>
                <w:sz w:val="20"/>
              </w:rPr>
            </w:pPr>
            <w:r>
              <w:rPr>
                <w:sz w:val="20"/>
              </w:rPr>
              <w:t>0</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菌落总数</w:t>
            </w:r>
          </w:p>
        </w:tc>
        <w:tc>
          <w:tcPr>
            <w:tcW w:w="457" w:type="pct"/>
            <w:shd w:val="clear" w:color="auto" w:fill="auto"/>
            <w:vAlign w:val="center"/>
          </w:tcPr>
          <w:p>
            <w:pPr>
              <w:widowControl/>
              <w:adjustRightInd w:val="0"/>
              <w:snapToGrid w:val="0"/>
              <w:jc w:val="center"/>
              <w:rPr>
                <w:kern w:val="0"/>
                <w:sz w:val="20"/>
              </w:rPr>
            </w:pPr>
            <w:r>
              <w:rPr>
                <w:sz w:val="20"/>
              </w:rPr>
              <w:t>CFU/mL</w:t>
            </w:r>
          </w:p>
        </w:tc>
        <w:tc>
          <w:tcPr>
            <w:tcW w:w="384" w:type="pct"/>
            <w:shd w:val="clear" w:color="auto" w:fill="auto"/>
            <w:vAlign w:val="center"/>
          </w:tcPr>
          <w:p>
            <w:pPr>
              <w:widowControl/>
              <w:adjustRightInd w:val="0"/>
              <w:snapToGrid w:val="0"/>
              <w:jc w:val="center"/>
              <w:rPr>
                <w:kern w:val="0"/>
                <w:sz w:val="20"/>
              </w:rPr>
            </w:pPr>
            <w:r>
              <w:rPr>
                <w:sz w:val="20"/>
              </w:rPr>
              <w:t>34</w:t>
            </w:r>
          </w:p>
        </w:tc>
        <w:tc>
          <w:tcPr>
            <w:tcW w:w="394" w:type="pct"/>
            <w:shd w:val="clear" w:color="auto" w:fill="auto"/>
            <w:vAlign w:val="center"/>
          </w:tcPr>
          <w:p>
            <w:pPr>
              <w:widowControl/>
              <w:adjustRightInd w:val="0"/>
              <w:snapToGrid w:val="0"/>
              <w:jc w:val="center"/>
              <w:rPr>
                <w:kern w:val="0"/>
                <w:sz w:val="20"/>
              </w:rPr>
            </w:pPr>
            <w:r>
              <w:rPr>
                <w:sz w:val="20"/>
              </w:rPr>
              <w:t>0.34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27</w:t>
            </w:r>
          </w:p>
        </w:tc>
        <w:tc>
          <w:tcPr>
            <w:tcW w:w="394" w:type="pct"/>
            <w:shd w:val="clear" w:color="auto" w:fill="auto"/>
            <w:vAlign w:val="center"/>
          </w:tcPr>
          <w:p>
            <w:pPr>
              <w:widowControl/>
              <w:adjustRightInd w:val="0"/>
              <w:snapToGrid w:val="0"/>
              <w:jc w:val="center"/>
              <w:rPr>
                <w:kern w:val="0"/>
                <w:sz w:val="20"/>
              </w:rPr>
            </w:pPr>
            <w:r>
              <w:rPr>
                <w:sz w:val="20"/>
              </w:rPr>
              <w:t>0.27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29</w:t>
            </w:r>
          </w:p>
        </w:tc>
        <w:tc>
          <w:tcPr>
            <w:tcW w:w="394" w:type="pct"/>
            <w:shd w:val="clear" w:color="auto" w:fill="auto"/>
            <w:vAlign w:val="center"/>
          </w:tcPr>
          <w:p>
            <w:pPr>
              <w:widowControl/>
              <w:adjustRightInd w:val="0"/>
              <w:snapToGrid w:val="0"/>
              <w:jc w:val="center"/>
              <w:rPr>
                <w:kern w:val="0"/>
                <w:sz w:val="20"/>
              </w:rPr>
            </w:pPr>
            <w:r>
              <w:rPr>
                <w:sz w:val="20"/>
              </w:rPr>
              <w:t>0.29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Na</w:t>
            </w:r>
            <w:r>
              <w:rPr>
                <w:kern w:val="0"/>
                <w:szCs w:val="21"/>
                <w:vertAlign w:val="superscript"/>
              </w:rPr>
              <w:t>+</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36.5</w:t>
            </w:r>
          </w:p>
        </w:tc>
        <w:tc>
          <w:tcPr>
            <w:tcW w:w="394" w:type="pct"/>
            <w:shd w:val="clear" w:color="auto" w:fill="auto"/>
            <w:vAlign w:val="center"/>
          </w:tcPr>
          <w:p>
            <w:pPr>
              <w:widowControl/>
              <w:adjustRightInd w:val="0"/>
              <w:snapToGrid w:val="0"/>
              <w:jc w:val="center"/>
              <w:rPr>
                <w:kern w:val="0"/>
                <w:sz w:val="20"/>
              </w:rPr>
            </w:pPr>
            <w:r>
              <w:rPr>
                <w:sz w:val="20"/>
              </w:rPr>
              <w:t>0.1825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35.4</w:t>
            </w:r>
          </w:p>
        </w:tc>
        <w:tc>
          <w:tcPr>
            <w:tcW w:w="394" w:type="pct"/>
            <w:shd w:val="clear" w:color="auto" w:fill="auto"/>
            <w:vAlign w:val="center"/>
          </w:tcPr>
          <w:p>
            <w:pPr>
              <w:widowControl/>
              <w:adjustRightInd w:val="0"/>
              <w:snapToGrid w:val="0"/>
              <w:jc w:val="center"/>
              <w:rPr>
                <w:kern w:val="0"/>
                <w:sz w:val="20"/>
              </w:rPr>
            </w:pPr>
            <w:r>
              <w:rPr>
                <w:sz w:val="20"/>
              </w:rPr>
              <w:t>0.177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35.4</w:t>
            </w:r>
          </w:p>
        </w:tc>
        <w:tc>
          <w:tcPr>
            <w:tcW w:w="394" w:type="pct"/>
            <w:shd w:val="clear" w:color="auto" w:fill="auto"/>
            <w:vAlign w:val="center"/>
          </w:tcPr>
          <w:p>
            <w:pPr>
              <w:widowControl/>
              <w:adjustRightInd w:val="0"/>
              <w:snapToGrid w:val="0"/>
              <w:jc w:val="center"/>
              <w:rPr>
                <w:kern w:val="0"/>
                <w:sz w:val="20"/>
              </w:rPr>
            </w:pPr>
            <w:r>
              <w:rPr>
                <w:sz w:val="20"/>
              </w:rPr>
              <w:t>0.177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K</w:t>
            </w:r>
            <w:r>
              <w:rPr>
                <w:kern w:val="0"/>
                <w:szCs w:val="21"/>
                <w:vertAlign w:val="superscript"/>
              </w:rPr>
              <w:t>+</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1.76</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1.95</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1.8</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71" w:type="pct"/>
            <w:shd w:val="clear" w:color="auto" w:fill="auto"/>
            <w:noWrap/>
            <w:vAlign w:val="center"/>
          </w:tcPr>
          <w:p>
            <w:pPr>
              <w:widowControl/>
              <w:adjustRightInd w:val="0"/>
              <w:snapToGrid w:val="0"/>
              <w:jc w:val="center"/>
              <w:rPr>
                <w:kern w:val="0"/>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Mg</w:t>
            </w:r>
            <w:r>
              <w:rPr>
                <w:kern w:val="0"/>
                <w:szCs w:val="21"/>
                <w:vertAlign w:val="superscript"/>
              </w:rPr>
              <w:t>2+</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18</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19.1</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19.3</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71" w:type="pct"/>
            <w:shd w:val="clear" w:color="auto" w:fill="auto"/>
            <w:vAlign w:val="center"/>
          </w:tcPr>
          <w:p>
            <w:pPr>
              <w:widowControl/>
              <w:adjustRightInd w:val="0"/>
              <w:snapToGrid w:val="0"/>
              <w:jc w:val="center"/>
              <w:rPr>
                <w:kern w:val="0"/>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Ca</w:t>
            </w:r>
            <w:r>
              <w:rPr>
                <w:kern w:val="0"/>
                <w:szCs w:val="21"/>
                <w:vertAlign w:val="superscript"/>
              </w:rPr>
              <w:t>2+</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44.2</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43.7</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43.7</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71" w:type="pct"/>
            <w:shd w:val="clear" w:color="auto" w:fill="auto"/>
            <w:vAlign w:val="center"/>
          </w:tcPr>
          <w:p>
            <w:pPr>
              <w:widowControl/>
              <w:adjustRightInd w:val="0"/>
              <w:snapToGrid w:val="0"/>
              <w:jc w:val="center"/>
              <w:rPr>
                <w:kern w:val="0"/>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CO</w:t>
            </w:r>
            <w:r>
              <w:rPr>
                <w:kern w:val="0"/>
                <w:szCs w:val="21"/>
                <w:vertAlign w:val="subscript"/>
              </w:rPr>
              <w:t>3</w:t>
            </w:r>
            <w:r>
              <w:rPr>
                <w:kern w:val="0"/>
                <w:szCs w:val="21"/>
                <w:vertAlign w:val="superscript"/>
              </w:rPr>
              <w:t>2-</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0</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0</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71" w:type="pct"/>
            <w:shd w:val="clear" w:color="auto" w:fill="auto"/>
            <w:vAlign w:val="center"/>
          </w:tcPr>
          <w:p>
            <w:pPr>
              <w:widowControl/>
              <w:adjustRightInd w:val="0"/>
              <w:snapToGrid w:val="0"/>
              <w:jc w:val="center"/>
              <w:rPr>
                <w:kern w:val="0"/>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HCO</w:t>
            </w:r>
            <w:r>
              <w:rPr>
                <w:kern w:val="0"/>
                <w:szCs w:val="21"/>
                <w:vertAlign w:val="subscript"/>
              </w:rPr>
              <w:t>3</w:t>
            </w:r>
            <w:r>
              <w:rPr>
                <w:kern w:val="0"/>
                <w:szCs w:val="21"/>
                <w:vertAlign w:val="superscript"/>
              </w:rPr>
              <w:t>-</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132</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128</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84" w:type="pct"/>
            <w:shd w:val="clear" w:color="auto" w:fill="auto"/>
            <w:vAlign w:val="center"/>
          </w:tcPr>
          <w:p>
            <w:pPr>
              <w:widowControl/>
              <w:adjustRightInd w:val="0"/>
              <w:snapToGrid w:val="0"/>
              <w:jc w:val="center"/>
              <w:rPr>
                <w:kern w:val="0"/>
                <w:sz w:val="20"/>
              </w:rPr>
            </w:pPr>
            <w:r>
              <w:rPr>
                <w:sz w:val="20"/>
              </w:rPr>
              <w:t>135</w:t>
            </w:r>
          </w:p>
        </w:tc>
        <w:tc>
          <w:tcPr>
            <w:tcW w:w="394" w:type="pct"/>
            <w:shd w:val="clear" w:color="auto" w:fill="auto"/>
            <w:vAlign w:val="center"/>
          </w:tcPr>
          <w:p>
            <w:pPr>
              <w:widowControl/>
              <w:adjustRightInd w:val="0"/>
              <w:snapToGrid w:val="0"/>
              <w:jc w:val="center"/>
              <w:rPr>
                <w:kern w:val="0"/>
                <w:sz w:val="20"/>
              </w:rPr>
            </w:pPr>
            <w:r>
              <w:rPr>
                <w:sz w:val="20"/>
              </w:rPr>
              <w:t>/</w:t>
            </w:r>
          </w:p>
        </w:tc>
        <w:tc>
          <w:tcPr>
            <w:tcW w:w="394" w:type="pct"/>
            <w:shd w:val="clear" w:color="auto" w:fill="auto"/>
            <w:vAlign w:val="center"/>
          </w:tcPr>
          <w:p>
            <w:pPr>
              <w:widowControl/>
              <w:adjustRightInd w:val="0"/>
              <w:snapToGrid w:val="0"/>
              <w:jc w:val="center"/>
              <w:rPr>
                <w:kern w:val="0"/>
                <w:sz w:val="20"/>
              </w:rPr>
            </w:pPr>
            <w:r>
              <w:rPr>
                <w:sz w:val="20"/>
              </w:rPr>
              <w:t>/</w:t>
            </w:r>
          </w:p>
        </w:tc>
        <w:tc>
          <w:tcPr>
            <w:tcW w:w="371" w:type="pct"/>
            <w:shd w:val="clear" w:color="auto" w:fill="auto"/>
            <w:vAlign w:val="center"/>
          </w:tcPr>
          <w:p>
            <w:pPr>
              <w:widowControl/>
              <w:adjustRightInd w:val="0"/>
              <w:snapToGrid w:val="0"/>
              <w:jc w:val="center"/>
              <w:rPr>
                <w:kern w:val="0"/>
                <w:sz w:val="20"/>
              </w:rPr>
            </w:pPr>
            <w:r>
              <w:rPr>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Cl</w:t>
            </w:r>
            <w:r>
              <w:rPr>
                <w:kern w:val="0"/>
                <w:szCs w:val="21"/>
                <w:vertAlign w:val="superscript"/>
              </w:rPr>
              <w:t>-</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72.4</w:t>
            </w:r>
          </w:p>
        </w:tc>
        <w:tc>
          <w:tcPr>
            <w:tcW w:w="394" w:type="pct"/>
            <w:shd w:val="clear" w:color="auto" w:fill="auto"/>
            <w:vAlign w:val="center"/>
          </w:tcPr>
          <w:p>
            <w:pPr>
              <w:widowControl/>
              <w:adjustRightInd w:val="0"/>
              <w:snapToGrid w:val="0"/>
              <w:jc w:val="center"/>
              <w:rPr>
                <w:kern w:val="0"/>
                <w:sz w:val="20"/>
              </w:rPr>
            </w:pPr>
            <w:r>
              <w:rPr>
                <w:sz w:val="20"/>
              </w:rPr>
              <w:t>0.2896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72.7</w:t>
            </w:r>
          </w:p>
        </w:tc>
        <w:tc>
          <w:tcPr>
            <w:tcW w:w="394" w:type="pct"/>
            <w:shd w:val="clear" w:color="auto" w:fill="auto"/>
            <w:vAlign w:val="center"/>
          </w:tcPr>
          <w:p>
            <w:pPr>
              <w:widowControl/>
              <w:adjustRightInd w:val="0"/>
              <w:snapToGrid w:val="0"/>
              <w:jc w:val="center"/>
              <w:rPr>
                <w:kern w:val="0"/>
                <w:sz w:val="20"/>
              </w:rPr>
            </w:pPr>
            <w:r>
              <w:rPr>
                <w:sz w:val="20"/>
              </w:rPr>
              <w:t>0.2908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72.9</w:t>
            </w:r>
          </w:p>
        </w:tc>
        <w:tc>
          <w:tcPr>
            <w:tcW w:w="394" w:type="pct"/>
            <w:shd w:val="clear" w:color="auto" w:fill="auto"/>
            <w:noWrap/>
            <w:vAlign w:val="center"/>
          </w:tcPr>
          <w:p>
            <w:pPr>
              <w:widowControl/>
              <w:adjustRightInd w:val="0"/>
              <w:snapToGrid w:val="0"/>
              <w:jc w:val="center"/>
              <w:rPr>
                <w:kern w:val="0"/>
                <w:sz w:val="20"/>
              </w:rPr>
            </w:pPr>
            <w:r>
              <w:rPr>
                <w:sz w:val="20"/>
              </w:rPr>
              <w:t>0.2916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kern w:val="0"/>
                <w:szCs w:val="21"/>
              </w:rPr>
              <w:t>SO</w:t>
            </w:r>
            <w:r>
              <w:rPr>
                <w:kern w:val="0"/>
                <w:szCs w:val="21"/>
                <w:vertAlign w:val="subscript"/>
              </w:rPr>
              <w:t>4</w:t>
            </w:r>
            <w:r>
              <w:rPr>
                <w:kern w:val="0"/>
                <w:szCs w:val="21"/>
                <w:vertAlign w:val="superscript"/>
              </w:rPr>
              <w:t>2-</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58.2</w:t>
            </w:r>
          </w:p>
        </w:tc>
        <w:tc>
          <w:tcPr>
            <w:tcW w:w="394" w:type="pct"/>
            <w:shd w:val="clear" w:color="auto" w:fill="auto"/>
            <w:vAlign w:val="center"/>
          </w:tcPr>
          <w:p>
            <w:pPr>
              <w:widowControl/>
              <w:adjustRightInd w:val="0"/>
              <w:snapToGrid w:val="0"/>
              <w:jc w:val="center"/>
              <w:rPr>
                <w:kern w:val="0"/>
                <w:sz w:val="20"/>
              </w:rPr>
            </w:pPr>
            <w:r>
              <w:rPr>
                <w:sz w:val="20"/>
              </w:rPr>
              <w:t>0.2328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58.4</w:t>
            </w:r>
          </w:p>
        </w:tc>
        <w:tc>
          <w:tcPr>
            <w:tcW w:w="394" w:type="pct"/>
            <w:shd w:val="clear" w:color="auto" w:fill="auto"/>
            <w:vAlign w:val="center"/>
          </w:tcPr>
          <w:p>
            <w:pPr>
              <w:widowControl/>
              <w:adjustRightInd w:val="0"/>
              <w:snapToGrid w:val="0"/>
              <w:jc w:val="center"/>
              <w:rPr>
                <w:kern w:val="0"/>
                <w:sz w:val="20"/>
              </w:rPr>
            </w:pPr>
            <w:r>
              <w:rPr>
                <w:sz w:val="20"/>
              </w:rPr>
              <w:t>0.2336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59.2</w:t>
            </w:r>
          </w:p>
        </w:tc>
        <w:tc>
          <w:tcPr>
            <w:tcW w:w="394" w:type="pct"/>
            <w:shd w:val="clear" w:color="auto" w:fill="auto"/>
            <w:noWrap/>
            <w:vAlign w:val="center"/>
          </w:tcPr>
          <w:p>
            <w:pPr>
              <w:widowControl/>
              <w:adjustRightInd w:val="0"/>
              <w:snapToGrid w:val="0"/>
              <w:jc w:val="center"/>
              <w:rPr>
                <w:kern w:val="0"/>
                <w:sz w:val="20"/>
              </w:rPr>
            </w:pPr>
            <w:r>
              <w:rPr>
                <w:sz w:val="20"/>
              </w:rPr>
              <w:t>0.2368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氯化物</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72.7</w:t>
            </w:r>
          </w:p>
        </w:tc>
        <w:tc>
          <w:tcPr>
            <w:tcW w:w="394" w:type="pct"/>
            <w:shd w:val="clear" w:color="auto" w:fill="auto"/>
            <w:vAlign w:val="center"/>
          </w:tcPr>
          <w:p>
            <w:pPr>
              <w:widowControl/>
              <w:adjustRightInd w:val="0"/>
              <w:snapToGrid w:val="0"/>
              <w:jc w:val="center"/>
              <w:rPr>
                <w:kern w:val="0"/>
                <w:sz w:val="20"/>
              </w:rPr>
            </w:pPr>
            <w:r>
              <w:rPr>
                <w:sz w:val="20"/>
              </w:rPr>
              <w:t>0.2908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73.1</w:t>
            </w:r>
          </w:p>
        </w:tc>
        <w:tc>
          <w:tcPr>
            <w:tcW w:w="394" w:type="pct"/>
            <w:shd w:val="clear" w:color="auto" w:fill="auto"/>
            <w:vAlign w:val="center"/>
          </w:tcPr>
          <w:p>
            <w:pPr>
              <w:widowControl/>
              <w:adjustRightInd w:val="0"/>
              <w:snapToGrid w:val="0"/>
              <w:jc w:val="center"/>
              <w:rPr>
                <w:kern w:val="0"/>
                <w:sz w:val="20"/>
              </w:rPr>
            </w:pPr>
            <w:r>
              <w:rPr>
                <w:sz w:val="20"/>
              </w:rPr>
              <w:t>0.2924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73</w:t>
            </w:r>
          </w:p>
        </w:tc>
        <w:tc>
          <w:tcPr>
            <w:tcW w:w="394" w:type="pct"/>
            <w:shd w:val="clear" w:color="auto" w:fill="auto"/>
            <w:noWrap/>
            <w:vAlign w:val="center"/>
          </w:tcPr>
          <w:p>
            <w:pPr>
              <w:widowControl/>
              <w:adjustRightInd w:val="0"/>
              <w:snapToGrid w:val="0"/>
              <w:jc w:val="center"/>
              <w:rPr>
                <w:kern w:val="0"/>
                <w:sz w:val="20"/>
              </w:rPr>
            </w:pPr>
            <w:r>
              <w:rPr>
                <w:sz w:val="20"/>
              </w:rPr>
              <w:t>0.292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noWrap/>
            <w:vAlign w:val="center"/>
          </w:tcPr>
          <w:p>
            <w:pPr>
              <w:widowControl/>
              <w:adjustRightInd w:val="0"/>
              <w:snapToGrid w:val="0"/>
              <w:jc w:val="center"/>
              <w:rPr>
                <w:kern w:val="0"/>
                <w:sz w:val="20"/>
              </w:rPr>
            </w:pPr>
            <w:r>
              <w:rPr>
                <w:sz w:val="20"/>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铁</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锰</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铜</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＜1</w:t>
            </w:r>
          </w:p>
        </w:tc>
        <w:tc>
          <w:tcPr>
            <w:tcW w:w="394" w:type="pct"/>
            <w:shd w:val="clear" w:color="auto" w:fill="auto"/>
            <w:vAlign w:val="center"/>
          </w:tcPr>
          <w:p>
            <w:pPr>
              <w:widowControl/>
              <w:adjustRightInd w:val="0"/>
              <w:snapToGrid w:val="0"/>
              <w:jc w:val="center"/>
              <w:rPr>
                <w:kern w:val="0"/>
                <w:sz w:val="20"/>
              </w:rPr>
            </w:pPr>
            <w:r>
              <w:rPr>
                <w:sz w:val="20"/>
              </w:rPr>
              <w:t>0.001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＜1</w:t>
            </w:r>
          </w:p>
        </w:tc>
        <w:tc>
          <w:tcPr>
            <w:tcW w:w="394" w:type="pct"/>
            <w:shd w:val="clear" w:color="auto" w:fill="auto"/>
            <w:vAlign w:val="center"/>
          </w:tcPr>
          <w:p>
            <w:pPr>
              <w:widowControl/>
              <w:adjustRightInd w:val="0"/>
              <w:snapToGrid w:val="0"/>
              <w:jc w:val="center"/>
              <w:rPr>
                <w:kern w:val="0"/>
                <w:sz w:val="20"/>
              </w:rPr>
            </w:pPr>
            <w:r>
              <w:rPr>
                <w:sz w:val="20"/>
              </w:rPr>
              <w:t>0.001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＜1</w:t>
            </w:r>
          </w:p>
        </w:tc>
        <w:tc>
          <w:tcPr>
            <w:tcW w:w="394" w:type="pct"/>
            <w:shd w:val="clear" w:color="auto" w:fill="auto"/>
            <w:vAlign w:val="center"/>
          </w:tcPr>
          <w:p>
            <w:pPr>
              <w:widowControl/>
              <w:adjustRightInd w:val="0"/>
              <w:snapToGrid w:val="0"/>
              <w:jc w:val="center"/>
              <w:rPr>
                <w:kern w:val="0"/>
                <w:sz w:val="20"/>
              </w:rPr>
            </w:pPr>
            <w:r>
              <w:rPr>
                <w:sz w:val="20"/>
              </w:rPr>
              <w:t>0.001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锌</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氰化物</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＜0.002</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＜0.002</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＜0.002</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汞</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砷</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＜0.3</w:t>
            </w:r>
          </w:p>
        </w:tc>
        <w:tc>
          <w:tcPr>
            <w:tcW w:w="39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＜0.3</w:t>
            </w:r>
          </w:p>
        </w:tc>
        <w:tc>
          <w:tcPr>
            <w:tcW w:w="39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＜0.3</w:t>
            </w:r>
          </w:p>
        </w:tc>
        <w:tc>
          <w:tcPr>
            <w:tcW w:w="39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硒</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＜0.4</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＜0.4</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＜0.4</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锑</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六价铬</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＜0.004</w:t>
            </w:r>
          </w:p>
        </w:tc>
        <w:tc>
          <w:tcPr>
            <w:tcW w:w="394" w:type="pct"/>
            <w:shd w:val="clear" w:color="auto" w:fill="auto"/>
            <w:vAlign w:val="center"/>
          </w:tcPr>
          <w:p>
            <w:pPr>
              <w:widowControl/>
              <w:adjustRightInd w:val="0"/>
              <w:snapToGrid w:val="0"/>
              <w:jc w:val="center"/>
              <w:rPr>
                <w:kern w:val="0"/>
                <w:sz w:val="20"/>
              </w:rPr>
            </w:pPr>
            <w:r>
              <w:rPr>
                <w:sz w:val="20"/>
              </w:rPr>
              <w:t>0.08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＜0.004</w:t>
            </w:r>
          </w:p>
        </w:tc>
        <w:tc>
          <w:tcPr>
            <w:tcW w:w="394" w:type="pct"/>
            <w:shd w:val="clear" w:color="auto" w:fill="auto"/>
            <w:vAlign w:val="center"/>
          </w:tcPr>
          <w:p>
            <w:pPr>
              <w:widowControl/>
              <w:adjustRightInd w:val="0"/>
              <w:snapToGrid w:val="0"/>
              <w:jc w:val="center"/>
              <w:rPr>
                <w:kern w:val="0"/>
                <w:sz w:val="20"/>
              </w:rPr>
            </w:pPr>
            <w:r>
              <w:rPr>
                <w:sz w:val="20"/>
              </w:rPr>
              <w:t>0.08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＜0.004</w:t>
            </w:r>
          </w:p>
        </w:tc>
        <w:tc>
          <w:tcPr>
            <w:tcW w:w="394" w:type="pct"/>
            <w:shd w:val="clear" w:color="auto" w:fill="auto"/>
            <w:vAlign w:val="center"/>
          </w:tcPr>
          <w:p>
            <w:pPr>
              <w:widowControl/>
              <w:adjustRightInd w:val="0"/>
              <w:snapToGrid w:val="0"/>
              <w:jc w:val="center"/>
              <w:rPr>
                <w:kern w:val="0"/>
                <w:sz w:val="20"/>
              </w:rPr>
            </w:pPr>
            <w:r>
              <w:rPr>
                <w:sz w:val="20"/>
              </w:rPr>
              <w:t>0.08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石油类</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硫化物</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＜0.005</w:t>
            </w:r>
          </w:p>
        </w:tc>
        <w:tc>
          <w:tcPr>
            <w:tcW w:w="394" w:type="pct"/>
            <w:shd w:val="clear" w:color="auto" w:fill="auto"/>
            <w:vAlign w:val="center"/>
          </w:tcPr>
          <w:p>
            <w:pPr>
              <w:widowControl/>
              <w:adjustRightInd w:val="0"/>
              <w:snapToGrid w:val="0"/>
              <w:jc w:val="center"/>
              <w:rPr>
                <w:kern w:val="0"/>
                <w:sz w:val="20"/>
              </w:rPr>
            </w:pPr>
            <w:r>
              <w:rPr>
                <w:sz w:val="20"/>
              </w:rPr>
              <w:t>0.25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＜0.005</w:t>
            </w:r>
          </w:p>
        </w:tc>
        <w:tc>
          <w:tcPr>
            <w:tcW w:w="394" w:type="pct"/>
            <w:shd w:val="clear" w:color="auto" w:fill="auto"/>
            <w:vAlign w:val="center"/>
          </w:tcPr>
          <w:p>
            <w:pPr>
              <w:widowControl/>
              <w:adjustRightInd w:val="0"/>
              <w:snapToGrid w:val="0"/>
              <w:jc w:val="center"/>
              <w:rPr>
                <w:kern w:val="0"/>
                <w:sz w:val="20"/>
              </w:rPr>
            </w:pPr>
            <w:r>
              <w:rPr>
                <w:sz w:val="20"/>
              </w:rPr>
              <w:t>0.25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＜0.005</w:t>
            </w:r>
          </w:p>
        </w:tc>
        <w:tc>
          <w:tcPr>
            <w:tcW w:w="394" w:type="pct"/>
            <w:shd w:val="clear" w:color="auto" w:fill="auto"/>
            <w:vAlign w:val="center"/>
          </w:tcPr>
          <w:p>
            <w:pPr>
              <w:widowControl/>
              <w:adjustRightInd w:val="0"/>
              <w:snapToGrid w:val="0"/>
              <w:jc w:val="center"/>
              <w:rPr>
                <w:kern w:val="0"/>
                <w:sz w:val="20"/>
              </w:rPr>
            </w:pPr>
            <w:r>
              <w:rPr>
                <w:sz w:val="20"/>
              </w:rPr>
              <w:t>0.25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碘化物</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＜0.002</w:t>
            </w:r>
          </w:p>
        </w:tc>
        <w:tc>
          <w:tcPr>
            <w:tcW w:w="394" w:type="pct"/>
            <w:shd w:val="clear" w:color="auto" w:fill="auto"/>
            <w:vAlign w:val="center"/>
          </w:tcPr>
          <w:p>
            <w:pPr>
              <w:widowControl/>
              <w:adjustRightInd w:val="0"/>
              <w:snapToGrid w:val="0"/>
              <w:jc w:val="center"/>
              <w:rPr>
                <w:kern w:val="0"/>
                <w:sz w:val="20"/>
              </w:rPr>
            </w:pPr>
            <w:r>
              <w:rPr>
                <w:sz w:val="20"/>
              </w:rPr>
              <w:t>0.025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＜0.002</w:t>
            </w:r>
          </w:p>
        </w:tc>
        <w:tc>
          <w:tcPr>
            <w:tcW w:w="394" w:type="pct"/>
            <w:shd w:val="clear" w:color="auto" w:fill="auto"/>
            <w:vAlign w:val="center"/>
          </w:tcPr>
          <w:p>
            <w:pPr>
              <w:widowControl/>
              <w:adjustRightInd w:val="0"/>
              <w:snapToGrid w:val="0"/>
              <w:jc w:val="center"/>
              <w:rPr>
                <w:kern w:val="0"/>
                <w:sz w:val="20"/>
              </w:rPr>
            </w:pPr>
            <w:r>
              <w:rPr>
                <w:sz w:val="20"/>
              </w:rPr>
              <w:t>0.025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＜0.002</w:t>
            </w:r>
          </w:p>
        </w:tc>
        <w:tc>
          <w:tcPr>
            <w:tcW w:w="394" w:type="pct"/>
            <w:shd w:val="clear" w:color="auto" w:fill="auto"/>
            <w:vAlign w:val="center"/>
          </w:tcPr>
          <w:p>
            <w:pPr>
              <w:widowControl/>
              <w:adjustRightInd w:val="0"/>
              <w:snapToGrid w:val="0"/>
              <w:jc w:val="center"/>
              <w:rPr>
                <w:kern w:val="0"/>
                <w:sz w:val="20"/>
              </w:rPr>
            </w:pPr>
            <w:r>
              <w:rPr>
                <w:sz w:val="20"/>
              </w:rPr>
              <w:t>0.025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三氯甲烷</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＜0.02</w:t>
            </w:r>
          </w:p>
        </w:tc>
        <w:tc>
          <w:tcPr>
            <w:tcW w:w="39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＜0.02</w:t>
            </w:r>
          </w:p>
        </w:tc>
        <w:tc>
          <w:tcPr>
            <w:tcW w:w="39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＜0.02</w:t>
            </w:r>
          </w:p>
        </w:tc>
        <w:tc>
          <w:tcPr>
            <w:tcW w:w="39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四氯化碳</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0.015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0.015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0.015</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阴离子表面活性剂</w:t>
            </w:r>
          </w:p>
        </w:tc>
        <w:tc>
          <w:tcPr>
            <w:tcW w:w="457" w:type="pct"/>
            <w:shd w:val="clear" w:color="auto" w:fill="auto"/>
            <w:vAlign w:val="center"/>
          </w:tcPr>
          <w:p>
            <w:pPr>
              <w:widowControl/>
              <w:adjustRightInd w:val="0"/>
              <w:snapToGrid w:val="0"/>
              <w:jc w:val="center"/>
              <w:rPr>
                <w:kern w:val="0"/>
                <w:sz w:val="20"/>
              </w:rPr>
            </w:pPr>
            <w:r>
              <w:rPr>
                <w:sz w:val="20"/>
              </w:rPr>
              <w:t>mg/L</w:t>
            </w:r>
          </w:p>
        </w:tc>
        <w:tc>
          <w:tcPr>
            <w:tcW w:w="384" w:type="pct"/>
            <w:shd w:val="clear" w:color="auto" w:fill="auto"/>
            <w:vAlign w:val="center"/>
          </w:tcPr>
          <w:p>
            <w:pPr>
              <w:widowControl/>
              <w:adjustRightInd w:val="0"/>
              <w:snapToGrid w:val="0"/>
              <w:jc w:val="center"/>
              <w:rPr>
                <w:kern w:val="0"/>
                <w:sz w:val="20"/>
              </w:rPr>
            </w:pPr>
            <w:r>
              <w:rPr>
                <w:sz w:val="20"/>
              </w:rPr>
              <w:t>＜0.050</w:t>
            </w:r>
          </w:p>
        </w:tc>
        <w:tc>
          <w:tcPr>
            <w:tcW w:w="394" w:type="pct"/>
            <w:shd w:val="clear" w:color="auto" w:fill="auto"/>
            <w:vAlign w:val="center"/>
          </w:tcPr>
          <w:p>
            <w:pPr>
              <w:widowControl/>
              <w:adjustRightInd w:val="0"/>
              <w:snapToGrid w:val="0"/>
              <w:jc w:val="center"/>
              <w:rPr>
                <w:kern w:val="0"/>
                <w:sz w:val="20"/>
              </w:rPr>
            </w:pPr>
            <w:r>
              <w:rPr>
                <w:sz w:val="20"/>
              </w:rPr>
              <w:t>0.1667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＜0.050</w:t>
            </w:r>
          </w:p>
        </w:tc>
        <w:tc>
          <w:tcPr>
            <w:tcW w:w="394" w:type="pct"/>
            <w:shd w:val="clear" w:color="auto" w:fill="auto"/>
            <w:vAlign w:val="center"/>
          </w:tcPr>
          <w:p>
            <w:pPr>
              <w:widowControl/>
              <w:adjustRightInd w:val="0"/>
              <w:snapToGrid w:val="0"/>
              <w:jc w:val="center"/>
              <w:rPr>
                <w:kern w:val="0"/>
                <w:sz w:val="20"/>
              </w:rPr>
            </w:pPr>
            <w:r>
              <w:rPr>
                <w:sz w:val="20"/>
              </w:rPr>
              <w:t>0.1667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＜0.050</w:t>
            </w:r>
          </w:p>
        </w:tc>
        <w:tc>
          <w:tcPr>
            <w:tcW w:w="394" w:type="pct"/>
            <w:shd w:val="clear" w:color="auto" w:fill="auto"/>
            <w:vAlign w:val="center"/>
          </w:tcPr>
          <w:p>
            <w:pPr>
              <w:widowControl/>
              <w:adjustRightInd w:val="0"/>
              <w:snapToGrid w:val="0"/>
              <w:jc w:val="center"/>
              <w:rPr>
                <w:kern w:val="0"/>
                <w:sz w:val="20"/>
              </w:rPr>
            </w:pPr>
            <w:r>
              <w:rPr>
                <w:sz w:val="20"/>
              </w:rPr>
              <w:t>0.1667</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苯</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＜2</w:t>
            </w:r>
          </w:p>
        </w:tc>
        <w:tc>
          <w:tcPr>
            <w:tcW w:w="39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w:t>
            </w:r>
          </w:p>
        </w:tc>
        <w:tc>
          <w:tcPr>
            <w:tcW w:w="39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w:t>
            </w:r>
          </w:p>
        </w:tc>
        <w:tc>
          <w:tcPr>
            <w:tcW w:w="394" w:type="pct"/>
            <w:shd w:val="clear" w:color="auto" w:fill="auto"/>
            <w:vAlign w:val="center"/>
          </w:tcPr>
          <w:p>
            <w:pPr>
              <w:widowControl/>
              <w:adjustRightInd w:val="0"/>
              <w:snapToGrid w:val="0"/>
              <w:jc w:val="center"/>
              <w:rPr>
                <w:kern w:val="0"/>
                <w:sz w:val="20"/>
              </w:rPr>
            </w:pPr>
            <w:r>
              <w:rPr>
                <w:sz w:val="20"/>
              </w:rPr>
              <w:t>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甲苯</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＜2</w:t>
            </w:r>
          </w:p>
        </w:tc>
        <w:tc>
          <w:tcPr>
            <w:tcW w:w="394" w:type="pct"/>
            <w:shd w:val="clear" w:color="auto" w:fill="auto"/>
            <w:vAlign w:val="center"/>
          </w:tcPr>
          <w:p>
            <w:pPr>
              <w:widowControl/>
              <w:adjustRightInd w:val="0"/>
              <w:snapToGrid w:val="0"/>
              <w:jc w:val="center"/>
              <w:rPr>
                <w:kern w:val="0"/>
                <w:sz w:val="20"/>
              </w:rPr>
            </w:pPr>
            <w:r>
              <w:rPr>
                <w:sz w:val="20"/>
              </w:rPr>
              <w:t>0.0028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w:t>
            </w:r>
          </w:p>
        </w:tc>
        <w:tc>
          <w:tcPr>
            <w:tcW w:w="394" w:type="pct"/>
            <w:shd w:val="clear" w:color="auto" w:fill="auto"/>
            <w:vAlign w:val="center"/>
          </w:tcPr>
          <w:p>
            <w:pPr>
              <w:widowControl/>
              <w:adjustRightInd w:val="0"/>
              <w:snapToGrid w:val="0"/>
              <w:jc w:val="center"/>
              <w:rPr>
                <w:kern w:val="0"/>
                <w:sz w:val="20"/>
              </w:rPr>
            </w:pPr>
            <w:r>
              <w:rPr>
                <w:sz w:val="20"/>
              </w:rPr>
              <w:t>0.0028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＜2</w:t>
            </w:r>
          </w:p>
        </w:tc>
        <w:tc>
          <w:tcPr>
            <w:tcW w:w="394" w:type="pct"/>
            <w:shd w:val="clear" w:color="auto" w:fill="auto"/>
            <w:vAlign w:val="center"/>
          </w:tcPr>
          <w:p>
            <w:pPr>
              <w:widowControl/>
              <w:adjustRightInd w:val="0"/>
              <w:snapToGrid w:val="0"/>
              <w:jc w:val="center"/>
              <w:rPr>
                <w:kern w:val="0"/>
                <w:sz w:val="20"/>
              </w:rPr>
            </w:pPr>
            <w:r>
              <w:rPr>
                <w:sz w:val="20"/>
              </w:rPr>
              <w:t>0.0028</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钴</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0.0006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0.0006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＜0.03</w:t>
            </w:r>
          </w:p>
        </w:tc>
        <w:tc>
          <w:tcPr>
            <w:tcW w:w="394" w:type="pct"/>
            <w:shd w:val="clear" w:color="auto" w:fill="auto"/>
            <w:vAlign w:val="center"/>
          </w:tcPr>
          <w:p>
            <w:pPr>
              <w:widowControl/>
              <w:adjustRightInd w:val="0"/>
              <w:snapToGrid w:val="0"/>
              <w:jc w:val="center"/>
              <w:rPr>
                <w:kern w:val="0"/>
                <w:sz w:val="20"/>
              </w:rPr>
            </w:pPr>
            <w:r>
              <w:rPr>
                <w:sz w:val="20"/>
              </w:rPr>
              <w:t>0.0006</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镍</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＜0.06</w:t>
            </w:r>
          </w:p>
        </w:tc>
        <w:tc>
          <w:tcPr>
            <w:tcW w:w="39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＜0.06</w:t>
            </w:r>
          </w:p>
        </w:tc>
        <w:tc>
          <w:tcPr>
            <w:tcW w:w="39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＜0.06</w:t>
            </w:r>
          </w:p>
        </w:tc>
        <w:tc>
          <w:tcPr>
            <w:tcW w:w="394" w:type="pct"/>
            <w:shd w:val="clear" w:color="auto" w:fill="auto"/>
            <w:vAlign w:val="center"/>
          </w:tcPr>
          <w:p>
            <w:pPr>
              <w:widowControl/>
              <w:adjustRightInd w:val="0"/>
              <w:snapToGrid w:val="0"/>
              <w:jc w:val="center"/>
              <w:rPr>
                <w:kern w:val="0"/>
                <w:sz w:val="20"/>
              </w:rPr>
            </w:pPr>
            <w:r>
              <w:rPr>
                <w:sz w:val="20"/>
              </w:rPr>
              <w:t>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铍</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0.02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0.02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＜0.04</w:t>
            </w:r>
          </w:p>
        </w:tc>
        <w:tc>
          <w:tcPr>
            <w:tcW w:w="394" w:type="pct"/>
            <w:shd w:val="clear" w:color="auto" w:fill="auto"/>
            <w:vAlign w:val="center"/>
          </w:tcPr>
          <w:p>
            <w:pPr>
              <w:widowControl/>
              <w:adjustRightInd w:val="0"/>
              <w:snapToGrid w:val="0"/>
              <w:jc w:val="center"/>
              <w:rPr>
                <w:kern w:val="0"/>
                <w:sz w:val="20"/>
              </w:rPr>
            </w:pPr>
            <w:r>
              <w:rPr>
                <w:sz w:val="20"/>
              </w:rPr>
              <w:t>0.02</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钡</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＜0.20</w:t>
            </w:r>
          </w:p>
        </w:tc>
        <w:tc>
          <w:tcPr>
            <w:tcW w:w="39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＜0.20</w:t>
            </w:r>
          </w:p>
        </w:tc>
        <w:tc>
          <w:tcPr>
            <w:tcW w:w="39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＜0.20</w:t>
            </w:r>
          </w:p>
        </w:tc>
        <w:tc>
          <w:tcPr>
            <w:tcW w:w="394" w:type="pct"/>
            <w:shd w:val="clear" w:color="auto" w:fill="auto"/>
            <w:vAlign w:val="center"/>
          </w:tcPr>
          <w:p>
            <w:pPr>
              <w:widowControl/>
              <w:adjustRightInd w:val="0"/>
              <w:snapToGrid w:val="0"/>
              <w:jc w:val="center"/>
              <w:rPr>
                <w:kern w:val="0"/>
                <w:sz w:val="20"/>
              </w:rPr>
            </w:pPr>
            <w:r>
              <w:rPr>
                <w:sz w:val="20"/>
              </w:rPr>
              <w:t>0.0003</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镉</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＜0.05</w:t>
            </w:r>
          </w:p>
        </w:tc>
        <w:tc>
          <w:tcPr>
            <w:tcW w:w="394" w:type="pct"/>
            <w:shd w:val="clear" w:color="auto" w:fill="auto"/>
            <w:vAlign w:val="center"/>
          </w:tcPr>
          <w:p>
            <w:pPr>
              <w:widowControl/>
              <w:adjustRightInd w:val="0"/>
              <w:snapToGrid w:val="0"/>
              <w:jc w:val="center"/>
              <w:rPr>
                <w:kern w:val="0"/>
                <w:sz w:val="20"/>
              </w:rPr>
            </w:pPr>
            <w:r>
              <w:rPr>
                <w:sz w:val="20"/>
              </w:rPr>
              <w:t>0.01</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6" w:type="pct"/>
            <w:shd w:val="clear" w:color="auto" w:fill="auto"/>
            <w:vAlign w:val="center"/>
          </w:tcPr>
          <w:p>
            <w:pPr>
              <w:widowControl/>
              <w:adjustRightInd w:val="0"/>
              <w:snapToGrid w:val="0"/>
              <w:jc w:val="center"/>
              <w:rPr>
                <w:kern w:val="0"/>
                <w:sz w:val="20"/>
              </w:rPr>
            </w:pPr>
            <w:r>
              <w:rPr>
                <w:sz w:val="20"/>
              </w:rPr>
              <w:t>铅</w:t>
            </w:r>
          </w:p>
        </w:tc>
        <w:tc>
          <w:tcPr>
            <w:tcW w:w="457" w:type="pct"/>
            <w:shd w:val="clear" w:color="auto" w:fill="auto"/>
            <w:vAlign w:val="center"/>
          </w:tcPr>
          <w:p>
            <w:pPr>
              <w:widowControl/>
              <w:adjustRightInd w:val="0"/>
              <w:snapToGrid w:val="0"/>
              <w:jc w:val="center"/>
              <w:rPr>
                <w:kern w:val="0"/>
                <w:sz w:val="20"/>
              </w:rPr>
            </w:pPr>
            <w:r>
              <w:rPr>
                <w:sz w:val="20"/>
              </w:rPr>
              <w:t>μg/L</w:t>
            </w:r>
          </w:p>
        </w:tc>
        <w:tc>
          <w:tcPr>
            <w:tcW w:w="384" w:type="pct"/>
            <w:shd w:val="clear" w:color="auto" w:fill="auto"/>
            <w:vAlign w:val="center"/>
          </w:tcPr>
          <w:p>
            <w:pPr>
              <w:widowControl/>
              <w:adjustRightInd w:val="0"/>
              <w:snapToGrid w:val="0"/>
              <w:jc w:val="center"/>
              <w:rPr>
                <w:kern w:val="0"/>
                <w:sz w:val="20"/>
              </w:rPr>
            </w:pPr>
            <w:r>
              <w:rPr>
                <w:sz w:val="20"/>
              </w:rPr>
              <w:t>＜0.09</w:t>
            </w:r>
          </w:p>
        </w:tc>
        <w:tc>
          <w:tcPr>
            <w:tcW w:w="394" w:type="pct"/>
            <w:shd w:val="clear" w:color="auto" w:fill="auto"/>
            <w:vAlign w:val="center"/>
          </w:tcPr>
          <w:p>
            <w:pPr>
              <w:widowControl/>
              <w:adjustRightInd w:val="0"/>
              <w:snapToGrid w:val="0"/>
              <w:jc w:val="center"/>
              <w:rPr>
                <w:kern w:val="0"/>
                <w:sz w:val="20"/>
              </w:rPr>
            </w:pPr>
            <w:r>
              <w:rPr>
                <w:sz w:val="20"/>
              </w:rPr>
              <w:t>0.009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＜0.09</w:t>
            </w:r>
          </w:p>
        </w:tc>
        <w:tc>
          <w:tcPr>
            <w:tcW w:w="394" w:type="pct"/>
            <w:shd w:val="clear" w:color="auto" w:fill="auto"/>
            <w:vAlign w:val="center"/>
          </w:tcPr>
          <w:p>
            <w:pPr>
              <w:widowControl/>
              <w:adjustRightInd w:val="0"/>
              <w:snapToGrid w:val="0"/>
              <w:jc w:val="center"/>
              <w:rPr>
                <w:kern w:val="0"/>
                <w:sz w:val="20"/>
              </w:rPr>
            </w:pPr>
            <w:r>
              <w:rPr>
                <w:sz w:val="20"/>
              </w:rPr>
              <w:t>0.009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84" w:type="pct"/>
            <w:shd w:val="clear" w:color="auto" w:fill="auto"/>
            <w:vAlign w:val="center"/>
          </w:tcPr>
          <w:p>
            <w:pPr>
              <w:widowControl/>
              <w:adjustRightInd w:val="0"/>
              <w:snapToGrid w:val="0"/>
              <w:jc w:val="center"/>
              <w:rPr>
                <w:kern w:val="0"/>
                <w:sz w:val="20"/>
              </w:rPr>
            </w:pPr>
            <w:r>
              <w:rPr>
                <w:sz w:val="20"/>
              </w:rPr>
              <w:t>＜0.09</w:t>
            </w:r>
          </w:p>
        </w:tc>
        <w:tc>
          <w:tcPr>
            <w:tcW w:w="394" w:type="pct"/>
            <w:shd w:val="clear" w:color="auto" w:fill="auto"/>
            <w:vAlign w:val="center"/>
          </w:tcPr>
          <w:p>
            <w:pPr>
              <w:widowControl/>
              <w:adjustRightInd w:val="0"/>
              <w:snapToGrid w:val="0"/>
              <w:jc w:val="center"/>
              <w:rPr>
                <w:kern w:val="0"/>
                <w:sz w:val="20"/>
              </w:rPr>
            </w:pPr>
            <w:r>
              <w:rPr>
                <w:sz w:val="20"/>
              </w:rPr>
              <w:t>0.009</w:t>
            </w:r>
          </w:p>
        </w:tc>
        <w:tc>
          <w:tcPr>
            <w:tcW w:w="394" w:type="pct"/>
            <w:shd w:val="clear" w:color="auto" w:fill="auto"/>
            <w:vAlign w:val="center"/>
          </w:tcPr>
          <w:p>
            <w:pPr>
              <w:widowControl/>
              <w:adjustRightInd w:val="0"/>
              <w:snapToGrid w:val="0"/>
              <w:jc w:val="center"/>
              <w:rPr>
                <w:kern w:val="0"/>
                <w:sz w:val="20"/>
              </w:rPr>
            </w:pPr>
            <w:r>
              <w:rPr>
                <w:sz w:val="20"/>
              </w:rPr>
              <w:t>达标</w:t>
            </w:r>
          </w:p>
        </w:tc>
        <w:tc>
          <w:tcPr>
            <w:tcW w:w="371" w:type="pct"/>
            <w:shd w:val="clear" w:color="auto" w:fill="auto"/>
            <w:vAlign w:val="center"/>
          </w:tcPr>
          <w:p>
            <w:pPr>
              <w:widowControl/>
              <w:adjustRightInd w:val="0"/>
              <w:snapToGrid w:val="0"/>
              <w:jc w:val="center"/>
              <w:rPr>
                <w:kern w:val="0"/>
                <w:sz w:val="20"/>
              </w:rPr>
            </w:pPr>
            <w:r>
              <w:rPr>
                <w:sz w:val="20"/>
              </w:rPr>
              <w:t>10</w:t>
            </w:r>
          </w:p>
        </w:tc>
      </w:tr>
    </w:tbl>
    <w:p>
      <w:pPr>
        <w:rPr>
          <w:bCs/>
          <w:szCs w:val="21"/>
        </w:rPr>
      </w:pPr>
      <w:r>
        <w:rPr>
          <w:rFonts w:hint="eastAsia"/>
          <w:bCs/>
          <w:szCs w:val="21"/>
        </w:rPr>
        <w:t>注：G1、G4、G8的监测数据来源：监测报告编号</w:t>
      </w:r>
      <w:r>
        <w:rPr>
          <w:bCs/>
          <w:szCs w:val="21"/>
        </w:rPr>
        <w:t>PY2112238-001</w:t>
      </w:r>
      <w:r>
        <w:rPr>
          <w:rFonts w:hint="eastAsia"/>
          <w:bCs/>
          <w:szCs w:val="21"/>
        </w:rPr>
        <w:t>。</w:t>
      </w: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jc w:val="center"/>
        <w:rPr>
          <w:b/>
          <w:sz w:val="24"/>
          <w:szCs w:val="24"/>
        </w:rPr>
      </w:pPr>
      <w:r>
        <w:rPr>
          <w:sz w:val="24"/>
        </w:rPr>
        <w:t xml:space="preserve"> </w:t>
      </w:r>
      <w:r>
        <w:rPr>
          <w:rFonts w:hint="eastAsia"/>
          <w:b/>
          <w:sz w:val="24"/>
          <w:szCs w:val="24"/>
        </w:rPr>
        <w:t>表4</w:t>
      </w:r>
      <w:r>
        <w:rPr>
          <w:b/>
          <w:sz w:val="24"/>
          <w:szCs w:val="24"/>
        </w:rPr>
        <w:t>.3</w:t>
      </w:r>
      <w:r>
        <w:rPr>
          <w:rFonts w:hint="eastAsia"/>
          <w:b/>
          <w:sz w:val="24"/>
          <w:szCs w:val="24"/>
        </w:rPr>
        <w:t>.3</w:t>
      </w:r>
      <w:r>
        <w:rPr>
          <w:b/>
          <w:sz w:val="24"/>
          <w:szCs w:val="24"/>
        </w:rPr>
        <w:noBreakHyphen/>
      </w:r>
      <w:r>
        <w:rPr>
          <w:b/>
          <w:sz w:val="24"/>
          <w:szCs w:val="24"/>
        </w:rPr>
        <w:t>3   地下水环境质量现状监测结果及评价一览表</w:t>
      </w:r>
      <w:r>
        <w:rPr>
          <w:rFonts w:hint="eastAsia"/>
          <w:b/>
          <w:sz w:val="24"/>
          <w:szCs w:val="24"/>
        </w:rPr>
        <w:t>（二）</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7"/>
        <w:gridCol w:w="1327"/>
        <w:gridCol w:w="1069"/>
        <w:gridCol w:w="907"/>
        <w:gridCol w:w="760"/>
        <w:gridCol w:w="907"/>
        <w:gridCol w:w="907"/>
        <w:gridCol w:w="768"/>
        <w:gridCol w:w="907"/>
        <w:gridCol w:w="907"/>
        <w:gridCol w:w="768"/>
        <w:gridCol w:w="907"/>
        <w:gridCol w:w="907"/>
        <w:gridCol w:w="706"/>
        <w:gridCol w:w="9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vMerge w:val="restart"/>
            <w:shd w:val="clear" w:color="auto" w:fill="auto"/>
            <w:vAlign w:val="center"/>
          </w:tcPr>
          <w:p>
            <w:pPr>
              <w:widowControl/>
              <w:adjustRightInd w:val="0"/>
              <w:snapToGrid w:val="0"/>
              <w:jc w:val="center"/>
              <w:rPr>
                <w:kern w:val="0"/>
                <w:sz w:val="20"/>
              </w:rPr>
            </w:pPr>
            <w:r>
              <w:rPr>
                <w:kern w:val="0"/>
                <w:sz w:val="20"/>
              </w:rPr>
              <w:t>检测项目</w:t>
            </w:r>
          </w:p>
        </w:tc>
        <w:tc>
          <w:tcPr>
            <w:tcW w:w="468" w:type="pct"/>
            <w:vMerge w:val="restart"/>
            <w:shd w:val="clear" w:color="auto" w:fill="auto"/>
            <w:vAlign w:val="center"/>
          </w:tcPr>
          <w:p>
            <w:pPr>
              <w:widowControl/>
              <w:adjustRightInd w:val="0"/>
              <w:snapToGrid w:val="0"/>
              <w:jc w:val="center"/>
              <w:rPr>
                <w:kern w:val="0"/>
                <w:sz w:val="20"/>
              </w:rPr>
            </w:pPr>
            <w:r>
              <w:rPr>
                <w:kern w:val="0"/>
                <w:sz w:val="20"/>
              </w:rPr>
              <w:t>单位</w:t>
            </w:r>
          </w:p>
        </w:tc>
        <w:tc>
          <w:tcPr>
            <w:tcW w:w="965" w:type="pct"/>
            <w:gridSpan w:val="3"/>
            <w:shd w:val="clear" w:color="auto" w:fill="auto"/>
            <w:vAlign w:val="center"/>
          </w:tcPr>
          <w:p>
            <w:pPr>
              <w:widowControl/>
              <w:adjustRightInd w:val="0"/>
              <w:snapToGrid w:val="0"/>
              <w:jc w:val="center"/>
              <w:rPr>
                <w:kern w:val="0"/>
                <w:sz w:val="20"/>
              </w:rPr>
            </w:pPr>
            <w:r>
              <w:rPr>
                <w:kern w:val="0"/>
                <w:sz w:val="20"/>
              </w:rPr>
              <w:t>G2本厂址西侧钻孔</w:t>
            </w:r>
            <w:r>
              <w:rPr>
                <w:rFonts w:hint="eastAsia"/>
                <w:kern w:val="0"/>
                <w:sz w:val="20"/>
              </w:rPr>
              <w:t>2</w:t>
            </w:r>
          </w:p>
        </w:tc>
        <w:tc>
          <w:tcPr>
            <w:tcW w:w="911" w:type="pct"/>
            <w:gridSpan w:val="3"/>
            <w:shd w:val="clear" w:color="auto" w:fill="auto"/>
            <w:vAlign w:val="center"/>
          </w:tcPr>
          <w:p>
            <w:pPr>
              <w:widowControl/>
              <w:adjustRightInd w:val="0"/>
              <w:snapToGrid w:val="0"/>
              <w:jc w:val="center"/>
              <w:rPr>
                <w:rFonts w:eastAsia="等线"/>
                <w:kern w:val="0"/>
                <w:sz w:val="20"/>
              </w:rPr>
            </w:pPr>
            <w:r>
              <w:rPr>
                <w:rFonts w:eastAsia="等线"/>
                <w:kern w:val="0"/>
                <w:sz w:val="20"/>
              </w:rPr>
              <w:t>G6</w:t>
            </w:r>
            <w:r>
              <w:rPr>
                <w:kern w:val="0"/>
                <w:sz w:val="20"/>
              </w:rPr>
              <w:t>土城子村</w:t>
            </w:r>
          </w:p>
        </w:tc>
        <w:tc>
          <w:tcPr>
            <w:tcW w:w="911" w:type="pct"/>
            <w:gridSpan w:val="3"/>
            <w:shd w:val="clear" w:color="auto" w:fill="auto"/>
            <w:vAlign w:val="center"/>
          </w:tcPr>
          <w:p>
            <w:pPr>
              <w:widowControl/>
              <w:adjustRightInd w:val="0"/>
              <w:snapToGrid w:val="0"/>
              <w:jc w:val="center"/>
              <w:rPr>
                <w:rFonts w:eastAsia="等线"/>
                <w:kern w:val="0"/>
                <w:sz w:val="20"/>
              </w:rPr>
            </w:pPr>
            <w:r>
              <w:rPr>
                <w:rFonts w:eastAsia="等线"/>
                <w:kern w:val="0"/>
                <w:sz w:val="20"/>
              </w:rPr>
              <w:t>G7</w:t>
            </w:r>
            <w:r>
              <w:rPr>
                <w:kern w:val="0"/>
                <w:sz w:val="20"/>
              </w:rPr>
              <w:t>龙头山村</w:t>
            </w:r>
          </w:p>
        </w:tc>
        <w:tc>
          <w:tcPr>
            <w:tcW w:w="889" w:type="pct"/>
            <w:gridSpan w:val="3"/>
            <w:shd w:val="clear" w:color="auto" w:fill="auto"/>
            <w:vAlign w:val="center"/>
          </w:tcPr>
          <w:p>
            <w:pPr>
              <w:widowControl/>
              <w:adjustRightInd w:val="0"/>
              <w:snapToGrid w:val="0"/>
              <w:jc w:val="center"/>
              <w:rPr>
                <w:rFonts w:eastAsia="等线"/>
                <w:kern w:val="0"/>
                <w:sz w:val="20"/>
              </w:rPr>
            </w:pPr>
            <w:r>
              <w:rPr>
                <w:rFonts w:eastAsia="等线"/>
                <w:kern w:val="0"/>
                <w:sz w:val="20"/>
              </w:rPr>
              <w:t>G11</w:t>
            </w:r>
            <w:r>
              <w:rPr>
                <w:kern w:val="0"/>
                <w:sz w:val="20"/>
              </w:rPr>
              <w:t>二十二号</w:t>
            </w:r>
          </w:p>
        </w:tc>
        <w:tc>
          <w:tcPr>
            <w:tcW w:w="342" w:type="pct"/>
            <w:vMerge w:val="restart"/>
            <w:shd w:val="clear" w:color="auto" w:fill="auto"/>
            <w:vAlign w:val="center"/>
          </w:tcPr>
          <w:p>
            <w:pPr>
              <w:widowControl/>
              <w:adjustRightInd w:val="0"/>
              <w:snapToGrid w:val="0"/>
              <w:jc w:val="center"/>
              <w:rPr>
                <w:rFonts w:eastAsia="等线"/>
                <w:kern w:val="0"/>
                <w:sz w:val="20"/>
              </w:rPr>
            </w:pPr>
            <w:r>
              <w:rPr>
                <w:rFonts w:eastAsia="等线"/>
                <w:kern w:val="0"/>
                <w:sz w:val="20"/>
              </w:rPr>
              <w:t>III</w:t>
            </w:r>
            <w:r>
              <w:rPr>
                <w:kern w:val="0"/>
                <w:sz w:val="20"/>
              </w:rPr>
              <w:t>类标准值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vMerge w:val="continue"/>
            <w:vAlign w:val="center"/>
          </w:tcPr>
          <w:p>
            <w:pPr>
              <w:widowControl/>
              <w:adjustRightInd w:val="0"/>
              <w:snapToGrid w:val="0"/>
              <w:jc w:val="left"/>
              <w:rPr>
                <w:kern w:val="0"/>
                <w:sz w:val="20"/>
              </w:rPr>
            </w:pPr>
          </w:p>
        </w:tc>
        <w:tc>
          <w:tcPr>
            <w:tcW w:w="468" w:type="pct"/>
            <w:vMerge w:val="continue"/>
            <w:vAlign w:val="center"/>
          </w:tcPr>
          <w:p>
            <w:pPr>
              <w:widowControl/>
              <w:adjustRightInd w:val="0"/>
              <w:snapToGrid w:val="0"/>
              <w:jc w:val="left"/>
              <w:rPr>
                <w:kern w:val="0"/>
                <w:sz w:val="20"/>
              </w:rPr>
            </w:pPr>
          </w:p>
        </w:tc>
        <w:tc>
          <w:tcPr>
            <w:tcW w:w="377" w:type="pct"/>
            <w:shd w:val="clear" w:color="auto" w:fill="auto"/>
            <w:vAlign w:val="center"/>
          </w:tcPr>
          <w:p>
            <w:pPr>
              <w:widowControl/>
              <w:adjustRightInd w:val="0"/>
              <w:snapToGrid w:val="0"/>
              <w:jc w:val="center"/>
              <w:rPr>
                <w:kern w:val="0"/>
                <w:sz w:val="20"/>
              </w:rPr>
            </w:pPr>
            <w:r>
              <w:rPr>
                <w:kern w:val="0"/>
                <w:sz w:val="20"/>
              </w:rPr>
              <w:t>监测值</w:t>
            </w:r>
          </w:p>
        </w:tc>
        <w:tc>
          <w:tcPr>
            <w:tcW w:w="320" w:type="pct"/>
            <w:shd w:val="clear" w:color="auto" w:fill="auto"/>
            <w:vAlign w:val="center"/>
          </w:tcPr>
          <w:p>
            <w:pPr>
              <w:widowControl/>
              <w:adjustRightInd w:val="0"/>
              <w:snapToGrid w:val="0"/>
              <w:jc w:val="center"/>
              <w:rPr>
                <w:kern w:val="0"/>
                <w:sz w:val="20"/>
              </w:rPr>
            </w:pPr>
            <w:r>
              <w:rPr>
                <w:kern w:val="0"/>
                <w:sz w:val="20"/>
              </w:rPr>
              <w:t>标准</w:t>
            </w:r>
          </w:p>
          <w:p>
            <w:pPr>
              <w:widowControl/>
              <w:adjustRightInd w:val="0"/>
              <w:snapToGrid w:val="0"/>
              <w:jc w:val="center"/>
              <w:rPr>
                <w:kern w:val="0"/>
                <w:sz w:val="20"/>
              </w:rPr>
            </w:pPr>
            <w:r>
              <w:rPr>
                <w:kern w:val="0"/>
                <w:sz w:val="20"/>
              </w:rPr>
              <w:t>指数</w:t>
            </w:r>
          </w:p>
        </w:tc>
        <w:tc>
          <w:tcPr>
            <w:tcW w:w="268" w:type="pct"/>
            <w:shd w:val="clear" w:color="auto" w:fill="auto"/>
            <w:vAlign w:val="center"/>
          </w:tcPr>
          <w:p>
            <w:pPr>
              <w:widowControl/>
              <w:adjustRightInd w:val="0"/>
              <w:snapToGrid w:val="0"/>
              <w:jc w:val="center"/>
              <w:rPr>
                <w:kern w:val="0"/>
                <w:sz w:val="20"/>
              </w:rPr>
            </w:pPr>
            <w:r>
              <w:rPr>
                <w:kern w:val="0"/>
                <w:sz w:val="20"/>
              </w:rPr>
              <w:t>达标判定</w:t>
            </w:r>
          </w:p>
        </w:tc>
        <w:tc>
          <w:tcPr>
            <w:tcW w:w="320" w:type="pct"/>
            <w:shd w:val="clear" w:color="auto" w:fill="auto"/>
            <w:vAlign w:val="center"/>
          </w:tcPr>
          <w:p>
            <w:pPr>
              <w:widowControl/>
              <w:adjustRightInd w:val="0"/>
              <w:snapToGrid w:val="0"/>
              <w:jc w:val="center"/>
              <w:rPr>
                <w:kern w:val="0"/>
                <w:sz w:val="20"/>
              </w:rPr>
            </w:pPr>
            <w:r>
              <w:rPr>
                <w:kern w:val="0"/>
                <w:sz w:val="20"/>
              </w:rPr>
              <w:t>监测值</w:t>
            </w:r>
          </w:p>
        </w:tc>
        <w:tc>
          <w:tcPr>
            <w:tcW w:w="320" w:type="pct"/>
            <w:shd w:val="clear" w:color="auto" w:fill="auto"/>
            <w:vAlign w:val="center"/>
          </w:tcPr>
          <w:p>
            <w:pPr>
              <w:widowControl/>
              <w:adjustRightInd w:val="0"/>
              <w:snapToGrid w:val="0"/>
              <w:jc w:val="center"/>
              <w:rPr>
                <w:kern w:val="0"/>
                <w:sz w:val="20"/>
              </w:rPr>
            </w:pPr>
            <w:r>
              <w:rPr>
                <w:kern w:val="0"/>
                <w:sz w:val="20"/>
              </w:rPr>
              <w:t>标准</w:t>
            </w:r>
          </w:p>
          <w:p>
            <w:pPr>
              <w:widowControl/>
              <w:adjustRightInd w:val="0"/>
              <w:snapToGrid w:val="0"/>
              <w:jc w:val="center"/>
              <w:rPr>
                <w:kern w:val="0"/>
                <w:sz w:val="20"/>
              </w:rPr>
            </w:pPr>
            <w:r>
              <w:rPr>
                <w:kern w:val="0"/>
                <w:sz w:val="20"/>
              </w:rPr>
              <w:t>指数</w:t>
            </w:r>
          </w:p>
        </w:tc>
        <w:tc>
          <w:tcPr>
            <w:tcW w:w="271" w:type="pct"/>
            <w:shd w:val="clear" w:color="auto" w:fill="auto"/>
            <w:vAlign w:val="center"/>
          </w:tcPr>
          <w:p>
            <w:pPr>
              <w:widowControl/>
              <w:adjustRightInd w:val="0"/>
              <w:snapToGrid w:val="0"/>
              <w:jc w:val="center"/>
              <w:rPr>
                <w:kern w:val="0"/>
                <w:sz w:val="20"/>
              </w:rPr>
            </w:pPr>
            <w:r>
              <w:rPr>
                <w:kern w:val="0"/>
                <w:sz w:val="20"/>
              </w:rPr>
              <w:t>达标判定</w:t>
            </w:r>
          </w:p>
        </w:tc>
        <w:tc>
          <w:tcPr>
            <w:tcW w:w="320" w:type="pct"/>
            <w:shd w:val="clear" w:color="auto" w:fill="auto"/>
            <w:vAlign w:val="center"/>
          </w:tcPr>
          <w:p>
            <w:pPr>
              <w:widowControl/>
              <w:adjustRightInd w:val="0"/>
              <w:snapToGrid w:val="0"/>
              <w:jc w:val="center"/>
              <w:rPr>
                <w:kern w:val="0"/>
                <w:sz w:val="20"/>
              </w:rPr>
            </w:pPr>
            <w:r>
              <w:rPr>
                <w:kern w:val="0"/>
                <w:sz w:val="20"/>
              </w:rPr>
              <w:t>监测值</w:t>
            </w:r>
          </w:p>
        </w:tc>
        <w:tc>
          <w:tcPr>
            <w:tcW w:w="320" w:type="pct"/>
            <w:shd w:val="clear" w:color="auto" w:fill="auto"/>
            <w:vAlign w:val="center"/>
          </w:tcPr>
          <w:p>
            <w:pPr>
              <w:widowControl/>
              <w:adjustRightInd w:val="0"/>
              <w:snapToGrid w:val="0"/>
              <w:jc w:val="center"/>
              <w:rPr>
                <w:kern w:val="0"/>
                <w:sz w:val="20"/>
              </w:rPr>
            </w:pPr>
            <w:r>
              <w:rPr>
                <w:kern w:val="0"/>
                <w:sz w:val="20"/>
              </w:rPr>
              <w:t>标准</w:t>
            </w:r>
          </w:p>
          <w:p>
            <w:pPr>
              <w:widowControl/>
              <w:adjustRightInd w:val="0"/>
              <w:snapToGrid w:val="0"/>
              <w:jc w:val="center"/>
              <w:rPr>
                <w:kern w:val="0"/>
                <w:sz w:val="20"/>
              </w:rPr>
            </w:pPr>
            <w:r>
              <w:rPr>
                <w:kern w:val="0"/>
                <w:sz w:val="20"/>
              </w:rPr>
              <w:t>指数</w:t>
            </w:r>
          </w:p>
        </w:tc>
        <w:tc>
          <w:tcPr>
            <w:tcW w:w="271" w:type="pct"/>
            <w:shd w:val="clear" w:color="auto" w:fill="auto"/>
            <w:vAlign w:val="center"/>
          </w:tcPr>
          <w:p>
            <w:pPr>
              <w:widowControl/>
              <w:adjustRightInd w:val="0"/>
              <w:snapToGrid w:val="0"/>
              <w:jc w:val="center"/>
              <w:rPr>
                <w:kern w:val="0"/>
                <w:sz w:val="20"/>
              </w:rPr>
            </w:pPr>
            <w:r>
              <w:rPr>
                <w:kern w:val="0"/>
                <w:sz w:val="20"/>
              </w:rPr>
              <w:t>达标判定</w:t>
            </w:r>
          </w:p>
        </w:tc>
        <w:tc>
          <w:tcPr>
            <w:tcW w:w="320" w:type="pct"/>
            <w:shd w:val="clear" w:color="auto" w:fill="auto"/>
            <w:vAlign w:val="center"/>
          </w:tcPr>
          <w:p>
            <w:pPr>
              <w:widowControl/>
              <w:adjustRightInd w:val="0"/>
              <w:snapToGrid w:val="0"/>
              <w:jc w:val="center"/>
              <w:rPr>
                <w:kern w:val="0"/>
                <w:sz w:val="20"/>
              </w:rPr>
            </w:pPr>
            <w:r>
              <w:rPr>
                <w:kern w:val="0"/>
                <w:sz w:val="20"/>
              </w:rPr>
              <w:t>监测值</w:t>
            </w:r>
          </w:p>
        </w:tc>
        <w:tc>
          <w:tcPr>
            <w:tcW w:w="320" w:type="pct"/>
            <w:shd w:val="clear" w:color="auto" w:fill="auto"/>
            <w:vAlign w:val="center"/>
          </w:tcPr>
          <w:p>
            <w:pPr>
              <w:widowControl/>
              <w:adjustRightInd w:val="0"/>
              <w:snapToGrid w:val="0"/>
              <w:jc w:val="center"/>
              <w:rPr>
                <w:kern w:val="0"/>
                <w:sz w:val="20"/>
              </w:rPr>
            </w:pPr>
            <w:r>
              <w:rPr>
                <w:kern w:val="0"/>
                <w:sz w:val="20"/>
              </w:rPr>
              <w:t>标准</w:t>
            </w:r>
          </w:p>
          <w:p>
            <w:pPr>
              <w:widowControl/>
              <w:adjustRightInd w:val="0"/>
              <w:snapToGrid w:val="0"/>
              <w:jc w:val="center"/>
              <w:rPr>
                <w:kern w:val="0"/>
                <w:sz w:val="20"/>
              </w:rPr>
            </w:pPr>
            <w:r>
              <w:rPr>
                <w:kern w:val="0"/>
                <w:sz w:val="20"/>
              </w:rPr>
              <w:t>指数</w:t>
            </w:r>
          </w:p>
        </w:tc>
        <w:tc>
          <w:tcPr>
            <w:tcW w:w="249" w:type="pct"/>
            <w:shd w:val="clear" w:color="auto" w:fill="auto"/>
            <w:vAlign w:val="center"/>
          </w:tcPr>
          <w:p>
            <w:pPr>
              <w:widowControl/>
              <w:adjustRightInd w:val="0"/>
              <w:snapToGrid w:val="0"/>
              <w:jc w:val="center"/>
              <w:rPr>
                <w:kern w:val="0"/>
                <w:sz w:val="20"/>
              </w:rPr>
            </w:pPr>
            <w:r>
              <w:rPr>
                <w:kern w:val="0"/>
                <w:sz w:val="20"/>
              </w:rPr>
              <w:t>达标判定</w:t>
            </w:r>
          </w:p>
        </w:tc>
        <w:tc>
          <w:tcPr>
            <w:tcW w:w="342" w:type="pct"/>
            <w:vMerge w:val="continue"/>
            <w:vAlign w:val="center"/>
          </w:tcPr>
          <w:p>
            <w:pPr>
              <w:widowControl/>
              <w:adjustRightInd w:val="0"/>
              <w:snapToGrid w:val="0"/>
              <w:jc w:val="left"/>
              <w:rPr>
                <w:rFonts w:eastAsia="等线"/>
                <w:kern w:val="0"/>
                <w:sz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pH</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7.3</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0.2</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7.7</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0.467</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7.8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0.533</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7.6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0.4</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6.5-8.5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总硬度</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423</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0.94</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119</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0.264</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118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0.262</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116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0.258</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溶解性总固体</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471</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0.471</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259</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0.259</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256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0.256</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263</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0.263</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耗氧量</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1</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0.333</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1.38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0.46</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1.48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0.493</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1.17</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0.39</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硝酸盐氮</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5.12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0.256</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5.18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0.259</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5.1</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0.255</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亚硝酸盐氮</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氨氮</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0.08L</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0.299</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0.598</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0.291</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0.582</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0.312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0.624</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氟化物</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0.03</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0.03</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0.04</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0.04</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0.03</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0.03</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总大肠菌群</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MPN/100mL</w:t>
            </w:r>
          </w:p>
        </w:tc>
        <w:tc>
          <w:tcPr>
            <w:tcW w:w="377" w:type="pct"/>
            <w:shd w:val="clear" w:color="auto" w:fill="auto"/>
            <w:vAlign w:val="center"/>
          </w:tcPr>
          <w:p>
            <w:pPr>
              <w:widowControl/>
              <w:adjustRightInd w:val="0"/>
              <w:snapToGrid w:val="0"/>
              <w:jc w:val="center"/>
              <w:rPr>
                <w:kern w:val="0"/>
                <w:sz w:val="20"/>
              </w:rPr>
            </w:pPr>
            <w:r>
              <w:rPr>
                <w:kern w:val="0"/>
                <w:sz w:val="20"/>
              </w:rPr>
              <w:t>＜3</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菌落总数</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CFU/mL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35</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0.35</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38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0.38</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30</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0.3</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氰化物</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汞</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μg/L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砷</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μg/L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镉</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μg/L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六价铬</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铅</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μg/L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kern w:val="0"/>
                <w:sz w:val="20"/>
              </w:rPr>
            </w:pPr>
            <w:r>
              <w:rPr>
                <w:kern w:val="0"/>
                <w:sz w:val="20"/>
              </w:rPr>
              <w:t>石油类</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kern w:val="0"/>
                <w:sz w:val="20"/>
              </w:rPr>
            </w:pPr>
            <w:r>
              <w:rPr>
                <w:kern w:val="0"/>
                <w:sz w:val="20"/>
              </w:rPr>
              <w:t>未检出</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Ca</w:t>
            </w:r>
            <w:r>
              <w:rPr>
                <w:rFonts w:eastAsia="等线"/>
                <w:kern w:val="0"/>
                <w:sz w:val="20"/>
                <w:vertAlign w:val="superscript"/>
              </w:rPr>
              <w:t>2+</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132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31.2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30.6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29.8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Mg</w:t>
            </w:r>
            <w:r>
              <w:rPr>
                <w:rFonts w:eastAsia="等线"/>
                <w:kern w:val="0"/>
                <w:sz w:val="20"/>
                <w:vertAlign w:val="superscript"/>
              </w:rPr>
              <w:t>2+</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26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9.02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9.26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9.19</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CO</w:t>
            </w:r>
            <w:r>
              <w:rPr>
                <w:rFonts w:eastAsia="等线"/>
                <w:kern w:val="0"/>
                <w:sz w:val="20"/>
                <w:vertAlign w:val="subscript"/>
              </w:rPr>
              <w:t>3</w:t>
            </w:r>
            <w:r>
              <w:rPr>
                <w:rFonts w:eastAsia="等线"/>
                <w:kern w:val="0"/>
                <w:sz w:val="20"/>
                <w:vertAlign w:val="superscript"/>
              </w:rPr>
              <w:t>2-</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0</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HCO</w:t>
            </w:r>
            <w:r>
              <w:rPr>
                <w:rFonts w:eastAsia="等线"/>
                <w:kern w:val="0"/>
                <w:sz w:val="20"/>
                <w:vertAlign w:val="subscript"/>
              </w:rPr>
              <w:t>3</w:t>
            </w:r>
            <w:r>
              <w:rPr>
                <w:rFonts w:eastAsia="等线"/>
                <w:kern w:val="0"/>
                <w:sz w:val="20"/>
                <w:vertAlign w:val="superscript"/>
              </w:rPr>
              <w:t>-</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7.69×10</w:t>
            </w:r>
            <w:r>
              <w:rPr>
                <w:rFonts w:eastAsia="等线"/>
                <w:kern w:val="0"/>
                <w:sz w:val="20"/>
                <w:vertAlign w:val="superscript"/>
              </w:rPr>
              <w:t>-3</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68"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102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115</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108</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Cl</w:t>
            </w:r>
            <w:r>
              <w:rPr>
                <w:rFonts w:eastAsia="等线"/>
                <w:kern w:val="0"/>
                <w:sz w:val="20"/>
                <w:vertAlign w:val="superscript"/>
              </w:rPr>
              <w:t>-</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2</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0.008</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61.6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0.246</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59.9</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0.24</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61.5</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0.246</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SO</w:t>
            </w:r>
            <w:r>
              <w:rPr>
                <w:rFonts w:eastAsia="等线"/>
                <w:kern w:val="0"/>
                <w:sz w:val="20"/>
                <w:vertAlign w:val="subscript"/>
              </w:rPr>
              <w:t>4</w:t>
            </w:r>
            <w:r>
              <w:rPr>
                <w:rFonts w:eastAsia="等线"/>
                <w:kern w:val="0"/>
                <w:sz w:val="20"/>
                <w:vertAlign w:val="superscript"/>
              </w:rPr>
              <w:t>2-</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11</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0.044</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56.2</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0.225</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50.6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0.202</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55.3</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0.221</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Na</w:t>
            </w:r>
            <w:r>
              <w:rPr>
                <w:rFonts w:eastAsia="等线"/>
                <w:kern w:val="0"/>
                <w:sz w:val="20"/>
                <w:vertAlign w:val="superscript"/>
              </w:rPr>
              <w:t>+</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0.3</w:t>
            </w:r>
          </w:p>
        </w:tc>
        <w:tc>
          <w:tcPr>
            <w:tcW w:w="320"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0.002</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45.5</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0.228</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44.9</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0.225</w:t>
            </w:r>
          </w:p>
        </w:tc>
        <w:tc>
          <w:tcPr>
            <w:tcW w:w="271"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47.1</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0.236</w:t>
            </w:r>
          </w:p>
        </w:tc>
        <w:tc>
          <w:tcPr>
            <w:tcW w:w="249" w:type="pct"/>
            <w:shd w:val="clear" w:color="auto" w:fill="auto"/>
            <w:vAlign w:val="center"/>
          </w:tcPr>
          <w:p>
            <w:pPr>
              <w:widowControl/>
              <w:adjustRightInd w:val="0"/>
              <w:snapToGrid w:val="0"/>
              <w:jc w:val="center"/>
              <w:rPr>
                <w:kern w:val="0"/>
                <w:sz w:val="20"/>
              </w:rPr>
            </w:pPr>
            <w:r>
              <w:rPr>
                <w:kern w:val="0"/>
                <w:sz w:val="20"/>
              </w:rPr>
              <w:t>达标</w:t>
            </w:r>
          </w:p>
        </w:tc>
        <w:tc>
          <w:tcPr>
            <w:tcW w:w="342" w:type="pct"/>
            <w:shd w:val="clear" w:color="auto" w:fill="auto"/>
            <w:noWrap/>
            <w:vAlign w:val="center"/>
          </w:tcPr>
          <w:p>
            <w:pPr>
              <w:widowControl/>
              <w:adjustRightInd w:val="0"/>
              <w:snapToGrid w:val="0"/>
              <w:jc w:val="center"/>
              <w:rPr>
                <w:rFonts w:eastAsia="等线"/>
                <w:kern w:val="0"/>
                <w:sz w:val="20"/>
              </w:rPr>
            </w:pPr>
            <w:r>
              <w:rPr>
                <w:rFonts w:eastAsia="等线"/>
                <w:kern w:val="0"/>
                <w:sz w:val="20"/>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4" w:type="pct"/>
            <w:shd w:val="clear" w:color="auto" w:fill="auto"/>
            <w:vAlign w:val="center"/>
          </w:tcPr>
          <w:p>
            <w:pPr>
              <w:widowControl/>
              <w:adjustRightInd w:val="0"/>
              <w:snapToGrid w:val="0"/>
              <w:jc w:val="center"/>
              <w:rPr>
                <w:rFonts w:eastAsia="等线"/>
                <w:kern w:val="0"/>
                <w:sz w:val="20"/>
              </w:rPr>
            </w:pPr>
            <w:r>
              <w:rPr>
                <w:rFonts w:eastAsia="等线"/>
                <w:kern w:val="0"/>
                <w:sz w:val="20"/>
              </w:rPr>
              <w:t>K</w:t>
            </w:r>
            <w:r>
              <w:rPr>
                <w:rFonts w:eastAsia="等线"/>
                <w:kern w:val="0"/>
                <w:sz w:val="20"/>
                <w:vertAlign w:val="superscript"/>
              </w:rPr>
              <w:t>+</w:t>
            </w:r>
          </w:p>
        </w:tc>
        <w:tc>
          <w:tcPr>
            <w:tcW w:w="468" w:type="pct"/>
            <w:shd w:val="clear" w:color="auto" w:fill="auto"/>
            <w:vAlign w:val="center"/>
          </w:tcPr>
          <w:p>
            <w:pPr>
              <w:widowControl/>
              <w:adjustRightInd w:val="0"/>
              <w:snapToGrid w:val="0"/>
              <w:jc w:val="center"/>
              <w:rPr>
                <w:rFonts w:eastAsia="等线"/>
                <w:kern w:val="0"/>
                <w:sz w:val="20"/>
              </w:rPr>
            </w:pPr>
            <w:r>
              <w:rPr>
                <w:rFonts w:eastAsia="等线"/>
                <w:kern w:val="0"/>
                <w:sz w:val="20"/>
              </w:rPr>
              <w:t>mg/L</w:t>
            </w:r>
          </w:p>
        </w:tc>
        <w:tc>
          <w:tcPr>
            <w:tcW w:w="377" w:type="pct"/>
            <w:shd w:val="clear" w:color="auto" w:fill="auto"/>
            <w:vAlign w:val="center"/>
          </w:tcPr>
          <w:p>
            <w:pPr>
              <w:widowControl/>
              <w:adjustRightInd w:val="0"/>
              <w:snapToGrid w:val="0"/>
              <w:jc w:val="center"/>
              <w:rPr>
                <w:rFonts w:eastAsia="等线"/>
                <w:kern w:val="0"/>
                <w:sz w:val="20"/>
              </w:rPr>
            </w:pPr>
            <w:r>
              <w:rPr>
                <w:rFonts w:eastAsia="等线"/>
                <w:kern w:val="0"/>
                <w:sz w:val="20"/>
              </w:rPr>
              <w:t>ND</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w:t>
            </w:r>
          </w:p>
        </w:tc>
        <w:tc>
          <w:tcPr>
            <w:tcW w:w="268" w:type="pct"/>
            <w:shd w:val="clear" w:color="auto" w:fill="auto"/>
            <w:vAlign w:val="center"/>
          </w:tcPr>
          <w:p>
            <w:pPr>
              <w:widowControl/>
              <w:adjustRightInd w:val="0"/>
              <w:snapToGrid w:val="0"/>
              <w:jc w:val="center"/>
              <w:rPr>
                <w:kern w:val="0"/>
                <w:sz w:val="20"/>
              </w:rPr>
            </w:pPr>
            <w:r>
              <w:rPr>
                <w:kern w:val="0"/>
                <w:sz w:val="20"/>
              </w:rPr>
              <w:t>达标</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0.67</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0.66</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71"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0.7</w:t>
            </w:r>
          </w:p>
        </w:tc>
        <w:tc>
          <w:tcPr>
            <w:tcW w:w="320"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249"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c>
          <w:tcPr>
            <w:tcW w:w="342" w:type="pct"/>
            <w:shd w:val="clear" w:color="auto" w:fill="auto"/>
            <w:vAlign w:val="center"/>
          </w:tcPr>
          <w:p>
            <w:pPr>
              <w:widowControl/>
              <w:adjustRightInd w:val="0"/>
              <w:snapToGrid w:val="0"/>
              <w:jc w:val="center"/>
              <w:rPr>
                <w:rFonts w:eastAsia="等线"/>
                <w:kern w:val="0"/>
                <w:sz w:val="20"/>
              </w:rPr>
            </w:pPr>
            <w:r>
              <w:rPr>
                <w:rFonts w:eastAsia="等线"/>
                <w:kern w:val="0"/>
                <w:sz w:val="20"/>
              </w:rPr>
              <w:t>/</w:t>
            </w:r>
          </w:p>
        </w:tc>
      </w:tr>
    </w:tbl>
    <w:p>
      <w:pPr>
        <w:rPr>
          <w:szCs w:val="21"/>
        </w:rPr>
      </w:pPr>
      <w:r>
        <w:rPr>
          <w:rFonts w:hint="eastAsia"/>
          <w:szCs w:val="21"/>
        </w:rPr>
        <w:t>注：G</w:t>
      </w:r>
      <w:r>
        <w:rPr>
          <w:szCs w:val="21"/>
        </w:rPr>
        <w:t>2</w:t>
      </w:r>
      <w:r>
        <w:rPr>
          <w:rFonts w:hint="eastAsia"/>
          <w:szCs w:val="21"/>
        </w:rPr>
        <w:t>监测数据来源为《围场满族蒙古族自治县餐厨垃圾无害化处理厂项目环境影响报告书》。</w:t>
      </w:r>
    </w:p>
    <w:p>
      <w:pPr>
        <w:ind w:firstLine="420" w:firstLineChars="200"/>
        <w:rPr>
          <w:szCs w:val="21"/>
        </w:rPr>
      </w:pPr>
      <w:r>
        <w:rPr>
          <w:rFonts w:hint="eastAsia"/>
          <w:szCs w:val="21"/>
        </w:rPr>
        <w:t>G</w:t>
      </w:r>
      <w:r>
        <w:rPr>
          <w:szCs w:val="21"/>
        </w:rPr>
        <w:t>6</w:t>
      </w:r>
      <w:r>
        <w:rPr>
          <w:rFonts w:hint="eastAsia"/>
          <w:szCs w:val="21"/>
        </w:rPr>
        <w:t>、G</w:t>
      </w:r>
      <w:r>
        <w:rPr>
          <w:szCs w:val="21"/>
        </w:rPr>
        <w:t>7</w:t>
      </w:r>
      <w:r>
        <w:rPr>
          <w:rFonts w:hint="eastAsia"/>
          <w:szCs w:val="21"/>
        </w:rPr>
        <w:t>、G</w:t>
      </w:r>
      <w:r>
        <w:rPr>
          <w:szCs w:val="21"/>
        </w:rPr>
        <w:t>11</w:t>
      </w:r>
      <w:r>
        <w:rPr>
          <w:rFonts w:hint="eastAsia"/>
          <w:szCs w:val="21"/>
        </w:rPr>
        <w:t>的监测数据来源为：监测报告编号DSW1911009和SFW192114。</w:t>
      </w:r>
    </w:p>
    <w:p>
      <w:pPr>
        <w:ind w:firstLine="420" w:firstLineChars="200"/>
        <w:rPr>
          <w:szCs w:val="21"/>
        </w:rPr>
      </w:pPr>
    </w:p>
    <w:p>
      <w:pPr>
        <w:rPr>
          <w:sz w:val="24"/>
        </w:rPr>
      </w:pPr>
    </w:p>
    <w:p>
      <w:pPr>
        <w:jc w:val="center"/>
        <w:rPr>
          <w:b/>
          <w:sz w:val="24"/>
          <w:szCs w:val="24"/>
        </w:rPr>
      </w:pPr>
      <w:r>
        <w:rPr>
          <w:rFonts w:hint="eastAsia"/>
          <w:b/>
          <w:sz w:val="24"/>
          <w:szCs w:val="24"/>
        </w:rPr>
        <w:t>表4</w:t>
      </w:r>
      <w:r>
        <w:rPr>
          <w:b/>
          <w:sz w:val="24"/>
          <w:szCs w:val="24"/>
        </w:rPr>
        <w:t>.3</w:t>
      </w:r>
      <w:r>
        <w:rPr>
          <w:rFonts w:hint="eastAsia"/>
          <w:b/>
          <w:sz w:val="24"/>
          <w:szCs w:val="24"/>
        </w:rPr>
        <w:t>.3</w:t>
      </w:r>
      <w:r>
        <w:rPr>
          <w:b/>
          <w:sz w:val="24"/>
          <w:szCs w:val="24"/>
        </w:rPr>
        <w:noBreakHyphen/>
      </w:r>
      <w:r>
        <w:rPr>
          <w:b/>
          <w:sz w:val="24"/>
          <w:szCs w:val="24"/>
        </w:rPr>
        <w:t xml:space="preserve">4 </w:t>
      </w:r>
      <w:r>
        <w:rPr>
          <w:rFonts w:hint="eastAsia"/>
          <w:b/>
          <w:sz w:val="24"/>
          <w:szCs w:val="24"/>
        </w:rPr>
        <w:t>地下水环境质量现状监测结果统计表</w:t>
      </w:r>
    </w:p>
    <w:tbl>
      <w:tblPr>
        <w:tblStyle w:val="39"/>
        <w:tblW w:w="14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989"/>
        <w:gridCol w:w="1118"/>
        <w:gridCol w:w="1118"/>
        <w:gridCol w:w="1118"/>
        <w:gridCol w:w="855"/>
        <w:gridCol w:w="836"/>
        <w:gridCol w:w="949"/>
        <w:gridCol w:w="816"/>
        <w:gridCol w:w="816"/>
        <w:gridCol w:w="816"/>
        <w:gridCol w:w="766"/>
        <w:gridCol w:w="898"/>
        <w:gridCol w:w="864"/>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检测项目</w:t>
            </w:r>
          </w:p>
        </w:tc>
        <w:tc>
          <w:tcPr>
            <w:tcW w:w="989" w:type="dxa"/>
            <w:shd w:val="clear" w:color="auto" w:fill="auto"/>
            <w:vAlign w:val="center"/>
          </w:tcPr>
          <w:p>
            <w:pPr>
              <w:widowControl/>
              <w:adjustRightInd w:val="0"/>
              <w:snapToGrid w:val="0"/>
              <w:jc w:val="center"/>
              <w:rPr>
                <w:kern w:val="0"/>
                <w:sz w:val="20"/>
              </w:rPr>
            </w:pPr>
            <w:r>
              <w:rPr>
                <w:kern w:val="0"/>
                <w:sz w:val="20"/>
              </w:rPr>
              <w:t>单位</w:t>
            </w:r>
          </w:p>
        </w:tc>
        <w:tc>
          <w:tcPr>
            <w:tcW w:w="6810" w:type="dxa"/>
            <w:gridSpan w:val="7"/>
            <w:shd w:val="clear" w:color="auto" w:fill="auto"/>
            <w:vAlign w:val="center"/>
          </w:tcPr>
          <w:p>
            <w:pPr>
              <w:widowControl/>
              <w:adjustRightInd w:val="0"/>
              <w:snapToGrid w:val="0"/>
              <w:jc w:val="center"/>
              <w:rPr>
                <w:kern w:val="0"/>
                <w:sz w:val="20"/>
              </w:rPr>
            </w:pPr>
            <w:r>
              <w:rPr>
                <w:rFonts w:hint="eastAsia"/>
                <w:kern w:val="0"/>
                <w:sz w:val="20"/>
              </w:rPr>
              <w:t>现状监测值</w:t>
            </w:r>
          </w:p>
        </w:tc>
        <w:tc>
          <w:tcPr>
            <w:tcW w:w="0" w:type="auto"/>
            <w:shd w:val="clear" w:color="auto" w:fill="auto"/>
            <w:noWrap/>
            <w:vAlign w:val="center"/>
          </w:tcPr>
          <w:p>
            <w:pPr>
              <w:widowControl/>
              <w:adjustRightInd w:val="0"/>
              <w:snapToGrid w:val="0"/>
              <w:jc w:val="center"/>
              <w:rPr>
                <w:kern w:val="0"/>
                <w:sz w:val="20"/>
              </w:rPr>
            </w:pPr>
            <w:r>
              <w:rPr>
                <w:kern w:val="0"/>
                <w:sz w:val="20"/>
              </w:rPr>
              <w:t>最大值</w:t>
            </w:r>
          </w:p>
        </w:tc>
        <w:tc>
          <w:tcPr>
            <w:tcW w:w="0" w:type="auto"/>
            <w:shd w:val="clear" w:color="auto" w:fill="auto"/>
            <w:noWrap/>
            <w:vAlign w:val="center"/>
          </w:tcPr>
          <w:p>
            <w:pPr>
              <w:widowControl/>
              <w:adjustRightInd w:val="0"/>
              <w:snapToGrid w:val="0"/>
              <w:jc w:val="center"/>
              <w:rPr>
                <w:kern w:val="0"/>
                <w:sz w:val="20"/>
              </w:rPr>
            </w:pPr>
            <w:r>
              <w:rPr>
                <w:kern w:val="0"/>
                <w:sz w:val="20"/>
              </w:rPr>
              <w:t>最小值</w:t>
            </w:r>
          </w:p>
        </w:tc>
        <w:tc>
          <w:tcPr>
            <w:tcW w:w="0" w:type="auto"/>
            <w:shd w:val="clear" w:color="auto" w:fill="auto"/>
            <w:noWrap/>
            <w:vAlign w:val="center"/>
          </w:tcPr>
          <w:p>
            <w:pPr>
              <w:widowControl/>
              <w:adjustRightInd w:val="0"/>
              <w:snapToGrid w:val="0"/>
              <w:jc w:val="center"/>
              <w:rPr>
                <w:kern w:val="0"/>
                <w:sz w:val="20"/>
              </w:rPr>
            </w:pPr>
            <w:r>
              <w:rPr>
                <w:kern w:val="0"/>
                <w:sz w:val="20"/>
              </w:rPr>
              <w:t>均值</w:t>
            </w:r>
          </w:p>
        </w:tc>
        <w:tc>
          <w:tcPr>
            <w:tcW w:w="898" w:type="dxa"/>
            <w:shd w:val="clear" w:color="auto" w:fill="auto"/>
            <w:noWrap/>
            <w:vAlign w:val="center"/>
          </w:tcPr>
          <w:p>
            <w:pPr>
              <w:widowControl/>
              <w:adjustRightInd w:val="0"/>
              <w:snapToGrid w:val="0"/>
              <w:jc w:val="center"/>
              <w:rPr>
                <w:kern w:val="0"/>
                <w:sz w:val="20"/>
              </w:rPr>
            </w:pPr>
            <w:r>
              <w:rPr>
                <w:kern w:val="0"/>
                <w:sz w:val="20"/>
              </w:rPr>
              <w:t>标准差</w:t>
            </w:r>
          </w:p>
        </w:tc>
        <w:tc>
          <w:tcPr>
            <w:tcW w:w="864" w:type="dxa"/>
            <w:shd w:val="clear" w:color="auto" w:fill="auto"/>
            <w:noWrap/>
            <w:vAlign w:val="center"/>
          </w:tcPr>
          <w:p>
            <w:pPr>
              <w:widowControl/>
              <w:adjustRightInd w:val="0"/>
              <w:snapToGrid w:val="0"/>
              <w:jc w:val="center"/>
              <w:rPr>
                <w:kern w:val="0"/>
                <w:sz w:val="20"/>
              </w:rPr>
            </w:pPr>
            <w:r>
              <w:rPr>
                <w:kern w:val="0"/>
                <w:sz w:val="20"/>
              </w:rPr>
              <w:t>检出率</w:t>
            </w:r>
          </w:p>
        </w:tc>
        <w:tc>
          <w:tcPr>
            <w:tcW w:w="850" w:type="dxa"/>
            <w:shd w:val="clear" w:color="auto" w:fill="auto"/>
            <w:noWrap/>
            <w:vAlign w:val="center"/>
          </w:tcPr>
          <w:p>
            <w:pPr>
              <w:widowControl/>
              <w:adjustRightInd w:val="0"/>
              <w:snapToGrid w:val="0"/>
              <w:jc w:val="center"/>
              <w:rPr>
                <w:kern w:val="0"/>
                <w:sz w:val="20"/>
              </w:rPr>
            </w:pPr>
            <w:r>
              <w:rPr>
                <w:kern w:val="0"/>
                <w:sz w:val="20"/>
              </w:rPr>
              <w:t>超标率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pH</w:t>
            </w:r>
          </w:p>
        </w:tc>
        <w:tc>
          <w:tcPr>
            <w:tcW w:w="989" w:type="dxa"/>
            <w:shd w:val="clear" w:color="auto" w:fill="auto"/>
            <w:vAlign w:val="center"/>
          </w:tcPr>
          <w:p>
            <w:pPr>
              <w:widowControl/>
              <w:adjustRightInd w:val="0"/>
              <w:snapToGrid w:val="0"/>
              <w:jc w:val="center"/>
              <w:rPr>
                <w:kern w:val="0"/>
                <w:sz w:val="20"/>
              </w:rPr>
            </w:pPr>
            <w:r>
              <w:rPr>
                <w:kern w:val="0"/>
                <w:sz w:val="20"/>
              </w:rPr>
              <w:t>--</w:t>
            </w:r>
          </w:p>
        </w:tc>
        <w:tc>
          <w:tcPr>
            <w:tcW w:w="1118" w:type="dxa"/>
            <w:shd w:val="clear" w:color="auto" w:fill="auto"/>
            <w:vAlign w:val="center"/>
          </w:tcPr>
          <w:p>
            <w:pPr>
              <w:widowControl/>
              <w:adjustRightInd w:val="0"/>
              <w:snapToGrid w:val="0"/>
              <w:jc w:val="center"/>
              <w:rPr>
                <w:kern w:val="0"/>
                <w:sz w:val="20"/>
              </w:rPr>
            </w:pPr>
            <w:r>
              <w:rPr>
                <w:kern w:val="0"/>
                <w:sz w:val="20"/>
              </w:rPr>
              <w:t>7.5</w:t>
            </w:r>
          </w:p>
        </w:tc>
        <w:tc>
          <w:tcPr>
            <w:tcW w:w="1118" w:type="dxa"/>
            <w:shd w:val="clear" w:color="auto" w:fill="auto"/>
            <w:vAlign w:val="center"/>
          </w:tcPr>
          <w:p>
            <w:pPr>
              <w:widowControl/>
              <w:adjustRightInd w:val="0"/>
              <w:snapToGrid w:val="0"/>
              <w:jc w:val="center"/>
              <w:rPr>
                <w:kern w:val="0"/>
                <w:sz w:val="20"/>
              </w:rPr>
            </w:pPr>
            <w:r>
              <w:rPr>
                <w:kern w:val="0"/>
                <w:sz w:val="20"/>
              </w:rPr>
              <w:t>7.6</w:t>
            </w:r>
          </w:p>
        </w:tc>
        <w:tc>
          <w:tcPr>
            <w:tcW w:w="1118" w:type="dxa"/>
            <w:shd w:val="clear" w:color="auto" w:fill="auto"/>
            <w:vAlign w:val="center"/>
          </w:tcPr>
          <w:p>
            <w:pPr>
              <w:widowControl/>
              <w:adjustRightInd w:val="0"/>
              <w:snapToGrid w:val="0"/>
              <w:jc w:val="center"/>
              <w:rPr>
                <w:kern w:val="0"/>
                <w:sz w:val="20"/>
              </w:rPr>
            </w:pPr>
            <w:r>
              <w:rPr>
                <w:kern w:val="0"/>
                <w:sz w:val="20"/>
              </w:rPr>
              <w:t>7.7</w:t>
            </w:r>
          </w:p>
        </w:tc>
        <w:tc>
          <w:tcPr>
            <w:tcW w:w="855" w:type="dxa"/>
            <w:shd w:val="clear" w:color="auto" w:fill="auto"/>
            <w:vAlign w:val="center"/>
          </w:tcPr>
          <w:p>
            <w:pPr>
              <w:widowControl/>
              <w:adjustRightInd w:val="0"/>
              <w:snapToGrid w:val="0"/>
              <w:jc w:val="center"/>
              <w:rPr>
                <w:kern w:val="0"/>
                <w:sz w:val="20"/>
              </w:rPr>
            </w:pPr>
            <w:r>
              <w:rPr>
                <w:kern w:val="0"/>
                <w:sz w:val="20"/>
              </w:rPr>
              <w:t>7.3</w:t>
            </w:r>
          </w:p>
        </w:tc>
        <w:tc>
          <w:tcPr>
            <w:tcW w:w="836" w:type="dxa"/>
            <w:shd w:val="clear" w:color="auto" w:fill="auto"/>
            <w:vAlign w:val="center"/>
          </w:tcPr>
          <w:p>
            <w:pPr>
              <w:widowControl/>
              <w:adjustRightInd w:val="0"/>
              <w:snapToGrid w:val="0"/>
              <w:jc w:val="center"/>
              <w:rPr>
                <w:kern w:val="0"/>
                <w:sz w:val="20"/>
              </w:rPr>
            </w:pPr>
            <w:r>
              <w:rPr>
                <w:kern w:val="0"/>
                <w:sz w:val="20"/>
              </w:rPr>
              <w:t>7.7</w:t>
            </w:r>
          </w:p>
        </w:tc>
        <w:tc>
          <w:tcPr>
            <w:tcW w:w="949" w:type="dxa"/>
            <w:shd w:val="clear" w:color="auto" w:fill="auto"/>
            <w:vAlign w:val="center"/>
          </w:tcPr>
          <w:p>
            <w:pPr>
              <w:widowControl/>
              <w:adjustRightInd w:val="0"/>
              <w:snapToGrid w:val="0"/>
              <w:jc w:val="center"/>
              <w:rPr>
                <w:kern w:val="0"/>
                <w:sz w:val="20"/>
              </w:rPr>
            </w:pPr>
            <w:r>
              <w:rPr>
                <w:kern w:val="0"/>
                <w:sz w:val="20"/>
              </w:rPr>
              <w:t>7.8</w:t>
            </w:r>
          </w:p>
        </w:tc>
        <w:tc>
          <w:tcPr>
            <w:tcW w:w="0" w:type="auto"/>
            <w:shd w:val="clear" w:color="auto" w:fill="auto"/>
            <w:vAlign w:val="center"/>
          </w:tcPr>
          <w:p>
            <w:pPr>
              <w:widowControl/>
              <w:adjustRightInd w:val="0"/>
              <w:snapToGrid w:val="0"/>
              <w:jc w:val="center"/>
              <w:rPr>
                <w:kern w:val="0"/>
                <w:sz w:val="20"/>
              </w:rPr>
            </w:pPr>
            <w:r>
              <w:rPr>
                <w:kern w:val="0"/>
                <w:sz w:val="20"/>
              </w:rPr>
              <w:t>7.6</w:t>
            </w:r>
          </w:p>
        </w:tc>
        <w:tc>
          <w:tcPr>
            <w:tcW w:w="0" w:type="auto"/>
            <w:shd w:val="clear" w:color="auto" w:fill="auto"/>
            <w:noWrap/>
            <w:vAlign w:val="center"/>
          </w:tcPr>
          <w:p>
            <w:pPr>
              <w:widowControl/>
              <w:adjustRightInd w:val="0"/>
              <w:snapToGrid w:val="0"/>
              <w:jc w:val="center"/>
              <w:rPr>
                <w:kern w:val="0"/>
                <w:sz w:val="20"/>
              </w:rPr>
            </w:pPr>
            <w:r>
              <w:rPr>
                <w:kern w:val="0"/>
                <w:sz w:val="20"/>
              </w:rPr>
              <w:t>7.8</w:t>
            </w:r>
          </w:p>
        </w:tc>
        <w:tc>
          <w:tcPr>
            <w:tcW w:w="0" w:type="auto"/>
            <w:shd w:val="clear" w:color="auto" w:fill="auto"/>
            <w:noWrap/>
            <w:vAlign w:val="center"/>
          </w:tcPr>
          <w:p>
            <w:pPr>
              <w:widowControl/>
              <w:adjustRightInd w:val="0"/>
              <w:snapToGrid w:val="0"/>
              <w:jc w:val="center"/>
              <w:rPr>
                <w:kern w:val="0"/>
                <w:sz w:val="20"/>
              </w:rPr>
            </w:pPr>
            <w:r>
              <w:rPr>
                <w:kern w:val="0"/>
                <w:sz w:val="20"/>
              </w:rPr>
              <w:t>7.3</w:t>
            </w:r>
          </w:p>
        </w:tc>
        <w:tc>
          <w:tcPr>
            <w:tcW w:w="0" w:type="auto"/>
            <w:shd w:val="clear" w:color="auto" w:fill="auto"/>
            <w:noWrap/>
            <w:vAlign w:val="center"/>
          </w:tcPr>
          <w:p>
            <w:pPr>
              <w:widowControl/>
              <w:adjustRightInd w:val="0"/>
              <w:snapToGrid w:val="0"/>
              <w:jc w:val="center"/>
              <w:rPr>
                <w:kern w:val="0"/>
                <w:sz w:val="20"/>
              </w:rPr>
            </w:pPr>
            <w:r>
              <w:rPr>
                <w:kern w:val="0"/>
                <w:sz w:val="20"/>
              </w:rPr>
              <w:t>7.6</w:t>
            </w:r>
          </w:p>
        </w:tc>
        <w:tc>
          <w:tcPr>
            <w:tcW w:w="898" w:type="dxa"/>
            <w:shd w:val="clear" w:color="auto" w:fill="auto"/>
            <w:noWrap/>
            <w:vAlign w:val="center"/>
          </w:tcPr>
          <w:p>
            <w:pPr>
              <w:widowControl/>
              <w:adjustRightInd w:val="0"/>
              <w:snapToGrid w:val="0"/>
              <w:jc w:val="center"/>
              <w:rPr>
                <w:kern w:val="0"/>
                <w:sz w:val="20"/>
              </w:rPr>
            </w:pPr>
            <w:r>
              <w:rPr>
                <w:kern w:val="0"/>
                <w:sz w:val="20"/>
              </w:rPr>
              <w:t>0.1512</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色度</w:t>
            </w:r>
          </w:p>
        </w:tc>
        <w:tc>
          <w:tcPr>
            <w:tcW w:w="989" w:type="dxa"/>
            <w:shd w:val="clear" w:color="auto" w:fill="auto"/>
            <w:vAlign w:val="center"/>
          </w:tcPr>
          <w:p>
            <w:pPr>
              <w:widowControl/>
              <w:adjustRightInd w:val="0"/>
              <w:snapToGrid w:val="0"/>
              <w:jc w:val="center"/>
              <w:rPr>
                <w:kern w:val="0"/>
                <w:sz w:val="20"/>
              </w:rPr>
            </w:pPr>
            <w:r>
              <w:rPr>
                <w:kern w:val="0"/>
                <w:sz w:val="20"/>
              </w:rPr>
              <w:t>度</w:t>
            </w:r>
          </w:p>
        </w:tc>
        <w:tc>
          <w:tcPr>
            <w:tcW w:w="1118" w:type="dxa"/>
            <w:shd w:val="clear" w:color="auto" w:fill="auto"/>
            <w:vAlign w:val="center"/>
          </w:tcPr>
          <w:p>
            <w:pPr>
              <w:widowControl/>
              <w:adjustRightInd w:val="0"/>
              <w:snapToGrid w:val="0"/>
              <w:jc w:val="center"/>
              <w:rPr>
                <w:kern w:val="0"/>
                <w:sz w:val="20"/>
              </w:rPr>
            </w:pPr>
            <w:r>
              <w:rPr>
                <w:kern w:val="0"/>
                <w:sz w:val="20"/>
              </w:rPr>
              <w:t>＜5</w:t>
            </w:r>
          </w:p>
        </w:tc>
        <w:tc>
          <w:tcPr>
            <w:tcW w:w="1118" w:type="dxa"/>
            <w:shd w:val="clear" w:color="auto" w:fill="auto"/>
            <w:vAlign w:val="center"/>
          </w:tcPr>
          <w:p>
            <w:pPr>
              <w:widowControl/>
              <w:adjustRightInd w:val="0"/>
              <w:snapToGrid w:val="0"/>
              <w:jc w:val="center"/>
              <w:rPr>
                <w:kern w:val="0"/>
                <w:sz w:val="20"/>
              </w:rPr>
            </w:pPr>
            <w:r>
              <w:rPr>
                <w:kern w:val="0"/>
                <w:sz w:val="20"/>
              </w:rPr>
              <w:t>＜5</w:t>
            </w:r>
          </w:p>
        </w:tc>
        <w:tc>
          <w:tcPr>
            <w:tcW w:w="1118" w:type="dxa"/>
            <w:shd w:val="clear" w:color="auto" w:fill="auto"/>
            <w:vAlign w:val="center"/>
          </w:tcPr>
          <w:p>
            <w:pPr>
              <w:widowControl/>
              <w:adjustRightInd w:val="0"/>
              <w:snapToGrid w:val="0"/>
              <w:jc w:val="center"/>
              <w:rPr>
                <w:kern w:val="0"/>
                <w:sz w:val="20"/>
              </w:rPr>
            </w:pPr>
            <w:r>
              <w:rPr>
                <w:kern w:val="0"/>
                <w:sz w:val="20"/>
              </w:rPr>
              <w:t>＜5</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浑浊度</w:t>
            </w:r>
          </w:p>
        </w:tc>
        <w:tc>
          <w:tcPr>
            <w:tcW w:w="989" w:type="dxa"/>
            <w:shd w:val="clear" w:color="auto" w:fill="auto"/>
            <w:vAlign w:val="center"/>
          </w:tcPr>
          <w:p>
            <w:pPr>
              <w:widowControl/>
              <w:adjustRightInd w:val="0"/>
              <w:snapToGrid w:val="0"/>
              <w:jc w:val="center"/>
              <w:rPr>
                <w:kern w:val="0"/>
                <w:sz w:val="20"/>
              </w:rPr>
            </w:pPr>
            <w:r>
              <w:rPr>
                <w:kern w:val="0"/>
                <w:sz w:val="20"/>
              </w:rPr>
              <w:t>NTU</w:t>
            </w:r>
          </w:p>
        </w:tc>
        <w:tc>
          <w:tcPr>
            <w:tcW w:w="1118" w:type="dxa"/>
            <w:shd w:val="clear" w:color="auto" w:fill="auto"/>
            <w:vAlign w:val="center"/>
          </w:tcPr>
          <w:p>
            <w:pPr>
              <w:widowControl/>
              <w:adjustRightInd w:val="0"/>
              <w:snapToGrid w:val="0"/>
              <w:jc w:val="center"/>
              <w:rPr>
                <w:kern w:val="0"/>
                <w:sz w:val="20"/>
              </w:rPr>
            </w:pPr>
            <w:r>
              <w:rPr>
                <w:kern w:val="0"/>
                <w:sz w:val="20"/>
              </w:rPr>
              <w:t>＜0.3</w:t>
            </w:r>
          </w:p>
        </w:tc>
        <w:tc>
          <w:tcPr>
            <w:tcW w:w="1118" w:type="dxa"/>
            <w:shd w:val="clear" w:color="auto" w:fill="auto"/>
            <w:vAlign w:val="center"/>
          </w:tcPr>
          <w:p>
            <w:pPr>
              <w:widowControl/>
              <w:adjustRightInd w:val="0"/>
              <w:snapToGrid w:val="0"/>
              <w:jc w:val="center"/>
              <w:rPr>
                <w:kern w:val="0"/>
                <w:sz w:val="20"/>
              </w:rPr>
            </w:pPr>
            <w:r>
              <w:rPr>
                <w:kern w:val="0"/>
                <w:sz w:val="20"/>
              </w:rPr>
              <w:t>＜0.3</w:t>
            </w:r>
          </w:p>
        </w:tc>
        <w:tc>
          <w:tcPr>
            <w:tcW w:w="1118" w:type="dxa"/>
            <w:shd w:val="clear" w:color="auto" w:fill="auto"/>
            <w:vAlign w:val="center"/>
          </w:tcPr>
          <w:p>
            <w:pPr>
              <w:widowControl/>
              <w:adjustRightInd w:val="0"/>
              <w:snapToGrid w:val="0"/>
              <w:jc w:val="center"/>
              <w:rPr>
                <w:kern w:val="0"/>
                <w:sz w:val="20"/>
              </w:rPr>
            </w:pPr>
            <w:r>
              <w:rPr>
                <w:kern w:val="0"/>
                <w:sz w:val="20"/>
              </w:rPr>
              <w:t>＜0.3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总硬度</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189</w:t>
            </w:r>
          </w:p>
        </w:tc>
        <w:tc>
          <w:tcPr>
            <w:tcW w:w="1118" w:type="dxa"/>
            <w:shd w:val="clear" w:color="auto" w:fill="auto"/>
            <w:vAlign w:val="center"/>
          </w:tcPr>
          <w:p>
            <w:pPr>
              <w:widowControl/>
              <w:adjustRightInd w:val="0"/>
              <w:snapToGrid w:val="0"/>
              <w:jc w:val="center"/>
              <w:rPr>
                <w:kern w:val="0"/>
                <w:sz w:val="20"/>
              </w:rPr>
            </w:pPr>
            <w:r>
              <w:rPr>
                <w:kern w:val="0"/>
                <w:sz w:val="20"/>
              </w:rPr>
              <w:t>193</w:t>
            </w:r>
          </w:p>
        </w:tc>
        <w:tc>
          <w:tcPr>
            <w:tcW w:w="1118" w:type="dxa"/>
            <w:shd w:val="clear" w:color="auto" w:fill="auto"/>
            <w:vAlign w:val="center"/>
          </w:tcPr>
          <w:p>
            <w:pPr>
              <w:widowControl/>
              <w:adjustRightInd w:val="0"/>
              <w:snapToGrid w:val="0"/>
              <w:jc w:val="center"/>
              <w:rPr>
                <w:kern w:val="0"/>
                <w:sz w:val="20"/>
              </w:rPr>
            </w:pPr>
            <w:r>
              <w:rPr>
                <w:kern w:val="0"/>
                <w:sz w:val="20"/>
              </w:rPr>
              <w:t>191</w:t>
            </w:r>
          </w:p>
        </w:tc>
        <w:tc>
          <w:tcPr>
            <w:tcW w:w="855" w:type="dxa"/>
            <w:shd w:val="clear" w:color="auto" w:fill="auto"/>
            <w:vAlign w:val="center"/>
          </w:tcPr>
          <w:p>
            <w:pPr>
              <w:widowControl/>
              <w:adjustRightInd w:val="0"/>
              <w:snapToGrid w:val="0"/>
              <w:jc w:val="center"/>
              <w:rPr>
                <w:kern w:val="0"/>
                <w:sz w:val="20"/>
              </w:rPr>
            </w:pPr>
            <w:r>
              <w:rPr>
                <w:kern w:val="0"/>
                <w:sz w:val="20"/>
              </w:rPr>
              <w:t>423</w:t>
            </w:r>
          </w:p>
        </w:tc>
        <w:tc>
          <w:tcPr>
            <w:tcW w:w="836" w:type="dxa"/>
            <w:shd w:val="clear" w:color="auto" w:fill="auto"/>
            <w:vAlign w:val="center"/>
          </w:tcPr>
          <w:p>
            <w:pPr>
              <w:widowControl/>
              <w:adjustRightInd w:val="0"/>
              <w:snapToGrid w:val="0"/>
              <w:jc w:val="center"/>
              <w:rPr>
                <w:kern w:val="0"/>
                <w:sz w:val="20"/>
              </w:rPr>
            </w:pPr>
            <w:r>
              <w:rPr>
                <w:kern w:val="0"/>
                <w:sz w:val="20"/>
              </w:rPr>
              <w:t>119</w:t>
            </w:r>
          </w:p>
        </w:tc>
        <w:tc>
          <w:tcPr>
            <w:tcW w:w="949" w:type="dxa"/>
            <w:shd w:val="clear" w:color="auto" w:fill="auto"/>
            <w:vAlign w:val="center"/>
          </w:tcPr>
          <w:p>
            <w:pPr>
              <w:widowControl/>
              <w:adjustRightInd w:val="0"/>
              <w:snapToGrid w:val="0"/>
              <w:jc w:val="center"/>
              <w:rPr>
                <w:kern w:val="0"/>
                <w:sz w:val="20"/>
              </w:rPr>
            </w:pPr>
            <w:r>
              <w:rPr>
                <w:kern w:val="0"/>
                <w:sz w:val="20"/>
              </w:rPr>
              <w:t>118</w:t>
            </w:r>
          </w:p>
        </w:tc>
        <w:tc>
          <w:tcPr>
            <w:tcW w:w="0" w:type="auto"/>
            <w:shd w:val="clear" w:color="auto" w:fill="auto"/>
            <w:vAlign w:val="center"/>
          </w:tcPr>
          <w:p>
            <w:pPr>
              <w:widowControl/>
              <w:adjustRightInd w:val="0"/>
              <w:snapToGrid w:val="0"/>
              <w:jc w:val="center"/>
              <w:rPr>
                <w:kern w:val="0"/>
                <w:sz w:val="20"/>
              </w:rPr>
            </w:pPr>
            <w:r>
              <w:rPr>
                <w:kern w:val="0"/>
                <w:sz w:val="20"/>
              </w:rPr>
              <w:t>116</w:t>
            </w:r>
          </w:p>
        </w:tc>
        <w:tc>
          <w:tcPr>
            <w:tcW w:w="0" w:type="auto"/>
            <w:shd w:val="clear" w:color="auto" w:fill="auto"/>
            <w:noWrap/>
            <w:vAlign w:val="center"/>
          </w:tcPr>
          <w:p>
            <w:pPr>
              <w:widowControl/>
              <w:adjustRightInd w:val="0"/>
              <w:snapToGrid w:val="0"/>
              <w:jc w:val="center"/>
              <w:rPr>
                <w:kern w:val="0"/>
                <w:sz w:val="20"/>
              </w:rPr>
            </w:pPr>
            <w:r>
              <w:rPr>
                <w:kern w:val="0"/>
                <w:sz w:val="20"/>
              </w:rPr>
              <w:t>423</w:t>
            </w:r>
          </w:p>
        </w:tc>
        <w:tc>
          <w:tcPr>
            <w:tcW w:w="0" w:type="auto"/>
            <w:shd w:val="clear" w:color="auto" w:fill="auto"/>
            <w:noWrap/>
            <w:vAlign w:val="center"/>
          </w:tcPr>
          <w:p>
            <w:pPr>
              <w:widowControl/>
              <w:adjustRightInd w:val="0"/>
              <w:snapToGrid w:val="0"/>
              <w:jc w:val="center"/>
              <w:rPr>
                <w:kern w:val="0"/>
                <w:sz w:val="20"/>
              </w:rPr>
            </w:pPr>
            <w:r>
              <w:rPr>
                <w:kern w:val="0"/>
                <w:sz w:val="20"/>
              </w:rPr>
              <w:t>116</w:t>
            </w:r>
          </w:p>
        </w:tc>
        <w:tc>
          <w:tcPr>
            <w:tcW w:w="0" w:type="auto"/>
            <w:shd w:val="clear" w:color="auto" w:fill="auto"/>
            <w:noWrap/>
            <w:vAlign w:val="center"/>
          </w:tcPr>
          <w:p>
            <w:pPr>
              <w:widowControl/>
              <w:adjustRightInd w:val="0"/>
              <w:snapToGrid w:val="0"/>
              <w:jc w:val="center"/>
              <w:rPr>
                <w:kern w:val="0"/>
                <w:sz w:val="20"/>
              </w:rPr>
            </w:pPr>
            <w:r>
              <w:rPr>
                <w:kern w:val="0"/>
                <w:sz w:val="20"/>
              </w:rPr>
              <w:t>192.71</w:t>
            </w:r>
          </w:p>
        </w:tc>
        <w:tc>
          <w:tcPr>
            <w:tcW w:w="898" w:type="dxa"/>
            <w:shd w:val="clear" w:color="auto" w:fill="auto"/>
            <w:noWrap/>
            <w:vAlign w:val="center"/>
          </w:tcPr>
          <w:p>
            <w:pPr>
              <w:widowControl/>
              <w:adjustRightInd w:val="0"/>
              <w:snapToGrid w:val="0"/>
              <w:jc w:val="center"/>
              <w:rPr>
                <w:kern w:val="0"/>
                <w:sz w:val="20"/>
              </w:rPr>
            </w:pPr>
            <w:r>
              <w:rPr>
                <w:kern w:val="0"/>
                <w:sz w:val="20"/>
              </w:rPr>
              <w:t>99.964</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溶解性总固体</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305</w:t>
            </w:r>
          </w:p>
        </w:tc>
        <w:tc>
          <w:tcPr>
            <w:tcW w:w="1118" w:type="dxa"/>
            <w:shd w:val="clear" w:color="auto" w:fill="auto"/>
            <w:vAlign w:val="center"/>
          </w:tcPr>
          <w:p>
            <w:pPr>
              <w:widowControl/>
              <w:adjustRightInd w:val="0"/>
              <w:snapToGrid w:val="0"/>
              <w:jc w:val="center"/>
              <w:rPr>
                <w:kern w:val="0"/>
                <w:sz w:val="20"/>
              </w:rPr>
            </w:pPr>
            <w:r>
              <w:rPr>
                <w:kern w:val="0"/>
                <w:sz w:val="20"/>
              </w:rPr>
              <w:t>299</w:t>
            </w:r>
          </w:p>
        </w:tc>
        <w:tc>
          <w:tcPr>
            <w:tcW w:w="1118" w:type="dxa"/>
            <w:shd w:val="clear" w:color="auto" w:fill="auto"/>
            <w:vAlign w:val="center"/>
          </w:tcPr>
          <w:p>
            <w:pPr>
              <w:widowControl/>
              <w:adjustRightInd w:val="0"/>
              <w:snapToGrid w:val="0"/>
              <w:jc w:val="center"/>
              <w:rPr>
                <w:kern w:val="0"/>
                <w:sz w:val="20"/>
              </w:rPr>
            </w:pPr>
            <w:r>
              <w:rPr>
                <w:kern w:val="0"/>
                <w:sz w:val="20"/>
              </w:rPr>
              <w:t>308</w:t>
            </w:r>
          </w:p>
        </w:tc>
        <w:tc>
          <w:tcPr>
            <w:tcW w:w="855" w:type="dxa"/>
            <w:shd w:val="clear" w:color="auto" w:fill="auto"/>
            <w:vAlign w:val="center"/>
          </w:tcPr>
          <w:p>
            <w:pPr>
              <w:widowControl/>
              <w:adjustRightInd w:val="0"/>
              <w:snapToGrid w:val="0"/>
              <w:jc w:val="center"/>
              <w:rPr>
                <w:kern w:val="0"/>
                <w:sz w:val="20"/>
              </w:rPr>
            </w:pPr>
            <w:r>
              <w:rPr>
                <w:kern w:val="0"/>
                <w:sz w:val="20"/>
              </w:rPr>
              <w:t>471</w:t>
            </w:r>
          </w:p>
        </w:tc>
        <w:tc>
          <w:tcPr>
            <w:tcW w:w="836" w:type="dxa"/>
            <w:shd w:val="clear" w:color="auto" w:fill="auto"/>
            <w:vAlign w:val="center"/>
          </w:tcPr>
          <w:p>
            <w:pPr>
              <w:widowControl/>
              <w:adjustRightInd w:val="0"/>
              <w:snapToGrid w:val="0"/>
              <w:jc w:val="center"/>
              <w:rPr>
                <w:kern w:val="0"/>
                <w:sz w:val="20"/>
              </w:rPr>
            </w:pPr>
            <w:r>
              <w:rPr>
                <w:kern w:val="0"/>
                <w:sz w:val="20"/>
              </w:rPr>
              <w:t>259</w:t>
            </w:r>
          </w:p>
        </w:tc>
        <w:tc>
          <w:tcPr>
            <w:tcW w:w="949" w:type="dxa"/>
            <w:shd w:val="clear" w:color="auto" w:fill="auto"/>
            <w:vAlign w:val="center"/>
          </w:tcPr>
          <w:p>
            <w:pPr>
              <w:widowControl/>
              <w:adjustRightInd w:val="0"/>
              <w:snapToGrid w:val="0"/>
              <w:jc w:val="center"/>
              <w:rPr>
                <w:kern w:val="0"/>
                <w:sz w:val="20"/>
              </w:rPr>
            </w:pPr>
            <w:r>
              <w:rPr>
                <w:kern w:val="0"/>
                <w:sz w:val="20"/>
              </w:rPr>
              <w:t>256</w:t>
            </w:r>
          </w:p>
        </w:tc>
        <w:tc>
          <w:tcPr>
            <w:tcW w:w="0" w:type="auto"/>
            <w:shd w:val="clear" w:color="auto" w:fill="auto"/>
            <w:vAlign w:val="center"/>
          </w:tcPr>
          <w:p>
            <w:pPr>
              <w:widowControl/>
              <w:adjustRightInd w:val="0"/>
              <w:snapToGrid w:val="0"/>
              <w:jc w:val="center"/>
              <w:rPr>
                <w:kern w:val="0"/>
                <w:sz w:val="20"/>
              </w:rPr>
            </w:pPr>
            <w:r>
              <w:rPr>
                <w:kern w:val="0"/>
                <w:sz w:val="20"/>
              </w:rPr>
              <w:t>263</w:t>
            </w:r>
          </w:p>
        </w:tc>
        <w:tc>
          <w:tcPr>
            <w:tcW w:w="0" w:type="auto"/>
            <w:shd w:val="clear" w:color="auto" w:fill="auto"/>
            <w:noWrap/>
            <w:vAlign w:val="center"/>
          </w:tcPr>
          <w:p>
            <w:pPr>
              <w:widowControl/>
              <w:adjustRightInd w:val="0"/>
              <w:snapToGrid w:val="0"/>
              <w:jc w:val="center"/>
              <w:rPr>
                <w:kern w:val="0"/>
                <w:sz w:val="20"/>
              </w:rPr>
            </w:pPr>
            <w:r>
              <w:rPr>
                <w:kern w:val="0"/>
                <w:sz w:val="20"/>
              </w:rPr>
              <w:t>471</w:t>
            </w:r>
          </w:p>
        </w:tc>
        <w:tc>
          <w:tcPr>
            <w:tcW w:w="0" w:type="auto"/>
            <w:shd w:val="clear" w:color="auto" w:fill="auto"/>
            <w:noWrap/>
            <w:vAlign w:val="center"/>
          </w:tcPr>
          <w:p>
            <w:pPr>
              <w:widowControl/>
              <w:adjustRightInd w:val="0"/>
              <w:snapToGrid w:val="0"/>
              <w:jc w:val="center"/>
              <w:rPr>
                <w:kern w:val="0"/>
                <w:sz w:val="20"/>
              </w:rPr>
            </w:pPr>
            <w:r>
              <w:rPr>
                <w:kern w:val="0"/>
                <w:sz w:val="20"/>
              </w:rPr>
              <w:t>256</w:t>
            </w:r>
          </w:p>
        </w:tc>
        <w:tc>
          <w:tcPr>
            <w:tcW w:w="0" w:type="auto"/>
            <w:shd w:val="clear" w:color="auto" w:fill="auto"/>
            <w:noWrap/>
            <w:vAlign w:val="center"/>
          </w:tcPr>
          <w:p>
            <w:pPr>
              <w:widowControl/>
              <w:adjustRightInd w:val="0"/>
              <w:snapToGrid w:val="0"/>
              <w:jc w:val="center"/>
              <w:rPr>
                <w:kern w:val="0"/>
                <w:sz w:val="20"/>
              </w:rPr>
            </w:pPr>
            <w:r>
              <w:rPr>
                <w:kern w:val="0"/>
                <w:sz w:val="20"/>
              </w:rPr>
              <w:t>308.71</w:t>
            </w:r>
          </w:p>
        </w:tc>
        <w:tc>
          <w:tcPr>
            <w:tcW w:w="898" w:type="dxa"/>
            <w:shd w:val="clear" w:color="auto" w:fill="auto"/>
            <w:noWrap/>
            <w:vAlign w:val="center"/>
          </w:tcPr>
          <w:p>
            <w:pPr>
              <w:widowControl/>
              <w:adjustRightInd w:val="0"/>
              <w:snapToGrid w:val="0"/>
              <w:jc w:val="center"/>
              <w:rPr>
                <w:kern w:val="0"/>
                <w:sz w:val="20"/>
              </w:rPr>
            </w:pPr>
            <w:r>
              <w:rPr>
                <w:kern w:val="0"/>
                <w:sz w:val="20"/>
              </w:rPr>
              <w:t>69.473</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挥发酚</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＜0.0003</w:t>
            </w:r>
          </w:p>
        </w:tc>
        <w:tc>
          <w:tcPr>
            <w:tcW w:w="1118" w:type="dxa"/>
            <w:shd w:val="clear" w:color="auto" w:fill="auto"/>
            <w:vAlign w:val="center"/>
          </w:tcPr>
          <w:p>
            <w:pPr>
              <w:widowControl/>
              <w:adjustRightInd w:val="0"/>
              <w:snapToGrid w:val="0"/>
              <w:jc w:val="center"/>
              <w:rPr>
                <w:kern w:val="0"/>
                <w:sz w:val="20"/>
              </w:rPr>
            </w:pPr>
            <w:r>
              <w:rPr>
                <w:kern w:val="0"/>
                <w:sz w:val="20"/>
              </w:rPr>
              <w:t>＜0.0003</w:t>
            </w:r>
          </w:p>
        </w:tc>
        <w:tc>
          <w:tcPr>
            <w:tcW w:w="1118" w:type="dxa"/>
            <w:shd w:val="clear" w:color="auto" w:fill="auto"/>
            <w:vAlign w:val="center"/>
          </w:tcPr>
          <w:p>
            <w:pPr>
              <w:widowControl/>
              <w:adjustRightInd w:val="0"/>
              <w:snapToGrid w:val="0"/>
              <w:jc w:val="center"/>
              <w:rPr>
                <w:kern w:val="0"/>
                <w:sz w:val="20"/>
              </w:rPr>
            </w:pPr>
            <w:r>
              <w:rPr>
                <w:kern w:val="0"/>
                <w:sz w:val="20"/>
              </w:rPr>
              <w:t>＜0.0003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耗氧量</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1.54</w:t>
            </w:r>
          </w:p>
        </w:tc>
        <w:tc>
          <w:tcPr>
            <w:tcW w:w="1118" w:type="dxa"/>
            <w:shd w:val="clear" w:color="auto" w:fill="auto"/>
            <w:vAlign w:val="center"/>
          </w:tcPr>
          <w:p>
            <w:pPr>
              <w:widowControl/>
              <w:adjustRightInd w:val="0"/>
              <w:snapToGrid w:val="0"/>
              <w:jc w:val="center"/>
              <w:rPr>
                <w:kern w:val="0"/>
                <w:sz w:val="20"/>
              </w:rPr>
            </w:pPr>
            <w:r>
              <w:rPr>
                <w:kern w:val="0"/>
                <w:sz w:val="20"/>
              </w:rPr>
              <w:t>1.49</w:t>
            </w:r>
          </w:p>
        </w:tc>
        <w:tc>
          <w:tcPr>
            <w:tcW w:w="1118" w:type="dxa"/>
            <w:shd w:val="clear" w:color="auto" w:fill="auto"/>
            <w:vAlign w:val="center"/>
          </w:tcPr>
          <w:p>
            <w:pPr>
              <w:widowControl/>
              <w:adjustRightInd w:val="0"/>
              <w:snapToGrid w:val="0"/>
              <w:jc w:val="center"/>
              <w:rPr>
                <w:kern w:val="0"/>
                <w:sz w:val="20"/>
              </w:rPr>
            </w:pPr>
            <w:r>
              <w:rPr>
                <w:kern w:val="0"/>
                <w:sz w:val="20"/>
              </w:rPr>
              <w:t>1.52</w:t>
            </w:r>
          </w:p>
        </w:tc>
        <w:tc>
          <w:tcPr>
            <w:tcW w:w="855" w:type="dxa"/>
            <w:shd w:val="clear" w:color="auto" w:fill="auto"/>
            <w:vAlign w:val="center"/>
          </w:tcPr>
          <w:p>
            <w:pPr>
              <w:widowControl/>
              <w:adjustRightInd w:val="0"/>
              <w:snapToGrid w:val="0"/>
              <w:jc w:val="center"/>
              <w:rPr>
                <w:kern w:val="0"/>
                <w:sz w:val="20"/>
              </w:rPr>
            </w:pPr>
            <w:r>
              <w:rPr>
                <w:kern w:val="0"/>
                <w:sz w:val="20"/>
              </w:rPr>
              <w:t>1</w:t>
            </w:r>
          </w:p>
        </w:tc>
        <w:tc>
          <w:tcPr>
            <w:tcW w:w="836" w:type="dxa"/>
            <w:shd w:val="clear" w:color="auto" w:fill="auto"/>
            <w:vAlign w:val="center"/>
          </w:tcPr>
          <w:p>
            <w:pPr>
              <w:widowControl/>
              <w:adjustRightInd w:val="0"/>
              <w:snapToGrid w:val="0"/>
              <w:jc w:val="center"/>
              <w:rPr>
                <w:kern w:val="0"/>
                <w:sz w:val="20"/>
              </w:rPr>
            </w:pPr>
            <w:r>
              <w:rPr>
                <w:kern w:val="0"/>
                <w:sz w:val="20"/>
              </w:rPr>
              <w:t>1.38</w:t>
            </w:r>
          </w:p>
        </w:tc>
        <w:tc>
          <w:tcPr>
            <w:tcW w:w="949" w:type="dxa"/>
            <w:shd w:val="clear" w:color="auto" w:fill="auto"/>
            <w:vAlign w:val="center"/>
          </w:tcPr>
          <w:p>
            <w:pPr>
              <w:widowControl/>
              <w:adjustRightInd w:val="0"/>
              <w:snapToGrid w:val="0"/>
              <w:jc w:val="center"/>
              <w:rPr>
                <w:kern w:val="0"/>
                <w:sz w:val="20"/>
              </w:rPr>
            </w:pPr>
            <w:r>
              <w:rPr>
                <w:kern w:val="0"/>
                <w:sz w:val="20"/>
              </w:rPr>
              <w:t>1.48</w:t>
            </w:r>
          </w:p>
        </w:tc>
        <w:tc>
          <w:tcPr>
            <w:tcW w:w="0" w:type="auto"/>
            <w:shd w:val="clear" w:color="auto" w:fill="auto"/>
            <w:vAlign w:val="center"/>
          </w:tcPr>
          <w:p>
            <w:pPr>
              <w:widowControl/>
              <w:adjustRightInd w:val="0"/>
              <w:snapToGrid w:val="0"/>
              <w:jc w:val="center"/>
              <w:rPr>
                <w:kern w:val="0"/>
                <w:sz w:val="20"/>
              </w:rPr>
            </w:pPr>
            <w:r>
              <w:rPr>
                <w:kern w:val="0"/>
                <w:sz w:val="20"/>
              </w:rPr>
              <w:t>1.17</w:t>
            </w:r>
          </w:p>
        </w:tc>
        <w:tc>
          <w:tcPr>
            <w:tcW w:w="0" w:type="auto"/>
            <w:shd w:val="clear" w:color="auto" w:fill="auto"/>
            <w:noWrap/>
            <w:vAlign w:val="center"/>
          </w:tcPr>
          <w:p>
            <w:pPr>
              <w:widowControl/>
              <w:adjustRightInd w:val="0"/>
              <w:snapToGrid w:val="0"/>
              <w:jc w:val="center"/>
              <w:rPr>
                <w:kern w:val="0"/>
                <w:sz w:val="20"/>
              </w:rPr>
            </w:pPr>
            <w:r>
              <w:rPr>
                <w:kern w:val="0"/>
                <w:sz w:val="20"/>
              </w:rPr>
              <w:t>1.54</w:t>
            </w:r>
          </w:p>
        </w:tc>
        <w:tc>
          <w:tcPr>
            <w:tcW w:w="0" w:type="auto"/>
            <w:shd w:val="clear" w:color="auto" w:fill="auto"/>
            <w:noWrap/>
            <w:vAlign w:val="center"/>
          </w:tcPr>
          <w:p>
            <w:pPr>
              <w:widowControl/>
              <w:adjustRightInd w:val="0"/>
              <w:snapToGrid w:val="0"/>
              <w:jc w:val="center"/>
              <w:rPr>
                <w:kern w:val="0"/>
                <w:sz w:val="20"/>
              </w:rPr>
            </w:pPr>
            <w:r>
              <w:rPr>
                <w:kern w:val="0"/>
                <w:sz w:val="20"/>
              </w:rPr>
              <w:t>1</w:t>
            </w:r>
          </w:p>
        </w:tc>
        <w:tc>
          <w:tcPr>
            <w:tcW w:w="0" w:type="auto"/>
            <w:shd w:val="clear" w:color="auto" w:fill="auto"/>
            <w:noWrap/>
            <w:vAlign w:val="center"/>
          </w:tcPr>
          <w:p>
            <w:pPr>
              <w:widowControl/>
              <w:adjustRightInd w:val="0"/>
              <w:snapToGrid w:val="0"/>
              <w:jc w:val="center"/>
              <w:rPr>
                <w:kern w:val="0"/>
                <w:sz w:val="20"/>
              </w:rPr>
            </w:pPr>
            <w:r>
              <w:rPr>
                <w:kern w:val="0"/>
                <w:sz w:val="20"/>
              </w:rPr>
              <w:t>1.369</w:t>
            </w:r>
          </w:p>
        </w:tc>
        <w:tc>
          <w:tcPr>
            <w:tcW w:w="898" w:type="dxa"/>
            <w:shd w:val="clear" w:color="auto" w:fill="auto"/>
            <w:noWrap/>
            <w:vAlign w:val="center"/>
          </w:tcPr>
          <w:p>
            <w:pPr>
              <w:widowControl/>
              <w:adjustRightInd w:val="0"/>
              <w:snapToGrid w:val="0"/>
              <w:jc w:val="center"/>
              <w:rPr>
                <w:kern w:val="0"/>
                <w:sz w:val="20"/>
              </w:rPr>
            </w:pPr>
            <w:r>
              <w:rPr>
                <w:kern w:val="0"/>
                <w:sz w:val="20"/>
              </w:rPr>
              <w:t>0.1908</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总磷</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硝酸盐氮</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5.97</w:t>
            </w:r>
          </w:p>
        </w:tc>
        <w:tc>
          <w:tcPr>
            <w:tcW w:w="1118" w:type="dxa"/>
            <w:shd w:val="clear" w:color="auto" w:fill="auto"/>
            <w:vAlign w:val="center"/>
          </w:tcPr>
          <w:p>
            <w:pPr>
              <w:widowControl/>
              <w:adjustRightInd w:val="0"/>
              <w:snapToGrid w:val="0"/>
              <w:jc w:val="center"/>
              <w:rPr>
                <w:kern w:val="0"/>
                <w:sz w:val="20"/>
              </w:rPr>
            </w:pPr>
            <w:r>
              <w:rPr>
                <w:kern w:val="0"/>
                <w:sz w:val="20"/>
              </w:rPr>
              <w:t>5.82</w:t>
            </w:r>
          </w:p>
        </w:tc>
        <w:tc>
          <w:tcPr>
            <w:tcW w:w="1118" w:type="dxa"/>
            <w:shd w:val="clear" w:color="auto" w:fill="auto"/>
            <w:vAlign w:val="center"/>
          </w:tcPr>
          <w:p>
            <w:pPr>
              <w:widowControl/>
              <w:adjustRightInd w:val="0"/>
              <w:snapToGrid w:val="0"/>
              <w:jc w:val="center"/>
              <w:rPr>
                <w:kern w:val="0"/>
                <w:sz w:val="20"/>
              </w:rPr>
            </w:pPr>
            <w:r>
              <w:rPr>
                <w:kern w:val="0"/>
                <w:sz w:val="20"/>
              </w:rPr>
              <w:t>5.93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5.12</w:t>
            </w:r>
          </w:p>
        </w:tc>
        <w:tc>
          <w:tcPr>
            <w:tcW w:w="949" w:type="dxa"/>
            <w:shd w:val="clear" w:color="auto" w:fill="auto"/>
            <w:vAlign w:val="center"/>
          </w:tcPr>
          <w:p>
            <w:pPr>
              <w:widowControl/>
              <w:adjustRightInd w:val="0"/>
              <w:snapToGrid w:val="0"/>
              <w:jc w:val="center"/>
              <w:rPr>
                <w:kern w:val="0"/>
                <w:sz w:val="20"/>
              </w:rPr>
            </w:pPr>
            <w:r>
              <w:rPr>
                <w:kern w:val="0"/>
                <w:sz w:val="20"/>
              </w:rPr>
              <w:t>5.18</w:t>
            </w:r>
          </w:p>
        </w:tc>
        <w:tc>
          <w:tcPr>
            <w:tcW w:w="0" w:type="auto"/>
            <w:shd w:val="clear" w:color="auto" w:fill="auto"/>
            <w:vAlign w:val="center"/>
          </w:tcPr>
          <w:p>
            <w:pPr>
              <w:widowControl/>
              <w:adjustRightInd w:val="0"/>
              <w:snapToGrid w:val="0"/>
              <w:jc w:val="center"/>
              <w:rPr>
                <w:kern w:val="0"/>
                <w:sz w:val="20"/>
              </w:rPr>
            </w:pPr>
            <w:r>
              <w:rPr>
                <w:kern w:val="0"/>
                <w:sz w:val="20"/>
              </w:rPr>
              <w:t>5.1</w:t>
            </w:r>
          </w:p>
        </w:tc>
        <w:tc>
          <w:tcPr>
            <w:tcW w:w="0" w:type="auto"/>
            <w:shd w:val="clear" w:color="auto" w:fill="auto"/>
            <w:noWrap/>
            <w:vAlign w:val="center"/>
          </w:tcPr>
          <w:p>
            <w:pPr>
              <w:widowControl/>
              <w:adjustRightInd w:val="0"/>
              <w:snapToGrid w:val="0"/>
              <w:jc w:val="center"/>
              <w:rPr>
                <w:kern w:val="0"/>
                <w:sz w:val="20"/>
              </w:rPr>
            </w:pPr>
            <w:r>
              <w:rPr>
                <w:kern w:val="0"/>
                <w:sz w:val="20"/>
              </w:rPr>
              <w:t>5.97</w:t>
            </w:r>
          </w:p>
        </w:tc>
        <w:tc>
          <w:tcPr>
            <w:tcW w:w="0" w:type="auto"/>
            <w:shd w:val="clear" w:color="auto" w:fill="auto"/>
            <w:noWrap/>
            <w:vAlign w:val="center"/>
          </w:tcPr>
          <w:p>
            <w:pPr>
              <w:widowControl/>
              <w:adjustRightInd w:val="0"/>
              <w:snapToGrid w:val="0"/>
              <w:jc w:val="center"/>
              <w:rPr>
                <w:kern w:val="0"/>
                <w:sz w:val="20"/>
              </w:rPr>
            </w:pPr>
            <w:r>
              <w:rPr>
                <w:kern w:val="0"/>
                <w:sz w:val="20"/>
              </w:rPr>
              <w:t>5.1</w:t>
            </w:r>
          </w:p>
        </w:tc>
        <w:tc>
          <w:tcPr>
            <w:tcW w:w="0" w:type="auto"/>
            <w:shd w:val="clear" w:color="auto" w:fill="auto"/>
            <w:noWrap/>
            <w:vAlign w:val="center"/>
          </w:tcPr>
          <w:p>
            <w:pPr>
              <w:widowControl/>
              <w:adjustRightInd w:val="0"/>
              <w:snapToGrid w:val="0"/>
              <w:jc w:val="center"/>
              <w:rPr>
                <w:kern w:val="0"/>
                <w:sz w:val="20"/>
              </w:rPr>
            </w:pPr>
            <w:r>
              <w:rPr>
                <w:kern w:val="0"/>
                <w:sz w:val="20"/>
              </w:rPr>
              <w:t>5.52</w:t>
            </w:r>
          </w:p>
        </w:tc>
        <w:tc>
          <w:tcPr>
            <w:tcW w:w="898" w:type="dxa"/>
            <w:shd w:val="clear" w:color="auto" w:fill="auto"/>
            <w:noWrap/>
            <w:vAlign w:val="center"/>
          </w:tcPr>
          <w:p>
            <w:pPr>
              <w:widowControl/>
              <w:adjustRightInd w:val="0"/>
              <w:snapToGrid w:val="0"/>
              <w:jc w:val="center"/>
              <w:rPr>
                <w:kern w:val="0"/>
                <w:sz w:val="20"/>
              </w:rPr>
            </w:pPr>
            <w:r>
              <w:rPr>
                <w:kern w:val="0"/>
                <w:sz w:val="20"/>
              </w:rPr>
              <w:t>0.39</w:t>
            </w:r>
          </w:p>
        </w:tc>
        <w:tc>
          <w:tcPr>
            <w:tcW w:w="864" w:type="dxa"/>
            <w:shd w:val="clear" w:color="auto" w:fill="auto"/>
            <w:vAlign w:val="center"/>
          </w:tcPr>
          <w:p>
            <w:pPr>
              <w:widowControl/>
              <w:adjustRightInd w:val="0"/>
              <w:snapToGrid w:val="0"/>
              <w:jc w:val="center"/>
              <w:rPr>
                <w:kern w:val="0"/>
                <w:sz w:val="20"/>
              </w:rPr>
            </w:pPr>
            <w:r>
              <w:rPr>
                <w:kern w:val="0"/>
                <w:sz w:val="20"/>
              </w:rPr>
              <w:t>86%</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亚硝酸盐氮</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＜0.003</w:t>
            </w:r>
          </w:p>
        </w:tc>
        <w:tc>
          <w:tcPr>
            <w:tcW w:w="1118" w:type="dxa"/>
            <w:shd w:val="clear" w:color="auto" w:fill="auto"/>
            <w:vAlign w:val="center"/>
          </w:tcPr>
          <w:p>
            <w:pPr>
              <w:widowControl/>
              <w:adjustRightInd w:val="0"/>
              <w:snapToGrid w:val="0"/>
              <w:jc w:val="center"/>
              <w:rPr>
                <w:kern w:val="0"/>
                <w:sz w:val="20"/>
              </w:rPr>
            </w:pPr>
            <w:r>
              <w:rPr>
                <w:kern w:val="0"/>
                <w:sz w:val="20"/>
              </w:rPr>
              <w:t>＜0.003</w:t>
            </w:r>
          </w:p>
        </w:tc>
        <w:tc>
          <w:tcPr>
            <w:tcW w:w="1118" w:type="dxa"/>
            <w:shd w:val="clear" w:color="auto" w:fill="auto"/>
            <w:vAlign w:val="center"/>
          </w:tcPr>
          <w:p>
            <w:pPr>
              <w:widowControl/>
              <w:adjustRightInd w:val="0"/>
              <w:snapToGrid w:val="0"/>
              <w:jc w:val="center"/>
              <w:rPr>
                <w:kern w:val="0"/>
                <w:sz w:val="20"/>
              </w:rPr>
            </w:pPr>
            <w:r>
              <w:rPr>
                <w:kern w:val="0"/>
                <w:sz w:val="20"/>
              </w:rPr>
              <w:t>＜0.003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氨氮</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0.254</w:t>
            </w:r>
          </w:p>
        </w:tc>
        <w:tc>
          <w:tcPr>
            <w:tcW w:w="1118" w:type="dxa"/>
            <w:shd w:val="clear" w:color="auto" w:fill="auto"/>
            <w:vAlign w:val="center"/>
          </w:tcPr>
          <w:p>
            <w:pPr>
              <w:widowControl/>
              <w:adjustRightInd w:val="0"/>
              <w:snapToGrid w:val="0"/>
              <w:jc w:val="center"/>
              <w:rPr>
                <w:kern w:val="0"/>
                <w:sz w:val="20"/>
              </w:rPr>
            </w:pPr>
            <w:r>
              <w:rPr>
                <w:kern w:val="0"/>
                <w:sz w:val="20"/>
              </w:rPr>
              <w:t>0.269</w:t>
            </w:r>
          </w:p>
        </w:tc>
        <w:tc>
          <w:tcPr>
            <w:tcW w:w="1118" w:type="dxa"/>
            <w:shd w:val="clear" w:color="auto" w:fill="auto"/>
            <w:vAlign w:val="center"/>
          </w:tcPr>
          <w:p>
            <w:pPr>
              <w:widowControl/>
              <w:adjustRightInd w:val="0"/>
              <w:snapToGrid w:val="0"/>
              <w:jc w:val="center"/>
              <w:rPr>
                <w:kern w:val="0"/>
                <w:sz w:val="20"/>
              </w:rPr>
            </w:pPr>
            <w:r>
              <w:rPr>
                <w:kern w:val="0"/>
                <w:sz w:val="20"/>
              </w:rPr>
              <w:t>0.26</w:t>
            </w:r>
          </w:p>
        </w:tc>
        <w:tc>
          <w:tcPr>
            <w:tcW w:w="855" w:type="dxa"/>
            <w:shd w:val="clear" w:color="auto" w:fill="auto"/>
            <w:vAlign w:val="center"/>
          </w:tcPr>
          <w:p>
            <w:pPr>
              <w:widowControl/>
              <w:adjustRightInd w:val="0"/>
              <w:snapToGrid w:val="0"/>
              <w:jc w:val="center"/>
              <w:rPr>
                <w:kern w:val="0"/>
                <w:sz w:val="20"/>
              </w:rPr>
            </w:pPr>
            <w:r>
              <w:rPr>
                <w:kern w:val="0"/>
                <w:sz w:val="20"/>
              </w:rPr>
              <w:t>0.08L</w:t>
            </w:r>
          </w:p>
        </w:tc>
        <w:tc>
          <w:tcPr>
            <w:tcW w:w="836" w:type="dxa"/>
            <w:shd w:val="clear" w:color="auto" w:fill="auto"/>
            <w:vAlign w:val="center"/>
          </w:tcPr>
          <w:p>
            <w:pPr>
              <w:widowControl/>
              <w:adjustRightInd w:val="0"/>
              <w:snapToGrid w:val="0"/>
              <w:jc w:val="center"/>
              <w:rPr>
                <w:kern w:val="0"/>
                <w:sz w:val="20"/>
              </w:rPr>
            </w:pPr>
            <w:r>
              <w:rPr>
                <w:kern w:val="0"/>
                <w:sz w:val="20"/>
              </w:rPr>
              <w:t>0.299</w:t>
            </w:r>
          </w:p>
        </w:tc>
        <w:tc>
          <w:tcPr>
            <w:tcW w:w="949" w:type="dxa"/>
            <w:shd w:val="clear" w:color="auto" w:fill="auto"/>
            <w:vAlign w:val="center"/>
          </w:tcPr>
          <w:p>
            <w:pPr>
              <w:widowControl/>
              <w:adjustRightInd w:val="0"/>
              <w:snapToGrid w:val="0"/>
              <w:jc w:val="center"/>
              <w:rPr>
                <w:kern w:val="0"/>
                <w:sz w:val="20"/>
              </w:rPr>
            </w:pPr>
            <w:r>
              <w:rPr>
                <w:kern w:val="0"/>
                <w:sz w:val="20"/>
              </w:rPr>
              <w:t>0.291</w:t>
            </w:r>
          </w:p>
        </w:tc>
        <w:tc>
          <w:tcPr>
            <w:tcW w:w="0" w:type="auto"/>
            <w:shd w:val="clear" w:color="auto" w:fill="auto"/>
            <w:vAlign w:val="center"/>
          </w:tcPr>
          <w:p>
            <w:pPr>
              <w:widowControl/>
              <w:adjustRightInd w:val="0"/>
              <w:snapToGrid w:val="0"/>
              <w:jc w:val="center"/>
              <w:rPr>
                <w:kern w:val="0"/>
                <w:sz w:val="20"/>
              </w:rPr>
            </w:pPr>
            <w:r>
              <w:rPr>
                <w:kern w:val="0"/>
                <w:sz w:val="20"/>
              </w:rPr>
              <w:t>0.312</w:t>
            </w:r>
          </w:p>
        </w:tc>
        <w:tc>
          <w:tcPr>
            <w:tcW w:w="0" w:type="auto"/>
            <w:shd w:val="clear" w:color="auto" w:fill="auto"/>
            <w:noWrap/>
            <w:vAlign w:val="center"/>
          </w:tcPr>
          <w:p>
            <w:pPr>
              <w:widowControl/>
              <w:adjustRightInd w:val="0"/>
              <w:snapToGrid w:val="0"/>
              <w:jc w:val="center"/>
              <w:rPr>
                <w:kern w:val="0"/>
                <w:sz w:val="20"/>
              </w:rPr>
            </w:pPr>
            <w:r>
              <w:rPr>
                <w:kern w:val="0"/>
                <w:sz w:val="20"/>
              </w:rPr>
              <w:t>0.312</w:t>
            </w:r>
          </w:p>
        </w:tc>
        <w:tc>
          <w:tcPr>
            <w:tcW w:w="0" w:type="auto"/>
            <w:shd w:val="clear" w:color="auto" w:fill="auto"/>
            <w:noWrap/>
            <w:vAlign w:val="center"/>
          </w:tcPr>
          <w:p>
            <w:pPr>
              <w:widowControl/>
              <w:adjustRightInd w:val="0"/>
              <w:snapToGrid w:val="0"/>
              <w:jc w:val="center"/>
              <w:rPr>
                <w:kern w:val="0"/>
                <w:sz w:val="20"/>
              </w:rPr>
            </w:pPr>
            <w:r>
              <w:rPr>
                <w:kern w:val="0"/>
                <w:sz w:val="20"/>
              </w:rPr>
              <w:t>0.254</w:t>
            </w:r>
          </w:p>
        </w:tc>
        <w:tc>
          <w:tcPr>
            <w:tcW w:w="0" w:type="auto"/>
            <w:shd w:val="clear" w:color="auto" w:fill="auto"/>
            <w:noWrap/>
            <w:vAlign w:val="center"/>
          </w:tcPr>
          <w:p>
            <w:pPr>
              <w:widowControl/>
              <w:adjustRightInd w:val="0"/>
              <w:snapToGrid w:val="0"/>
              <w:jc w:val="center"/>
              <w:rPr>
                <w:kern w:val="0"/>
                <w:sz w:val="20"/>
              </w:rPr>
            </w:pPr>
            <w:r>
              <w:rPr>
                <w:kern w:val="0"/>
                <w:sz w:val="20"/>
              </w:rPr>
              <w:t>0.2808</w:t>
            </w:r>
          </w:p>
        </w:tc>
        <w:tc>
          <w:tcPr>
            <w:tcW w:w="898" w:type="dxa"/>
            <w:shd w:val="clear" w:color="auto" w:fill="auto"/>
            <w:noWrap/>
            <w:vAlign w:val="center"/>
          </w:tcPr>
          <w:p>
            <w:pPr>
              <w:widowControl/>
              <w:adjustRightInd w:val="0"/>
              <w:snapToGrid w:val="0"/>
              <w:jc w:val="center"/>
              <w:rPr>
                <w:kern w:val="0"/>
                <w:sz w:val="20"/>
              </w:rPr>
            </w:pPr>
            <w:r>
              <w:rPr>
                <w:kern w:val="0"/>
                <w:sz w:val="20"/>
              </w:rPr>
              <w:t>0.0212</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氟化物</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0.19</w:t>
            </w:r>
          </w:p>
        </w:tc>
        <w:tc>
          <w:tcPr>
            <w:tcW w:w="1118" w:type="dxa"/>
            <w:shd w:val="clear" w:color="auto" w:fill="auto"/>
            <w:vAlign w:val="center"/>
          </w:tcPr>
          <w:p>
            <w:pPr>
              <w:widowControl/>
              <w:adjustRightInd w:val="0"/>
              <w:snapToGrid w:val="0"/>
              <w:jc w:val="center"/>
              <w:rPr>
                <w:kern w:val="0"/>
                <w:sz w:val="20"/>
              </w:rPr>
            </w:pPr>
            <w:r>
              <w:rPr>
                <w:kern w:val="0"/>
                <w:sz w:val="20"/>
              </w:rPr>
              <w:t>0.17</w:t>
            </w:r>
          </w:p>
        </w:tc>
        <w:tc>
          <w:tcPr>
            <w:tcW w:w="1118" w:type="dxa"/>
            <w:shd w:val="clear" w:color="auto" w:fill="auto"/>
            <w:vAlign w:val="center"/>
          </w:tcPr>
          <w:p>
            <w:pPr>
              <w:widowControl/>
              <w:adjustRightInd w:val="0"/>
              <w:snapToGrid w:val="0"/>
              <w:jc w:val="center"/>
              <w:rPr>
                <w:kern w:val="0"/>
                <w:sz w:val="20"/>
              </w:rPr>
            </w:pPr>
            <w:r>
              <w:rPr>
                <w:kern w:val="0"/>
                <w:sz w:val="20"/>
              </w:rPr>
              <w:t>0.21</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0.03</w:t>
            </w:r>
          </w:p>
        </w:tc>
        <w:tc>
          <w:tcPr>
            <w:tcW w:w="949" w:type="dxa"/>
            <w:shd w:val="clear" w:color="auto" w:fill="auto"/>
            <w:vAlign w:val="center"/>
          </w:tcPr>
          <w:p>
            <w:pPr>
              <w:widowControl/>
              <w:adjustRightInd w:val="0"/>
              <w:snapToGrid w:val="0"/>
              <w:jc w:val="center"/>
              <w:rPr>
                <w:kern w:val="0"/>
                <w:sz w:val="20"/>
              </w:rPr>
            </w:pPr>
            <w:r>
              <w:rPr>
                <w:kern w:val="0"/>
                <w:sz w:val="20"/>
              </w:rPr>
              <w:t>0.04</w:t>
            </w:r>
          </w:p>
        </w:tc>
        <w:tc>
          <w:tcPr>
            <w:tcW w:w="0" w:type="auto"/>
            <w:shd w:val="clear" w:color="auto" w:fill="auto"/>
            <w:vAlign w:val="center"/>
          </w:tcPr>
          <w:p>
            <w:pPr>
              <w:widowControl/>
              <w:adjustRightInd w:val="0"/>
              <w:snapToGrid w:val="0"/>
              <w:jc w:val="center"/>
              <w:rPr>
                <w:kern w:val="0"/>
                <w:sz w:val="20"/>
              </w:rPr>
            </w:pPr>
            <w:r>
              <w:rPr>
                <w:kern w:val="0"/>
                <w:sz w:val="20"/>
              </w:rPr>
              <w:t>0.03</w:t>
            </w:r>
          </w:p>
        </w:tc>
        <w:tc>
          <w:tcPr>
            <w:tcW w:w="0" w:type="auto"/>
            <w:shd w:val="clear" w:color="auto" w:fill="auto"/>
            <w:noWrap/>
            <w:vAlign w:val="center"/>
          </w:tcPr>
          <w:p>
            <w:pPr>
              <w:widowControl/>
              <w:adjustRightInd w:val="0"/>
              <w:snapToGrid w:val="0"/>
              <w:jc w:val="center"/>
              <w:rPr>
                <w:kern w:val="0"/>
                <w:sz w:val="20"/>
              </w:rPr>
            </w:pPr>
            <w:r>
              <w:rPr>
                <w:kern w:val="0"/>
                <w:sz w:val="20"/>
              </w:rPr>
              <w:t>0.21</w:t>
            </w:r>
          </w:p>
        </w:tc>
        <w:tc>
          <w:tcPr>
            <w:tcW w:w="0" w:type="auto"/>
            <w:shd w:val="clear" w:color="auto" w:fill="auto"/>
            <w:noWrap/>
            <w:vAlign w:val="center"/>
          </w:tcPr>
          <w:p>
            <w:pPr>
              <w:widowControl/>
              <w:adjustRightInd w:val="0"/>
              <w:snapToGrid w:val="0"/>
              <w:jc w:val="center"/>
              <w:rPr>
                <w:kern w:val="0"/>
                <w:sz w:val="20"/>
              </w:rPr>
            </w:pPr>
            <w:r>
              <w:rPr>
                <w:kern w:val="0"/>
                <w:sz w:val="20"/>
              </w:rPr>
              <w:t>0.03</w:t>
            </w:r>
          </w:p>
        </w:tc>
        <w:tc>
          <w:tcPr>
            <w:tcW w:w="0" w:type="auto"/>
            <w:shd w:val="clear" w:color="auto" w:fill="auto"/>
            <w:noWrap/>
            <w:vAlign w:val="center"/>
          </w:tcPr>
          <w:p>
            <w:pPr>
              <w:widowControl/>
              <w:adjustRightInd w:val="0"/>
              <w:snapToGrid w:val="0"/>
              <w:jc w:val="center"/>
              <w:rPr>
                <w:kern w:val="0"/>
                <w:sz w:val="20"/>
              </w:rPr>
            </w:pPr>
            <w:r>
              <w:rPr>
                <w:kern w:val="0"/>
                <w:sz w:val="20"/>
              </w:rPr>
              <w:t>0.1117</w:t>
            </w:r>
          </w:p>
        </w:tc>
        <w:tc>
          <w:tcPr>
            <w:tcW w:w="898" w:type="dxa"/>
            <w:shd w:val="clear" w:color="auto" w:fill="auto"/>
            <w:noWrap/>
            <w:vAlign w:val="center"/>
          </w:tcPr>
          <w:p>
            <w:pPr>
              <w:widowControl/>
              <w:adjustRightInd w:val="0"/>
              <w:snapToGrid w:val="0"/>
              <w:jc w:val="center"/>
              <w:rPr>
                <w:kern w:val="0"/>
                <w:sz w:val="20"/>
              </w:rPr>
            </w:pPr>
            <w:r>
              <w:rPr>
                <w:kern w:val="0"/>
                <w:sz w:val="20"/>
              </w:rPr>
              <w:t>0.0792</w:t>
            </w:r>
          </w:p>
        </w:tc>
        <w:tc>
          <w:tcPr>
            <w:tcW w:w="864" w:type="dxa"/>
            <w:shd w:val="clear" w:color="auto" w:fill="auto"/>
            <w:noWrap/>
            <w:vAlign w:val="center"/>
          </w:tcPr>
          <w:p>
            <w:pPr>
              <w:widowControl/>
              <w:adjustRightInd w:val="0"/>
              <w:snapToGrid w:val="0"/>
              <w:jc w:val="center"/>
              <w:rPr>
                <w:kern w:val="0"/>
                <w:sz w:val="20"/>
              </w:rPr>
            </w:pPr>
            <w:r>
              <w:rPr>
                <w:kern w:val="0"/>
                <w:sz w:val="20"/>
              </w:rPr>
              <w:t>86%</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硫酸盐</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58.1</w:t>
            </w:r>
          </w:p>
        </w:tc>
        <w:tc>
          <w:tcPr>
            <w:tcW w:w="1118" w:type="dxa"/>
            <w:shd w:val="clear" w:color="auto" w:fill="auto"/>
            <w:vAlign w:val="center"/>
          </w:tcPr>
          <w:p>
            <w:pPr>
              <w:widowControl/>
              <w:adjustRightInd w:val="0"/>
              <w:snapToGrid w:val="0"/>
              <w:jc w:val="center"/>
              <w:rPr>
                <w:kern w:val="0"/>
                <w:sz w:val="20"/>
              </w:rPr>
            </w:pPr>
            <w:r>
              <w:rPr>
                <w:kern w:val="0"/>
                <w:sz w:val="20"/>
              </w:rPr>
              <w:t>58.8</w:t>
            </w:r>
          </w:p>
        </w:tc>
        <w:tc>
          <w:tcPr>
            <w:tcW w:w="1118" w:type="dxa"/>
            <w:shd w:val="clear" w:color="auto" w:fill="auto"/>
            <w:vAlign w:val="center"/>
          </w:tcPr>
          <w:p>
            <w:pPr>
              <w:widowControl/>
              <w:adjustRightInd w:val="0"/>
              <w:snapToGrid w:val="0"/>
              <w:jc w:val="center"/>
              <w:rPr>
                <w:kern w:val="0"/>
                <w:sz w:val="20"/>
              </w:rPr>
            </w:pPr>
            <w:r>
              <w:rPr>
                <w:kern w:val="0"/>
                <w:sz w:val="20"/>
              </w:rPr>
              <w:t>59.5</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noWrap/>
            <w:vAlign w:val="center"/>
          </w:tcPr>
          <w:p>
            <w:pPr>
              <w:widowControl/>
              <w:adjustRightInd w:val="0"/>
              <w:snapToGrid w:val="0"/>
              <w:jc w:val="center"/>
              <w:rPr>
                <w:kern w:val="0"/>
                <w:sz w:val="20"/>
              </w:rPr>
            </w:pPr>
            <w:r>
              <w:rPr>
                <w:kern w:val="0"/>
                <w:sz w:val="20"/>
              </w:rPr>
              <w:t>59.5</w:t>
            </w:r>
          </w:p>
        </w:tc>
        <w:tc>
          <w:tcPr>
            <w:tcW w:w="0" w:type="auto"/>
            <w:shd w:val="clear" w:color="auto" w:fill="auto"/>
            <w:noWrap/>
            <w:vAlign w:val="center"/>
          </w:tcPr>
          <w:p>
            <w:pPr>
              <w:widowControl/>
              <w:adjustRightInd w:val="0"/>
              <w:snapToGrid w:val="0"/>
              <w:jc w:val="center"/>
              <w:rPr>
                <w:kern w:val="0"/>
                <w:sz w:val="20"/>
              </w:rPr>
            </w:pPr>
            <w:r>
              <w:rPr>
                <w:kern w:val="0"/>
                <w:sz w:val="20"/>
              </w:rPr>
              <w:t>58.1</w:t>
            </w:r>
          </w:p>
        </w:tc>
        <w:tc>
          <w:tcPr>
            <w:tcW w:w="0" w:type="auto"/>
            <w:shd w:val="clear" w:color="auto" w:fill="auto"/>
            <w:noWrap/>
            <w:vAlign w:val="center"/>
          </w:tcPr>
          <w:p>
            <w:pPr>
              <w:widowControl/>
              <w:adjustRightInd w:val="0"/>
              <w:snapToGrid w:val="0"/>
              <w:jc w:val="center"/>
              <w:rPr>
                <w:kern w:val="0"/>
                <w:sz w:val="20"/>
              </w:rPr>
            </w:pPr>
            <w:r>
              <w:rPr>
                <w:kern w:val="0"/>
                <w:sz w:val="20"/>
              </w:rPr>
              <w:t>58.8</w:t>
            </w:r>
          </w:p>
        </w:tc>
        <w:tc>
          <w:tcPr>
            <w:tcW w:w="898" w:type="dxa"/>
            <w:shd w:val="clear" w:color="auto" w:fill="auto"/>
            <w:noWrap/>
            <w:vAlign w:val="center"/>
          </w:tcPr>
          <w:p>
            <w:pPr>
              <w:widowControl/>
              <w:adjustRightInd w:val="0"/>
              <w:snapToGrid w:val="0"/>
              <w:jc w:val="center"/>
              <w:rPr>
                <w:kern w:val="0"/>
                <w:sz w:val="20"/>
              </w:rPr>
            </w:pPr>
            <w:r>
              <w:rPr>
                <w:kern w:val="0"/>
                <w:sz w:val="20"/>
              </w:rPr>
              <w:t>0.5715</w:t>
            </w:r>
          </w:p>
        </w:tc>
        <w:tc>
          <w:tcPr>
            <w:tcW w:w="864" w:type="dxa"/>
            <w:shd w:val="clear" w:color="auto" w:fill="auto"/>
            <w:vAlign w:val="center"/>
          </w:tcPr>
          <w:p>
            <w:pPr>
              <w:widowControl/>
              <w:adjustRightInd w:val="0"/>
              <w:snapToGrid w:val="0"/>
              <w:jc w:val="center"/>
              <w:rPr>
                <w:kern w:val="0"/>
                <w:sz w:val="20"/>
              </w:rPr>
            </w:pPr>
            <w:r>
              <w:rPr>
                <w:kern w:val="0"/>
                <w:sz w:val="20"/>
              </w:rPr>
              <w:t>43%</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总大肠菌群</w:t>
            </w:r>
          </w:p>
        </w:tc>
        <w:tc>
          <w:tcPr>
            <w:tcW w:w="989" w:type="dxa"/>
            <w:shd w:val="clear" w:color="auto" w:fill="auto"/>
            <w:vAlign w:val="center"/>
          </w:tcPr>
          <w:p>
            <w:pPr>
              <w:widowControl/>
              <w:adjustRightInd w:val="0"/>
              <w:snapToGrid w:val="0"/>
              <w:jc w:val="center"/>
              <w:rPr>
                <w:kern w:val="0"/>
                <w:sz w:val="20"/>
              </w:rPr>
            </w:pPr>
            <w:r>
              <w:rPr>
                <w:kern w:val="0"/>
                <w:sz w:val="20"/>
              </w:rPr>
              <w:t>MPN/</w:t>
            </w:r>
          </w:p>
          <w:p>
            <w:pPr>
              <w:widowControl/>
              <w:adjustRightInd w:val="0"/>
              <w:snapToGrid w:val="0"/>
              <w:jc w:val="center"/>
              <w:rPr>
                <w:kern w:val="0"/>
                <w:sz w:val="20"/>
              </w:rPr>
            </w:pPr>
            <w:r>
              <w:rPr>
                <w:kern w:val="0"/>
                <w:sz w:val="20"/>
              </w:rPr>
              <w:t>100mL</w:t>
            </w:r>
          </w:p>
        </w:tc>
        <w:tc>
          <w:tcPr>
            <w:tcW w:w="1118" w:type="dxa"/>
            <w:shd w:val="clear" w:color="auto" w:fill="auto"/>
            <w:vAlign w:val="center"/>
          </w:tcPr>
          <w:p>
            <w:pPr>
              <w:widowControl/>
              <w:adjustRightInd w:val="0"/>
              <w:snapToGrid w:val="0"/>
              <w:jc w:val="center"/>
              <w:rPr>
                <w:kern w:val="0"/>
                <w:sz w:val="20"/>
              </w:rPr>
            </w:pPr>
            <w:r>
              <w:rPr>
                <w:kern w:val="0"/>
                <w:sz w:val="20"/>
              </w:rPr>
              <w:t>未检出</w:t>
            </w:r>
          </w:p>
        </w:tc>
        <w:tc>
          <w:tcPr>
            <w:tcW w:w="1118" w:type="dxa"/>
            <w:shd w:val="clear" w:color="auto" w:fill="auto"/>
            <w:vAlign w:val="center"/>
          </w:tcPr>
          <w:p>
            <w:pPr>
              <w:widowControl/>
              <w:adjustRightInd w:val="0"/>
              <w:snapToGrid w:val="0"/>
              <w:jc w:val="center"/>
              <w:rPr>
                <w:kern w:val="0"/>
                <w:sz w:val="20"/>
              </w:rPr>
            </w:pPr>
            <w:r>
              <w:rPr>
                <w:kern w:val="0"/>
                <w:sz w:val="20"/>
              </w:rPr>
              <w:t>未检出</w:t>
            </w:r>
          </w:p>
        </w:tc>
        <w:tc>
          <w:tcPr>
            <w:tcW w:w="1118" w:type="dxa"/>
            <w:shd w:val="clear" w:color="auto" w:fill="auto"/>
            <w:vAlign w:val="center"/>
          </w:tcPr>
          <w:p>
            <w:pPr>
              <w:widowControl/>
              <w:adjustRightInd w:val="0"/>
              <w:snapToGrid w:val="0"/>
              <w:jc w:val="center"/>
              <w:rPr>
                <w:kern w:val="0"/>
                <w:sz w:val="20"/>
              </w:rPr>
            </w:pPr>
            <w:r>
              <w:rPr>
                <w:kern w:val="0"/>
                <w:sz w:val="20"/>
              </w:rPr>
              <w:t>未检出</w:t>
            </w:r>
          </w:p>
        </w:tc>
        <w:tc>
          <w:tcPr>
            <w:tcW w:w="855" w:type="dxa"/>
            <w:shd w:val="clear" w:color="auto" w:fill="auto"/>
            <w:vAlign w:val="center"/>
          </w:tcPr>
          <w:p>
            <w:pPr>
              <w:widowControl/>
              <w:adjustRightInd w:val="0"/>
              <w:snapToGrid w:val="0"/>
              <w:jc w:val="center"/>
              <w:rPr>
                <w:kern w:val="0"/>
                <w:sz w:val="20"/>
              </w:rPr>
            </w:pPr>
            <w:r>
              <w:rPr>
                <w:kern w:val="0"/>
                <w:sz w:val="20"/>
              </w:rPr>
              <w:t>＜3</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29" w:type="dxa"/>
            <w:shd w:val="clear" w:color="auto" w:fill="auto"/>
            <w:noWrap/>
            <w:vAlign w:val="center"/>
          </w:tcPr>
          <w:p>
            <w:pPr>
              <w:widowControl/>
              <w:adjustRightInd w:val="0"/>
              <w:snapToGrid w:val="0"/>
              <w:jc w:val="center"/>
              <w:rPr>
                <w:kern w:val="0"/>
                <w:sz w:val="20"/>
              </w:rPr>
            </w:pPr>
            <w:r>
              <w:rPr>
                <w:rFonts w:hint="eastAsia"/>
                <w:kern w:val="0"/>
                <w:sz w:val="20"/>
              </w:rPr>
              <w:t>菌落总数</w:t>
            </w:r>
          </w:p>
        </w:tc>
        <w:tc>
          <w:tcPr>
            <w:tcW w:w="989" w:type="dxa"/>
            <w:shd w:val="clear" w:color="auto" w:fill="auto"/>
            <w:vAlign w:val="center"/>
          </w:tcPr>
          <w:p>
            <w:pPr>
              <w:widowControl/>
              <w:adjustRightInd w:val="0"/>
              <w:snapToGrid w:val="0"/>
              <w:jc w:val="center"/>
              <w:rPr>
                <w:kern w:val="0"/>
                <w:sz w:val="20"/>
              </w:rPr>
            </w:pPr>
            <w:r>
              <w:rPr>
                <w:kern w:val="0"/>
                <w:sz w:val="20"/>
              </w:rPr>
              <w:t>CFU/mL</w:t>
            </w:r>
          </w:p>
        </w:tc>
        <w:tc>
          <w:tcPr>
            <w:tcW w:w="1118" w:type="dxa"/>
            <w:shd w:val="clear" w:color="auto" w:fill="auto"/>
            <w:vAlign w:val="center"/>
          </w:tcPr>
          <w:p>
            <w:pPr>
              <w:widowControl/>
              <w:adjustRightInd w:val="0"/>
              <w:snapToGrid w:val="0"/>
              <w:jc w:val="center"/>
              <w:rPr>
                <w:kern w:val="0"/>
                <w:sz w:val="20"/>
              </w:rPr>
            </w:pPr>
            <w:r>
              <w:rPr>
                <w:kern w:val="0"/>
                <w:sz w:val="20"/>
              </w:rPr>
              <w:t>34</w:t>
            </w:r>
          </w:p>
        </w:tc>
        <w:tc>
          <w:tcPr>
            <w:tcW w:w="1118" w:type="dxa"/>
            <w:shd w:val="clear" w:color="auto" w:fill="auto"/>
            <w:vAlign w:val="center"/>
          </w:tcPr>
          <w:p>
            <w:pPr>
              <w:widowControl/>
              <w:adjustRightInd w:val="0"/>
              <w:snapToGrid w:val="0"/>
              <w:jc w:val="center"/>
              <w:rPr>
                <w:kern w:val="0"/>
                <w:sz w:val="20"/>
              </w:rPr>
            </w:pPr>
            <w:r>
              <w:rPr>
                <w:kern w:val="0"/>
                <w:sz w:val="20"/>
              </w:rPr>
              <w:t>27</w:t>
            </w:r>
          </w:p>
        </w:tc>
        <w:tc>
          <w:tcPr>
            <w:tcW w:w="1118" w:type="dxa"/>
            <w:shd w:val="clear" w:color="auto" w:fill="auto"/>
            <w:vAlign w:val="center"/>
          </w:tcPr>
          <w:p>
            <w:pPr>
              <w:widowControl/>
              <w:adjustRightInd w:val="0"/>
              <w:snapToGrid w:val="0"/>
              <w:jc w:val="center"/>
              <w:rPr>
                <w:kern w:val="0"/>
                <w:sz w:val="20"/>
              </w:rPr>
            </w:pPr>
            <w:r>
              <w:rPr>
                <w:kern w:val="0"/>
                <w:sz w:val="20"/>
              </w:rPr>
              <w:t>29</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35</w:t>
            </w:r>
          </w:p>
        </w:tc>
        <w:tc>
          <w:tcPr>
            <w:tcW w:w="949" w:type="dxa"/>
            <w:shd w:val="clear" w:color="auto" w:fill="auto"/>
            <w:vAlign w:val="center"/>
          </w:tcPr>
          <w:p>
            <w:pPr>
              <w:widowControl/>
              <w:adjustRightInd w:val="0"/>
              <w:snapToGrid w:val="0"/>
              <w:jc w:val="center"/>
              <w:rPr>
                <w:kern w:val="0"/>
                <w:sz w:val="20"/>
              </w:rPr>
            </w:pPr>
            <w:r>
              <w:rPr>
                <w:kern w:val="0"/>
                <w:sz w:val="20"/>
              </w:rPr>
              <w:t>38</w:t>
            </w:r>
          </w:p>
        </w:tc>
        <w:tc>
          <w:tcPr>
            <w:tcW w:w="0" w:type="auto"/>
            <w:shd w:val="clear" w:color="auto" w:fill="auto"/>
            <w:vAlign w:val="center"/>
          </w:tcPr>
          <w:p>
            <w:pPr>
              <w:widowControl/>
              <w:adjustRightInd w:val="0"/>
              <w:snapToGrid w:val="0"/>
              <w:jc w:val="center"/>
              <w:rPr>
                <w:kern w:val="0"/>
                <w:sz w:val="20"/>
              </w:rPr>
            </w:pPr>
            <w:r>
              <w:rPr>
                <w:kern w:val="0"/>
                <w:sz w:val="20"/>
              </w:rPr>
              <w:t>30</w:t>
            </w:r>
          </w:p>
        </w:tc>
        <w:tc>
          <w:tcPr>
            <w:tcW w:w="0" w:type="auto"/>
            <w:shd w:val="clear" w:color="auto" w:fill="auto"/>
            <w:noWrap/>
            <w:vAlign w:val="center"/>
          </w:tcPr>
          <w:p>
            <w:pPr>
              <w:widowControl/>
              <w:adjustRightInd w:val="0"/>
              <w:snapToGrid w:val="0"/>
              <w:jc w:val="center"/>
              <w:rPr>
                <w:kern w:val="0"/>
                <w:sz w:val="20"/>
              </w:rPr>
            </w:pPr>
            <w:r>
              <w:rPr>
                <w:kern w:val="0"/>
                <w:sz w:val="20"/>
              </w:rPr>
              <w:t>38</w:t>
            </w:r>
          </w:p>
        </w:tc>
        <w:tc>
          <w:tcPr>
            <w:tcW w:w="0" w:type="auto"/>
            <w:shd w:val="clear" w:color="auto" w:fill="auto"/>
            <w:noWrap/>
            <w:vAlign w:val="center"/>
          </w:tcPr>
          <w:p>
            <w:pPr>
              <w:widowControl/>
              <w:adjustRightInd w:val="0"/>
              <w:snapToGrid w:val="0"/>
              <w:jc w:val="center"/>
              <w:rPr>
                <w:kern w:val="0"/>
                <w:sz w:val="20"/>
              </w:rPr>
            </w:pPr>
            <w:r>
              <w:rPr>
                <w:kern w:val="0"/>
                <w:sz w:val="20"/>
              </w:rPr>
              <w:t>27</w:t>
            </w:r>
          </w:p>
        </w:tc>
        <w:tc>
          <w:tcPr>
            <w:tcW w:w="0" w:type="auto"/>
            <w:shd w:val="clear" w:color="auto" w:fill="auto"/>
            <w:noWrap/>
            <w:vAlign w:val="center"/>
          </w:tcPr>
          <w:p>
            <w:pPr>
              <w:widowControl/>
              <w:adjustRightInd w:val="0"/>
              <w:snapToGrid w:val="0"/>
              <w:jc w:val="center"/>
              <w:rPr>
                <w:kern w:val="0"/>
                <w:sz w:val="20"/>
              </w:rPr>
            </w:pPr>
            <w:r>
              <w:rPr>
                <w:kern w:val="0"/>
                <w:sz w:val="20"/>
              </w:rPr>
              <w:t>32.167</w:t>
            </w:r>
          </w:p>
        </w:tc>
        <w:tc>
          <w:tcPr>
            <w:tcW w:w="898" w:type="dxa"/>
            <w:shd w:val="clear" w:color="auto" w:fill="auto"/>
            <w:noWrap/>
            <w:vAlign w:val="center"/>
          </w:tcPr>
          <w:p>
            <w:pPr>
              <w:widowControl/>
              <w:adjustRightInd w:val="0"/>
              <w:snapToGrid w:val="0"/>
              <w:jc w:val="center"/>
              <w:rPr>
                <w:kern w:val="0"/>
                <w:sz w:val="20"/>
              </w:rPr>
            </w:pPr>
            <w:r>
              <w:rPr>
                <w:kern w:val="0"/>
                <w:sz w:val="20"/>
              </w:rPr>
              <w:t>3.8042</w:t>
            </w:r>
          </w:p>
        </w:tc>
        <w:tc>
          <w:tcPr>
            <w:tcW w:w="864" w:type="dxa"/>
            <w:shd w:val="clear" w:color="auto" w:fill="auto"/>
            <w:vAlign w:val="center"/>
          </w:tcPr>
          <w:p>
            <w:pPr>
              <w:widowControl/>
              <w:adjustRightInd w:val="0"/>
              <w:snapToGrid w:val="0"/>
              <w:jc w:val="center"/>
              <w:rPr>
                <w:kern w:val="0"/>
                <w:sz w:val="20"/>
              </w:rPr>
            </w:pPr>
            <w:r>
              <w:rPr>
                <w:kern w:val="0"/>
                <w:sz w:val="20"/>
              </w:rPr>
              <w:t>86%</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Na</w:t>
            </w:r>
            <w:r>
              <w:rPr>
                <w:kern w:val="0"/>
                <w:sz w:val="20"/>
                <w:vertAlign w:val="superscript"/>
              </w:rPr>
              <w:t>+</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36.5</w:t>
            </w:r>
          </w:p>
        </w:tc>
        <w:tc>
          <w:tcPr>
            <w:tcW w:w="1118" w:type="dxa"/>
            <w:shd w:val="clear" w:color="auto" w:fill="auto"/>
            <w:vAlign w:val="center"/>
          </w:tcPr>
          <w:p>
            <w:pPr>
              <w:widowControl/>
              <w:adjustRightInd w:val="0"/>
              <w:snapToGrid w:val="0"/>
              <w:jc w:val="center"/>
              <w:rPr>
                <w:kern w:val="0"/>
                <w:sz w:val="20"/>
              </w:rPr>
            </w:pPr>
            <w:r>
              <w:rPr>
                <w:kern w:val="0"/>
                <w:sz w:val="20"/>
              </w:rPr>
              <w:t>35.4</w:t>
            </w:r>
          </w:p>
        </w:tc>
        <w:tc>
          <w:tcPr>
            <w:tcW w:w="1118" w:type="dxa"/>
            <w:shd w:val="clear" w:color="auto" w:fill="auto"/>
            <w:vAlign w:val="center"/>
          </w:tcPr>
          <w:p>
            <w:pPr>
              <w:widowControl/>
              <w:adjustRightInd w:val="0"/>
              <w:snapToGrid w:val="0"/>
              <w:jc w:val="center"/>
              <w:rPr>
                <w:kern w:val="0"/>
                <w:sz w:val="20"/>
              </w:rPr>
            </w:pPr>
            <w:r>
              <w:rPr>
                <w:kern w:val="0"/>
                <w:sz w:val="20"/>
              </w:rPr>
              <w:t>35.4</w:t>
            </w:r>
          </w:p>
        </w:tc>
        <w:tc>
          <w:tcPr>
            <w:tcW w:w="855" w:type="dxa"/>
            <w:shd w:val="clear" w:color="auto" w:fill="auto"/>
            <w:vAlign w:val="center"/>
          </w:tcPr>
          <w:p>
            <w:pPr>
              <w:widowControl/>
              <w:adjustRightInd w:val="0"/>
              <w:snapToGrid w:val="0"/>
              <w:jc w:val="center"/>
              <w:rPr>
                <w:kern w:val="0"/>
                <w:sz w:val="20"/>
              </w:rPr>
            </w:pPr>
            <w:r>
              <w:rPr>
                <w:kern w:val="0"/>
                <w:sz w:val="20"/>
              </w:rPr>
              <w:t>0.3</w:t>
            </w:r>
          </w:p>
        </w:tc>
        <w:tc>
          <w:tcPr>
            <w:tcW w:w="836" w:type="dxa"/>
            <w:shd w:val="clear" w:color="auto" w:fill="auto"/>
            <w:vAlign w:val="center"/>
          </w:tcPr>
          <w:p>
            <w:pPr>
              <w:widowControl/>
              <w:adjustRightInd w:val="0"/>
              <w:snapToGrid w:val="0"/>
              <w:jc w:val="center"/>
              <w:rPr>
                <w:kern w:val="0"/>
                <w:sz w:val="20"/>
              </w:rPr>
            </w:pPr>
            <w:r>
              <w:rPr>
                <w:kern w:val="0"/>
                <w:sz w:val="20"/>
              </w:rPr>
              <w:t>45.5</w:t>
            </w:r>
          </w:p>
        </w:tc>
        <w:tc>
          <w:tcPr>
            <w:tcW w:w="949" w:type="dxa"/>
            <w:shd w:val="clear" w:color="auto" w:fill="auto"/>
            <w:vAlign w:val="center"/>
          </w:tcPr>
          <w:p>
            <w:pPr>
              <w:widowControl/>
              <w:adjustRightInd w:val="0"/>
              <w:snapToGrid w:val="0"/>
              <w:jc w:val="center"/>
              <w:rPr>
                <w:kern w:val="0"/>
                <w:sz w:val="20"/>
              </w:rPr>
            </w:pPr>
            <w:r>
              <w:rPr>
                <w:kern w:val="0"/>
                <w:sz w:val="20"/>
              </w:rPr>
              <w:t>44.9</w:t>
            </w:r>
          </w:p>
        </w:tc>
        <w:tc>
          <w:tcPr>
            <w:tcW w:w="0" w:type="auto"/>
            <w:shd w:val="clear" w:color="auto" w:fill="auto"/>
            <w:vAlign w:val="center"/>
          </w:tcPr>
          <w:p>
            <w:pPr>
              <w:widowControl/>
              <w:adjustRightInd w:val="0"/>
              <w:snapToGrid w:val="0"/>
              <w:jc w:val="center"/>
              <w:rPr>
                <w:kern w:val="0"/>
                <w:sz w:val="20"/>
              </w:rPr>
            </w:pPr>
            <w:r>
              <w:rPr>
                <w:kern w:val="0"/>
                <w:sz w:val="20"/>
              </w:rPr>
              <w:t>47.1</w:t>
            </w:r>
          </w:p>
        </w:tc>
        <w:tc>
          <w:tcPr>
            <w:tcW w:w="0" w:type="auto"/>
            <w:shd w:val="clear" w:color="auto" w:fill="auto"/>
            <w:noWrap/>
            <w:vAlign w:val="center"/>
          </w:tcPr>
          <w:p>
            <w:pPr>
              <w:widowControl/>
              <w:adjustRightInd w:val="0"/>
              <w:snapToGrid w:val="0"/>
              <w:jc w:val="center"/>
              <w:rPr>
                <w:kern w:val="0"/>
                <w:sz w:val="20"/>
              </w:rPr>
            </w:pPr>
            <w:r>
              <w:rPr>
                <w:kern w:val="0"/>
                <w:sz w:val="20"/>
              </w:rPr>
              <w:t>47.1</w:t>
            </w:r>
          </w:p>
        </w:tc>
        <w:tc>
          <w:tcPr>
            <w:tcW w:w="0" w:type="auto"/>
            <w:shd w:val="clear" w:color="auto" w:fill="auto"/>
            <w:noWrap/>
            <w:vAlign w:val="center"/>
          </w:tcPr>
          <w:p>
            <w:pPr>
              <w:widowControl/>
              <w:adjustRightInd w:val="0"/>
              <w:snapToGrid w:val="0"/>
              <w:jc w:val="center"/>
              <w:rPr>
                <w:kern w:val="0"/>
                <w:sz w:val="20"/>
              </w:rPr>
            </w:pPr>
            <w:r>
              <w:rPr>
                <w:kern w:val="0"/>
                <w:sz w:val="20"/>
              </w:rPr>
              <w:t>0.3</w:t>
            </w:r>
          </w:p>
        </w:tc>
        <w:tc>
          <w:tcPr>
            <w:tcW w:w="0" w:type="auto"/>
            <w:shd w:val="clear" w:color="auto" w:fill="auto"/>
            <w:noWrap/>
            <w:vAlign w:val="center"/>
          </w:tcPr>
          <w:p>
            <w:pPr>
              <w:widowControl/>
              <w:adjustRightInd w:val="0"/>
              <w:snapToGrid w:val="0"/>
              <w:jc w:val="center"/>
              <w:rPr>
                <w:kern w:val="0"/>
                <w:sz w:val="20"/>
              </w:rPr>
            </w:pPr>
            <w:r>
              <w:rPr>
                <w:kern w:val="0"/>
                <w:sz w:val="20"/>
              </w:rPr>
              <w:t>35.014</w:t>
            </w:r>
          </w:p>
        </w:tc>
        <w:tc>
          <w:tcPr>
            <w:tcW w:w="898" w:type="dxa"/>
            <w:shd w:val="clear" w:color="auto" w:fill="auto"/>
            <w:noWrap/>
            <w:vAlign w:val="center"/>
          </w:tcPr>
          <w:p>
            <w:pPr>
              <w:widowControl/>
              <w:adjustRightInd w:val="0"/>
              <w:snapToGrid w:val="0"/>
              <w:jc w:val="center"/>
              <w:rPr>
                <w:kern w:val="0"/>
                <w:sz w:val="20"/>
              </w:rPr>
            </w:pPr>
            <w:r>
              <w:rPr>
                <w:kern w:val="0"/>
                <w:sz w:val="20"/>
              </w:rPr>
              <w:t>14.935</w:t>
            </w:r>
          </w:p>
        </w:tc>
        <w:tc>
          <w:tcPr>
            <w:tcW w:w="864" w:type="dxa"/>
            <w:shd w:val="clear" w:color="auto" w:fill="auto"/>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K</w:t>
            </w:r>
            <w:r>
              <w:rPr>
                <w:kern w:val="0"/>
                <w:sz w:val="20"/>
                <w:vertAlign w:val="superscript"/>
              </w:rPr>
              <w:t>+</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1.76</w:t>
            </w:r>
          </w:p>
        </w:tc>
        <w:tc>
          <w:tcPr>
            <w:tcW w:w="1118" w:type="dxa"/>
            <w:shd w:val="clear" w:color="auto" w:fill="auto"/>
            <w:vAlign w:val="center"/>
          </w:tcPr>
          <w:p>
            <w:pPr>
              <w:widowControl/>
              <w:adjustRightInd w:val="0"/>
              <w:snapToGrid w:val="0"/>
              <w:jc w:val="center"/>
              <w:rPr>
                <w:kern w:val="0"/>
                <w:sz w:val="20"/>
              </w:rPr>
            </w:pPr>
            <w:r>
              <w:rPr>
                <w:kern w:val="0"/>
                <w:sz w:val="20"/>
              </w:rPr>
              <w:t>1.95</w:t>
            </w:r>
          </w:p>
        </w:tc>
        <w:tc>
          <w:tcPr>
            <w:tcW w:w="1118" w:type="dxa"/>
            <w:shd w:val="clear" w:color="auto" w:fill="auto"/>
            <w:vAlign w:val="center"/>
          </w:tcPr>
          <w:p>
            <w:pPr>
              <w:widowControl/>
              <w:adjustRightInd w:val="0"/>
              <w:snapToGrid w:val="0"/>
              <w:jc w:val="center"/>
              <w:rPr>
                <w:kern w:val="0"/>
                <w:sz w:val="20"/>
              </w:rPr>
            </w:pPr>
            <w:r>
              <w:rPr>
                <w:kern w:val="0"/>
                <w:sz w:val="20"/>
              </w:rPr>
              <w:t>1.8</w:t>
            </w:r>
          </w:p>
        </w:tc>
        <w:tc>
          <w:tcPr>
            <w:tcW w:w="855" w:type="dxa"/>
            <w:shd w:val="clear" w:color="auto" w:fill="auto"/>
            <w:vAlign w:val="center"/>
          </w:tcPr>
          <w:p>
            <w:pPr>
              <w:widowControl/>
              <w:adjustRightInd w:val="0"/>
              <w:snapToGrid w:val="0"/>
              <w:jc w:val="center"/>
              <w:rPr>
                <w:kern w:val="0"/>
                <w:sz w:val="20"/>
              </w:rPr>
            </w:pPr>
            <w:r>
              <w:rPr>
                <w:kern w:val="0"/>
                <w:sz w:val="20"/>
              </w:rPr>
              <w:t>ND</w:t>
            </w:r>
          </w:p>
        </w:tc>
        <w:tc>
          <w:tcPr>
            <w:tcW w:w="836" w:type="dxa"/>
            <w:shd w:val="clear" w:color="auto" w:fill="auto"/>
            <w:vAlign w:val="center"/>
          </w:tcPr>
          <w:p>
            <w:pPr>
              <w:widowControl/>
              <w:adjustRightInd w:val="0"/>
              <w:snapToGrid w:val="0"/>
              <w:jc w:val="center"/>
              <w:rPr>
                <w:kern w:val="0"/>
                <w:sz w:val="20"/>
              </w:rPr>
            </w:pPr>
            <w:r>
              <w:rPr>
                <w:kern w:val="0"/>
                <w:sz w:val="20"/>
              </w:rPr>
              <w:t>0.67</w:t>
            </w:r>
          </w:p>
        </w:tc>
        <w:tc>
          <w:tcPr>
            <w:tcW w:w="949" w:type="dxa"/>
            <w:shd w:val="clear" w:color="auto" w:fill="auto"/>
            <w:vAlign w:val="center"/>
          </w:tcPr>
          <w:p>
            <w:pPr>
              <w:widowControl/>
              <w:adjustRightInd w:val="0"/>
              <w:snapToGrid w:val="0"/>
              <w:jc w:val="center"/>
              <w:rPr>
                <w:kern w:val="0"/>
                <w:sz w:val="20"/>
              </w:rPr>
            </w:pPr>
            <w:r>
              <w:rPr>
                <w:kern w:val="0"/>
                <w:sz w:val="20"/>
              </w:rPr>
              <w:t>0.66</w:t>
            </w:r>
          </w:p>
        </w:tc>
        <w:tc>
          <w:tcPr>
            <w:tcW w:w="0" w:type="auto"/>
            <w:shd w:val="clear" w:color="auto" w:fill="auto"/>
            <w:vAlign w:val="center"/>
          </w:tcPr>
          <w:p>
            <w:pPr>
              <w:widowControl/>
              <w:adjustRightInd w:val="0"/>
              <w:snapToGrid w:val="0"/>
              <w:jc w:val="center"/>
              <w:rPr>
                <w:kern w:val="0"/>
                <w:sz w:val="20"/>
              </w:rPr>
            </w:pPr>
            <w:r>
              <w:rPr>
                <w:kern w:val="0"/>
                <w:sz w:val="20"/>
              </w:rPr>
              <w:t>0.7</w:t>
            </w:r>
          </w:p>
        </w:tc>
        <w:tc>
          <w:tcPr>
            <w:tcW w:w="0" w:type="auto"/>
            <w:shd w:val="clear" w:color="auto" w:fill="auto"/>
            <w:noWrap/>
            <w:vAlign w:val="center"/>
          </w:tcPr>
          <w:p>
            <w:pPr>
              <w:widowControl/>
              <w:adjustRightInd w:val="0"/>
              <w:snapToGrid w:val="0"/>
              <w:jc w:val="center"/>
              <w:rPr>
                <w:kern w:val="0"/>
                <w:sz w:val="20"/>
              </w:rPr>
            </w:pPr>
            <w:r>
              <w:rPr>
                <w:kern w:val="0"/>
                <w:sz w:val="20"/>
              </w:rPr>
              <w:t>1.95</w:t>
            </w:r>
          </w:p>
        </w:tc>
        <w:tc>
          <w:tcPr>
            <w:tcW w:w="0" w:type="auto"/>
            <w:shd w:val="clear" w:color="auto" w:fill="auto"/>
            <w:noWrap/>
            <w:vAlign w:val="center"/>
          </w:tcPr>
          <w:p>
            <w:pPr>
              <w:widowControl/>
              <w:adjustRightInd w:val="0"/>
              <w:snapToGrid w:val="0"/>
              <w:jc w:val="center"/>
              <w:rPr>
                <w:kern w:val="0"/>
                <w:sz w:val="20"/>
              </w:rPr>
            </w:pPr>
            <w:r>
              <w:rPr>
                <w:kern w:val="0"/>
                <w:sz w:val="20"/>
              </w:rPr>
              <w:t>0.66</w:t>
            </w:r>
          </w:p>
        </w:tc>
        <w:tc>
          <w:tcPr>
            <w:tcW w:w="0" w:type="auto"/>
            <w:shd w:val="clear" w:color="auto" w:fill="auto"/>
            <w:noWrap/>
            <w:vAlign w:val="center"/>
          </w:tcPr>
          <w:p>
            <w:pPr>
              <w:widowControl/>
              <w:adjustRightInd w:val="0"/>
              <w:snapToGrid w:val="0"/>
              <w:jc w:val="center"/>
              <w:rPr>
                <w:kern w:val="0"/>
                <w:sz w:val="20"/>
              </w:rPr>
            </w:pPr>
            <w:r>
              <w:rPr>
                <w:kern w:val="0"/>
                <w:sz w:val="20"/>
              </w:rPr>
              <w:t>1.257</w:t>
            </w:r>
          </w:p>
        </w:tc>
        <w:tc>
          <w:tcPr>
            <w:tcW w:w="898" w:type="dxa"/>
            <w:shd w:val="clear" w:color="auto" w:fill="auto"/>
            <w:noWrap/>
            <w:vAlign w:val="center"/>
          </w:tcPr>
          <w:p>
            <w:pPr>
              <w:widowControl/>
              <w:adjustRightInd w:val="0"/>
              <w:snapToGrid w:val="0"/>
              <w:jc w:val="center"/>
              <w:rPr>
                <w:kern w:val="0"/>
                <w:sz w:val="20"/>
              </w:rPr>
            </w:pPr>
            <w:r>
              <w:rPr>
                <w:kern w:val="0"/>
                <w:sz w:val="20"/>
              </w:rPr>
              <w:t>0.5830</w:t>
            </w:r>
          </w:p>
        </w:tc>
        <w:tc>
          <w:tcPr>
            <w:tcW w:w="864" w:type="dxa"/>
            <w:shd w:val="clear" w:color="auto" w:fill="auto"/>
            <w:vAlign w:val="center"/>
          </w:tcPr>
          <w:p>
            <w:pPr>
              <w:widowControl/>
              <w:adjustRightInd w:val="0"/>
              <w:snapToGrid w:val="0"/>
              <w:jc w:val="center"/>
              <w:rPr>
                <w:kern w:val="0"/>
                <w:sz w:val="20"/>
              </w:rPr>
            </w:pPr>
            <w:r>
              <w:rPr>
                <w:kern w:val="0"/>
                <w:sz w:val="20"/>
              </w:rPr>
              <w:t>86%</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Mg</w:t>
            </w:r>
            <w:r>
              <w:rPr>
                <w:kern w:val="0"/>
                <w:sz w:val="20"/>
                <w:vertAlign w:val="superscript"/>
              </w:rPr>
              <w:t>2+</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18</w:t>
            </w:r>
          </w:p>
        </w:tc>
        <w:tc>
          <w:tcPr>
            <w:tcW w:w="1118" w:type="dxa"/>
            <w:shd w:val="clear" w:color="auto" w:fill="auto"/>
            <w:vAlign w:val="center"/>
          </w:tcPr>
          <w:p>
            <w:pPr>
              <w:widowControl/>
              <w:adjustRightInd w:val="0"/>
              <w:snapToGrid w:val="0"/>
              <w:jc w:val="center"/>
              <w:rPr>
                <w:kern w:val="0"/>
                <w:sz w:val="20"/>
              </w:rPr>
            </w:pPr>
            <w:r>
              <w:rPr>
                <w:kern w:val="0"/>
                <w:sz w:val="20"/>
              </w:rPr>
              <w:t>19.1</w:t>
            </w:r>
          </w:p>
        </w:tc>
        <w:tc>
          <w:tcPr>
            <w:tcW w:w="1118" w:type="dxa"/>
            <w:shd w:val="clear" w:color="auto" w:fill="auto"/>
            <w:vAlign w:val="center"/>
          </w:tcPr>
          <w:p>
            <w:pPr>
              <w:widowControl/>
              <w:adjustRightInd w:val="0"/>
              <w:snapToGrid w:val="0"/>
              <w:jc w:val="center"/>
              <w:rPr>
                <w:kern w:val="0"/>
                <w:sz w:val="20"/>
              </w:rPr>
            </w:pPr>
            <w:r>
              <w:rPr>
                <w:kern w:val="0"/>
                <w:sz w:val="20"/>
              </w:rPr>
              <w:t>19.3</w:t>
            </w:r>
          </w:p>
        </w:tc>
        <w:tc>
          <w:tcPr>
            <w:tcW w:w="855" w:type="dxa"/>
            <w:shd w:val="clear" w:color="auto" w:fill="auto"/>
            <w:vAlign w:val="center"/>
          </w:tcPr>
          <w:p>
            <w:pPr>
              <w:widowControl/>
              <w:adjustRightInd w:val="0"/>
              <w:snapToGrid w:val="0"/>
              <w:jc w:val="center"/>
              <w:rPr>
                <w:kern w:val="0"/>
                <w:sz w:val="20"/>
              </w:rPr>
            </w:pPr>
            <w:r>
              <w:rPr>
                <w:kern w:val="0"/>
                <w:sz w:val="20"/>
              </w:rPr>
              <w:t>26</w:t>
            </w:r>
          </w:p>
        </w:tc>
        <w:tc>
          <w:tcPr>
            <w:tcW w:w="836" w:type="dxa"/>
            <w:shd w:val="clear" w:color="auto" w:fill="auto"/>
            <w:vAlign w:val="center"/>
          </w:tcPr>
          <w:p>
            <w:pPr>
              <w:widowControl/>
              <w:adjustRightInd w:val="0"/>
              <w:snapToGrid w:val="0"/>
              <w:jc w:val="center"/>
              <w:rPr>
                <w:kern w:val="0"/>
                <w:sz w:val="20"/>
              </w:rPr>
            </w:pPr>
            <w:r>
              <w:rPr>
                <w:kern w:val="0"/>
                <w:sz w:val="20"/>
              </w:rPr>
              <w:t>9.02</w:t>
            </w:r>
          </w:p>
        </w:tc>
        <w:tc>
          <w:tcPr>
            <w:tcW w:w="949" w:type="dxa"/>
            <w:shd w:val="clear" w:color="auto" w:fill="auto"/>
            <w:vAlign w:val="center"/>
          </w:tcPr>
          <w:p>
            <w:pPr>
              <w:widowControl/>
              <w:adjustRightInd w:val="0"/>
              <w:snapToGrid w:val="0"/>
              <w:jc w:val="center"/>
              <w:rPr>
                <w:kern w:val="0"/>
                <w:sz w:val="20"/>
              </w:rPr>
            </w:pPr>
            <w:r>
              <w:rPr>
                <w:kern w:val="0"/>
                <w:sz w:val="20"/>
              </w:rPr>
              <w:t>9.26</w:t>
            </w:r>
          </w:p>
        </w:tc>
        <w:tc>
          <w:tcPr>
            <w:tcW w:w="0" w:type="auto"/>
            <w:shd w:val="clear" w:color="auto" w:fill="auto"/>
            <w:vAlign w:val="center"/>
          </w:tcPr>
          <w:p>
            <w:pPr>
              <w:widowControl/>
              <w:adjustRightInd w:val="0"/>
              <w:snapToGrid w:val="0"/>
              <w:jc w:val="center"/>
              <w:rPr>
                <w:kern w:val="0"/>
                <w:sz w:val="20"/>
              </w:rPr>
            </w:pPr>
            <w:r>
              <w:rPr>
                <w:kern w:val="0"/>
                <w:sz w:val="20"/>
              </w:rPr>
              <w:t>9.19</w:t>
            </w:r>
          </w:p>
        </w:tc>
        <w:tc>
          <w:tcPr>
            <w:tcW w:w="0" w:type="auto"/>
            <w:shd w:val="clear" w:color="auto" w:fill="auto"/>
            <w:noWrap/>
            <w:vAlign w:val="center"/>
          </w:tcPr>
          <w:p>
            <w:pPr>
              <w:widowControl/>
              <w:adjustRightInd w:val="0"/>
              <w:snapToGrid w:val="0"/>
              <w:jc w:val="center"/>
              <w:rPr>
                <w:kern w:val="0"/>
                <w:sz w:val="20"/>
              </w:rPr>
            </w:pPr>
            <w:r>
              <w:rPr>
                <w:kern w:val="0"/>
                <w:sz w:val="20"/>
              </w:rPr>
              <w:t>26</w:t>
            </w:r>
          </w:p>
        </w:tc>
        <w:tc>
          <w:tcPr>
            <w:tcW w:w="0" w:type="auto"/>
            <w:shd w:val="clear" w:color="auto" w:fill="auto"/>
            <w:noWrap/>
            <w:vAlign w:val="center"/>
          </w:tcPr>
          <w:p>
            <w:pPr>
              <w:widowControl/>
              <w:adjustRightInd w:val="0"/>
              <w:snapToGrid w:val="0"/>
              <w:jc w:val="center"/>
              <w:rPr>
                <w:kern w:val="0"/>
                <w:sz w:val="20"/>
              </w:rPr>
            </w:pPr>
            <w:r>
              <w:rPr>
                <w:kern w:val="0"/>
                <w:sz w:val="20"/>
              </w:rPr>
              <w:t>9.02</w:t>
            </w:r>
          </w:p>
        </w:tc>
        <w:tc>
          <w:tcPr>
            <w:tcW w:w="0" w:type="auto"/>
            <w:shd w:val="clear" w:color="auto" w:fill="auto"/>
            <w:noWrap/>
            <w:vAlign w:val="center"/>
          </w:tcPr>
          <w:p>
            <w:pPr>
              <w:widowControl/>
              <w:adjustRightInd w:val="0"/>
              <w:snapToGrid w:val="0"/>
              <w:jc w:val="center"/>
              <w:rPr>
                <w:kern w:val="0"/>
                <w:sz w:val="20"/>
              </w:rPr>
            </w:pPr>
            <w:r>
              <w:rPr>
                <w:kern w:val="0"/>
                <w:sz w:val="20"/>
              </w:rPr>
              <w:t>15.696</w:t>
            </w:r>
          </w:p>
        </w:tc>
        <w:tc>
          <w:tcPr>
            <w:tcW w:w="898" w:type="dxa"/>
            <w:shd w:val="clear" w:color="auto" w:fill="auto"/>
            <w:noWrap/>
            <w:vAlign w:val="center"/>
          </w:tcPr>
          <w:p>
            <w:pPr>
              <w:widowControl/>
              <w:adjustRightInd w:val="0"/>
              <w:snapToGrid w:val="0"/>
              <w:jc w:val="center"/>
              <w:rPr>
                <w:kern w:val="0"/>
                <w:sz w:val="20"/>
              </w:rPr>
            </w:pPr>
            <w:r>
              <w:rPr>
                <w:kern w:val="0"/>
                <w:sz w:val="20"/>
              </w:rPr>
              <w:t>6.1456</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Ca</w:t>
            </w:r>
            <w:r>
              <w:rPr>
                <w:kern w:val="0"/>
                <w:sz w:val="20"/>
                <w:vertAlign w:val="superscript"/>
              </w:rPr>
              <w:t>2+</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44.2</w:t>
            </w:r>
          </w:p>
        </w:tc>
        <w:tc>
          <w:tcPr>
            <w:tcW w:w="1118" w:type="dxa"/>
            <w:shd w:val="clear" w:color="auto" w:fill="auto"/>
            <w:vAlign w:val="center"/>
          </w:tcPr>
          <w:p>
            <w:pPr>
              <w:widowControl/>
              <w:adjustRightInd w:val="0"/>
              <w:snapToGrid w:val="0"/>
              <w:jc w:val="center"/>
              <w:rPr>
                <w:kern w:val="0"/>
                <w:sz w:val="20"/>
              </w:rPr>
            </w:pPr>
            <w:r>
              <w:rPr>
                <w:kern w:val="0"/>
                <w:sz w:val="20"/>
              </w:rPr>
              <w:t>43.7</w:t>
            </w:r>
          </w:p>
        </w:tc>
        <w:tc>
          <w:tcPr>
            <w:tcW w:w="1118" w:type="dxa"/>
            <w:shd w:val="clear" w:color="auto" w:fill="auto"/>
            <w:vAlign w:val="center"/>
          </w:tcPr>
          <w:p>
            <w:pPr>
              <w:widowControl/>
              <w:adjustRightInd w:val="0"/>
              <w:snapToGrid w:val="0"/>
              <w:jc w:val="center"/>
              <w:rPr>
                <w:kern w:val="0"/>
                <w:sz w:val="20"/>
              </w:rPr>
            </w:pPr>
            <w:r>
              <w:rPr>
                <w:kern w:val="0"/>
                <w:sz w:val="20"/>
              </w:rPr>
              <w:t>43.7</w:t>
            </w:r>
          </w:p>
        </w:tc>
        <w:tc>
          <w:tcPr>
            <w:tcW w:w="855" w:type="dxa"/>
            <w:shd w:val="clear" w:color="auto" w:fill="auto"/>
            <w:vAlign w:val="center"/>
          </w:tcPr>
          <w:p>
            <w:pPr>
              <w:widowControl/>
              <w:adjustRightInd w:val="0"/>
              <w:snapToGrid w:val="0"/>
              <w:jc w:val="center"/>
              <w:rPr>
                <w:kern w:val="0"/>
                <w:sz w:val="20"/>
              </w:rPr>
            </w:pPr>
            <w:r>
              <w:rPr>
                <w:kern w:val="0"/>
                <w:sz w:val="20"/>
              </w:rPr>
              <w:t>132</w:t>
            </w:r>
          </w:p>
        </w:tc>
        <w:tc>
          <w:tcPr>
            <w:tcW w:w="836" w:type="dxa"/>
            <w:shd w:val="clear" w:color="auto" w:fill="auto"/>
            <w:vAlign w:val="center"/>
          </w:tcPr>
          <w:p>
            <w:pPr>
              <w:widowControl/>
              <w:adjustRightInd w:val="0"/>
              <w:snapToGrid w:val="0"/>
              <w:jc w:val="center"/>
              <w:rPr>
                <w:kern w:val="0"/>
                <w:sz w:val="20"/>
              </w:rPr>
            </w:pPr>
            <w:r>
              <w:rPr>
                <w:kern w:val="0"/>
                <w:sz w:val="20"/>
              </w:rPr>
              <w:t>31.2</w:t>
            </w:r>
          </w:p>
        </w:tc>
        <w:tc>
          <w:tcPr>
            <w:tcW w:w="949" w:type="dxa"/>
            <w:shd w:val="clear" w:color="auto" w:fill="auto"/>
            <w:vAlign w:val="center"/>
          </w:tcPr>
          <w:p>
            <w:pPr>
              <w:widowControl/>
              <w:adjustRightInd w:val="0"/>
              <w:snapToGrid w:val="0"/>
              <w:jc w:val="center"/>
              <w:rPr>
                <w:kern w:val="0"/>
                <w:sz w:val="20"/>
              </w:rPr>
            </w:pPr>
            <w:r>
              <w:rPr>
                <w:kern w:val="0"/>
                <w:sz w:val="20"/>
              </w:rPr>
              <w:t>30.6</w:t>
            </w:r>
          </w:p>
        </w:tc>
        <w:tc>
          <w:tcPr>
            <w:tcW w:w="0" w:type="auto"/>
            <w:shd w:val="clear" w:color="auto" w:fill="auto"/>
            <w:vAlign w:val="center"/>
          </w:tcPr>
          <w:p>
            <w:pPr>
              <w:widowControl/>
              <w:adjustRightInd w:val="0"/>
              <w:snapToGrid w:val="0"/>
              <w:jc w:val="center"/>
              <w:rPr>
                <w:kern w:val="0"/>
                <w:sz w:val="20"/>
              </w:rPr>
            </w:pPr>
            <w:r>
              <w:rPr>
                <w:kern w:val="0"/>
                <w:sz w:val="20"/>
              </w:rPr>
              <w:t>29.8</w:t>
            </w:r>
          </w:p>
        </w:tc>
        <w:tc>
          <w:tcPr>
            <w:tcW w:w="0" w:type="auto"/>
            <w:shd w:val="clear" w:color="auto" w:fill="auto"/>
            <w:noWrap/>
            <w:vAlign w:val="center"/>
          </w:tcPr>
          <w:p>
            <w:pPr>
              <w:widowControl/>
              <w:adjustRightInd w:val="0"/>
              <w:snapToGrid w:val="0"/>
              <w:jc w:val="center"/>
              <w:rPr>
                <w:kern w:val="0"/>
                <w:sz w:val="20"/>
              </w:rPr>
            </w:pPr>
            <w:r>
              <w:rPr>
                <w:kern w:val="0"/>
                <w:sz w:val="20"/>
              </w:rPr>
              <w:t>132</w:t>
            </w:r>
          </w:p>
        </w:tc>
        <w:tc>
          <w:tcPr>
            <w:tcW w:w="0" w:type="auto"/>
            <w:shd w:val="clear" w:color="auto" w:fill="auto"/>
            <w:noWrap/>
            <w:vAlign w:val="center"/>
          </w:tcPr>
          <w:p>
            <w:pPr>
              <w:widowControl/>
              <w:adjustRightInd w:val="0"/>
              <w:snapToGrid w:val="0"/>
              <w:jc w:val="center"/>
              <w:rPr>
                <w:kern w:val="0"/>
                <w:sz w:val="20"/>
              </w:rPr>
            </w:pPr>
            <w:r>
              <w:rPr>
                <w:kern w:val="0"/>
                <w:sz w:val="20"/>
              </w:rPr>
              <w:t>29.8</w:t>
            </w:r>
          </w:p>
        </w:tc>
        <w:tc>
          <w:tcPr>
            <w:tcW w:w="0" w:type="auto"/>
            <w:shd w:val="clear" w:color="auto" w:fill="auto"/>
            <w:noWrap/>
            <w:vAlign w:val="center"/>
          </w:tcPr>
          <w:p>
            <w:pPr>
              <w:widowControl/>
              <w:adjustRightInd w:val="0"/>
              <w:snapToGrid w:val="0"/>
              <w:jc w:val="center"/>
              <w:rPr>
                <w:kern w:val="0"/>
                <w:sz w:val="20"/>
              </w:rPr>
            </w:pPr>
            <w:r>
              <w:rPr>
                <w:kern w:val="0"/>
                <w:sz w:val="20"/>
              </w:rPr>
              <w:t>50.743</w:t>
            </w:r>
          </w:p>
        </w:tc>
        <w:tc>
          <w:tcPr>
            <w:tcW w:w="898" w:type="dxa"/>
            <w:shd w:val="clear" w:color="auto" w:fill="auto"/>
            <w:noWrap/>
            <w:vAlign w:val="center"/>
          </w:tcPr>
          <w:p>
            <w:pPr>
              <w:widowControl/>
              <w:adjustRightInd w:val="0"/>
              <w:snapToGrid w:val="0"/>
              <w:jc w:val="center"/>
              <w:rPr>
                <w:kern w:val="0"/>
                <w:sz w:val="20"/>
              </w:rPr>
            </w:pPr>
            <w:r>
              <w:rPr>
                <w:kern w:val="0"/>
                <w:sz w:val="20"/>
              </w:rPr>
              <w:t>33.745</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CO</w:t>
            </w:r>
            <w:r>
              <w:rPr>
                <w:kern w:val="0"/>
                <w:sz w:val="20"/>
                <w:vertAlign w:val="subscript"/>
              </w:rPr>
              <w:t>3</w:t>
            </w:r>
            <w:r>
              <w:rPr>
                <w:kern w:val="0"/>
                <w:sz w:val="20"/>
                <w:vertAlign w:val="superscript"/>
              </w:rPr>
              <w:t>2-</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w:t>
            </w:r>
          </w:p>
        </w:tc>
        <w:tc>
          <w:tcPr>
            <w:tcW w:w="1118" w:type="dxa"/>
            <w:shd w:val="clear" w:color="auto" w:fill="auto"/>
            <w:vAlign w:val="center"/>
          </w:tcPr>
          <w:p>
            <w:pPr>
              <w:widowControl/>
              <w:adjustRightInd w:val="0"/>
              <w:snapToGrid w:val="0"/>
              <w:jc w:val="center"/>
              <w:rPr>
                <w:kern w:val="0"/>
                <w:sz w:val="20"/>
              </w:rPr>
            </w:pPr>
            <w:r>
              <w:rPr>
                <w:kern w:val="0"/>
                <w:sz w:val="20"/>
              </w:rPr>
              <w:t>0</w:t>
            </w:r>
          </w:p>
        </w:tc>
        <w:tc>
          <w:tcPr>
            <w:tcW w:w="1118" w:type="dxa"/>
            <w:shd w:val="clear" w:color="auto" w:fill="auto"/>
            <w:vAlign w:val="center"/>
          </w:tcPr>
          <w:p>
            <w:pPr>
              <w:widowControl/>
              <w:adjustRightInd w:val="0"/>
              <w:snapToGrid w:val="0"/>
              <w:jc w:val="center"/>
              <w:rPr>
                <w:kern w:val="0"/>
                <w:sz w:val="20"/>
              </w:rPr>
            </w:pPr>
            <w:r>
              <w:rPr>
                <w:kern w:val="0"/>
                <w:sz w:val="20"/>
              </w:rPr>
              <w:t>0</w:t>
            </w:r>
          </w:p>
        </w:tc>
        <w:tc>
          <w:tcPr>
            <w:tcW w:w="855" w:type="dxa"/>
            <w:shd w:val="clear" w:color="auto" w:fill="auto"/>
            <w:vAlign w:val="center"/>
          </w:tcPr>
          <w:p>
            <w:pPr>
              <w:widowControl/>
              <w:adjustRightInd w:val="0"/>
              <w:snapToGrid w:val="0"/>
              <w:jc w:val="center"/>
              <w:rPr>
                <w:kern w:val="0"/>
                <w:sz w:val="20"/>
              </w:rPr>
            </w:pPr>
            <w:r>
              <w:rPr>
                <w:kern w:val="0"/>
                <w:sz w:val="20"/>
              </w:rPr>
              <w:t>0</w:t>
            </w:r>
          </w:p>
        </w:tc>
        <w:tc>
          <w:tcPr>
            <w:tcW w:w="836" w:type="dxa"/>
            <w:shd w:val="clear" w:color="auto" w:fill="auto"/>
            <w:vAlign w:val="center"/>
          </w:tcPr>
          <w:p>
            <w:pPr>
              <w:widowControl/>
              <w:adjustRightInd w:val="0"/>
              <w:snapToGrid w:val="0"/>
              <w:jc w:val="center"/>
              <w:rPr>
                <w:kern w:val="0"/>
                <w:sz w:val="20"/>
              </w:rPr>
            </w:pPr>
            <w:r>
              <w:rPr>
                <w:kern w:val="0"/>
                <w:sz w:val="20"/>
              </w:rPr>
              <w:t>0</w:t>
            </w:r>
          </w:p>
        </w:tc>
        <w:tc>
          <w:tcPr>
            <w:tcW w:w="949" w:type="dxa"/>
            <w:shd w:val="clear" w:color="auto" w:fill="auto"/>
            <w:vAlign w:val="center"/>
          </w:tcPr>
          <w:p>
            <w:pPr>
              <w:widowControl/>
              <w:adjustRightInd w:val="0"/>
              <w:snapToGrid w:val="0"/>
              <w:jc w:val="center"/>
              <w:rPr>
                <w:kern w:val="0"/>
                <w:sz w:val="20"/>
              </w:rPr>
            </w:pPr>
            <w:r>
              <w:rPr>
                <w:kern w:val="0"/>
                <w:sz w:val="20"/>
              </w:rPr>
              <w:t>0</w:t>
            </w:r>
          </w:p>
        </w:tc>
        <w:tc>
          <w:tcPr>
            <w:tcW w:w="0" w:type="auto"/>
            <w:shd w:val="clear" w:color="auto" w:fill="auto"/>
            <w:vAlign w:val="center"/>
          </w:tcPr>
          <w:p>
            <w:pPr>
              <w:widowControl/>
              <w:adjustRightInd w:val="0"/>
              <w:snapToGrid w:val="0"/>
              <w:jc w:val="center"/>
              <w:rPr>
                <w:kern w:val="0"/>
                <w:sz w:val="20"/>
              </w:rPr>
            </w:pPr>
            <w:r>
              <w:rPr>
                <w:kern w:val="0"/>
                <w:sz w:val="20"/>
              </w:rPr>
              <w:t>0</w:t>
            </w:r>
          </w:p>
        </w:tc>
        <w:tc>
          <w:tcPr>
            <w:tcW w:w="0" w:type="auto"/>
            <w:shd w:val="clear" w:color="auto" w:fill="auto"/>
            <w:noWrap/>
            <w:vAlign w:val="center"/>
          </w:tcPr>
          <w:p>
            <w:pPr>
              <w:widowControl/>
              <w:adjustRightInd w:val="0"/>
              <w:snapToGrid w:val="0"/>
              <w:jc w:val="center"/>
              <w:rPr>
                <w:kern w:val="0"/>
                <w:sz w:val="20"/>
              </w:rPr>
            </w:pPr>
            <w:r>
              <w:rPr>
                <w:kern w:val="0"/>
                <w:sz w:val="20"/>
              </w:rPr>
              <w:t>0</w:t>
            </w:r>
          </w:p>
        </w:tc>
        <w:tc>
          <w:tcPr>
            <w:tcW w:w="0" w:type="auto"/>
            <w:shd w:val="clear" w:color="auto" w:fill="auto"/>
            <w:noWrap/>
            <w:vAlign w:val="center"/>
          </w:tcPr>
          <w:p>
            <w:pPr>
              <w:widowControl/>
              <w:adjustRightInd w:val="0"/>
              <w:snapToGrid w:val="0"/>
              <w:jc w:val="center"/>
              <w:rPr>
                <w:kern w:val="0"/>
                <w:sz w:val="20"/>
              </w:rPr>
            </w:pPr>
            <w:r>
              <w:rPr>
                <w:kern w:val="0"/>
                <w:sz w:val="20"/>
              </w:rPr>
              <w:t>0</w:t>
            </w:r>
          </w:p>
        </w:tc>
        <w:tc>
          <w:tcPr>
            <w:tcW w:w="0" w:type="auto"/>
            <w:shd w:val="clear" w:color="auto" w:fill="auto"/>
            <w:noWrap/>
            <w:vAlign w:val="center"/>
          </w:tcPr>
          <w:p>
            <w:pPr>
              <w:widowControl/>
              <w:adjustRightInd w:val="0"/>
              <w:snapToGrid w:val="0"/>
              <w:jc w:val="center"/>
              <w:rPr>
                <w:kern w:val="0"/>
                <w:sz w:val="20"/>
              </w:rPr>
            </w:pPr>
            <w:r>
              <w:rPr>
                <w:kern w:val="0"/>
                <w:sz w:val="20"/>
              </w:rPr>
              <w:t>0</w:t>
            </w:r>
          </w:p>
        </w:tc>
        <w:tc>
          <w:tcPr>
            <w:tcW w:w="898" w:type="dxa"/>
            <w:shd w:val="clear" w:color="auto" w:fill="auto"/>
            <w:noWrap/>
            <w:vAlign w:val="center"/>
          </w:tcPr>
          <w:p>
            <w:pPr>
              <w:widowControl/>
              <w:adjustRightInd w:val="0"/>
              <w:snapToGrid w:val="0"/>
              <w:jc w:val="center"/>
              <w:rPr>
                <w:kern w:val="0"/>
                <w:sz w:val="20"/>
              </w:rPr>
            </w:pPr>
            <w:r>
              <w:rPr>
                <w:kern w:val="0"/>
                <w:sz w:val="20"/>
              </w:rPr>
              <w:t>0</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HCO</w:t>
            </w:r>
            <w:r>
              <w:rPr>
                <w:kern w:val="0"/>
                <w:sz w:val="20"/>
                <w:vertAlign w:val="subscript"/>
              </w:rPr>
              <w:t>3</w:t>
            </w:r>
            <w:r>
              <w:rPr>
                <w:kern w:val="0"/>
                <w:sz w:val="20"/>
                <w:vertAlign w:val="superscript"/>
              </w:rPr>
              <w:t>-</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132</w:t>
            </w:r>
          </w:p>
        </w:tc>
        <w:tc>
          <w:tcPr>
            <w:tcW w:w="1118" w:type="dxa"/>
            <w:shd w:val="clear" w:color="auto" w:fill="auto"/>
            <w:vAlign w:val="center"/>
          </w:tcPr>
          <w:p>
            <w:pPr>
              <w:widowControl/>
              <w:adjustRightInd w:val="0"/>
              <w:snapToGrid w:val="0"/>
              <w:jc w:val="center"/>
              <w:rPr>
                <w:kern w:val="0"/>
                <w:sz w:val="20"/>
              </w:rPr>
            </w:pPr>
            <w:r>
              <w:rPr>
                <w:kern w:val="0"/>
                <w:sz w:val="20"/>
              </w:rPr>
              <w:t>128</w:t>
            </w:r>
          </w:p>
        </w:tc>
        <w:tc>
          <w:tcPr>
            <w:tcW w:w="1118" w:type="dxa"/>
            <w:shd w:val="clear" w:color="auto" w:fill="auto"/>
            <w:vAlign w:val="center"/>
          </w:tcPr>
          <w:p>
            <w:pPr>
              <w:widowControl/>
              <w:adjustRightInd w:val="0"/>
              <w:snapToGrid w:val="0"/>
              <w:jc w:val="center"/>
              <w:rPr>
                <w:kern w:val="0"/>
                <w:sz w:val="20"/>
              </w:rPr>
            </w:pPr>
            <w:r>
              <w:rPr>
                <w:kern w:val="0"/>
                <w:sz w:val="20"/>
              </w:rPr>
              <w:t>135</w:t>
            </w:r>
          </w:p>
        </w:tc>
        <w:tc>
          <w:tcPr>
            <w:tcW w:w="855" w:type="dxa"/>
            <w:shd w:val="clear" w:color="auto" w:fill="auto"/>
            <w:vAlign w:val="center"/>
          </w:tcPr>
          <w:p>
            <w:pPr>
              <w:widowControl/>
              <w:adjustRightInd w:val="0"/>
              <w:snapToGrid w:val="0"/>
              <w:jc w:val="center"/>
              <w:rPr>
                <w:kern w:val="0"/>
                <w:sz w:val="20"/>
              </w:rPr>
            </w:pPr>
            <w:r>
              <w:rPr>
                <w:kern w:val="0"/>
                <w:sz w:val="20"/>
              </w:rPr>
              <w:t>7.69</w:t>
            </w:r>
            <w:r>
              <w:rPr>
                <w:rFonts w:hint="eastAsia"/>
                <w:kern w:val="0"/>
                <w:sz w:val="20"/>
              </w:rPr>
              <w:t>E-</w:t>
            </w:r>
            <w:r>
              <w:rPr>
                <w:kern w:val="0"/>
                <w:sz w:val="20"/>
              </w:rPr>
              <w:t>3</w:t>
            </w:r>
          </w:p>
        </w:tc>
        <w:tc>
          <w:tcPr>
            <w:tcW w:w="836" w:type="dxa"/>
            <w:shd w:val="clear" w:color="auto" w:fill="auto"/>
            <w:vAlign w:val="center"/>
          </w:tcPr>
          <w:p>
            <w:pPr>
              <w:widowControl/>
              <w:adjustRightInd w:val="0"/>
              <w:snapToGrid w:val="0"/>
              <w:jc w:val="center"/>
              <w:rPr>
                <w:kern w:val="0"/>
                <w:sz w:val="20"/>
              </w:rPr>
            </w:pPr>
            <w:r>
              <w:rPr>
                <w:kern w:val="0"/>
                <w:sz w:val="20"/>
              </w:rPr>
              <w:t>102</w:t>
            </w:r>
          </w:p>
        </w:tc>
        <w:tc>
          <w:tcPr>
            <w:tcW w:w="949" w:type="dxa"/>
            <w:shd w:val="clear" w:color="auto" w:fill="auto"/>
            <w:vAlign w:val="center"/>
          </w:tcPr>
          <w:p>
            <w:pPr>
              <w:widowControl/>
              <w:adjustRightInd w:val="0"/>
              <w:snapToGrid w:val="0"/>
              <w:jc w:val="center"/>
              <w:rPr>
                <w:kern w:val="0"/>
                <w:sz w:val="20"/>
              </w:rPr>
            </w:pPr>
            <w:r>
              <w:rPr>
                <w:kern w:val="0"/>
                <w:sz w:val="20"/>
              </w:rPr>
              <w:t>115</w:t>
            </w:r>
          </w:p>
        </w:tc>
        <w:tc>
          <w:tcPr>
            <w:tcW w:w="0" w:type="auto"/>
            <w:shd w:val="clear" w:color="auto" w:fill="auto"/>
            <w:vAlign w:val="center"/>
          </w:tcPr>
          <w:p>
            <w:pPr>
              <w:widowControl/>
              <w:adjustRightInd w:val="0"/>
              <w:snapToGrid w:val="0"/>
              <w:jc w:val="center"/>
              <w:rPr>
                <w:kern w:val="0"/>
                <w:sz w:val="20"/>
              </w:rPr>
            </w:pPr>
            <w:r>
              <w:rPr>
                <w:kern w:val="0"/>
                <w:sz w:val="20"/>
              </w:rPr>
              <w:t>108</w:t>
            </w:r>
          </w:p>
        </w:tc>
        <w:tc>
          <w:tcPr>
            <w:tcW w:w="0" w:type="auto"/>
            <w:shd w:val="clear" w:color="auto" w:fill="auto"/>
            <w:noWrap/>
            <w:vAlign w:val="center"/>
          </w:tcPr>
          <w:p>
            <w:pPr>
              <w:widowControl/>
              <w:adjustRightInd w:val="0"/>
              <w:snapToGrid w:val="0"/>
              <w:jc w:val="center"/>
              <w:rPr>
                <w:kern w:val="0"/>
                <w:sz w:val="20"/>
              </w:rPr>
            </w:pPr>
            <w:r>
              <w:rPr>
                <w:kern w:val="0"/>
                <w:sz w:val="20"/>
              </w:rPr>
              <w:t>135</w:t>
            </w:r>
          </w:p>
        </w:tc>
        <w:tc>
          <w:tcPr>
            <w:tcW w:w="0" w:type="auto"/>
            <w:shd w:val="clear" w:color="auto" w:fill="auto"/>
            <w:noWrap/>
            <w:vAlign w:val="center"/>
          </w:tcPr>
          <w:p>
            <w:pPr>
              <w:widowControl/>
              <w:adjustRightInd w:val="0"/>
              <w:snapToGrid w:val="0"/>
              <w:jc w:val="center"/>
              <w:rPr>
                <w:kern w:val="0"/>
                <w:sz w:val="20"/>
              </w:rPr>
            </w:pPr>
            <w:r>
              <w:rPr>
                <w:kern w:val="0"/>
                <w:sz w:val="20"/>
              </w:rPr>
              <w:t>102</w:t>
            </w:r>
          </w:p>
        </w:tc>
        <w:tc>
          <w:tcPr>
            <w:tcW w:w="0" w:type="auto"/>
            <w:shd w:val="clear" w:color="auto" w:fill="auto"/>
            <w:noWrap/>
            <w:vAlign w:val="center"/>
          </w:tcPr>
          <w:p>
            <w:pPr>
              <w:widowControl/>
              <w:adjustRightInd w:val="0"/>
              <w:snapToGrid w:val="0"/>
              <w:jc w:val="center"/>
              <w:rPr>
                <w:kern w:val="0"/>
                <w:sz w:val="20"/>
              </w:rPr>
            </w:pPr>
            <w:r>
              <w:rPr>
                <w:kern w:val="0"/>
                <w:sz w:val="20"/>
              </w:rPr>
              <w:t>120</w:t>
            </w:r>
          </w:p>
        </w:tc>
        <w:tc>
          <w:tcPr>
            <w:tcW w:w="898" w:type="dxa"/>
            <w:shd w:val="clear" w:color="auto" w:fill="auto"/>
            <w:noWrap/>
            <w:vAlign w:val="center"/>
          </w:tcPr>
          <w:p>
            <w:pPr>
              <w:widowControl/>
              <w:adjustRightInd w:val="0"/>
              <w:snapToGrid w:val="0"/>
              <w:jc w:val="center"/>
              <w:rPr>
                <w:kern w:val="0"/>
                <w:sz w:val="20"/>
              </w:rPr>
            </w:pPr>
            <w:r>
              <w:rPr>
                <w:kern w:val="0"/>
                <w:sz w:val="20"/>
              </w:rPr>
              <w:t>12.423</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Cl</w:t>
            </w:r>
            <w:r>
              <w:rPr>
                <w:kern w:val="0"/>
                <w:sz w:val="20"/>
                <w:vertAlign w:val="superscript"/>
              </w:rPr>
              <w:t>-</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72.4</w:t>
            </w:r>
          </w:p>
        </w:tc>
        <w:tc>
          <w:tcPr>
            <w:tcW w:w="1118" w:type="dxa"/>
            <w:shd w:val="clear" w:color="auto" w:fill="auto"/>
            <w:vAlign w:val="center"/>
          </w:tcPr>
          <w:p>
            <w:pPr>
              <w:widowControl/>
              <w:adjustRightInd w:val="0"/>
              <w:snapToGrid w:val="0"/>
              <w:jc w:val="center"/>
              <w:rPr>
                <w:kern w:val="0"/>
                <w:sz w:val="20"/>
              </w:rPr>
            </w:pPr>
            <w:r>
              <w:rPr>
                <w:kern w:val="0"/>
                <w:sz w:val="20"/>
              </w:rPr>
              <w:t>72.7</w:t>
            </w:r>
          </w:p>
        </w:tc>
        <w:tc>
          <w:tcPr>
            <w:tcW w:w="1118" w:type="dxa"/>
            <w:shd w:val="clear" w:color="auto" w:fill="auto"/>
            <w:vAlign w:val="center"/>
          </w:tcPr>
          <w:p>
            <w:pPr>
              <w:widowControl/>
              <w:adjustRightInd w:val="0"/>
              <w:snapToGrid w:val="0"/>
              <w:jc w:val="center"/>
              <w:rPr>
                <w:kern w:val="0"/>
                <w:sz w:val="20"/>
              </w:rPr>
            </w:pPr>
            <w:r>
              <w:rPr>
                <w:kern w:val="0"/>
                <w:sz w:val="20"/>
              </w:rPr>
              <w:t>72.9</w:t>
            </w:r>
          </w:p>
        </w:tc>
        <w:tc>
          <w:tcPr>
            <w:tcW w:w="855" w:type="dxa"/>
            <w:shd w:val="clear" w:color="auto" w:fill="auto"/>
            <w:vAlign w:val="center"/>
          </w:tcPr>
          <w:p>
            <w:pPr>
              <w:widowControl/>
              <w:adjustRightInd w:val="0"/>
              <w:snapToGrid w:val="0"/>
              <w:jc w:val="center"/>
              <w:rPr>
                <w:kern w:val="0"/>
                <w:sz w:val="20"/>
              </w:rPr>
            </w:pPr>
            <w:r>
              <w:rPr>
                <w:kern w:val="0"/>
                <w:sz w:val="20"/>
              </w:rPr>
              <w:t>2</w:t>
            </w:r>
          </w:p>
        </w:tc>
        <w:tc>
          <w:tcPr>
            <w:tcW w:w="836" w:type="dxa"/>
            <w:shd w:val="clear" w:color="auto" w:fill="auto"/>
            <w:vAlign w:val="center"/>
          </w:tcPr>
          <w:p>
            <w:pPr>
              <w:widowControl/>
              <w:adjustRightInd w:val="0"/>
              <w:snapToGrid w:val="0"/>
              <w:jc w:val="center"/>
              <w:rPr>
                <w:kern w:val="0"/>
                <w:sz w:val="20"/>
              </w:rPr>
            </w:pPr>
            <w:r>
              <w:rPr>
                <w:kern w:val="0"/>
                <w:sz w:val="20"/>
              </w:rPr>
              <w:t>61.6</w:t>
            </w:r>
          </w:p>
        </w:tc>
        <w:tc>
          <w:tcPr>
            <w:tcW w:w="949" w:type="dxa"/>
            <w:shd w:val="clear" w:color="auto" w:fill="auto"/>
            <w:vAlign w:val="center"/>
          </w:tcPr>
          <w:p>
            <w:pPr>
              <w:widowControl/>
              <w:adjustRightInd w:val="0"/>
              <w:snapToGrid w:val="0"/>
              <w:jc w:val="center"/>
              <w:rPr>
                <w:kern w:val="0"/>
                <w:sz w:val="20"/>
              </w:rPr>
            </w:pPr>
            <w:r>
              <w:rPr>
                <w:kern w:val="0"/>
                <w:sz w:val="20"/>
              </w:rPr>
              <w:t>59.9</w:t>
            </w:r>
          </w:p>
        </w:tc>
        <w:tc>
          <w:tcPr>
            <w:tcW w:w="0" w:type="auto"/>
            <w:shd w:val="clear" w:color="auto" w:fill="auto"/>
            <w:vAlign w:val="center"/>
          </w:tcPr>
          <w:p>
            <w:pPr>
              <w:widowControl/>
              <w:adjustRightInd w:val="0"/>
              <w:snapToGrid w:val="0"/>
              <w:jc w:val="center"/>
              <w:rPr>
                <w:kern w:val="0"/>
                <w:sz w:val="20"/>
              </w:rPr>
            </w:pPr>
            <w:r>
              <w:rPr>
                <w:kern w:val="0"/>
                <w:sz w:val="20"/>
              </w:rPr>
              <w:t>61.5</w:t>
            </w:r>
          </w:p>
        </w:tc>
        <w:tc>
          <w:tcPr>
            <w:tcW w:w="0" w:type="auto"/>
            <w:shd w:val="clear" w:color="auto" w:fill="auto"/>
            <w:noWrap/>
            <w:vAlign w:val="center"/>
          </w:tcPr>
          <w:p>
            <w:pPr>
              <w:widowControl/>
              <w:adjustRightInd w:val="0"/>
              <w:snapToGrid w:val="0"/>
              <w:jc w:val="center"/>
              <w:rPr>
                <w:kern w:val="0"/>
                <w:sz w:val="20"/>
              </w:rPr>
            </w:pPr>
            <w:r>
              <w:rPr>
                <w:kern w:val="0"/>
                <w:sz w:val="20"/>
              </w:rPr>
              <w:t>72.9</w:t>
            </w:r>
          </w:p>
        </w:tc>
        <w:tc>
          <w:tcPr>
            <w:tcW w:w="0" w:type="auto"/>
            <w:shd w:val="clear" w:color="auto" w:fill="auto"/>
            <w:noWrap/>
            <w:vAlign w:val="center"/>
          </w:tcPr>
          <w:p>
            <w:pPr>
              <w:widowControl/>
              <w:adjustRightInd w:val="0"/>
              <w:snapToGrid w:val="0"/>
              <w:jc w:val="center"/>
              <w:rPr>
                <w:kern w:val="0"/>
                <w:sz w:val="20"/>
              </w:rPr>
            </w:pPr>
            <w:r>
              <w:rPr>
                <w:kern w:val="0"/>
                <w:sz w:val="20"/>
              </w:rPr>
              <w:t>2</w:t>
            </w:r>
          </w:p>
        </w:tc>
        <w:tc>
          <w:tcPr>
            <w:tcW w:w="0" w:type="auto"/>
            <w:shd w:val="clear" w:color="auto" w:fill="auto"/>
            <w:noWrap/>
            <w:vAlign w:val="center"/>
          </w:tcPr>
          <w:p>
            <w:pPr>
              <w:widowControl/>
              <w:adjustRightInd w:val="0"/>
              <w:snapToGrid w:val="0"/>
              <w:jc w:val="center"/>
              <w:rPr>
                <w:kern w:val="0"/>
                <w:sz w:val="20"/>
              </w:rPr>
            </w:pPr>
            <w:r>
              <w:rPr>
                <w:kern w:val="0"/>
                <w:sz w:val="20"/>
              </w:rPr>
              <w:t>57.57</w:t>
            </w:r>
          </w:p>
        </w:tc>
        <w:tc>
          <w:tcPr>
            <w:tcW w:w="898" w:type="dxa"/>
            <w:shd w:val="clear" w:color="auto" w:fill="auto"/>
            <w:noWrap/>
            <w:vAlign w:val="center"/>
          </w:tcPr>
          <w:p>
            <w:pPr>
              <w:widowControl/>
              <w:adjustRightInd w:val="0"/>
              <w:snapToGrid w:val="0"/>
              <w:jc w:val="center"/>
              <w:rPr>
                <w:kern w:val="0"/>
                <w:sz w:val="20"/>
              </w:rPr>
            </w:pPr>
            <w:r>
              <w:rPr>
                <w:kern w:val="0"/>
                <w:sz w:val="20"/>
              </w:rPr>
              <w:t>23.327</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SO</w:t>
            </w:r>
            <w:r>
              <w:rPr>
                <w:kern w:val="0"/>
                <w:sz w:val="20"/>
                <w:vertAlign w:val="subscript"/>
              </w:rPr>
              <w:t>4</w:t>
            </w:r>
            <w:r>
              <w:rPr>
                <w:kern w:val="0"/>
                <w:sz w:val="20"/>
                <w:vertAlign w:val="superscript"/>
              </w:rPr>
              <w:t>2-</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58.2</w:t>
            </w:r>
          </w:p>
        </w:tc>
        <w:tc>
          <w:tcPr>
            <w:tcW w:w="1118" w:type="dxa"/>
            <w:shd w:val="clear" w:color="auto" w:fill="auto"/>
            <w:vAlign w:val="center"/>
          </w:tcPr>
          <w:p>
            <w:pPr>
              <w:widowControl/>
              <w:adjustRightInd w:val="0"/>
              <w:snapToGrid w:val="0"/>
              <w:jc w:val="center"/>
              <w:rPr>
                <w:kern w:val="0"/>
                <w:sz w:val="20"/>
              </w:rPr>
            </w:pPr>
            <w:r>
              <w:rPr>
                <w:kern w:val="0"/>
                <w:sz w:val="20"/>
              </w:rPr>
              <w:t>58.4</w:t>
            </w:r>
          </w:p>
        </w:tc>
        <w:tc>
          <w:tcPr>
            <w:tcW w:w="1118" w:type="dxa"/>
            <w:shd w:val="clear" w:color="auto" w:fill="auto"/>
            <w:vAlign w:val="center"/>
          </w:tcPr>
          <w:p>
            <w:pPr>
              <w:widowControl/>
              <w:adjustRightInd w:val="0"/>
              <w:snapToGrid w:val="0"/>
              <w:jc w:val="center"/>
              <w:rPr>
                <w:kern w:val="0"/>
                <w:sz w:val="20"/>
              </w:rPr>
            </w:pPr>
            <w:r>
              <w:rPr>
                <w:kern w:val="0"/>
                <w:sz w:val="20"/>
              </w:rPr>
              <w:t>59.2</w:t>
            </w:r>
          </w:p>
        </w:tc>
        <w:tc>
          <w:tcPr>
            <w:tcW w:w="855" w:type="dxa"/>
            <w:shd w:val="clear" w:color="auto" w:fill="auto"/>
            <w:vAlign w:val="center"/>
          </w:tcPr>
          <w:p>
            <w:pPr>
              <w:widowControl/>
              <w:adjustRightInd w:val="0"/>
              <w:snapToGrid w:val="0"/>
              <w:jc w:val="center"/>
              <w:rPr>
                <w:kern w:val="0"/>
                <w:sz w:val="20"/>
              </w:rPr>
            </w:pPr>
            <w:r>
              <w:rPr>
                <w:kern w:val="0"/>
                <w:sz w:val="20"/>
              </w:rPr>
              <w:t>11</w:t>
            </w:r>
          </w:p>
        </w:tc>
        <w:tc>
          <w:tcPr>
            <w:tcW w:w="836" w:type="dxa"/>
            <w:shd w:val="clear" w:color="auto" w:fill="auto"/>
            <w:vAlign w:val="center"/>
          </w:tcPr>
          <w:p>
            <w:pPr>
              <w:widowControl/>
              <w:adjustRightInd w:val="0"/>
              <w:snapToGrid w:val="0"/>
              <w:jc w:val="center"/>
              <w:rPr>
                <w:kern w:val="0"/>
                <w:sz w:val="20"/>
              </w:rPr>
            </w:pPr>
            <w:r>
              <w:rPr>
                <w:kern w:val="0"/>
                <w:sz w:val="20"/>
              </w:rPr>
              <w:t>56.2</w:t>
            </w:r>
          </w:p>
        </w:tc>
        <w:tc>
          <w:tcPr>
            <w:tcW w:w="949" w:type="dxa"/>
            <w:shd w:val="clear" w:color="auto" w:fill="auto"/>
            <w:vAlign w:val="center"/>
          </w:tcPr>
          <w:p>
            <w:pPr>
              <w:widowControl/>
              <w:adjustRightInd w:val="0"/>
              <w:snapToGrid w:val="0"/>
              <w:jc w:val="center"/>
              <w:rPr>
                <w:kern w:val="0"/>
                <w:sz w:val="20"/>
              </w:rPr>
            </w:pPr>
            <w:r>
              <w:rPr>
                <w:kern w:val="0"/>
                <w:sz w:val="20"/>
              </w:rPr>
              <w:t>50.6</w:t>
            </w:r>
          </w:p>
        </w:tc>
        <w:tc>
          <w:tcPr>
            <w:tcW w:w="0" w:type="auto"/>
            <w:shd w:val="clear" w:color="auto" w:fill="auto"/>
            <w:vAlign w:val="center"/>
          </w:tcPr>
          <w:p>
            <w:pPr>
              <w:widowControl/>
              <w:adjustRightInd w:val="0"/>
              <w:snapToGrid w:val="0"/>
              <w:jc w:val="center"/>
              <w:rPr>
                <w:kern w:val="0"/>
                <w:sz w:val="20"/>
              </w:rPr>
            </w:pPr>
            <w:r>
              <w:rPr>
                <w:kern w:val="0"/>
                <w:sz w:val="20"/>
              </w:rPr>
              <w:t>55.3</w:t>
            </w:r>
          </w:p>
        </w:tc>
        <w:tc>
          <w:tcPr>
            <w:tcW w:w="0" w:type="auto"/>
            <w:shd w:val="clear" w:color="auto" w:fill="auto"/>
            <w:noWrap/>
            <w:vAlign w:val="center"/>
          </w:tcPr>
          <w:p>
            <w:pPr>
              <w:widowControl/>
              <w:adjustRightInd w:val="0"/>
              <w:snapToGrid w:val="0"/>
              <w:jc w:val="center"/>
              <w:rPr>
                <w:kern w:val="0"/>
                <w:sz w:val="20"/>
              </w:rPr>
            </w:pPr>
            <w:r>
              <w:rPr>
                <w:kern w:val="0"/>
                <w:sz w:val="20"/>
              </w:rPr>
              <w:t>59.2</w:t>
            </w:r>
          </w:p>
        </w:tc>
        <w:tc>
          <w:tcPr>
            <w:tcW w:w="0" w:type="auto"/>
            <w:shd w:val="clear" w:color="auto" w:fill="auto"/>
            <w:noWrap/>
            <w:vAlign w:val="center"/>
          </w:tcPr>
          <w:p>
            <w:pPr>
              <w:widowControl/>
              <w:adjustRightInd w:val="0"/>
              <w:snapToGrid w:val="0"/>
              <w:jc w:val="center"/>
              <w:rPr>
                <w:kern w:val="0"/>
                <w:sz w:val="20"/>
              </w:rPr>
            </w:pPr>
            <w:r>
              <w:rPr>
                <w:kern w:val="0"/>
                <w:sz w:val="20"/>
              </w:rPr>
              <w:t>11</w:t>
            </w:r>
          </w:p>
        </w:tc>
        <w:tc>
          <w:tcPr>
            <w:tcW w:w="0" w:type="auto"/>
            <w:shd w:val="clear" w:color="auto" w:fill="auto"/>
            <w:noWrap/>
            <w:vAlign w:val="center"/>
          </w:tcPr>
          <w:p>
            <w:pPr>
              <w:widowControl/>
              <w:adjustRightInd w:val="0"/>
              <w:snapToGrid w:val="0"/>
              <w:jc w:val="center"/>
              <w:rPr>
                <w:kern w:val="0"/>
                <w:sz w:val="20"/>
              </w:rPr>
            </w:pPr>
            <w:r>
              <w:rPr>
                <w:kern w:val="0"/>
                <w:sz w:val="20"/>
              </w:rPr>
              <w:t>49.84</w:t>
            </w:r>
          </w:p>
        </w:tc>
        <w:tc>
          <w:tcPr>
            <w:tcW w:w="898" w:type="dxa"/>
            <w:shd w:val="clear" w:color="auto" w:fill="auto"/>
            <w:noWrap/>
            <w:vAlign w:val="center"/>
          </w:tcPr>
          <w:p>
            <w:pPr>
              <w:widowControl/>
              <w:adjustRightInd w:val="0"/>
              <w:snapToGrid w:val="0"/>
              <w:jc w:val="center"/>
              <w:rPr>
                <w:kern w:val="0"/>
                <w:sz w:val="20"/>
              </w:rPr>
            </w:pPr>
            <w:r>
              <w:rPr>
                <w:kern w:val="0"/>
                <w:sz w:val="20"/>
              </w:rPr>
              <w:t>16.081</w:t>
            </w:r>
          </w:p>
        </w:tc>
        <w:tc>
          <w:tcPr>
            <w:tcW w:w="864" w:type="dxa"/>
            <w:shd w:val="clear" w:color="auto" w:fill="auto"/>
            <w:noWrap/>
            <w:vAlign w:val="center"/>
          </w:tcPr>
          <w:p>
            <w:pPr>
              <w:widowControl/>
              <w:adjustRightInd w:val="0"/>
              <w:snapToGrid w:val="0"/>
              <w:jc w:val="center"/>
              <w:rPr>
                <w:kern w:val="0"/>
                <w:sz w:val="20"/>
              </w:rPr>
            </w:pPr>
            <w:r>
              <w:rPr>
                <w:kern w:val="0"/>
                <w:sz w:val="20"/>
              </w:rPr>
              <w:t>100%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氯化物</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72.7</w:t>
            </w:r>
          </w:p>
        </w:tc>
        <w:tc>
          <w:tcPr>
            <w:tcW w:w="1118" w:type="dxa"/>
            <w:shd w:val="clear" w:color="auto" w:fill="auto"/>
            <w:vAlign w:val="center"/>
          </w:tcPr>
          <w:p>
            <w:pPr>
              <w:widowControl/>
              <w:adjustRightInd w:val="0"/>
              <w:snapToGrid w:val="0"/>
              <w:jc w:val="center"/>
              <w:rPr>
                <w:kern w:val="0"/>
                <w:sz w:val="20"/>
              </w:rPr>
            </w:pPr>
            <w:r>
              <w:rPr>
                <w:kern w:val="0"/>
                <w:sz w:val="20"/>
              </w:rPr>
              <w:t>73.1</w:t>
            </w:r>
          </w:p>
        </w:tc>
        <w:tc>
          <w:tcPr>
            <w:tcW w:w="1118" w:type="dxa"/>
            <w:shd w:val="clear" w:color="auto" w:fill="auto"/>
            <w:vAlign w:val="center"/>
          </w:tcPr>
          <w:p>
            <w:pPr>
              <w:widowControl/>
              <w:adjustRightInd w:val="0"/>
              <w:snapToGrid w:val="0"/>
              <w:jc w:val="center"/>
              <w:rPr>
                <w:kern w:val="0"/>
                <w:sz w:val="20"/>
              </w:rPr>
            </w:pPr>
            <w:r>
              <w:rPr>
                <w:kern w:val="0"/>
                <w:sz w:val="20"/>
              </w:rPr>
              <w:t>73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noWrap/>
            <w:vAlign w:val="center"/>
          </w:tcPr>
          <w:p>
            <w:pPr>
              <w:widowControl/>
              <w:adjustRightInd w:val="0"/>
              <w:snapToGrid w:val="0"/>
              <w:jc w:val="center"/>
              <w:rPr>
                <w:kern w:val="0"/>
                <w:sz w:val="20"/>
              </w:rPr>
            </w:pPr>
            <w:r>
              <w:rPr>
                <w:kern w:val="0"/>
                <w:sz w:val="20"/>
              </w:rPr>
              <w:t>73.1</w:t>
            </w:r>
          </w:p>
        </w:tc>
        <w:tc>
          <w:tcPr>
            <w:tcW w:w="0" w:type="auto"/>
            <w:shd w:val="clear" w:color="auto" w:fill="auto"/>
            <w:noWrap/>
            <w:vAlign w:val="center"/>
          </w:tcPr>
          <w:p>
            <w:pPr>
              <w:widowControl/>
              <w:adjustRightInd w:val="0"/>
              <w:snapToGrid w:val="0"/>
              <w:jc w:val="center"/>
              <w:rPr>
                <w:kern w:val="0"/>
                <w:sz w:val="20"/>
              </w:rPr>
            </w:pPr>
            <w:r>
              <w:rPr>
                <w:kern w:val="0"/>
                <w:sz w:val="20"/>
              </w:rPr>
              <w:t>72.7</w:t>
            </w:r>
          </w:p>
        </w:tc>
        <w:tc>
          <w:tcPr>
            <w:tcW w:w="0" w:type="auto"/>
            <w:shd w:val="clear" w:color="auto" w:fill="auto"/>
            <w:noWrap/>
            <w:vAlign w:val="center"/>
          </w:tcPr>
          <w:p>
            <w:pPr>
              <w:widowControl/>
              <w:adjustRightInd w:val="0"/>
              <w:snapToGrid w:val="0"/>
              <w:jc w:val="center"/>
              <w:rPr>
                <w:kern w:val="0"/>
                <w:sz w:val="20"/>
              </w:rPr>
            </w:pPr>
            <w:r>
              <w:rPr>
                <w:kern w:val="0"/>
                <w:sz w:val="20"/>
              </w:rPr>
              <w:t>72.933</w:t>
            </w:r>
          </w:p>
        </w:tc>
        <w:tc>
          <w:tcPr>
            <w:tcW w:w="898" w:type="dxa"/>
            <w:shd w:val="clear" w:color="auto" w:fill="auto"/>
            <w:noWrap/>
            <w:vAlign w:val="center"/>
          </w:tcPr>
          <w:p>
            <w:pPr>
              <w:widowControl/>
              <w:adjustRightInd w:val="0"/>
              <w:snapToGrid w:val="0"/>
              <w:jc w:val="center"/>
              <w:rPr>
                <w:kern w:val="0"/>
                <w:sz w:val="20"/>
              </w:rPr>
            </w:pPr>
            <w:r>
              <w:rPr>
                <w:kern w:val="0"/>
                <w:sz w:val="20"/>
              </w:rPr>
              <w:t>0.170</w:t>
            </w:r>
          </w:p>
        </w:tc>
        <w:tc>
          <w:tcPr>
            <w:tcW w:w="864" w:type="dxa"/>
            <w:shd w:val="clear" w:color="auto" w:fill="auto"/>
            <w:noWrap/>
            <w:vAlign w:val="center"/>
          </w:tcPr>
          <w:p>
            <w:pPr>
              <w:widowControl/>
              <w:adjustRightInd w:val="0"/>
              <w:snapToGrid w:val="0"/>
              <w:jc w:val="center"/>
              <w:rPr>
                <w:kern w:val="0"/>
                <w:sz w:val="20"/>
              </w:rPr>
            </w:pPr>
            <w:r>
              <w:rPr>
                <w:kern w:val="0"/>
                <w:sz w:val="20"/>
              </w:rPr>
              <w:t>43%</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铁</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锰</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铜</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＜1</w:t>
            </w:r>
          </w:p>
        </w:tc>
        <w:tc>
          <w:tcPr>
            <w:tcW w:w="1118" w:type="dxa"/>
            <w:shd w:val="clear" w:color="auto" w:fill="auto"/>
            <w:vAlign w:val="center"/>
          </w:tcPr>
          <w:p>
            <w:pPr>
              <w:widowControl/>
              <w:adjustRightInd w:val="0"/>
              <w:snapToGrid w:val="0"/>
              <w:jc w:val="center"/>
              <w:rPr>
                <w:kern w:val="0"/>
                <w:sz w:val="20"/>
              </w:rPr>
            </w:pPr>
            <w:r>
              <w:rPr>
                <w:kern w:val="0"/>
                <w:sz w:val="20"/>
              </w:rPr>
              <w:t>＜1</w:t>
            </w:r>
          </w:p>
        </w:tc>
        <w:tc>
          <w:tcPr>
            <w:tcW w:w="1118" w:type="dxa"/>
            <w:shd w:val="clear" w:color="auto" w:fill="auto"/>
            <w:vAlign w:val="center"/>
          </w:tcPr>
          <w:p>
            <w:pPr>
              <w:widowControl/>
              <w:adjustRightInd w:val="0"/>
              <w:snapToGrid w:val="0"/>
              <w:jc w:val="center"/>
              <w:rPr>
                <w:kern w:val="0"/>
                <w:sz w:val="20"/>
              </w:rPr>
            </w:pPr>
            <w:r>
              <w:rPr>
                <w:kern w:val="0"/>
                <w:sz w:val="20"/>
              </w:rPr>
              <w:t>＜1</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锌</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＜0.05</w:t>
            </w:r>
          </w:p>
        </w:tc>
        <w:tc>
          <w:tcPr>
            <w:tcW w:w="1118" w:type="dxa"/>
            <w:shd w:val="clear" w:color="auto" w:fill="auto"/>
            <w:vAlign w:val="center"/>
          </w:tcPr>
          <w:p>
            <w:pPr>
              <w:widowControl/>
              <w:adjustRightInd w:val="0"/>
              <w:snapToGrid w:val="0"/>
              <w:jc w:val="center"/>
              <w:rPr>
                <w:kern w:val="0"/>
                <w:sz w:val="20"/>
              </w:rPr>
            </w:pPr>
            <w:r>
              <w:rPr>
                <w:kern w:val="0"/>
                <w:sz w:val="20"/>
              </w:rPr>
              <w:t>＜0.05</w:t>
            </w:r>
          </w:p>
        </w:tc>
        <w:tc>
          <w:tcPr>
            <w:tcW w:w="1118" w:type="dxa"/>
            <w:shd w:val="clear" w:color="auto" w:fill="auto"/>
            <w:vAlign w:val="center"/>
          </w:tcPr>
          <w:p>
            <w:pPr>
              <w:widowControl/>
              <w:adjustRightInd w:val="0"/>
              <w:snapToGrid w:val="0"/>
              <w:jc w:val="center"/>
              <w:rPr>
                <w:kern w:val="0"/>
                <w:sz w:val="20"/>
              </w:rPr>
            </w:pPr>
            <w:r>
              <w:rPr>
                <w:kern w:val="0"/>
                <w:sz w:val="20"/>
              </w:rPr>
              <w:t>＜0.05</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氰化物</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＜0.002</w:t>
            </w:r>
          </w:p>
        </w:tc>
        <w:tc>
          <w:tcPr>
            <w:tcW w:w="1118" w:type="dxa"/>
            <w:shd w:val="clear" w:color="auto" w:fill="auto"/>
            <w:vAlign w:val="center"/>
          </w:tcPr>
          <w:p>
            <w:pPr>
              <w:widowControl/>
              <w:adjustRightInd w:val="0"/>
              <w:snapToGrid w:val="0"/>
              <w:jc w:val="center"/>
              <w:rPr>
                <w:kern w:val="0"/>
                <w:sz w:val="20"/>
              </w:rPr>
            </w:pPr>
            <w:r>
              <w:rPr>
                <w:kern w:val="0"/>
                <w:sz w:val="20"/>
              </w:rPr>
              <w:t>＜0.002</w:t>
            </w:r>
          </w:p>
        </w:tc>
        <w:tc>
          <w:tcPr>
            <w:tcW w:w="1118" w:type="dxa"/>
            <w:shd w:val="clear" w:color="auto" w:fill="auto"/>
            <w:vAlign w:val="center"/>
          </w:tcPr>
          <w:p>
            <w:pPr>
              <w:widowControl/>
              <w:adjustRightInd w:val="0"/>
              <w:snapToGrid w:val="0"/>
              <w:jc w:val="center"/>
              <w:rPr>
                <w:kern w:val="0"/>
                <w:sz w:val="20"/>
              </w:rPr>
            </w:pPr>
            <w:r>
              <w:rPr>
                <w:kern w:val="0"/>
                <w:sz w:val="20"/>
              </w:rPr>
              <w:t>＜0.002</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汞</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＜0.04</w:t>
            </w:r>
          </w:p>
        </w:tc>
        <w:tc>
          <w:tcPr>
            <w:tcW w:w="1118" w:type="dxa"/>
            <w:shd w:val="clear" w:color="auto" w:fill="auto"/>
            <w:vAlign w:val="center"/>
          </w:tcPr>
          <w:p>
            <w:pPr>
              <w:widowControl/>
              <w:adjustRightInd w:val="0"/>
              <w:snapToGrid w:val="0"/>
              <w:jc w:val="center"/>
              <w:rPr>
                <w:kern w:val="0"/>
                <w:sz w:val="20"/>
              </w:rPr>
            </w:pPr>
            <w:r>
              <w:rPr>
                <w:kern w:val="0"/>
                <w:sz w:val="20"/>
              </w:rPr>
              <w:t>＜0.04</w:t>
            </w:r>
          </w:p>
        </w:tc>
        <w:tc>
          <w:tcPr>
            <w:tcW w:w="1118" w:type="dxa"/>
            <w:shd w:val="clear" w:color="auto" w:fill="auto"/>
            <w:vAlign w:val="center"/>
          </w:tcPr>
          <w:p>
            <w:pPr>
              <w:widowControl/>
              <w:adjustRightInd w:val="0"/>
              <w:snapToGrid w:val="0"/>
              <w:jc w:val="center"/>
              <w:rPr>
                <w:kern w:val="0"/>
                <w:sz w:val="20"/>
              </w:rPr>
            </w:pPr>
            <w:r>
              <w:rPr>
                <w:kern w:val="0"/>
                <w:sz w:val="20"/>
              </w:rPr>
              <w:t>＜0.04</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砷</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＜0.3</w:t>
            </w:r>
          </w:p>
        </w:tc>
        <w:tc>
          <w:tcPr>
            <w:tcW w:w="1118" w:type="dxa"/>
            <w:shd w:val="clear" w:color="auto" w:fill="auto"/>
            <w:vAlign w:val="center"/>
          </w:tcPr>
          <w:p>
            <w:pPr>
              <w:widowControl/>
              <w:adjustRightInd w:val="0"/>
              <w:snapToGrid w:val="0"/>
              <w:jc w:val="center"/>
              <w:rPr>
                <w:kern w:val="0"/>
                <w:sz w:val="20"/>
              </w:rPr>
            </w:pPr>
            <w:r>
              <w:rPr>
                <w:kern w:val="0"/>
                <w:sz w:val="20"/>
              </w:rPr>
              <w:t>＜0.3</w:t>
            </w:r>
          </w:p>
        </w:tc>
        <w:tc>
          <w:tcPr>
            <w:tcW w:w="1118" w:type="dxa"/>
            <w:shd w:val="clear" w:color="auto" w:fill="auto"/>
            <w:vAlign w:val="center"/>
          </w:tcPr>
          <w:p>
            <w:pPr>
              <w:widowControl/>
              <w:adjustRightInd w:val="0"/>
              <w:snapToGrid w:val="0"/>
              <w:jc w:val="center"/>
              <w:rPr>
                <w:kern w:val="0"/>
                <w:sz w:val="20"/>
              </w:rPr>
            </w:pPr>
            <w:r>
              <w:rPr>
                <w:kern w:val="0"/>
                <w:sz w:val="20"/>
              </w:rPr>
              <w:t>＜0.3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硒</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＜0.4</w:t>
            </w:r>
          </w:p>
        </w:tc>
        <w:tc>
          <w:tcPr>
            <w:tcW w:w="1118" w:type="dxa"/>
            <w:shd w:val="clear" w:color="auto" w:fill="auto"/>
            <w:vAlign w:val="center"/>
          </w:tcPr>
          <w:p>
            <w:pPr>
              <w:widowControl/>
              <w:adjustRightInd w:val="0"/>
              <w:snapToGrid w:val="0"/>
              <w:jc w:val="center"/>
              <w:rPr>
                <w:kern w:val="0"/>
                <w:sz w:val="20"/>
              </w:rPr>
            </w:pPr>
            <w:r>
              <w:rPr>
                <w:kern w:val="0"/>
                <w:sz w:val="20"/>
              </w:rPr>
              <w:t>＜0.4</w:t>
            </w:r>
          </w:p>
        </w:tc>
        <w:tc>
          <w:tcPr>
            <w:tcW w:w="1118" w:type="dxa"/>
            <w:shd w:val="clear" w:color="auto" w:fill="auto"/>
            <w:vAlign w:val="center"/>
          </w:tcPr>
          <w:p>
            <w:pPr>
              <w:widowControl/>
              <w:adjustRightInd w:val="0"/>
              <w:snapToGrid w:val="0"/>
              <w:jc w:val="center"/>
              <w:rPr>
                <w:kern w:val="0"/>
                <w:sz w:val="20"/>
              </w:rPr>
            </w:pPr>
            <w:r>
              <w:rPr>
                <w:kern w:val="0"/>
                <w:sz w:val="20"/>
              </w:rPr>
              <w:t>＜0.4</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锑</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＜0.2</w:t>
            </w:r>
          </w:p>
        </w:tc>
        <w:tc>
          <w:tcPr>
            <w:tcW w:w="1118" w:type="dxa"/>
            <w:shd w:val="clear" w:color="auto" w:fill="auto"/>
            <w:vAlign w:val="center"/>
          </w:tcPr>
          <w:p>
            <w:pPr>
              <w:widowControl/>
              <w:adjustRightInd w:val="0"/>
              <w:snapToGrid w:val="0"/>
              <w:jc w:val="center"/>
              <w:rPr>
                <w:kern w:val="0"/>
                <w:sz w:val="20"/>
              </w:rPr>
            </w:pPr>
            <w:r>
              <w:rPr>
                <w:kern w:val="0"/>
                <w:sz w:val="20"/>
              </w:rPr>
              <w:t>＜0.2</w:t>
            </w:r>
          </w:p>
        </w:tc>
        <w:tc>
          <w:tcPr>
            <w:tcW w:w="1118" w:type="dxa"/>
            <w:shd w:val="clear" w:color="auto" w:fill="auto"/>
            <w:vAlign w:val="center"/>
          </w:tcPr>
          <w:p>
            <w:pPr>
              <w:widowControl/>
              <w:adjustRightInd w:val="0"/>
              <w:snapToGrid w:val="0"/>
              <w:jc w:val="center"/>
              <w:rPr>
                <w:kern w:val="0"/>
                <w:sz w:val="20"/>
              </w:rPr>
            </w:pPr>
            <w:r>
              <w:rPr>
                <w:kern w:val="0"/>
                <w:sz w:val="20"/>
              </w:rPr>
              <w:t>＜0.2</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六价铬</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＜0.004</w:t>
            </w:r>
          </w:p>
        </w:tc>
        <w:tc>
          <w:tcPr>
            <w:tcW w:w="1118" w:type="dxa"/>
            <w:shd w:val="clear" w:color="auto" w:fill="auto"/>
            <w:vAlign w:val="center"/>
          </w:tcPr>
          <w:p>
            <w:pPr>
              <w:widowControl/>
              <w:adjustRightInd w:val="0"/>
              <w:snapToGrid w:val="0"/>
              <w:jc w:val="center"/>
              <w:rPr>
                <w:kern w:val="0"/>
                <w:sz w:val="20"/>
              </w:rPr>
            </w:pPr>
            <w:r>
              <w:rPr>
                <w:kern w:val="0"/>
                <w:sz w:val="20"/>
              </w:rPr>
              <w:t>＜0.004</w:t>
            </w:r>
          </w:p>
        </w:tc>
        <w:tc>
          <w:tcPr>
            <w:tcW w:w="1118" w:type="dxa"/>
            <w:shd w:val="clear" w:color="auto" w:fill="auto"/>
            <w:vAlign w:val="center"/>
          </w:tcPr>
          <w:p>
            <w:pPr>
              <w:widowControl/>
              <w:adjustRightInd w:val="0"/>
              <w:snapToGrid w:val="0"/>
              <w:jc w:val="center"/>
              <w:rPr>
                <w:kern w:val="0"/>
                <w:sz w:val="20"/>
              </w:rPr>
            </w:pPr>
            <w:r>
              <w:rPr>
                <w:kern w:val="0"/>
                <w:sz w:val="20"/>
              </w:rPr>
              <w:t>＜0.004</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石油类</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1118" w:type="dxa"/>
            <w:shd w:val="clear" w:color="auto" w:fill="auto"/>
            <w:vAlign w:val="center"/>
          </w:tcPr>
          <w:p>
            <w:pPr>
              <w:widowControl/>
              <w:adjustRightInd w:val="0"/>
              <w:snapToGrid w:val="0"/>
              <w:jc w:val="center"/>
              <w:rPr>
                <w:kern w:val="0"/>
                <w:sz w:val="20"/>
              </w:rPr>
            </w:pPr>
            <w:r>
              <w:rPr>
                <w:kern w:val="0"/>
                <w:sz w:val="20"/>
              </w:rPr>
              <w:t>＜0.01</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硫化物</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＜0.005</w:t>
            </w:r>
          </w:p>
        </w:tc>
        <w:tc>
          <w:tcPr>
            <w:tcW w:w="1118" w:type="dxa"/>
            <w:shd w:val="clear" w:color="auto" w:fill="auto"/>
            <w:vAlign w:val="center"/>
          </w:tcPr>
          <w:p>
            <w:pPr>
              <w:widowControl/>
              <w:adjustRightInd w:val="0"/>
              <w:snapToGrid w:val="0"/>
              <w:jc w:val="center"/>
              <w:rPr>
                <w:kern w:val="0"/>
                <w:sz w:val="20"/>
              </w:rPr>
            </w:pPr>
            <w:r>
              <w:rPr>
                <w:kern w:val="0"/>
                <w:sz w:val="20"/>
              </w:rPr>
              <w:t>＜0.005</w:t>
            </w:r>
          </w:p>
        </w:tc>
        <w:tc>
          <w:tcPr>
            <w:tcW w:w="1118" w:type="dxa"/>
            <w:shd w:val="clear" w:color="auto" w:fill="auto"/>
            <w:vAlign w:val="center"/>
          </w:tcPr>
          <w:p>
            <w:pPr>
              <w:widowControl/>
              <w:adjustRightInd w:val="0"/>
              <w:snapToGrid w:val="0"/>
              <w:jc w:val="center"/>
              <w:rPr>
                <w:kern w:val="0"/>
                <w:sz w:val="20"/>
              </w:rPr>
            </w:pPr>
            <w:r>
              <w:rPr>
                <w:kern w:val="0"/>
                <w:sz w:val="20"/>
              </w:rPr>
              <w:t>＜0.005</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碘化物</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＜0.002</w:t>
            </w:r>
          </w:p>
        </w:tc>
        <w:tc>
          <w:tcPr>
            <w:tcW w:w="1118" w:type="dxa"/>
            <w:shd w:val="clear" w:color="auto" w:fill="auto"/>
            <w:vAlign w:val="center"/>
          </w:tcPr>
          <w:p>
            <w:pPr>
              <w:widowControl/>
              <w:adjustRightInd w:val="0"/>
              <w:snapToGrid w:val="0"/>
              <w:jc w:val="center"/>
              <w:rPr>
                <w:kern w:val="0"/>
                <w:sz w:val="20"/>
              </w:rPr>
            </w:pPr>
            <w:r>
              <w:rPr>
                <w:kern w:val="0"/>
                <w:sz w:val="20"/>
              </w:rPr>
              <w:t>＜0.002</w:t>
            </w:r>
          </w:p>
        </w:tc>
        <w:tc>
          <w:tcPr>
            <w:tcW w:w="1118" w:type="dxa"/>
            <w:shd w:val="clear" w:color="auto" w:fill="auto"/>
            <w:vAlign w:val="center"/>
          </w:tcPr>
          <w:p>
            <w:pPr>
              <w:widowControl/>
              <w:adjustRightInd w:val="0"/>
              <w:snapToGrid w:val="0"/>
              <w:jc w:val="center"/>
              <w:rPr>
                <w:kern w:val="0"/>
                <w:sz w:val="20"/>
              </w:rPr>
            </w:pPr>
            <w:r>
              <w:rPr>
                <w:kern w:val="0"/>
                <w:sz w:val="20"/>
              </w:rPr>
              <w:t>＜0.002</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三氯甲烷</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＜0.02</w:t>
            </w:r>
          </w:p>
        </w:tc>
        <w:tc>
          <w:tcPr>
            <w:tcW w:w="1118" w:type="dxa"/>
            <w:shd w:val="clear" w:color="auto" w:fill="auto"/>
            <w:vAlign w:val="center"/>
          </w:tcPr>
          <w:p>
            <w:pPr>
              <w:widowControl/>
              <w:adjustRightInd w:val="0"/>
              <w:snapToGrid w:val="0"/>
              <w:jc w:val="center"/>
              <w:rPr>
                <w:kern w:val="0"/>
                <w:sz w:val="20"/>
              </w:rPr>
            </w:pPr>
            <w:r>
              <w:rPr>
                <w:kern w:val="0"/>
                <w:sz w:val="20"/>
              </w:rPr>
              <w:t>＜0.02</w:t>
            </w:r>
          </w:p>
        </w:tc>
        <w:tc>
          <w:tcPr>
            <w:tcW w:w="1118" w:type="dxa"/>
            <w:shd w:val="clear" w:color="auto" w:fill="auto"/>
            <w:vAlign w:val="center"/>
          </w:tcPr>
          <w:p>
            <w:pPr>
              <w:widowControl/>
              <w:adjustRightInd w:val="0"/>
              <w:snapToGrid w:val="0"/>
              <w:jc w:val="center"/>
              <w:rPr>
                <w:kern w:val="0"/>
                <w:sz w:val="20"/>
              </w:rPr>
            </w:pPr>
            <w:r>
              <w:rPr>
                <w:kern w:val="0"/>
                <w:sz w:val="20"/>
              </w:rPr>
              <w:t>＜0.02</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四氯化碳</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阴离子表面活性剂</w:t>
            </w:r>
          </w:p>
        </w:tc>
        <w:tc>
          <w:tcPr>
            <w:tcW w:w="989" w:type="dxa"/>
            <w:shd w:val="clear" w:color="auto" w:fill="auto"/>
            <w:vAlign w:val="center"/>
          </w:tcPr>
          <w:p>
            <w:pPr>
              <w:widowControl/>
              <w:adjustRightInd w:val="0"/>
              <w:snapToGrid w:val="0"/>
              <w:jc w:val="center"/>
              <w:rPr>
                <w:kern w:val="0"/>
                <w:sz w:val="20"/>
              </w:rPr>
            </w:pPr>
            <w:r>
              <w:rPr>
                <w:kern w:val="0"/>
                <w:sz w:val="20"/>
              </w:rPr>
              <w:t>mg/L</w:t>
            </w:r>
          </w:p>
        </w:tc>
        <w:tc>
          <w:tcPr>
            <w:tcW w:w="1118" w:type="dxa"/>
            <w:shd w:val="clear" w:color="auto" w:fill="auto"/>
            <w:vAlign w:val="center"/>
          </w:tcPr>
          <w:p>
            <w:pPr>
              <w:widowControl/>
              <w:adjustRightInd w:val="0"/>
              <w:snapToGrid w:val="0"/>
              <w:jc w:val="center"/>
              <w:rPr>
                <w:kern w:val="0"/>
                <w:sz w:val="20"/>
              </w:rPr>
            </w:pPr>
            <w:r>
              <w:rPr>
                <w:kern w:val="0"/>
                <w:sz w:val="20"/>
              </w:rPr>
              <w:t>＜0.050</w:t>
            </w:r>
          </w:p>
        </w:tc>
        <w:tc>
          <w:tcPr>
            <w:tcW w:w="1118" w:type="dxa"/>
            <w:shd w:val="clear" w:color="auto" w:fill="auto"/>
            <w:vAlign w:val="center"/>
          </w:tcPr>
          <w:p>
            <w:pPr>
              <w:widowControl/>
              <w:adjustRightInd w:val="0"/>
              <w:snapToGrid w:val="0"/>
              <w:jc w:val="center"/>
              <w:rPr>
                <w:kern w:val="0"/>
                <w:sz w:val="20"/>
              </w:rPr>
            </w:pPr>
            <w:r>
              <w:rPr>
                <w:kern w:val="0"/>
                <w:sz w:val="20"/>
              </w:rPr>
              <w:t>＜0.050</w:t>
            </w:r>
          </w:p>
        </w:tc>
        <w:tc>
          <w:tcPr>
            <w:tcW w:w="1118" w:type="dxa"/>
            <w:shd w:val="clear" w:color="auto" w:fill="auto"/>
            <w:vAlign w:val="center"/>
          </w:tcPr>
          <w:p>
            <w:pPr>
              <w:widowControl/>
              <w:adjustRightInd w:val="0"/>
              <w:snapToGrid w:val="0"/>
              <w:jc w:val="center"/>
              <w:rPr>
                <w:kern w:val="0"/>
                <w:sz w:val="20"/>
              </w:rPr>
            </w:pPr>
            <w:r>
              <w:rPr>
                <w:kern w:val="0"/>
                <w:sz w:val="20"/>
              </w:rPr>
              <w:t>＜0.050</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苯</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＜2</w:t>
            </w:r>
          </w:p>
        </w:tc>
        <w:tc>
          <w:tcPr>
            <w:tcW w:w="1118" w:type="dxa"/>
            <w:shd w:val="clear" w:color="auto" w:fill="auto"/>
            <w:vAlign w:val="center"/>
          </w:tcPr>
          <w:p>
            <w:pPr>
              <w:widowControl/>
              <w:adjustRightInd w:val="0"/>
              <w:snapToGrid w:val="0"/>
              <w:jc w:val="center"/>
              <w:rPr>
                <w:kern w:val="0"/>
                <w:sz w:val="20"/>
              </w:rPr>
            </w:pPr>
            <w:r>
              <w:rPr>
                <w:kern w:val="0"/>
                <w:sz w:val="20"/>
              </w:rPr>
              <w:t>＜2</w:t>
            </w:r>
          </w:p>
        </w:tc>
        <w:tc>
          <w:tcPr>
            <w:tcW w:w="1118" w:type="dxa"/>
            <w:shd w:val="clear" w:color="auto" w:fill="auto"/>
            <w:vAlign w:val="center"/>
          </w:tcPr>
          <w:p>
            <w:pPr>
              <w:widowControl/>
              <w:adjustRightInd w:val="0"/>
              <w:snapToGrid w:val="0"/>
              <w:jc w:val="center"/>
              <w:rPr>
                <w:kern w:val="0"/>
                <w:sz w:val="20"/>
              </w:rPr>
            </w:pPr>
            <w:r>
              <w:rPr>
                <w:kern w:val="0"/>
                <w:sz w:val="20"/>
              </w:rPr>
              <w:t>＜2</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甲苯</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＜2</w:t>
            </w:r>
          </w:p>
        </w:tc>
        <w:tc>
          <w:tcPr>
            <w:tcW w:w="1118" w:type="dxa"/>
            <w:shd w:val="clear" w:color="auto" w:fill="auto"/>
            <w:vAlign w:val="center"/>
          </w:tcPr>
          <w:p>
            <w:pPr>
              <w:widowControl/>
              <w:adjustRightInd w:val="0"/>
              <w:snapToGrid w:val="0"/>
              <w:jc w:val="center"/>
              <w:rPr>
                <w:kern w:val="0"/>
                <w:sz w:val="20"/>
              </w:rPr>
            </w:pPr>
            <w:r>
              <w:rPr>
                <w:kern w:val="0"/>
                <w:sz w:val="20"/>
              </w:rPr>
              <w:t>＜2</w:t>
            </w:r>
          </w:p>
        </w:tc>
        <w:tc>
          <w:tcPr>
            <w:tcW w:w="1118" w:type="dxa"/>
            <w:shd w:val="clear" w:color="auto" w:fill="auto"/>
            <w:vAlign w:val="center"/>
          </w:tcPr>
          <w:p>
            <w:pPr>
              <w:widowControl/>
              <w:adjustRightInd w:val="0"/>
              <w:snapToGrid w:val="0"/>
              <w:jc w:val="center"/>
              <w:rPr>
                <w:kern w:val="0"/>
                <w:sz w:val="20"/>
              </w:rPr>
            </w:pPr>
            <w:r>
              <w:rPr>
                <w:kern w:val="0"/>
                <w:sz w:val="20"/>
              </w:rPr>
              <w:t>＜2</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钴</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1118" w:type="dxa"/>
            <w:shd w:val="clear" w:color="auto" w:fill="auto"/>
            <w:vAlign w:val="center"/>
          </w:tcPr>
          <w:p>
            <w:pPr>
              <w:widowControl/>
              <w:adjustRightInd w:val="0"/>
              <w:snapToGrid w:val="0"/>
              <w:jc w:val="center"/>
              <w:rPr>
                <w:kern w:val="0"/>
                <w:sz w:val="20"/>
              </w:rPr>
            </w:pPr>
            <w:r>
              <w:rPr>
                <w:kern w:val="0"/>
                <w:sz w:val="20"/>
              </w:rPr>
              <w:t>＜0.03</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镍</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＜0.06</w:t>
            </w:r>
          </w:p>
        </w:tc>
        <w:tc>
          <w:tcPr>
            <w:tcW w:w="1118" w:type="dxa"/>
            <w:shd w:val="clear" w:color="auto" w:fill="auto"/>
            <w:vAlign w:val="center"/>
          </w:tcPr>
          <w:p>
            <w:pPr>
              <w:widowControl/>
              <w:adjustRightInd w:val="0"/>
              <w:snapToGrid w:val="0"/>
              <w:jc w:val="center"/>
              <w:rPr>
                <w:kern w:val="0"/>
                <w:sz w:val="20"/>
              </w:rPr>
            </w:pPr>
            <w:r>
              <w:rPr>
                <w:kern w:val="0"/>
                <w:sz w:val="20"/>
              </w:rPr>
              <w:t>＜0.06</w:t>
            </w:r>
          </w:p>
        </w:tc>
        <w:tc>
          <w:tcPr>
            <w:tcW w:w="1118" w:type="dxa"/>
            <w:shd w:val="clear" w:color="auto" w:fill="auto"/>
            <w:vAlign w:val="center"/>
          </w:tcPr>
          <w:p>
            <w:pPr>
              <w:widowControl/>
              <w:adjustRightInd w:val="0"/>
              <w:snapToGrid w:val="0"/>
              <w:jc w:val="center"/>
              <w:rPr>
                <w:kern w:val="0"/>
                <w:sz w:val="20"/>
              </w:rPr>
            </w:pPr>
            <w:r>
              <w:rPr>
                <w:kern w:val="0"/>
                <w:sz w:val="20"/>
              </w:rPr>
              <w:t>＜0.06</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铍</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＜0.04</w:t>
            </w:r>
          </w:p>
        </w:tc>
        <w:tc>
          <w:tcPr>
            <w:tcW w:w="1118" w:type="dxa"/>
            <w:shd w:val="clear" w:color="auto" w:fill="auto"/>
            <w:vAlign w:val="center"/>
          </w:tcPr>
          <w:p>
            <w:pPr>
              <w:widowControl/>
              <w:adjustRightInd w:val="0"/>
              <w:snapToGrid w:val="0"/>
              <w:jc w:val="center"/>
              <w:rPr>
                <w:kern w:val="0"/>
                <w:sz w:val="20"/>
              </w:rPr>
            </w:pPr>
            <w:r>
              <w:rPr>
                <w:kern w:val="0"/>
                <w:sz w:val="20"/>
              </w:rPr>
              <w:t>＜0.04</w:t>
            </w:r>
          </w:p>
        </w:tc>
        <w:tc>
          <w:tcPr>
            <w:tcW w:w="1118" w:type="dxa"/>
            <w:shd w:val="clear" w:color="auto" w:fill="auto"/>
            <w:vAlign w:val="center"/>
          </w:tcPr>
          <w:p>
            <w:pPr>
              <w:widowControl/>
              <w:adjustRightInd w:val="0"/>
              <w:snapToGrid w:val="0"/>
              <w:jc w:val="center"/>
              <w:rPr>
                <w:kern w:val="0"/>
                <w:sz w:val="20"/>
              </w:rPr>
            </w:pPr>
            <w:r>
              <w:rPr>
                <w:kern w:val="0"/>
                <w:sz w:val="20"/>
              </w:rPr>
              <w:t>＜0.04</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钡</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＜0.20</w:t>
            </w:r>
          </w:p>
        </w:tc>
        <w:tc>
          <w:tcPr>
            <w:tcW w:w="1118" w:type="dxa"/>
            <w:shd w:val="clear" w:color="auto" w:fill="auto"/>
            <w:vAlign w:val="center"/>
          </w:tcPr>
          <w:p>
            <w:pPr>
              <w:widowControl/>
              <w:adjustRightInd w:val="0"/>
              <w:snapToGrid w:val="0"/>
              <w:jc w:val="center"/>
              <w:rPr>
                <w:kern w:val="0"/>
                <w:sz w:val="20"/>
              </w:rPr>
            </w:pPr>
            <w:r>
              <w:rPr>
                <w:kern w:val="0"/>
                <w:sz w:val="20"/>
              </w:rPr>
              <w:t>＜0.20</w:t>
            </w:r>
          </w:p>
        </w:tc>
        <w:tc>
          <w:tcPr>
            <w:tcW w:w="1118" w:type="dxa"/>
            <w:shd w:val="clear" w:color="auto" w:fill="auto"/>
            <w:vAlign w:val="center"/>
          </w:tcPr>
          <w:p>
            <w:pPr>
              <w:widowControl/>
              <w:adjustRightInd w:val="0"/>
              <w:snapToGrid w:val="0"/>
              <w:jc w:val="center"/>
              <w:rPr>
                <w:kern w:val="0"/>
                <w:sz w:val="20"/>
              </w:rPr>
            </w:pPr>
            <w:r>
              <w:rPr>
                <w:kern w:val="0"/>
                <w:sz w:val="20"/>
              </w:rPr>
              <w:t>＜0.20</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w:t>
            </w:r>
          </w:p>
        </w:tc>
        <w:tc>
          <w:tcPr>
            <w:tcW w:w="949" w:type="dxa"/>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镉</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＜0.05</w:t>
            </w:r>
          </w:p>
        </w:tc>
        <w:tc>
          <w:tcPr>
            <w:tcW w:w="1118" w:type="dxa"/>
            <w:shd w:val="clear" w:color="auto" w:fill="auto"/>
            <w:vAlign w:val="center"/>
          </w:tcPr>
          <w:p>
            <w:pPr>
              <w:widowControl/>
              <w:adjustRightInd w:val="0"/>
              <w:snapToGrid w:val="0"/>
              <w:jc w:val="center"/>
              <w:rPr>
                <w:kern w:val="0"/>
                <w:sz w:val="20"/>
              </w:rPr>
            </w:pPr>
            <w:r>
              <w:rPr>
                <w:kern w:val="0"/>
                <w:sz w:val="20"/>
              </w:rPr>
              <w:t>＜0.05</w:t>
            </w:r>
          </w:p>
        </w:tc>
        <w:tc>
          <w:tcPr>
            <w:tcW w:w="1118" w:type="dxa"/>
            <w:shd w:val="clear" w:color="auto" w:fill="auto"/>
            <w:vAlign w:val="center"/>
          </w:tcPr>
          <w:p>
            <w:pPr>
              <w:widowControl/>
              <w:adjustRightInd w:val="0"/>
              <w:snapToGrid w:val="0"/>
              <w:jc w:val="center"/>
              <w:rPr>
                <w:kern w:val="0"/>
                <w:sz w:val="20"/>
              </w:rPr>
            </w:pPr>
            <w:r>
              <w:rPr>
                <w:kern w:val="0"/>
                <w:sz w:val="20"/>
              </w:rPr>
              <w:t>＜0.05</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529" w:type="dxa"/>
            <w:shd w:val="clear" w:color="auto" w:fill="auto"/>
            <w:noWrap/>
            <w:vAlign w:val="center"/>
          </w:tcPr>
          <w:p>
            <w:pPr>
              <w:widowControl/>
              <w:adjustRightInd w:val="0"/>
              <w:snapToGrid w:val="0"/>
              <w:jc w:val="center"/>
              <w:rPr>
                <w:kern w:val="0"/>
                <w:sz w:val="20"/>
              </w:rPr>
            </w:pPr>
            <w:r>
              <w:rPr>
                <w:kern w:val="0"/>
                <w:sz w:val="20"/>
              </w:rPr>
              <w:t>铅</w:t>
            </w:r>
          </w:p>
        </w:tc>
        <w:tc>
          <w:tcPr>
            <w:tcW w:w="989" w:type="dxa"/>
            <w:shd w:val="clear" w:color="auto" w:fill="auto"/>
            <w:vAlign w:val="center"/>
          </w:tcPr>
          <w:p>
            <w:pPr>
              <w:widowControl/>
              <w:adjustRightInd w:val="0"/>
              <w:snapToGrid w:val="0"/>
              <w:jc w:val="center"/>
              <w:rPr>
                <w:kern w:val="0"/>
                <w:sz w:val="20"/>
              </w:rPr>
            </w:pPr>
            <w:r>
              <w:rPr>
                <w:kern w:val="0"/>
                <w:sz w:val="20"/>
              </w:rPr>
              <w:t>μg/L</w:t>
            </w:r>
          </w:p>
        </w:tc>
        <w:tc>
          <w:tcPr>
            <w:tcW w:w="1118" w:type="dxa"/>
            <w:shd w:val="clear" w:color="auto" w:fill="auto"/>
            <w:vAlign w:val="center"/>
          </w:tcPr>
          <w:p>
            <w:pPr>
              <w:widowControl/>
              <w:adjustRightInd w:val="0"/>
              <w:snapToGrid w:val="0"/>
              <w:jc w:val="center"/>
              <w:rPr>
                <w:kern w:val="0"/>
                <w:sz w:val="20"/>
              </w:rPr>
            </w:pPr>
            <w:r>
              <w:rPr>
                <w:kern w:val="0"/>
                <w:sz w:val="20"/>
              </w:rPr>
              <w:t>＜0.09</w:t>
            </w:r>
          </w:p>
        </w:tc>
        <w:tc>
          <w:tcPr>
            <w:tcW w:w="1118" w:type="dxa"/>
            <w:shd w:val="clear" w:color="auto" w:fill="auto"/>
            <w:vAlign w:val="center"/>
          </w:tcPr>
          <w:p>
            <w:pPr>
              <w:widowControl/>
              <w:adjustRightInd w:val="0"/>
              <w:snapToGrid w:val="0"/>
              <w:jc w:val="center"/>
              <w:rPr>
                <w:kern w:val="0"/>
                <w:sz w:val="20"/>
              </w:rPr>
            </w:pPr>
            <w:r>
              <w:rPr>
                <w:kern w:val="0"/>
                <w:sz w:val="20"/>
              </w:rPr>
              <w:t>＜0.09</w:t>
            </w:r>
          </w:p>
        </w:tc>
        <w:tc>
          <w:tcPr>
            <w:tcW w:w="1118" w:type="dxa"/>
            <w:shd w:val="clear" w:color="auto" w:fill="auto"/>
            <w:vAlign w:val="center"/>
          </w:tcPr>
          <w:p>
            <w:pPr>
              <w:widowControl/>
              <w:adjustRightInd w:val="0"/>
              <w:snapToGrid w:val="0"/>
              <w:jc w:val="center"/>
              <w:rPr>
                <w:kern w:val="0"/>
                <w:sz w:val="20"/>
              </w:rPr>
            </w:pPr>
            <w:r>
              <w:rPr>
                <w:kern w:val="0"/>
                <w:sz w:val="20"/>
              </w:rPr>
              <w:t>＜0.09</w:t>
            </w:r>
          </w:p>
        </w:tc>
        <w:tc>
          <w:tcPr>
            <w:tcW w:w="855" w:type="dxa"/>
            <w:shd w:val="clear" w:color="auto" w:fill="auto"/>
            <w:vAlign w:val="center"/>
          </w:tcPr>
          <w:p>
            <w:pPr>
              <w:widowControl/>
              <w:adjustRightInd w:val="0"/>
              <w:snapToGrid w:val="0"/>
              <w:jc w:val="center"/>
              <w:rPr>
                <w:kern w:val="0"/>
                <w:sz w:val="20"/>
              </w:rPr>
            </w:pPr>
            <w:r>
              <w:rPr>
                <w:kern w:val="0"/>
                <w:sz w:val="20"/>
              </w:rPr>
              <w:t>/</w:t>
            </w:r>
          </w:p>
        </w:tc>
        <w:tc>
          <w:tcPr>
            <w:tcW w:w="836" w:type="dxa"/>
            <w:shd w:val="clear" w:color="auto" w:fill="auto"/>
            <w:vAlign w:val="center"/>
          </w:tcPr>
          <w:p>
            <w:pPr>
              <w:widowControl/>
              <w:adjustRightInd w:val="0"/>
              <w:snapToGrid w:val="0"/>
              <w:jc w:val="center"/>
              <w:rPr>
                <w:kern w:val="0"/>
                <w:sz w:val="20"/>
              </w:rPr>
            </w:pPr>
            <w:r>
              <w:rPr>
                <w:kern w:val="0"/>
                <w:sz w:val="20"/>
              </w:rPr>
              <w:t>未检出</w:t>
            </w:r>
          </w:p>
        </w:tc>
        <w:tc>
          <w:tcPr>
            <w:tcW w:w="949" w:type="dxa"/>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未检出</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0" w:type="auto"/>
            <w:shd w:val="clear" w:color="auto" w:fill="auto"/>
            <w:vAlign w:val="center"/>
          </w:tcPr>
          <w:p>
            <w:pPr>
              <w:widowControl/>
              <w:adjustRightInd w:val="0"/>
              <w:snapToGrid w:val="0"/>
              <w:jc w:val="center"/>
              <w:rPr>
                <w:kern w:val="0"/>
                <w:sz w:val="20"/>
              </w:rPr>
            </w:pPr>
            <w:r>
              <w:rPr>
                <w:kern w:val="0"/>
                <w:sz w:val="20"/>
              </w:rPr>
              <w:t>/</w:t>
            </w:r>
          </w:p>
        </w:tc>
        <w:tc>
          <w:tcPr>
            <w:tcW w:w="898" w:type="dxa"/>
            <w:shd w:val="clear" w:color="auto" w:fill="auto"/>
            <w:vAlign w:val="center"/>
          </w:tcPr>
          <w:p>
            <w:pPr>
              <w:widowControl/>
              <w:adjustRightInd w:val="0"/>
              <w:snapToGrid w:val="0"/>
              <w:jc w:val="center"/>
              <w:rPr>
                <w:kern w:val="0"/>
                <w:sz w:val="20"/>
              </w:rPr>
            </w:pPr>
            <w:r>
              <w:rPr>
                <w:kern w:val="0"/>
                <w:sz w:val="20"/>
              </w:rPr>
              <w:t>/</w:t>
            </w:r>
          </w:p>
        </w:tc>
        <w:tc>
          <w:tcPr>
            <w:tcW w:w="864" w:type="dxa"/>
            <w:shd w:val="clear" w:color="auto" w:fill="auto"/>
            <w:noWrap/>
            <w:vAlign w:val="center"/>
          </w:tcPr>
          <w:p>
            <w:pPr>
              <w:widowControl/>
              <w:adjustRightInd w:val="0"/>
              <w:snapToGrid w:val="0"/>
              <w:jc w:val="center"/>
              <w:rPr>
                <w:kern w:val="0"/>
                <w:sz w:val="20"/>
              </w:rPr>
            </w:pPr>
            <w:r>
              <w:rPr>
                <w:kern w:val="0"/>
                <w:sz w:val="20"/>
              </w:rPr>
              <w:t>0%</w:t>
            </w:r>
          </w:p>
        </w:tc>
        <w:tc>
          <w:tcPr>
            <w:tcW w:w="850" w:type="dxa"/>
            <w:shd w:val="clear" w:color="auto" w:fill="auto"/>
            <w:noWrap/>
            <w:vAlign w:val="center"/>
          </w:tcPr>
          <w:p>
            <w:pPr>
              <w:widowControl/>
              <w:adjustRightInd w:val="0"/>
              <w:snapToGrid w:val="0"/>
              <w:jc w:val="center"/>
              <w:rPr>
                <w:kern w:val="0"/>
                <w:sz w:val="20"/>
              </w:rPr>
            </w:pPr>
            <w:r>
              <w:rPr>
                <w:kern w:val="0"/>
                <w:sz w:val="20"/>
              </w:rPr>
              <w:t>0%</w:t>
            </w:r>
          </w:p>
        </w:tc>
      </w:tr>
    </w:tbl>
    <w:p>
      <w:pPr>
        <w:rPr>
          <w:sz w:val="24"/>
        </w:rPr>
      </w:pPr>
    </w:p>
    <w:p>
      <w:pPr>
        <w:rPr>
          <w:sz w:val="24"/>
        </w:rPr>
        <w:sectPr>
          <w:pgSz w:w="16838" w:h="11906" w:orient="landscape"/>
          <w:pgMar w:top="1361" w:right="1440" w:bottom="1361" w:left="1440" w:header="851" w:footer="992" w:gutter="0"/>
          <w:cols w:space="425" w:num="1"/>
          <w:docGrid w:type="lines" w:linePitch="312" w:charSpace="0"/>
        </w:sectPr>
      </w:pPr>
    </w:p>
    <w:p>
      <w:pPr>
        <w:adjustRightInd w:val="0"/>
        <w:snapToGrid w:val="0"/>
        <w:spacing w:line="360" w:lineRule="auto"/>
        <w:ind w:firstLine="420" w:firstLineChars="200"/>
        <w:rPr>
          <w:sz w:val="24"/>
        </w:rPr>
      </w:pPr>
      <w:r>
        <w:rPr>
          <w:rFonts w:hint="eastAsia"/>
        </w:rPr>
        <w:t>（7）</w:t>
      </w:r>
      <w:r>
        <w:rPr>
          <w:sz w:val="24"/>
        </w:rPr>
        <w:t>地下水化学类型分析</w:t>
      </w:r>
    </w:p>
    <w:p>
      <w:pPr>
        <w:adjustRightInd w:val="0"/>
        <w:snapToGrid w:val="0"/>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sz w:val="24"/>
        </w:rPr>
        <w:t>①</w:t>
      </w:r>
      <w:r>
        <w:rPr>
          <w:sz w:val="24"/>
        </w:rPr>
        <w:fldChar w:fldCharType="end"/>
      </w:r>
      <w:r>
        <w:rPr>
          <w:sz w:val="24"/>
        </w:rPr>
        <w:t>八大离子监测结果</w:t>
      </w:r>
    </w:p>
    <w:p>
      <w:pPr>
        <w:adjustRightInd w:val="0"/>
        <w:snapToGrid w:val="0"/>
        <w:spacing w:line="360" w:lineRule="auto"/>
        <w:ind w:firstLine="480" w:firstLineChars="200"/>
        <w:rPr>
          <w:sz w:val="24"/>
        </w:rPr>
      </w:pPr>
      <w:r>
        <w:rPr>
          <w:sz w:val="24"/>
        </w:rPr>
        <w:t>潜水八大离子监测分析结果情况见表4.3</w:t>
      </w:r>
      <w:r>
        <w:rPr>
          <w:rFonts w:hint="eastAsia"/>
          <w:sz w:val="24"/>
        </w:rPr>
        <w:t>.</w:t>
      </w:r>
      <w:r>
        <w:rPr>
          <w:sz w:val="24"/>
        </w:rPr>
        <w:t>3-4。</w:t>
      </w:r>
    </w:p>
    <w:p>
      <w:pPr>
        <w:spacing w:line="480" w:lineRule="exact"/>
        <w:jc w:val="center"/>
        <w:rPr>
          <w:rFonts w:eastAsia="黑体"/>
          <w:szCs w:val="21"/>
          <w:lang w:val="zh-CN"/>
        </w:rPr>
      </w:pPr>
      <w:r>
        <w:rPr>
          <w:rFonts w:eastAsia="黑体"/>
          <w:sz w:val="24"/>
          <w:szCs w:val="24"/>
          <w:lang w:val="zh-CN"/>
        </w:rPr>
        <w:t>表4.3.3-4</w:t>
      </w:r>
      <w:r>
        <w:rPr>
          <w:rFonts w:eastAsia="黑体"/>
          <w:sz w:val="24"/>
          <w:szCs w:val="24"/>
        </w:rPr>
        <w:t xml:space="preserve">    </w:t>
      </w:r>
      <w:r>
        <w:rPr>
          <w:rFonts w:eastAsia="黑体"/>
          <w:sz w:val="24"/>
          <w:szCs w:val="24"/>
          <w:lang w:val="zh-CN"/>
        </w:rPr>
        <w:t>八大离子现状监测结果一览表</w:t>
      </w:r>
      <w:r>
        <w:rPr>
          <w:rFonts w:eastAsia="黑体"/>
          <w:sz w:val="24"/>
          <w:szCs w:val="24"/>
        </w:rPr>
        <w:t xml:space="preserve">  </w:t>
      </w:r>
      <w:r>
        <w:rPr>
          <w:rFonts w:eastAsia="黑体"/>
          <w:szCs w:val="21"/>
          <w:lang w:val="zh-CN"/>
        </w:rPr>
        <w:t>单位：mg/L</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110"/>
        <w:gridCol w:w="1624"/>
        <w:gridCol w:w="1273"/>
        <w:gridCol w:w="994"/>
        <w:gridCol w:w="852"/>
        <w:gridCol w:w="990"/>
        <w:gridCol w:w="9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项目</w:t>
            </w:r>
          </w:p>
        </w:tc>
        <w:tc>
          <w:tcPr>
            <w:tcW w:w="4545" w:type="pct"/>
            <w:gridSpan w:val="7"/>
            <w:vAlign w:val="center"/>
          </w:tcPr>
          <w:p>
            <w:pPr>
              <w:adjustRightInd w:val="0"/>
              <w:snapToGrid w:val="0"/>
              <w:jc w:val="center"/>
            </w:pPr>
            <w:r>
              <w:t>监测点位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类型</w:t>
            </w:r>
          </w:p>
        </w:tc>
        <w:tc>
          <w:tcPr>
            <w:tcW w:w="4545" w:type="pct"/>
            <w:gridSpan w:val="7"/>
            <w:vAlign w:val="center"/>
          </w:tcPr>
          <w:p>
            <w:pPr>
              <w:adjustRightInd w:val="0"/>
              <w:snapToGrid w:val="0"/>
              <w:jc w:val="center"/>
            </w:pPr>
            <w:r>
              <w:t>潜水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监测因子</w:t>
            </w:r>
          </w:p>
        </w:tc>
        <w:tc>
          <w:tcPr>
            <w:tcW w:w="651" w:type="pct"/>
            <w:shd w:val="clear" w:color="auto" w:fill="auto"/>
            <w:vAlign w:val="center"/>
          </w:tcPr>
          <w:p>
            <w:pPr>
              <w:adjustRightInd w:val="0"/>
              <w:snapToGrid w:val="0"/>
              <w:jc w:val="center"/>
              <w:rPr>
                <w:szCs w:val="21"/>
              </w:rPr>
            </w:pPr>
            <w:r>
              <w:rPr>
                <w:rFonts w:hint="eastAsia"/>
                <w:kern w:val="0"/>
                <w:sz w:val="20"/>
                <w:szCs w:val="22"/>
              </w:rPr>
              <w:t>G1</w:t>
            </w:r>
            <w:r>
              <w:rPr>
                <w:kern w:val="0"/>
                <w:sz w:val="20"/>
                <w:szCs w:val="22"/>
              </w:rPr>
              <w:t>本厂址西侧钻孔1</w:t>
            </w:r>
          </w:p>
        </w:tc>
        <w:tc>
          <w:tcPr>
            <w:tcW w:w="953" w:type="pct"/>
            <w:shd w:val="clear" w:color="auto" w:fill="auto"/>
            <w:vAlign w:val="center"/>
          </w:tcPr>
          <w:p>
            <w:pPr>
              <w:adjustRightInd w:val="0"/>
              <w:snapToGrid w:val="0"/>
              <w:jc w:val="center"/>
            </w:pPr>
            <w:r>
              <w:rPr>
                <w:rFonts w:hint="eastAsia"/>
              </w:rPr>
              <w:t>G4</w:t>
            </w:r>
            <w:r>
              <w:t>本项目厂址南侧生活垃圾焚烧厂内钻孔1</w:t>
            </w:r>
          </w:p>
        </w:tc>
        <w:tc>
          <w:tcPr>
            <w:tcW w:w="747" w:type="pct"/>
            <w:shd w:val="clear" w:color="auto" w:fill="auto"/>
            <w:vAlign w:val="center"/>
          </w:tcPr>
          <w:p>
            <w:pPr>
              <w:adjustRightInd w:val="0"/>
              <w:snapToGrid w:val="0"/>
              <w:jc w:val="center"/>
            </w:pPr>
            <w:r>
              <w:rPr>
                <w:rFonts w:hint="eastAsia"/>
                <w:kern w:val="0"/>
                <w:szCs w:val="21"/>
              </w:rPr>
              <w:t>G8</w:t>
            </w:r>
            <w:r>
              <w:rPr>
                <w:kern w:val="0"/>
                <w:szCs w:val="21"/>
              </w:rPr>
              <w:t>凯拓商砼水泥厂内水井</w:t>
            </w:r>
          </w:p>
        </w:tc>
        <w:tc>
          <w:tcPr>
            <w:tcW w:w="583" w:type="pct"/>
            <w:vAlign w:val="center"/>
          </w:tcPr>
          <w:p>
            <w:pPr>
              <w:adjustRightInd w:val="0"/>
              <w:snapToGrid w:val="0"/>
              <w:jc w:val="center"/>
              <w:rPr>
                <w:kern w:val="0"/>
                <w:szCs w:val="21"/>
              </w:rPr>
            </w:pPr>
            <w:r>
              <w:rPr>
                <w:rFonts w:hint="eastAsia"/>
                <w:kern w:val="0"/>
                <w:szCs w:val="21"/>
              </w:rPr>
              <w:t>G2</w:t>
            </w:r>
            <w:r>
              <w:rPr>
                <w:kern w:val="0"/>
                <w:szCs w:val="21"/>
              </w:rPr>
              <w:t>本厂址西侧钻孔2</w:t>
            </w:r>
          </w:p>
        </w:tc>
        <w:tc>
          <w:tcPr>
            <w:tcW w:w="500" w:type="pct"/>
            <w:vAlign w:val="center"/>
          </w:tcPr>
          <w:p>
            <w:pPr>
              <w:adjustRightInd w:val="0"/>
              <w:snapToGrid w:val="0"/>
              <w:jc w:val="center"/>
            </w:pPr>
            <w:r>
              <w:rPr>
                <w:rFonts w:hint="eastAsia"/>
                <w:kern w:val="0"/>
                <w:szCs w:val="21"/>
              </w:rPr>
              <w:t>G6</w:t>
            </w:r>
            <w:r>
              <w:rPr>
                <w:kern w:val="0"/>
                <w:szCs w:val="21"/>
              </w:rPr>
              <w:t>土城子村</w:t>
            </w:r>
          </w:p>
        </w:tc>
        <w:tc>
          <w:tcPr>
            <w:tcW w:w="581" w:type="pct"/>
            <w:vAlign w:val="center"/>
          </w:tcPr>
          <w:p>
            <w:pPr>
              <w:adjustRightInd w:val="0"/>
              <w:snapToGrid w:val="0"/>
              <w:jc w:val="center"/>
            </w:pPr>
            <w:r>
              <w:rPr>
                <w:rFonts w:hint="eastAsia"/>
                <w:kern w:val="0"/>
                <w:szCs w:val="21"/>
              </w:rPr>
              <w:t>G7</w:t>
            </w:r>
            <w:r>
              <w:rPr>
                <w:kern w:val="0"/>
                <w:szCs w:val="21"/>
              </w:rPr>
              <w:t>龙头山村</w:t>
            </w:r>
          </w:p>
        </w:tc>
        <w:tc>
          <w:tcPr>
            <w:tcW w:w="529" w:type="pct"/>
            <w:vAlign w:val="center"/>
          </w:tcPr>
          <w:p>
            <w:pPr>
              <w:adjustRightInd w:val="0"/>
              <w:snapToGrid w:val="0"/>
              <w:jc w:val="center"/>
            </w:pPr>
            <w:r>
              <w:rPr>
                <w:rFonts w:hint="eastAsia"/>
                <w:kern w:val="0"/>
                <w:szCs w:val="21"/>
              </w:rPr>
              <w:t>G11</w:t>
            </w:r>
            <w:r>
              <w:rPr>
                <w:kern w:val="0"/>
                <w:szCs w:val="21"/>
              </w:rPr>
              <w:t>二十二号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K</w:t>
            </w:r>
            <w:r>
              <w:rPr>
                <w:vertAlign w:val="superscript"/>
              </w:rPr>
              <w:t>+</w:t>
            </w:r>
          </w:p>
        </w:tc>
        <w:tc>
          <w:tcPr>
            <w:tcW w:w="651" w:type="pct"/>
            <w:vAlign w:val="center"/>
          </w:tcPr>
          <w:p>
            <w:pPr>
              <w:adjustRightInd w:val="0"/>
              <w:snapToGrid w:val="0"/>
              <w:jc w:val="center"/>
            </w:pPr>
            <w:r>
              <w:rPr>
                <w:szCs w:val="21"/>
              </w:rPr>
              <w:t>1.76</w:t>
            </w:r>
          </w:p>
        </w:tc>
        <w:tc>
          <w:tcPr>
            <w:tcW w:w="953" w:type="pct"/>
            <w:vAlign w:val="center"/>
          </w:tcPr>
          <w:p>
            <w:pPr>
              <w:adjustRightInd w:val="0"/>
              <w:snapToGrid w:val="0"/>
              <w:jc w:val="center"/>
            </w:pPr>
            <w:r>
              <w:rPr>
                <w:szCs w:val="21"/>
              </w:rPr>
              <w:t>1.95</w:t>
            </w:r>
          </w:p>
        </w:tc>
        <w:tc>
          <w:tcPr>
            <w:tcW w:w="747" w:type="pct"/>
            <w:vAlign w:val="center"/>
          </w:tcPr>
          <w:p>
            <w:pPr>
              <w:adjustRightInd w:val="0"/>
              <w:snapToGrid w:val="0"/>
              <w:jc w:val="center"/>
            </w:pPr>
            <w:r>
              <w:rPr>
                <w:szCs w:val="21"/>
              </w:rPr>
              <w:t>1.8</w:t>
            </w:r>
          </w:p>
        </w:tc>
        <w:tc>
          <w:tcPr>
            <w:tcW w:w="583" w:type="pct"/>
            <w:vAlign w:val="center"/>
          </w:tcPr>
          <w:p>
            <w:pPr>
              <w:adjustRightInd w:val="0"/>
              <w:snapToGrid w:val="0"/>
              <w:jc w:val="center"/>
              <w:rPr>
                <w:rFonts w:eastAsia="等线"/>
                <w:szCs w:val="21"/>
              </w:rPr>
            </w:pPr>
            <w:r>
              <w:rPr>
                <w:rFonts w:eastAsia="等线"/>
                <w:szCs w:val="21"/>
              </w:rPr>
              <w:t>ND</w:t>
            </w:r>
          </w:p>
        </w:tc>
        <w:tc>
          <w:tcPr>
            <w:tcW w:w="500" w:type="pct"/>
            <w:vAlign w:val="center"/>
          </w:tcPr>
          <w:p>
            <w:pPr>
              <w:adjustRightInd w:val="0"/>
              <w:snapToGrid w:val="0"/>
              <w:jc w:val="center"/>
            </w:pPr>
            <w:r>
              <w:rPr>
                <w:rFonts w:eastAsia="等线"/>
                <w:szCs w:val="21"/>
              </w:rPr>
              <w:t>0.67</w:t>
            </w:r>
          </w:p>
        </w:tc>
        <w:tc>
          <w:tcPr>
            <w:tcW w:w="581" w:type="pct"/>
            <w:vAlign w:val="center"/>
          </w:tcPr>
          <w:p>
            <w:pPr>
              <w:adjustRightInd w:val="0"/>
              <w:snapToGrid w:val="0"/>
              <w:jc w:val="center"/>
            </w:pPr>
            <w:r>
              <w:rPr>
                <w:rFonts w:eastAsia="等线"/>
                <w:szCs w:val="21"/>
              </w:rPr>
              <w:t>0.66</w:t>
            </w:r>
          </w:p>
        </w:tc>
        <w:tc>
          <w:tcPr>
            <w:tcW w:w="529" w:type="pct"/>
            <w:vAlign w:val="center"/>
          </w:tcPr>
          <w:p>
            <w:pPr>
              <w:adjustRightInd w:val="0"/>
              <w:snapToGrid w:val="0"/>
              <w:jc w:val="center"/>
            </w:pPr>
            <w:r>
              <w:rPr>
                <w:rFonts w:eastAsia="等线"/>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Na</w:t>
            </w:r>
            <w:r>
              <w:rPr>
                <w:vertAlign w:val="superscript"/>
              </w:rPr>
              <w:t>+</w:t>
            </w:r>
          </w:p>
        </w:tc>
        <w:tc>
          <w:tcPr>
            <w:tcW w:w="651" w:type="pct"/>
            <w:vAlign w:val="center"/>
          </w:tcPr>
          <w:p>
            <w:pPr>
              <w:adjustRightInd w:val="0"/>
              <w:snapToGrid w:val="0"/>
              <w:jc w:val="center"/>
            </w:pPr>
            <w:r>
              <w:rPr>
                <w:szCs w:val="21"/>
              </w:rPr>
              <w:t>36.5</w:t>
            </w:r>
          </w:p>
        </w:tc>
        <w:tc>
          <w:tcPr>
            <w:tcW w:w="953" w:type="pct"/>
            <w:vAlign w:val="center"/>
          </w:tcPr>
          <w:p>
            <w:pPr>
              <w:adjustRightInd w:val="0"/>
              <w:snapToGrid w:val="0"/>
              <w:jc w:val="center"/>
            </w:pPr>
            <w:r>
              <w:rPr>
                <w:szCs w:val="21"/>
              </w:rPr>
              <w:t>35.4</w:t>
            </w:r>
          </w:p>
        </w:tc>
        <w:tc>
          <w:tcPr>
            <w:tcW w:w="747" w:type="pct"/>
            <w:vAlign w:val="center"/>
          </w:tcPr>
          <w:p>
            <w:pPr>
              <w:adjustRightInd w:val="0"/>
              <w:snapToGrid w:val="0"/>
              <w:jc w:val="center"/>
            </w:pPr>
            <w:r>
              <w:rPr>
                <w:szCs w:val="21"/>
              </w:rPr>
              <w:t>35.4</w:t>
            </w:r>
          </w:p>
        </w:tc>
        <w:tc>
          <w:tcPr>
            <w:tcW w:w="583" w:type="pct"/>
            <w:vAlign w:val="center"/>
          </w:tcPr>
          <w:p>
            <w:pPr>
              <w:adjustRightInd w:val="0"/>
              <w:snapToGrid w:val="0"/>
              <w:jc w:val="center"/>
              <w:rPr>
                <w:rFonts w:eastAsia="等线"/>
                <w:szCs w:val="21"/>
              </w:rPr>
            </w:pPr>
            <w:r>
              <w:rPr>
                <w:rFonts w:eastAsia="等线"/>
                <w:kern w:val="0"/>
                <w:sz w:val="20"/>
              </w:rPr>
              <w:t>0.3</w:t>
            </w:r>
          </w:p>
        </w:tc>
        <w:tc>
          <w:tcPr>
            <w:tcW w:w="500" w:type="pct"/>
            <w:vAlign w:val="center"/>
          </w:tcPr>
          <w:p>
            <w:pPr>
              <w:adjustRightInd w:val="0"/>
              <w:snapToGrid w:val="0"/>
              <w:jc w:val="center"/>
            </w:pPr>
            <w:r>
              <w:rPr>
                <w:rFonts w:eastAsia="等线"/>
                <w:szCs w:val="21"/>
              </w:rPr>
              <w:t>45.5</w:t>
            </w:r>
          </w:p>
        </w:tc>
        <w:tc>
          <w:tcPr>
            <w:tcW w:w="581" w:type="pct"/>
            <w:vAlign w:val="center"/>
          </w:tcPr>
          <w:p>
            <w:pPr>
              <w:adjustRightInd w:val="0"/>
              <w:snapToGrid w:val="0"/>
              <w:jc w:val="center"/>
            </w:pPr>
            <w:r>
              <w:rPr>
                <w:rFonts w:eastAsia="等线"/>
                <w:szCs w:val="21"/>
              </w:rPr>
              <w:t>44.9</w:t>
            </w:r>
          </w:p>
        </w:tc>
        <w:tc>
          <w:tcPr>
            <w:tcW w:w="529" w:type="pct"/>
            <w:vAlign w:val="center"/>
          </w:tcPr>
          <w:p>
            <w:pPr>
              <w:adjustRightInd w:val="0"/>
              <w:snapToGrid w:val="0"/>
              <w:jc w:val="center"/>
            </w:pPr>
            <w:r>
              <w:rPr>
                <w:rFonts w:eastAsia="等线"/>
                <w:szCs w:val="21"/>
              </w:rPr>
              <w:t>47.1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Ca</w:t>
            </w:r>
            <w:r>
              <w:rPr>
                <w:vertAlign w:val="superscript"/>
              </w:rPr>
              <w:t>2+</w:t>
            </w:r>
          </w:p>
        </w:tc>
        <w:tc>
          <w:tcPr>
            <w:tcW w:w="651" w:type="pct"/>
            <w:vAlign w:val="center"/>
          </w:tcPr>
          <w:p>
            <w:pPr>
              <w:adjustRightInd w:val="0"/>
              <w:snapToGrid w:val="0"/>
              <w:jc w:val="center"/>
            </w:pPr>
            <w:r>
              <w:rPr>
                <w:szCs w:val="21"/>
              </w:rPr>
              <w:t>44.2</w:t>
            </w:r>
          </w:p>
        </w:tc>
        <w:tc>
          <w:tcPr>
            <w:tcW w:w="953" w:type="pct"/>
            <w:vAlign w:val="center"/>
          </w:tcPr>
          <w:p>
            <w:pPr>
              <w:adjustRightInd w:val="0"/>
              <w:snapToGrid w:val="0"/>
              <w:jc w:val="center"/>
            </w:pPr>
            <w:r>
              <w:rPr>
                <w:szCs w:val="21"/>
              </w:rPr>
              <w:t>43.7</w:t>
            </w:r>
          </w:p>
        </w:tc>
        <w:tc>
          <w:tcPr>
            <w:tcW w:w="747" w:type="pct"/>
            <w:vAlign w:val="center"/>
          </w:tcPr>
          <w:p>
            <w:pPr>
              <w:adjustRightInd w:val="0"/>
              <w:snapToGrid w:val="0"/>
              <w:jc w:val="center"/>
            </w:pPr>
            <w:r>
              <w:rPr>
                <w:szCs w:val="21"/>
              </w:rPr>
              <w:t>43.7</w:t>
            </w:r>
          </w:p>
        </w:tc>
        <w:tc>
          <w:tcPr>
            <w:tcW w:w="583" w:type="pct"/>
            <w:vAlign w:val="center"/>
          </w:tcPr>
          <w:p>
            <w:pPr>
              <w:adjustRightInd w:val="0"/>
              <w:snapToGrid w:val="0"/>
              <w:jc w:val="center"/>
              <w:rPr>
                <w:rFonts w:eastAsia="等线"/>
                <w:szCs w:val="21"/>
              </w:rPr>
            </w:pPr>
            <w:r>
              <w:rPr>
                <w:rFonts w:eastAsia="等线"/>
                <w:kern w:val="0"/>
                <w:sz w:val="20"/>
              </w:rPr>
              <w:t>132</w:t>
            </w:r>
          </w:p>
        </w:tc>
        <w:tc>
          <w:tcPr>
            <w:tcW w:w="500" w:type="pct"/>
            <w:vAlign w:val="center"/>
          </w:tcPr>
          <w:p>
            <w:pPr>
              <w:adjustRightInd w:val="0"/>
              <w:snapToGrid w:val="0"/>
              <w:jc w:val="center"/>
            </w:pPr>
            <w:r>
              <w:rPr>
                <w:rFonts w:eastAsia="等线"/>
                <w:szCs w:val="21"/>
              </w:rPr>
              <w:t>31.2</w:t>
            </w:r>
          </w:p>
        </w:tc>
        <w:tc>
          <w:tcPr>
            <w:tcW w:w="581" w:type="pct"/>
            <w:vAlign w:val="center"/>
          </w:tcPr>
          <w:p>
            <w:pPr>
              <w:adjustRightInd w:val="0"/>
              <w:snapToGrid w:val="0"/>
              <w:jc w:val="center"/>
            </w:pPr>
            <w:r>
              <w:rPr>
                <w:rFonts w:eastAsia="等线"/>
                <w:szCs w:val="21"/>
              </w:rPr>
              <w:t>30.6</w:t>
            </w:r>
          </w:p>
        </w:tc>
        <w:tc>
          <w:tcPr>
            <w:tcW w:w="529" w:type="pct"/>
            <w:vAlign w:val="center"/>
          </w:tcPr>
          <w:p>
            <w:pPr>
              <w:adjustRightInd w:val="0"/>
              <w:snapToGrid w:val="0"/>
              <w:jc w:val="center"/>
            </w:pPr>
            <w:r>
              <w:rPr>
                <w:rFonts w:eastAsia="等线"/>
                <w:szCs w:val="21"/>
              </w:rPr>
              <w:t>29.8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Mg</w:t>
            </w:r>
            <w:r>
              <w:rPr>
                <w:vertAlign w:val="superscript"/>
              </w:rPr>
              <w:t>2+</w:t>
            </w:r>
          </w:p>
        </w:tc>
        <w:tc>
          <w:tcPr>
            <w:tcW w:w="651" w:type="pct"/>
            <w:vAlign w:val="center"/>
          </w:tcPr>
          <w:p>
            <w:pPr>
              <w:adjustRightInd w:val="0"/>
              <w:snapToGrid w:val="0"/>
              <w:jc w:val="center"/>
            </w:pPr>
            <w:r>
              <w:rPr>
                <w:szCs w:val="21"/>
              </w:rPr>
              <w:t>18</w:t>
            </w:r>
          </w:p>
        </w:tc>
        <w:tc>
          <w:tcPr>
            <w:tcW w:w="953" w:type="pct"/>
            <w:vAlign w:val="center"/>
          </w:tcPr>
          <w:p>
            <w:pPr>
              <w:adjustRightInd w:val="0"/>
              <w:snapToGrid w:val="0"/>
              <w:jc w:val="center"/>
            </w:pPr>
            <w:r>
              <w:rPr>
                <w:szCs w:val="21"/>
              </w:rPr>
              <w:t>19.1</w:t>
            </w:r>
          </w:p>
        </w:tc>
        <w:tc>
          <w:tcPr>
            <w:tcW w:w="747" w:type="pct"/>
            <w:vAlign w:val="center"/>
          </w:tcPr>
          <w:p>
            <w:pPr>
              <w:adjustRightInd w:val="0"/>
              <w:snapToGrid w:val="0"/>
              <w:jc w:val="center"/>
            </w:pPr>
            <w:r>
              <w:rPr>
                <w:szCs w:val="21"/>
              </w:rPr>
              <w:t>19.3</w:t>
            </w:r>
          </w:p>
        </w:tc>
        <w:tc>
          <w:tcPr>
            <w:tcW w:w="583" w:type="pct"/>
            <w:vAlign w:val="center"/>
          </w:tcPr>
          <w:p>
            <w:pPr>
              <w:adjustRightInd w:val="0"/>
              <w:snapToGrid w:val="0"/>
              <w:jc w:val="center"/>
              <w:rPr>
                <w:rFonts w:eastAsia="等线"/>
                <w:szCs w:val="21"/>
              </w:rPr>
            </w:pPr>
            <w:r>
              <w:rPr>
                <w:rFonts w:eastAsia="等线"/>
                <w:kern w:val="0"/>
                <w:sz w:val="20"/>
              </w:rPr>
              <w:t>26</w:t>
            </w:r>
          </w:p>
        </w:tc>
        <w:tc>
          <w:tcPr>
            <w:tcW w:w="500" w:type="pct"/>
            <w:vAlign w:val="center"/>
          </w:tcPr>
          <w:p>
            <w:pPr>
              <w:adjustRightInd w:val="0"/>
              <w:snapToGrid w:val="0"/>
              <w:jc w:val="center"/>
            </w:pPr>
            <w:r>
              <w:rPr>
                <w:rFonts w:eastAsia="等线"/>
                <w:szCs w:val="21"/>
              </w:rPr>
              <w:t>9.02</w:t>
            </w:r>
          </w:p>
        </w:tc>
        <w:tc>
          <w:tcPr>
            <w:tcW w:w="581" w:type="pct"/>
            <w:vAlign w:val="center"/>
          </w:tcPr>
          <w:p>
            <w:pPr>
              <w:adjustRightInd w:val="0"/>
              <w:snapToGrid w:val="0"/>
              <w:jc w:val="center"/>
            </w:pPr>
            <w:r>
              <w:rPr>
                <w:rFonts w:eastAsia="等线"/>
                <w:szCs w:val="21"/>
              </w:rPr>
              <w:t>9.26</w:t>
            </w:r>
          </w:p>
        </w:tc>
        <w:tc>
          <w:tcPr>
            <w:tcW w:w="529" w:type="pct"/>
            <w:vAlign w:val="center"/>
          </w:tcPr>
          <w:p>
            <w:pPr>
              <w:adjustRightInd w:val="0"/>
              <w:snapToGrid w:val="0"/>
              <w:jc w:val="center"/>
            </w:pPr>
            <w:r>
              <w:rPr>
                <w:rFonts w:eastAsia="等线"/>
                <w:szCs w:val="21"/>
              </w:rPr>
              <w:t>9.19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CO</w:t>
            </w:r>
            <w:r>
              <w:rPr>
                <w:vertAlign w:val="subscript"/>
              </w:rPr>
              <w:t>3</w:t>
            </w:r>
            <w:r>
              <w:rPr>
                <w:vertAlign w:val="superscript"/>
              </w:rPr>
              <w:t>2-</w:t>
            </w:r>
          </w:p>
        </w:tc>
        <w:tc>
          <w:tcPr>
            <w:tcW w:w="651" w:type="pct"/>
            <w:vAlign w:val="center"/>
          </w:tcPr>
          <w:p>
            <w:pPr>
              <w:adjustRightInd w:val="0"/>
              <w:snapToGrid w:val="0"/>
              <w:jc w:val="center"/>
            </w:pPr>
            <w:r>
              <w:rPr>
                <w:szCs w:val="21"/>
              </w:rPr>
              <w:t>0</w:t>
            </w:r>
          </w:p>
        </w:tc>
        <w:tc>
          <w:tcPr>
            <w:tcW w:w="953" w:type="pct"/>
            <w:vAlign w:val="center"/>
          </w:tcPr>
          <w:p>
            <w:pPr>
              <w:adjustRightInd w:val="0"/>
              <w:snapToGrid w:val="0"/>
              <w:jc w:val="center"/>
            </w:pPr>
            <w:r>
              <w:rPr>
                <w:szCs w:val="21"/>
              </w:rPr>
              <w:t>0</w:t>
            </w:r>
          </w:p>
        </w:tc>
        <w:tc>
          <w:tcPr>
            <w:tcW w:w="747" w:type="pct"/>
            <w:vAlign w:val="center"/>
          </w:tcPr>
          <w:p>
            <w:pPr>
              <w:adjustRightInd w:val="0"/>
              <w:snapToGrid w:val="0"/>
              <w:jc w:val="center"/>
            </w:pPr>
            <w:r>
              <w:rPr>
                <w:szCs w:val="21"/>
              </w:rPr>
              <w:t>0</w:t>
            </w:r>
          </w:p>
        </w:tc>
        <w:tc>
          <w:tcPr>
            <w:tcW w:w="583" w:type="pct"/>
            <w:vAlign w:val="center"/>
          </w:tcPr>
          <w:p>
            <w:pPr>
              <w:adjustRightInd w:val="0"/>
              <w:snapToGrid w:val="0"/>
              <w:jc w:val="center"/>
            </w:pPr>
            <w:r>
              <w:t>0</w:t>
            </w:r>
          </w:p>
        </w:tc>
        <w:tc>
          <w:tcPr>
            <w:tcW w:w="500" w:type="pct"/>
            <w:vAlign w:val="center"/>
          </w:tcPr>
          <w:p>
            <w:pPr>
              <w:adjustRightInd w:val="0"/>
              <w:snapToGrid w:val="0"/>
              <w:jc w:val="center"/>
            </w:pPr>
            <w:r>
              <w:t>0</w:t>
            </w:r>
          </w:p>
        </w:tc>
        <w:tc>
          <w:tcPr>
            <w:tcW w:w="581" w:type="pct"/>
            <w:vAlign w:val="center"/>
          </w:tcPr>
          <w:p>
            <w:pPr>
              <w:adjustRightInd w:val="0"/>
              <w:snapToGrid w:val="0"/>
              <w:jc w:val="center"/>
            </w:pPr>
            <w:r>
              <w:t>0</w:t>
            </w:r>
          </w:p>
        </w:tc>
        <w:tc>
          <w:tcPr>
            <w:tcW w:w="529" w:type="pct"/>
            <w:vAlign w:val="center"/>
          </w:tcPr>
          <w:p>
            <w:pPr>
              <w:adjustRightInd w:val="0"/>
              <w:snapToGrid w:val="0"/>
              <w:jc w:val="center"/>
            </w:pPr>
            <w: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HCO</w:t>
            </w:r>
            <w:r>
              <w:rPr>
                <w:vertAlign w:val="subscript"/>
              </w:rPr>
              <w:t>3</w:t>
            </w:r>
            <w:r>
              <w:rPr>
                <w:vertAlign w:val="superscript"/>
              </w:rPr>
              <w:t>-</w:t>
            </w:r>
          </w:p>
        </w:tc>
        <w:tc>
          <w:tcPr>
            <w:tcW w:w="651" w:type="pct"/>
            <w:vAlign w:val="center"/>
          </w:tcPr>
          <w:p>
            <w:pPr>
              <w:adjustRightInd w:val="0"/>
              <w:snapToGrid w:val="0"/>
              <w:jc w:val="center"/>
            </w:pPr>
            <w:r>
              <w:rPr>
                <w:szCs w:val="21"/>
              </w:rPr>
              <w:t>132</w:t>
            </w:r>
          </w:p>
        </w:tc>
        <w:tc>
          <w:tcPr>
            <w:tcW w:w="953" w:type="pct"/>
            <w:vAlign w:val="center"/>
          </w:tcPr>
          <w:p>
            <w:pPr>
              <w:adjustRightInd w:val="0"/>
              <w:snapToGrid w:val="0"/>
              <w:jc w:val="center"/>
            </w:pPr>
            <w:r>
              <w:rPr>
                <w:szCs w:val="21"/>
              </w:rPr>
              <w:t>128</w:t>
            </w:r>
          </w:p>
        </w:tc>
        <w:tc>
          <w:tcPr>
            <w:tcW w:w="747" w:type="pct"/>
            <w:vAlign w:val="center"/>
          </w:tcPr>
          <w:p>
            <w:pPr>
              <w:adjustRightInd w:val="0"/>
              <w:snapToGrid w:val="0"/>
              <w:jc w:val="center"/>
            </w:pPr>
            <w:r>
              <w:rPr>
                <w:szCs w:val="21"/>
              </w:rPr>
              <w:t>135</w:t>
            </w:r>
          </w:p>
        </w:tc>
        <w:tc>
          <w:tcPr>
            <w:tcW w:w="583" w:type="pct"/>
            <w:vAlign w:val="center"/>
          </w:tcPr>
          <w:p>
            <w:pPr>
              <w:adjustRightInd w:val="0"/>
              <w:snapToGrid w:val="0"/>
              <w:jc w:val="center"/>
              <w:rPr>
                <w:rFonts w:eastAsia="等线"/>
                <w:szCs w:val="21"/>
              </w:rPr>
            </w:pPr>
            <w:r>
              <w:rPr>
                <w:rFonts w:eastAsia="等线"/>
                <w:kern w:val="0"/>
                <w:sz w:val="20"/>
              </w:rPr>
              <w:t>7.69×10</w:t>
            </w:r>
            <w:r>
              <w:rPr>
                <w:rFonts w:eastAsia="等线"/>
                <w:kern w:val="0"/>
                <w:sz w:val="20"/>
                <w:vertAlign w:val="superscript"/>
              </w:rPr>
              <w:t>-3</w:t>
            </w:r>
          </w:p>
        </w:tc>
        <w:tc>
          <w:tcPr>
            <w:tcW w:w="500" w:type="pct"/>
            <w:vAlign w:val="center"/>
          </w:tcPr>
          <w:p>
            <w:pPr>
              <w:adjustRightInd w:val="0"/>
              <w:snapToGrid w:val="0"/>
              <w:jc w:val="center"/>
            </w:pPr>
            <w:r>
              <w:rPr>
                <w:rFonts w:eastAsia="等线"/>
                <w:szCs w:val="21"/>
              </w:rPr>
              <w:t>102</w:t>
            </w:r>
          </w:p>
        </w:tc>
        <w:tc>
          <w:tcPr>
            <w:tcW w:w="581" w:type="pct"/>
            <w:vAlign w:val="center"/>
          </w:tcPr>
          <w:p>
            <w:pPr>
              <w:adjustRightInd w:val="0"/>
              <w:snapToGrid w:val="0"/>
              <w:jc w:val="center"/>
            </w:pPr>
            <w:r>
              <w:rPr>
                <w:rFonts w:eastAsia="等线"/>
                <w:szCs w:val="21"/>
              </w:rPr>
              <w:t>115</w:t>
            </w:r>
          </w:p>
        </w:tc>
        <w:tc>
          <w:tcPr>
            <w:tcW w:w="529" w:type="pct"/>
            <w:vAlign w:val="center"/>
          </w:tcPr>
          <w:p>
            <w:pPr>
              <w:adjustRightInd w:val="0"/>
              <w:snapToGrid w:val="0"/>
              <w:jc w:val="center"/>
            </w:pPr>
            <w:r>
              <w:rPr>
                <w:rFonts w:eastAsia="等线"/>
                <w:szCs w:val="21"/>
              </w:rPr>
              <w:t>108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SO</w:t>
            </w:r>
            <w:r>
              <w:rPr>
                <w:vertAlign w:val="subscript"/>
              </w:rPr>
              <w:t>4</w:t>
            </w:r>
            <w:r>
              <w:rPr>
                <w:vertAlign w:val="superscript"/>
              </w:rPr>
              <w:t>2-</w:t>
            </w:r>
          </w:p>
        </w:tc>
        <w:tc>
          <w:tcPr>
            <w:tcW w:w="651" w:type="pct"/>
            <w:vAlign w:val="center"/>
          </w:tcPr>
          <w:p>
            <w:pPr>
              <w:adjustRightInd w:val="0"/>
              <w:snapToGrid w:val="0"/>
              <w:jc w:val="center"/>
            </w:pPr>
            <w:r>
              <w:rPr>
                <w:szCs w:val="21"/>
              </w:rPr>
              <w:t>58.2</w:t>
            </w:r>
          </w:p>
        </w:tc>
        <w:tc>
          <w:tcPr>
            <w:tcW w:w="953" w:type="pct"/>
            <w:vAlign w:val="center"/>
          </w:tcPr>
          <w:p>
            <w:pPr>
              <w:adjustRightInd w:val="0"/>
              <w:snapToGrid w:val="0"/>
              <w:jc w:val="center"/>
            </w:pPr>
            <w:r>
              <w:rPr>
                <w:szCs w:val="21"/>
              </w:rPr>
              <w:t>58.4</w:t>
            </w:r>
          </w:p>
        </w:tc>
        <w:tc>
          <w:tcPr>
            <w:tcW w:w="747" w:type="pct"/>
            <w:vAlign w:val="center"/>
          </w:tcPr>
          <w:p>
            <w:pPr>
              <w:adjustRightInd w:val="0"/>
              <w:snapToGrid w:val="0"/>
              <w:jc w:val="center"/>
            </w:pPr>
            <w:r>
              <w:rPr>
                <w:szCs w:val="21"/>
              </w:rPr>
              <w:t>59.2</w:t>
            </w:r>
          </w:p>
        </w:tc>
        <w:tc>
          <w:tcPr>
            <w:tcW w:w="583" w:type="pct"/>
            <w:vAlign w:val="center"/>
          </w:tcPr>
          <w:p>
            <w:pPr>
              <w:adjustRightInd w:val="0"/>
              <w:snapToGrid w:val="0"/>
              <w:jc w:val="center"/>
              <w:rPr>
                <w:rFonts w:eastAsia="等线"/>
                <w:szCs w:val="21"/>
              </w:rPr>
            </w:pPr>
            <w:r>
              <w:rPr>
                <w:rFonts w:eastAsia="等线"/>
                <w:szCs w:val="21"/>
              </w:rPr>
              <w:t>11</w:t>
            </w:r>
          </w:p>
        </w:tc>
        <w:tc>
          <w:tcPr>
            <w:tcW w:w="500" w:type="pct"/>
            <w:vAlign w:val="center"/>
          </w:tcPr>
          <w:p>
            <w:pPr>
              <w:adjustRightInd w:val="0"/>
              <w:snapToGrid w:val="0"/>
              <w:jc w:val="center"/>
            </w:pPr>
            <w:r>
              <w:rPr>
                <w:rFonts w:eastAsia="等线"/>
                <w:szCs w:val="21"/>
              </w:rPr>
              <w:t>56.2</w:t>
            </w:r>
          </w:p>
        </w:tc>
        <w:tc>
          <w:tcPr>
            <w:tcW w:w="581" w:type="pct"/>
            <w:vAlign w:val="center"/>
          </w:tcPr>
          <w:p>
            <w:pPr>
              <w:adjustRightInd w:val="0"/>
              <w:snapToGrid w:val="0"/>
              <w:jc w:val="center"/>
            </w:pPr>
            <w:r>
              <w:rPr>
                <w:rFonts w:eastAsia="等线"/>
                <w:szCs w:val="21"/>
              </w:rPr>
              <w:t>50.6</w:t>
            </w:r>
          </w:p>
        </w:tc>
        <w:tc>
          <w:tcPr>
            <w:tcW w:w="529" w:type="pct"/>
            <w:vAlign w:val="center"/>
          </w:tcPr>
          <w:p>
            <w:pPr>
              <w:adjustRightInd w:val="0"/>
              <w:snapToGrid w:val="0"/>
              <w:jc w:val="center"/>
            </w:pPr>
            <w:r>
              <w:rPr>
                <w:rFonts w:eastAsia="等线"/>
                <w:szCs w:val="21"/>
              </w:rPr>
              <w:t>55.3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Align w:val="center"/>
          </w:tcPr>
          <w:p>
            <w:pPr>
              <w:adjustRightInd w:val="0"/>
              <w:snapToGrid w:val="0"/>
              <w:jc w:val="center"/>
            </w:pPr>
            <w:r>
              <w:t>Cl</w:t>
            </w:r>
            <w:r>
              <w:rPr>
                <w:vertAlign w:val="superscript"/>
              </w:rPr>
              <w:t>-</w:t>
            </w:r>
          </w:p>
        </w:tc>
        <w:tc>
          <w:tcPr>
            <w:tcW w:w="651" w:type="pct"/>
            <w:vAlign w:val="center"/>
          </w:tcPr>
          <w:p>
            <w:pPr>
              <w:adjustRightInd w:val="0"/>
              <w:snapToGrid w:val="0"/>
              <w:jc w:val="center"/>
              <w:rPr>
                <w:szCs w:val="21"/>
              </w:rPr>
            </w:pPr>
            <w:r>
              <w:rPr>
                <w:szCs w:val="21"/>
              </w:rPr>
              <w:t>72.4</w:t>
            </w:r>
          </w:p>
        </w:tc>
        <w:tc>
          <w:tcPr>
            <w:tcW w:w="953" w:type="pct"/>
            <w:vAlign w:val="center"/>
          </w:tcPr>
          <w:p>
            <w:pPr>
              <w:adjustRightInd w:val="0"/>
              <w:snapToGrid w:val="0"/>
              <w:jc w:val="center"/>
              <w:rPr>
                <w:szCs w:val="21"/>
              </w:rPr>
            </w:pPr>
            <w:r>
              <w:rPr>
                <w:szCs w:val="21"/>
              </w:rPr>
              <w:t>72.7</w:t>
            </w:r>
          </w:p>
        </w:tc>
        <w:tc>
          <w:tcPr>
            <w:tcW w:w="747" w:type="pct"/>
            <w:vAlign w:val="center"/>
          </w:tcPr>
          <w:p>
            <w:pPr>
              <w:adjustRightInd w:val="0"/>
              <w:snapToGrid w:val="0"/>
              <w:jc w:val="center"/>
              <w:rPr>
                <w:szCs w:val="21"/>
              </w:rPr>
            </w:pPr>
            <w:r>
              <w:rPr>
                <w:szCs w:val="21"/>
              </w:rPr>
              <w:t>72.9</w:t>
            </w:r>
          </w:p>
        </w:tc>
        <w:tc>
          <w:tcPr>
            <w:tcW w:w="583" w:type="pct"/>
            <w:vAlign w:val="center"/>
          </w:tcPr>
          <w:p>
            <w:pPr>
              <w:adjustRightInd w:val="0"/>
              <w:snapToGrid w:val="0"/>
              <w:jc w:val="center"/>
              <w:rPr>
                <w:rFonts w:eastAsia="等线"/>
                <w:szCs w:val="21"/>
              </w:rPr>
            </w:pPr>
            <w:r>
              <w:rPr>
                <w:rFonts w:eastAsia="等线"/>
                <w:szCs w:val="21"/>
              </w:rPr>
              <w:t>2</w:t>
            </w:r>
          </w:p>
        </w:tc>
        <w:tc>
          <w:tcPr>
            <w:tcW w:w="500" w:type="pct"/>
            <w:vAlign w:val="center"/>
          </w:tcPr>
          <w:p>
            <w:pPr>
              <w:adjustRightInd w:val="0"/>
              <w:snapToGrid w:val="0"/>
              <w:jc w:val="center"/>
              <w:rPr>
                <w:rFonts w:eastAsia="等线"/>
                <w:szCs w:val="21"/>
              </w:rPr>
            </w:pPr>
            <w:r>
              <w:rPr>
                <w:rFonts w:eastAsia="等线"/>
                <w:szCs w:val="21"/>
              </w:rPr>
              <w:t>61.6</w:t>
            </w:r>
          </w:p>
        </w:tc>
        <w:tc>
          <w:tcPr>
            <w:tcW w:w="581" w:type="pct"/>
            <w:vAlign w:val="center"/>
          </w:tcPr>
          <w:p>
            <w:pPr>
              <w:adjustRightInd w:val="0"/>
              <w:snapToGrid w:val="0"/>
              <w:jc w:val="center"/>
              <w:rPr>
                <w:rFonts w:eastAsia="等线"/>
                <w:szCs w:val="21"/>
              </w:rPr>
            </w:pPr>
            <w:r>
              <w:rPr>
                <w:rFonts w:eastAsia="等线"/>
                <w:szCs w:val="21"/>
              </w:rPr>
              <w:t>59.9</w:t>
            </w:r>
          </w:p>
        </w:tc>
        <w:tc>
          <w:tcPr>
            <w:tcW w:w="529" w:type="pct"/>
            <w:vAlign w:val="center"/>
          </w:tcPr>
          <w:p>
            <w:pPr>
              <w:adjustRightInd w:val="0"/>
              <w:snapToGrid w:val="0"/>
              <w:jc w:val="center"/>
              <w:rPr>
                <w:rFonts w:eastAsia="等线"/>
                <w:szCs w:val="21"/>
              </w:rPr>
            </w:pPr>
            <w:r>
              <w:rPr>
                <w:rFonts w:eastAsia="等线"/>
                <w:szCs w:val="21"/>
              </w:rPr>
              <w:t>61.5</w:t>
            </w:r>
          </w:p>
        </w:tc>
      </w:tr>
    </w:tbl>
    <w:p>
      <w:pPr>
        <w:adjustRightInd w:val="0"/>
        <w:snapToGrid w:val="0"/>
        <w:spacing w:before="156" w:beforeLines="50"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地下</w:t>
      </w:r>
      <w:r>
        <w:rPr>
          <w:spacing w:val="4"/>
          <w:kern w:val="0"/>
          <w:sz w:val="24"/>
          <w:lang w:val="zh-CN"/>
        </w:rPr>
        <w:t>水化学类型</w:t>
      </w:r>
      <w:r>
        <w:rPr>
          <w:sz w:val="24"/>
        </w:rPr>
        <w:t>分析</w:t>
      </w:r>
    </w:p>
    <w:p>
      <w:pPr>
        <w:adjustRightInd w:val="0"/>
        <w:snapToGrid w:val="0"/>
        <w:spacing w:line="360" w:lineRule="auto"/>
        <w:ind w:firstLine="496" w:firstLineChars="200"/>
        <w:rPr>
          <w:spacing w:val="4"/>
          <w:kern w:val="0"/>
          <w:sz w:val="24"/>
          <w:lang w:val="zh-CN"/>
        </w:rPr>
      </w:pPr>
      <w:r>
        <w:rPr>
          <w:spacing w:val="4"/>
          <w:kern w:val="0"/>
          <w:sz w:val="24"/>
          <w:lang w:val="zh-CN"/>
        </w:rPr>
        <w:t>项目区域地下水化学特征分类，采用国内常用的舒卡列夫分类法（舒卡列夫分类表见表</w:t>
      </w:r>
      <w:r>
        <w:rPr>
          <w:spacing w:val="4"/>
          <w:kern w:val="0"/>
          <w:sz w:val="24"/>
        </w:rPr>
        <w:t>4.3-12</w:t>
      </w:r>
      <w:r>
        <w:rPr>
          <w:spacing w:val="4"/>
          <w:kern w:val="0"/>
          <w:sz w:val="24"/>
          <w:lang w:val="zh-CN"/>
        </w:rPr>
        <w:t>），此分类法是根据地下水6种主要离子(Na</w:t>
      </w:r>
      <w:r>
        <w:rPr>
          <w:spacing w:val="4"/>
          <w:kern w:val="0"/>
          <w:sz w:val="24"/>
          <w:vertAlign w:val="superscript"/>
          <w:lang w:val="zh-CN"/>
        </w:rPr>
        <w:t>+</w:t>
      </w:r>
      <w:r>
        <w:rPr>
          <w:spacing w:val="4"/>
          <w:kern w:val="0"/>
          <w:sz w:val="24"/>
          <w:lang w:val="zh-CN"/>
        </w:rPr>
        <w:t>、Ca</w:t>
      </w:r>
      <w:r>
        <w:rPr>
          <w:spacing w:val="4"/>
          <w:kern w:val="0"/>
          <w:sz w:val="24"/>
          <w:vertAlign w:val="superscript"/>
          <w:lang w:val="zh-CN"/>
        </w:rPr>
        <w:t>2+</w:t>
      </w:r>
      <w:r>
        <w:rPr>
          <w:spacing w:val="4"/>
          <w:kern w:val="0"/>
          <w:sz w:val="24"/>
          <w:lang w:val="zh-CN"/>
        </w:rPr>
        <w:t>、Mg</w:t>
      </w:r>
      <w:r>
        <w:rPr>
          <w:spacing w:val="4"/>
          <w:kern w:val="0"/>
          <w:sz w:val="24"/>
          <w:vertAlign w:val="superscript"/>
          <w:lang w:val="zh-CN"/>
        </w:rPr>
        <w:t>2+</w:t>
      </w:r>
      <w:r>
        <w:rPr>
          <w:spacing w:val="4"/>
          <w:kern w:val="0"/>
          <w:sz w:val="24"/>
          <w:lang w:val="zh-CN"/>
        </w:rPr>
        <w:t>、HCO</w:t>
      </w:r>
      <w:r>
        <w:rPr>
          <w:spacing w:val="4"/>
          <w:kern w:val="0"/>
          <w:sz w:val="24"/>
          <w:vertAlign w:val="subscript"/>
          <w:lang w:val="zh-CN"/>
        </w:rPr>
        <w:t>3</w:t>
      </w:r>
      <w:r>
        <w:rPr>
          <w:spacing w:val="4"/>
          <w:kern w:val="0"/>
          <w:sz w:val="24"/>
          <w:vertAlign w:val="superscript"/>
          <w:lang w:val="zh-CN"/>
        </w:rPr>
        <w:t>-</w:t>
      </w:r>
      <w:r>
        <w:rPr>
          <w:spacing w:val="4"/>
          <w:kern w:val="0"/>
          <w:sz w:val="24"/>
          <w:lang w:val="zh-CN"/>
        </w:rPr>
        <w:t>、SO</w:t>
      </w:r>
      <w:r>
        <w:rPr>
          <w:spacing w:val="4"/>
          <w:kern w:val="0"/>
          <w:sz w:val="24"/>
          <w:vertAlign w:val="subscript"/>
          <w:lang w:val="zh-CN"/>
        </w:rPr>
        <w:t>4</w:t>
      </w:r>
      <w:r>
        <w:rPr>
          <w:spacing w:val="4"/>
          <w:kern w:val="0"/>
          <w:sz w:val="24"/>
          <w:vertAlign w:val="superscript"/>
          <w:lang w:val="zh-CN"/>
        </w:rPr>
        <w:t>2-</w:t>
      </w:r>
      <w:r>
        <w:rPr>
          <w:spacing w:val="4"/>
          <w:kern w:val="0"/>
          <w:sz w:val="24"/>
          <w:lang w:val="zh-CN"/>
        </w:rPr>
        <w:t>、Cl</w:t>
      </w:r>
      <w:r>
        <w:rPr>
          <w:spacing w:val="4"/>
          <w:kern w:val="0"/>
          <w:sz w:val="24"/>
          <w:vertAlign w:val="superscript"/>
          <w:lang w:val="zh-CN"/>
        </w:rPr>
        <w:t>-</w:t>
      </w:r>
      <w:r>
        <w:rPr>
          <w:spacing w:val="4"/>
          <w:kern w:val="0"/>
          <w:sz w:val="24"/>
          <w:lang w:val="zh-CN"/>
        </w:rPr>
        <w:t>，K</w:t>
      </w:r>
      <w:r>
        <w:rPr>
          <w:spacing w:val="4"/>
          <w:kern w:val="0"/>
          <w:sz w:val="24"/>
          <w:vertAlign w:val="superscript"/>
          <w:lang w:val="zh-CN"/>
        </w:rPr>
        <w:t>+</w:t>
      </w:r>
      <w:r>
        <w:rPr>
          <w:spacing w:val="4"/>
          <w:kern w:val="0"/>
          <w:sz w:val="24"/>
          <w:lang w:val="zh-CN"/>
        </w:rPr>
        <w:t>合并于Na</w:t>
      </w:r>
      <w:r>
        <w:rPr>
          <w:spacing w:val="4"/>
          <w:kern w:val="0"/>
          <w:sz w:val="24"/>
          <w:vertAlign w:val="superscript"/>
          <w:lang w:val="zh-CN"/>
        </w:rPr>
        <w:t>+</w:t>
      </w:r>
      <w:r>
        <w:rPr>
          <w:spacing w:val="4"/>
          <w:kern w:val="0"/>
          <w:sz w:val="24"/>
          <w:lang w:val="zh-CN"/>
        </w:rPr>
        <w:t>中)及TDS划分。含量大于25%毫克当量(上述6种主要阴阳离子毫克当量百分比之和均为100%)的阴离子和阳离子进行组合，共分49型水，每型以一个阿拉伯数字作为代号。按TDS又划分为4组，A组TDS＜1.5g/L，B组TDS＞1.5～10g/L，C组TDS＞10～40g/L，D组TDS＞40g/L。</w:t>
      </w:r>
    </w:p>
    <w:p>
      <w:pPr>
        <w:spacing w:line="480" w:lineRule="exact"/>
        <w:jc w:val="center"/>
        <w:rPr>
          <w:rFonts w:eastAsia="黑体"/>
          <w:sz w:val="24"/>
          <w:szCs w:val="24"/>
          <w:lang w:val="zh-CN"/>
        </w:rPr>
      </w:pPr>
      <w:r>
        <w:rPr>
          <w:rFonts w:eastAsia="黑体"/>
          <w:sz w:val="24"/>
          <w:szCs w:val="24"/>
          <w:lang w:val="zh-CN"/>
        </w:rPr>
        <w:t>表4.3.3-5</w:t>
      </w:r>
      <w:r>
        <w:rPr>
          <w:rFonts w:eastAsia="黑体"/>
          <w:sz w:val="24"/>
          <w:szCs w:val="24"/>
        </w:rPr>
        <w:t xml:space="preserve">    </w:t>
      </w:r>
      <w:r>
        <w:rPr>
          <w:rFonts w:eastAsia="黑体"/>
          <w:sz w:val="24"/>
          <w:szCs w:val="24"/>
          <w:lang w:val="zh-CN"/>
        </w:rPr>
        <w:t>舒卡列夫分类表</w:t>
      </w:r>
    </w:p>
    <w:tbl>
      <w:tblPr>
        <w:tblStyle w:val="39"/>
        <w:tblW w:w="851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697"/>
        <w:gridCol w:w="627"/>
        <w:gridCol w:w="1172"/>
        <w:gridCol w:w="1533"/>
        <w:gridCol w:w="976"/>
        <w:gridCol w:w="841"/>
        <w:gridCol w:w="931"/>
        <w:gridCol w:w="7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ind w:left="-105" w:leftChars="-50" w:right="-105" w:rightChars="-50"/>
              <w:jc w:val="center"/>
            </w:pPr>
            <w:r>
              <w:t>超过25%毫克</w:t>
            </w:r>
          </w:p>
          <w:p>
            <w:pPr>
              <w:topLinePunct/>
              <w:snapToGrid w:val="0"/>
              <w:spacing w:line="240" w:lineRule="exact"/>
              <w:ind w:left="-105" w:leftChars="-50" w:right="-105" w:rightChars="-50"/>
              <w:jc w:val="center"/>
            </w:pPr>
            <w:r>
              <w:t>当量的离子</w:t>
            </w:r>
          </w:p>
        </w:tc>
        <w:tc>
          <w:tcPr>
            <w:tcW w:w="627" w:type="dxa"/>
            <w:vAlign w:val="center"/>
          </w:tcPr>
          <w:p>
            <w:pPr>
              <w:topLinePunct/>
              <w:snapToGrid w:val="0"/>
              <w:spacing w:line="240" w:lineRule="exact"/>
              <w:ind w:left="-105" w:leftChars="-50" w:right="-105" w:rightChars="-50"/>
              <w:jc w:val="center"/>
            </w:pPr>
            <w:r>
              <w:t>HCO</w:t>
            </w:r>
            <w:r>
              <w:rPr>
                <w:vertAlign w:val="subscript"/>
              </w:rPr>
              <w:t>3</w:t>
            </w:r>
          </w:p>
        </w:tc>
        <w:tc>
          <w:tcPr>
            <w:tcW w:w="1172" w:type="dxa"/>
            <w:vAlign w:val="center"/>
          </w:tcPr>
          <w:p>
            <w:pPr>
              <w:topLinePunct/>
              <w:snapToGrid w:val="0"/>
              <w:spacing w:line="240" w:lineRule="exact"/>
              <w:ind w:left="-105" w:leftChars="-50" w:right="-105" w:rightChars="-50"/>
              <w:jc w:val="center"/>
            </w:pPr>
            <w:r>
              <w:t>HCO</w:t>
            </w:r>
            <w:r>
              <w:rPr>
                <w:vertAlign w:val="subscript"/>
              </w:rPr>
              <w:t>3</w:t>
            </w:r>
            <w:r>
              <w:t>+SO</w:t>
            </w:r>
            <w:r>
              <w:rPr>
                <w:vertAlign w:val="subscript"/>
              </w:rPr>
              <w:t>4</w:t>
            </w:r>
          </w:p>
        </w:tc>
        <w:tc>
          <w:tcPr>
            <w:tcW w:w="1533" w:type="dxa"/>
            <w:vAlign w:val="center"/>
          </w:tcPr>
          <w:p>
            <w:pPr>
              <w:topLinePunct/>
              <w:snapToGrid w:val="0"/>
              <w:spacing w:line="240" w:lineRule="exact"/>
              <w:ind w:left="-105" w:leftChars="-50" w:right="-105" w:rightChars="-50"/>
              <w:jc w:val="center"/>
            </w:pPr>
            <w:r>
              <w:t>HCO</w:t>
            </w:r>
            <w:r>
              <w:rPr>
                <w:vertAlign w:val="subscript"/>
              </w:rPr>
              <w:t>3</w:t>
            </w:r>
            <w:r>
              <w:t>+SO</w:t>
            </w:r>
            <w:r>
              <w:rPr>
                <w:vertAlign w:val="subscript"/>
              </w:rPr>
              <w:t>4</w:t>
            </w:r>
            <w:r>
              <w:t>+Cl</w:t>
            </w:r>
          </w:p>
        </w:tc>
        <w:tc>
          <w:tcPr>
            <w:tcW w:w="976" w:type="dxa"/>
            <w:vAlign w:val="center"/>
          </w:tcPr>
          <w:p>
            <w:pPr>
              <w:topLinePunct/>
              <w:snapToGrid w:val="0"/>
              <w:spacing w:line="240" w:lineRule="exact"/>
              <w:ind w:left="-105" w:leftChars="-50" w:right="-105" w:rightChars="-50"/>
              <w:jc w:val="center"/>
            </w:pPr>
            <w:r>
              <w:t>HCO</w:t>
            </w:r>
            <w:r>
              <w:rPr>
                <w:vertAlign w:val="subscript"/>
              </w:rPr>
              <w:t>3</w:t>
            </w:r>
            <w:r>
              <w:t>+Cl</w:t>
            </w:r>
          </w:p>
        </w:tc>
        <w:tc>
          <w:tcPr>
            <w:tcW w:w="841" w:type="dxa"/>
            <w:vAlign w:val="center"/>
          </w:tcPr>
          <w:p>
            <w:pPr>
              <w:topLinePunct/>
              <w:snapToGrid w:val="0"/>
              <w:spacing w:line="240" w:lineRule="exact"/>
              <w:ind w:left="-105" w:leftChars="-50" w:right="-105" w:rightChars="-50"/>
              <w:jc w:val="center"/>
            </w:pPr>
            <w:r>
              <w:t>SO</w:t>
            </w:r>
            <w:r>
              <w:rPr>
                <w:vertAlign w:val="subscript"/>
              </w:rPr>
              <w:t>4</w:t>
            </w:r>
          </w:p>
        </w:tc>
        <w:tc>
          <w:tcPr>
            <w:tcW w:w="931" w:type="dxa"/>
            <w:vAlign w:val="center"/>
          </w:tcPr>
          <w:p>
            <w:pPr>
              <w:topLinePunct/>
              <w:snapToGrid w:val="0"/>
              <w:spacing w:line="240" w:lineRule="exact"/>
              <w:ind w:left="-105" w:leftChars="-50" w:right="-105" w:rightChars="-50"/>
              <w:jc w:val="center"/>
            </w:pPr>
            <w:r>
              <w:t>SO</w:t>
            </w:r>
            <w:r>
              <w:rPr>
                <w:vertAlign w:val="subscript"/>
              </w:rPr>
              <w:t>4</w:t>
            </w:r>
            <w:r>
              <w:t>+Cl</w:t>
            </w:r>
          </w:p>
        </w:tc>
        <w:tc>
          <w:tcPr>
            <w:tcW w:w="737" w:type="dxa"/>
            <w:vAlign w:val="center"/>
          </w:tcPr>
          <w:p>
            <w:pPr>
              <w:topLinePunct/>
              <w:snapToGrid w:val="0"/>
              <w:spacing w:line="240" w:lineRule="exact"/>
              <w:ind w:left="-105" w:leftChars="-50" w:right="-105" w:rightChars="-50"/>
              <w:jc w:val="center"/>
            </w:pPr>
            <w:r>
              <w:t>Cl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Ca</w:t>
            </w:r>
          </w:p>
        </w:tc>
        <w:tc>
          <w:tcPr>
            <w:tcW w:w="627" w:type="dxa"/>
            <w:vAlign w:val="center"/>
          </w:tcPr>
          <w:p>
            <w:pPr>
              <w:topLinePunct/>
              <w:snapToGrid w:val="0"/>
              <w:spacing w:line="240" w:lineRule="exact"/>
              <w:jc w:val="center"/>
            </w:pPr>
            <w:r>
              <w:t>1</w:t>
            </w:r>
          </w:p>
        </w:tc>
        <w:tc>
          <w:tcPr>
            <w:tcW w:w="1172" w:type="dxa"/>
            <w:vAlign w:val="center"/>
          </w:tcPr>
          <w:p>
            <w:pPr>
              <w:topLinePunct/>
              <w:snapToGrid w:val="0"/>
              <w:spacing w:line="240" w:lineRule="exact"/>
              <w:jc w:val="center"/>
            </w:pPr>
            <w:r>
              <w:t>8</w:t>
            </w:r>
          </w:p>
        </w:tc>
        <w:tc>
          <w:tcPr>
            <w:tcW w:w="1533" w:type="dxa"/>
            <w:vAlign w:val="center"/>
          </w:tcPr>
          <w:p>
            <w:pPr>
              <w:topLinePunct/>
              <w:snapToGrid w:val="0"/>
              <w:spacing w:line="240" w:lineRule="exact"/>
              <w:jc w:val="center"/>
            </w:pPr>
            <w:r>
              <w:t>15</w:t>
            </w:r>
          </w:p>
        </w:tc>
        <w:tc>
          <w:tcPr>
            <w:tcW w:w="976" w:type="dxa"/>
            <w:vAlign w:val="center"/>
          </w:tcPr>
          <w:p>
            <w:pPr>
              <w:topLinePunct/>
              <w:snapToGrid w:val="0"/>
              <w:spacing w:line="240" w:lineRule="exact"/>
              <w:jc w:val="center"/>
            </w:pPr>
            <w:r>
              <w:t>22</w:t>
            </w:r>
          </w:p>
        </w:tc>
        <w:tc>
          <w:tcPr>
            <w:tcW w:w="841" w:type="dxa"/>
            <w:vAlign w:val="center"/>
          </w:tcPr>
          <w:p>
            <w:pPr>
              <w:topLinePunct/>
              <w:snapToGrid w:val="0"/>
              <w:spacing w:line="240" w:lineRule="exact"/>
              <w:jc w:val="center"/>
            </w:pPr>
            <w:r>
              <w:t>29</w:t>
            </w:r>
          </w:p>
        </w:tc>
        <w:tc>
          <w:tcPr>
            <w:tcW w:w="931" w:type="dxa"/>
            <w:vAlign w:val="center"/>
          </w:tcPr>
          <w:p>
            <w:pPr>
              <w:topLinePunct/>
              <w:snapToGrid w:val="0"/>
              <w:spacing w:line="240" w:lineRule="exact"/>
              <w:jc w:val="center"/>
            </w:pPr>
            <w:r>
              <w:t>36</w:t>
            </w:r>
          </w:p>
        </w:tc>
        <w:tc>
          <w:tcPr>
            <w:tcW w:w="737" w:type="dxa"/>
            <w:vAlign w:val="center"/>
          </w:tcPr>
          <w:p>
            <w:pPr>
              <w:topLinePunct/>
              <w:snapToGrid w:val="0"/>
              <w:spacing w:line="240" w:lineRule="exact"/>
              <w:jc w:val="center"/>
            </w:pPr>
            <w:r>
              <w:t>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Ca+Mg</w:t>
            </w:r>
          </w:p>
        </w:tc>
        <w:tc>
          <w:tcPr>
            <w:tcW w:w="627" w:type="dxa"/>
            <w:vAlign w:val="center"/>
          </w:tcPr>
          <w:p>
            <w:pPr>
              <w:topLinePunct/>
              <w:snapToGrid w:val="0"/>
              <w:spacing w:line="240" w:lineRule="exact"/>
              <w:jc w:val="center"/>
            </w:pPr>
            <w:r>
              <w:t>2</w:t>
            </w:r>
          </w:p>
        </w:tc>
        <w:tc>
          <w:tcPr>
            <w:tcW w:w="1172" w:type="dxa"/>
            <w:vAlign w:val="center"/>
          </w:tcPr>
          <w:p>
            <w:pPr>
              <w:topLinePunct/>
              <w:snapToGrid w:val="0"/>
              <w:spacing w:line="240" w:lineRule="exact"/>
              <w:jc w:val="center"/>
            </w:pPr>
            <w:r>
              <w:t>9</w:t>
            </w:r>
          </w:p>
        </w:tc>
        <w:tc>
          <w:tcPr>
            <w:tcW w:w="1533" w:type="dxa"/>
            <w:vAlign w:val="center"/>
          </w:tcPr>
          <w:p>
            <w:pPr>
              <w:topLinePunct/>
              <w:snapToGrid w:val="0"/>
              <w:spacing w:line="240" w:lineRule="exact"/>
              <w:jc w:val="center"/>
            </w:pPr>
            <w:r>
              <w:t>16</w:t>
            </w:r>
          </w:p>
        </w:tc>
        <w:tc>
          <w:tcPr>
            <w:tcW w:w="976" w:type="dxa"/>
            <w:vAlign w:val="center"/>
          </w:tcPr>
          <w:p>
            <w:pPr>
              <w:topLinePunct/>
              <w:snapToGrid w:val="0"/>
              <w:spacing w:line="240" w:lineRule="exact"/>
              <w:jc w:val="center"/>
            </w:pPr>
            <w:r>
              <w:t>23</w:t>
            </w:r>
          </w:p>
        </w:tc>
        <w:tc>
          <w:tcPr>
            <w:tcW w:w="841" w:type="dxa"/>
            <w:vAlign w:val="center"/>
          </w:tcPr>
          <w:p>
            <w:pPr>
              <w:topLinePunct/>
              <w:snapToGrid w:val="0"/>
              <w:spacing w:line="240" w:lineRule="exact"/>
              <w:jc w:val="center"/>
            </w:pPr>
            <w:r>
              <w:t>30</w:t>
            </w:r>
          </w:p>
        </w:tc>
        <w:tc>
          <w:tcPr>
            <w:tcW w:w="931" w:type="dxa"/>
            <w:vAlign w:val="center"/>
          </w:tcPr>
          <w:p>
            <w:pPr>
              <w:topLinePunct/>
              <w:snapToGrid w:val="0"/>
              <w:spacing w:line="240" w:lineRule="exact"/>
              <w:jc w:val="center"/>
            </w:pPr>
            <w:r>
              <w:t>37</w:t>
            </w:r>
          </w:p>
        </w:tc>
        <w:tc>
          <w:tcPr>
            <w:tcW w:w="737" w:type="dxa"/>
            <w:vAlign w:val="center"/>
          </w:tcPr>
          <w:p>
            <w:pPr>
              <w:topLinePunct/>
              <w:snapToGrid w:val="0"/>
              <w:spacing w:line="240" w:lineRule="exact"/>
              <w:jc w:val="center"/>
            </w:pPr>
            <w:r>
              <w:t>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Mg</w:t>
            </w:r>
          </w:p>
        </w:tc>
        <w:tc>
          <w:tcPr>
            <w:tcW w:w="627" w:type="dxa"/>
            <w:vAlign w:val="center"/>
          </w:tcPr>
          <w:p>
            <w:pPr>
              <w:topLinePunct/>
              <w:snapToGrid w:val="0"/>
              <w:spacing w:line="240" w:lineRule="exact"/>
              <w:jc w:val="center"/>
            </w:pPr>
            <w:r>
              <w:t>3</w:t>
            </w:r>
          </w:p>
        </w:tc>
        <w:tc>
          <w:tcPr>
            <w:tcW w:w="1172" w:type="dxa"/>
            <w:vAlign w:val="center"/>
          </w:tcPr>
          <w:p>
            <w:pPr>
              <w:topLinePunct/>
              <w:snapToGrid w:val="0"/>
              <w:spacing w:line="240" w:lineRule="exact"/>
              <w:jc w:val="center"/>
            </w:pPr>
            <w:r>
              <w:t>10</w:t>
            </w:r>
          </w:p>
        </w:tc>
        <w:tc>
          <w:tcPr>
            <w:tcW w:w="1533" w:type="dxa"/>
            <w:vAlign w:val="center"/>
          </w:tcPr>
          <w:p>
            <w:pPr>
              <w:topLinePunct/>
              <w:snapToGrid w:val="0"/>
              <w:spacing w:line="240" w:lineRule="exact"/>
              <w:jc w:val="center"/>
            </w:pPr>
            <w:r>
              <w:t>17</w:t>
            </w:r>
          </w:p>
        </w:tc>
        <w:tc>
          <w:tcPr>
            <w:tcW w:w="976" w:type="dxa"/>
            <w:vAlign w:val="center"/>
          </w:tcPr>
          <w:p>
            <w:pPr>
              <w:topLinePunct/>
              <w:snapToGrid w:val="0"/>
              <w:spacing w:line="240" w:lineRule="exact"/>
              <w:jc w:val="center"/>
            </w:pPr>
            <w:r>
              <w:t>24</w:t>
            </w:r>
          </w:p>
        </w:tc>
        <w:tc>
          <w:tcPr>
            <w:tcW w:w="841" w:type="dxa"/>
            <w:vAlign w:val="center"/>
          </w:tcPr>
          <w:p>
            <w:pPr>
              <w:topLinePunct/>
              <w:snapToGrid w:val="0"/>
              <w:spacing w:line="240" w:lineRule="exact"/>
              <w:jc w:val="center"/>
            </w:pPr>
            <w:r>
              <w:t>31</w:t>
            </w:r>
          </w:p>
        </w:tc>
        <w:tc>
          <w:tcPr>
            <w:tcW w:w="931" w:type="dxa"/>
            <w:vAlign w:val="center"/>
          </w:tcPr>
          <w:p>
            <w:pPr>
              <w:topLinePunct/>
              <w:snapToGrid w:val="0"/>
              <w:spacing w:line="240" w:lineRule="exact"/>
              <w:jc w:val="center"/>
            </w:pPr>
            <w:r>
              <w:t>38</w:t>
            </w:r>
          </w:p>
        </w:tc>
        <w:tc>
          <w:tcPr>
            <w:tcW w:w="737" w:type="dxa"/>
            <w:vAlign w:val="center"/>
          </w:tcPr>
          <w:p>
            <w:pPr>
              <w:topLinePunct/>
              <w:snapToGrid w:val="0"/>
              <w:spacing w:line="240" w:lineRule="exact"/>
              <w:jc w:val="center"/>
            </w:pPr>
            <w: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Na+Ca</w:t>
            </w:r>
          </w:p>
        </w:tc>
        <w:tc>
          <w:tcPr>
            <w:tcW w:w="627" w:type="dxa"/>
            <w:vAlign w:val="center"/>
          </w:tcPr>
          <w:p>
            <w:pPr>
              <w:topLinePunct/>
              <w:snapToGrid w:val="0"/>
              <w:spacing w:line="240" w:lineRule="exact"/>
              <w:jc w:val="center"/>
            </w:pPr>
            <w:r>
              <w:t>4</w:t>
            </w:r>
          </w:p>
        </w:tc>
        <w:tc>
          <w:tcPr>
            <w:tcW w:w="1172" w:type="dxa"/>
            <w:vAlign w:val="center"/>
          </w:tcPr>
          <w:p>
            <w:pPr>
              <w:topLinePunct/>
              <w:snapToGrid w:val="0"/>
              <w:spacing w:line="240" w:lineRule="exact"/>
              <w:jc w:val="center"/>
            </w:pPr>
            <w:r>
              <w:t>11</w:t>
            </w:r>
          </w:p>
        </w:tc>
        <w:tc>
          <w:tcPr>
            <w:tcW w:w="1533" w:type="dxa"/>
            <w:vAlign w:val="center"/>
          </w:tcPr>
          <w:p>
            <w:pPr>
              <w:topLinePunct/>
              <w:snapToGrid w:val="0"/>
              <w:spacing w:line="240" w:lineRule="exact"/>
              <w:jc w:val="center"/>
            </w:pPr>
            <w:r>
              <w:t>18</w:t>
            </w:r>
          </w:p>
        </w:tc>
        <w:tc>
          <w:tcPr>
            <w:tcW w:w="976" w:type="dxa"/>
            <w:vAlign w:val="center"/>
          </w:tcPr>
          <w:p>
            <w:pPr>
              <w:topLinePunct/>
              <w:snapToGrid w:val="0"/>
              <w:spacing w:line="240" w:lineRule="exact"/>
              <w:jc w:val="center"/>
            </w:pPr>
            <w:r>
              <w:t>25</w:t>
            </w:r>
          </w:p>
        </w:tc>
        <w:tc>
          <w:tcPr>
            <w:tcW w:w="841" w:type="dxa"/>
            <w:vAlign w:val="center"/>
          </w:tcPr>
          <w:p>
            <w:pPr>
              <w:topLinePunct/>
              <w:snapToGrid w:val="0"/>
              <w:spacing w:line="240" w:lineRule="exact"/>
              <w:jc w:val="center"/>
            </w:pPr>
            <w:r>
              <w:t>32</w:t>
            </w:r>
          </w:p>
        </w:tc>
        <w:tc>
          <w:tcPr>
            <w:tcW w:w="931" w:type="dxa"/>
            <w:vAlign w:val="center"/>
          </w:tcPr>
          <w:p>
            <w:pPr>
              <w:topLinePunct/>
              <w:snapToGrid w:val="0"/>
              <w:spacing w:line="240" w:lineRule="exact"/>
              <w:jc w:val="center"/>
            </w:pPr>
            <w:r>
              <w:t>39</w:t>
            </w:r>
          </w:p>
        </w:tc>
        <w:tc>
          <w:tcPr>
            <w:tcW w:w="737" w:type="dxa"/>
            <w:vAlign w:val="center"/>
          </w:tcPr>
          <w:p>
            <w:pPr>
              <w:topLinePunct/>
              <w:snapToGrid w:val="0"/>
              <w:spacing w:line="240" w:lineRule="exact"/>
              <w:jc w:val="center"/>
            </w:pPr>
            <w: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Na+Ca+Mg</w:t>
            </w:r>
          </w:p>
        </w:tc>
        <w:tc>
          <w:tcPr>
            <w:tcW w:w="627" w:type="dxa"/>
            <w:vAlign w:val="center"/>
          </w:tcPr>
          <w:p>
            <w:pPr>
              <w:topLinePunct/>
              <w:snapToGrid w:val="0"/>
              <w:spacing w:line="240" w:lineRule="exact"/>
              <w:jc w:val="center"/>
            </w:pPr>
            <w:r>
              <w:t>5</w:t>
            </w:r>
          </w:p>
        </w:tc>
        <w:tc>
          <w:tcPr>
            <w:tcW w:w="1172" w:type="dxa"/>
            <w:vAlign w:val="center"/>
          </w:tcPr>
          <w:p>
            <w:pPr>
              <w:topLinePunct/>
              <w:snapToGrid w:val="0"/>
              <w:spacing w:line="240" w:lineRule="exact"/>
              <w:jc w:val="center"/>
            </w:pPr>
            <w:r>
              <w:t>12</w:t>
            </w:r>
          </w:p>
        </w:tc>
        <w:tc>
          <w:tcPr>
            <w:tcW w:w="1533" w:type="dxa"/>
            <w:vAlign w:val="center"/>
          </w:tcPr>
          <w:p>
            <w:pPr>
              <w:topLinePunct/>
              <w:snapToGrid w:val="0"/>
              <w:spacing w:line="240" w:lineRule="exact"/>
              <w:jc w:val="center"/>
            </w:pPr>
            <w:r>
              <w:t>19</w:t>
            </w:r>
          </w:p>
        </w:tc>
        <w:tc>
          <w:tcPr>
            <w:tcW w:w="976" w:type="dxa"/>
            <w:vAlign w:val="center"/>
          </w:tcPr>
          <w:p>
            <w:pPr>
              <w:topLinePunct/>
              <w:snapToGrid w:val="0"/>
              <w:spacing w:line="240" w:lineRule="exact"/>
              <w:jc w:val="center"/>
            </w:pPr>
            <w:r>
              <w:t>26</w:t>
            </w:r>
          </w:p>
        </w:tc>
        <w:tc>
          <w:tcPr>
            <w:tcW w:w="841" w:type="dxa"/>
            <w:vAlign w:val="center"/>
          </w:tcPr>
          <w:p>
            <w:pPr>
              <w:topLinePunct/>
              <w:snapToGrid w:val="0"/>
              <w:spacing w:line="240" w:lineRule="exact"/>
              <w:jc w:val="center"/>
            </w:pPr>
            <w:r>
              <w:t>33</w:t>
            </w:r>
          </w:p>
        </w:tc>
        <w:tc>
          <w:tcPr>
            <w:tcW w:w="931" w:type="dxa"/>
            <w:vAlign w:val="center"/>
          </w:tcPr>
          <w:p>
            <w:pPr>
              <w:topLinePunct/>
              <w:snapToGrid w:val="0"/>
              <w:spacing w:line="240" w:lineRule="exact"/>
              <w:jc w:val="center"/>
            </w:pPr>
            <w:r>
              <w:t>40</w:t>
            </w:r>
          </w:p>
        </w:tc>
        <w:tc>
          <w:tcPr>
            <w:tcW w:w="737" w:type="dxa"/>
            <w:vAlign w:val="center"/>
          </w:tcPr>
          <w:p>
            <w:pPr>
              <w:topLinePunct/>
              <w:snapToGrid w:val="0"/>
              <w:spacing w:line="240" w:lineRule="exact"/>
              <w:jc w:val="center"/>
            </w:pPr>
            <w:r>
              <w:t>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Na+Mg</w:t>
            </w:r>
          </w:p>
        </w:tc>
        <w:tc>
          <w:tcPr>
            <w:tcW w:w="627" w:type="dxa"/>
            <w:vAlign w:val="center"/>
          </w:tcPr>
          <w:p>
            <w:pPr>
              <w:topLinePunct/>
              <w:snapToGrid w:val="0"/>
              <w:spacing w:line="240" w:lineRule="exact"/>
              <w:jc w:val="center"/>
            </w:pPr>
            <w:r>
              <w:t>6</w:t>
            </w:r>
          </w:p>
        </w:tc>
        <w:tc>
          <w:tcPr>
            <w:tcW w:w="1172" w:type="dxa"/>
            <w:vAlign w:val="center"/>
          </w:tcPr>
          <w:p>
            <w:pPr>
              <w:topLinePunct/>
              <w:snapToGrid w:val="0"/>
              <w:spacing w:line="240" w:lineRule="exact"/>
              <w:jc w:val="center"/>
            </w:pPr>
            <w:r>
              <w:t>13</w:t>
            </w:r>
          </w:p>
        </w:tc>
        <w:tc>
          <w:tcPr>
            <w:tcW w:w="1533" w:type="dxa"/>
            <w:vAlign w:val="center"/>
          </w:tcPr>
          <w:p>
            <w:pPr>
              <w:topLinePunct/>
              <w:snapToGrid w:val="0"/>
              <w:spacing w:line="240" w:lineRule="exact"/>
              <w:jc w:val="center"/>
            </w:pPr>
            <w:r>
              <w:t>20</w:t>
            </w:r>
          </w:p>
        </w:tc>
        <w:tc>
          <w:tcPr>
            <w:tcW w:w="976" w:type="dxa"/>
            <w:vAlign w:val="center"/>
          </w:tcPr>
          <w:p>
            <w:pPr>
              <w:topLinePunct/>
              <w:snapToGrid w:val="0"/>
              <w:spacing w:line="240" w:lineRule="exact"/>
              <w:jc w:val="center"/>
            </w:pPr>
            <w:r>
              <w:t>27</w:t>
            </w:r>
          </w:p>
        </w:tc>
        <w:tc>
          <w:tcPr>
            <w:tcW w:w="841" w:type="dxa"/>
            <w:vAlign w:val="center"/>
          </w:tcPr>
          <w:p>
            <w:pPr>
              <w:topLinePunct/>
              <w:snapToGrid w:val="0"/>
              <w:spacing w:line="240" w:lineRule="exact"/>
              <w:jc w:val="center"/>
            </w:pPr>
            <w:r>
              <w:t>34</w:t>
            </w:r>
          </w:p>
        </w:tc>
        <w:tc>
          <w:tcPr>
            <w:tcW w:w="931" w:type="dxa"/>
            <w:vAlign w:val="center"/>
          </w:tcPr>
          <w:p>
            <w:pPr>
              <w:topLinePunct/>
              <w:snapToGrid w:val="0"/>
              <w:spacing w:line="240" w:lineRule="exact"/>
              <w:jc w:val="center"/>
            </w:pPr>
            <w:r>
              <w:t>41</w:t>
            </w:r>
          </w:p>
        </w:tc>
        <w:tc>
          <w:tcPr>
            <w:tcW w:w="737" w:type="dxa"/>
            <w:vAlign w:val="center"/>
          </w:tcPr>
          <w:p>
            <w:pPr>
              <w:topLinePunct/>
              <w:snapToGrid w:val="0"/>
              <w:spacing w:line="240" w:lineRule="exact"/>
              <w:jc w:val="center"/>
            </w:pPr>
            <w: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697" w:type="dxa"/>
            <w:vAlign w:val="center"/>
          </w:tcPr>
          <w:p>
            <w:pPr>
              <w:topLinePunct/>
              <w:snapToGrid w:val="0"/>
              <w:spacing w:line="240" w:lineRule="exact"/>
              <w:jc w:val="center"/>
            </w:pPr>
            <w:r>
              <w:t>Na</w:t>
            </w:r>
          </w:p>
        </w:tc>
        <w:tc>
          <w:tcPr>
            <w:tcW w:w="627" w:type="dxa"/>
            <w:vAlign w:val="center"/>
          </w:tcPr>
          <w:p>
            <w:pPr>
              <w:topLinePunct/>
              <w:snapToGrid w:val="0"/>
              <w:spacing w:line="240" w:lineRule="exact"/>
              <w:jc w:val="center"/>
            </w:pPr>
            <w:r>
              <w:t>7</w:t>
            </w:r>
          </w:p>
        </w:tc>
        <w:tc>
          <w:tcPr>
            <w:tcW w:w="1172" w:type="dxa"/>
            <w:vAlign w:val="center"/>
          </w:tcPr>
          <w:p>
            <w:pPr>
              <w:topLinePunct/>
              <w:snapToGrid w:val="0"/>
              <w:spacing w:line="240" w:lineRule="exact"/>
              <w:jc w:val="center"/>
            </w:pPr>
            <w:r>
              <w:t>14</w:t>
            </w:r>
          </w:p>
        </w:tc>
        <w:tc>
          <w:tcPr>
            <w:tcW w:w="1533" w:type="dxa"/>
            <w:vAlign w:val="center"/>
          </w:tcPr>
          <w:p>
            <w:pPr>
              <w:topLinePunct/>
              <w:snapToGrid w:val="0"/>
              <w:spacing w:line="240" w:lineRule="exact"/>
              <w:jc w:val="center"/>
            </w:pPr>
            <w:r>
              <w:t>21</w:t>
            </w:r>
          </w:p>
        </w:tc>
        <w:tc>
          <w:tcPr>
            <w:tcW w:w="976" w:type="dxa"/>
            <w:vAlign w:val="center"/>
          </w:tcPr>
          <w:p>
            <w:pPr>
              <w:topLinePunct/>
              <w:snapToGrid w:val="0"/>
              <w:spacing w:line="240" w:lineRule="exact"/>
              <w:jc w:val="center"/>
            </w:pPr>
            <w:r>
              <w:t>28</w:t>
            </w:r>
          </w:p>
        </w:tc>
        <w:tc>
          <w:tcPr>
            <w:tcW w:w="841" w:type="dxa"/>
            <w:vAlign w:val="center"/>
          </w:tcPr>
          <w:p>
            <w:pPr>
              <w:topLinePunct/>
              <w:snapToGrid w:val="0"/>
              <w:spacing w:line="240" w:lineRule="exact"/>
              <w:jc w:val="center"/>
            </w:pPr>
            <w:r>
              <w:t>35</w:t>
            </w:r>
          </w:p>
        </w:tc>
        <w:tc>
          <w:tcPr>
            <w:tcW w:w="931" w:type="dxa"/>
            <w:vAlign w:val="center"/>
          </w:tcPr>
          <w:p>
            <w:pPr>
              <w:topLinePunct/>
              <w:snapToGrid w:val="0"/>
              <w:spacing w:line="240" w:lineRule="exact"/>
              <w:jc w:val="center"/>
            </w:pPr>
            <w:r>
              <w:t>42</w:t>
            </w:r>
          </w:p>
        </w:tc>
        <w:tc>
          <w:tcPr>
            <w:tcW w:w="737" w:type="dxa"/>
            <w:vAlign w:val="center"/>
          </w:tcPr>
          <w:p>
            <w:pPr>
              <w:topLinePunct/>
              <w:snapToGrid w:val="0"/>
              <w:spacing w:line="240" w:lineRule="exact"/>
              <w:jc w:val="center"/>
            </w:pPr>
            <w:r>
              <w:t>49</w:t>
            </w:r>
          </w:p>
        </w:tc>
      </w:tr>
    </w:tbl>
    <w:p>
      <w:pPr>
        <w:adjustRightInd w:val="0"/>
        <w:snapToGrid w:val="0"/>
        <w:spacing w:before="156" w:beforeLines="50" w:line="360" w:lineRule="auto"/>
        <w:ind w:firstLine="480" w:firstLineChars="200"/>
        <w:rPr>
          <w:sz w:val="24"/>
          <w:szCs w:val="24"/>
        </w:rPr>
      </w:pPr>
      <w:r>
        <w:rPr>
          <w:sz w:val="24"/>
        </w:rPr>
        <w:t>参照舒卡列夫分类表，对监测点水化学类型计算及分析结果</w:t>
      </w:r>
      <w:r>
        <w:rPr>
          <w:rFonts w:hint="eastAsia"/>
          <w:sz w:val="24"/>
        </w:rPr>
        <w:t>见表4</w:t>
      </w:r>
      <w:r>
        <w:rPr>
          <w:sz w:val="24"/>
        </w:rPr>
        <w:t>.3.3-6</w:t>
      </w:r>
      <w:r>
        <w:rPr>
          <w:rFonts w:hint="eastAsia"/>
          <w:sz w:val="24"/>
        </w:rPr>
        <w:t>，</w:t>
      </w:r>
      <w:r>
        <w:rPr>
          <w:sz w:val="24"/>
        </w:rPr>
        <w:t>由</w:t>
      </w:r>
      <w:r>
        <w:rPr>
          <w:rFonts w:hint="eastAsia"/>
          <w:sz w:val="24"/>
        </w:rPr>
        <w:t>表</w:t>
      </w:r>
      <w:r>
        <w:rPr>
          <w:sz w:val="24"/>
        </w:rPr>
        <w:t>计算可知，</w:t>
      </w:r>
      <w:r>
        <w:rPr>
          <w:rFonts w:hint="eastAsia"/>
          <w:sz w:val="24"/>
        </w:rPr>
        <w:t>厂址附近</w:t>
      </w:r>
      <w:r>
        <w:rPr>
          <w:sz w:val="24"/>
        </w:rPr>
        <w:t>潜水地下水化学类型以</w:t>
      </w:r>
      <w:r>
        <w:rPr>
          <w:rFonts w:eastAsia="等线"/>
          <w:kern w:val="0"/>
          <w:sz w:val="24"/>
          <w:szCs w:val="24"/>
        </w:rPr>
        <w:t>HCO</w:t>
      </w:r>
      <w:r>
        <w:rPr>
          <w:rFonts w:eastAsia="等线"/>
          <w:kern w:val="0"/>
          <w:sz w:val="24"/>
          <w:szCs w:val="24"/>
          <w:vertAlign w:val="subscript"/>
        </w:rPr>
        <w:t>3</w:t>
      </w:r>
      <w:r>
        <w:rPr>
          <w:rFonts w:eastAsia="等线"/>
          <w:kern w:val="0"/>
          <w:sz w:val="24"/>
          <w:szCs w:val="24"/>
        </w:rPr>
        <w:t>·Cl—Ca·Na·Mg</w:t>
      </w:r>
      <w:r>
        <w:rPr>
          <w:rFonts w:hint="eastAsia" w:ascii="宋体" w:hAnsi="宋体"/>
          <w:kern w:val="0"/>
          <w:sz w:val="24"/>
          <w:szCs w:val="24"/>
        </w:rPr>
        <w:t>型、</w:t>
      </w:r>
      <w:r>
        <w:rPr>
          <w:rFonts w:eastAsia="等线"/>
          <w:kern w:val="0"/>
          <w:sz w:val="24"/>
          <w:szCs w:val="24"/>
        </w:rPr>
        <w:t>HCO</w:t>
      </w:r>
      <w:r>
        <w:rPr>
          <w:rFonts w:eastAsia="等线"/>
          <w:kern w:val="0"/>
          <w:sz w:val="24"/>
          <w:szCs w:val="24"/>
          <w:vertAlign w:val="subscript"/>
        </w:rPr>
        <w:t>3</w:t>
      </w:r>
      <w:r>
        <w:rPr>
          <w:rFonts w:eastAsia="等线"/>
          <w:kern w:val="0"/>
          <w:sz w:val="24"/>
          <w:szCs w:val="24"/>
        </w:rPr>
        <w:t>·Cl—Ca·Mg·Na</w:t>
      </w:r>
      <w:r>
        <w:rPr>
          <w:rFonts w:hint="eastAsia" w:eastAsia="等线"/>
          <w:kern w:val="0"/>
          <w:sz w:val="24"/>
          <w:szCs w:val="24"/>
        </w:rPr>
        <w:t>、SO</w:t>
      </w:r>
      <w:r>
        <w:rPr>
          <w:rFonts w:hint="eastAsia" w:eastAsia="等线"/>
          <w:kern w:val="0"/>
          <w:sz w:val="24"/>
          <w:szCs w:val="24"/>
          <w:vertAlign w:val="subscript"/>
        </w:rPr>
        <w:t>4</w:t>
      </w:r>
      <w:r>
        <w:rPr>
          <w:rFonts w:hint="eastAsia" w:eastAsia="等线"/>
          <w:kern w:val="0"/>
          <w:sz w:val="24"/>
          <w:szCs w:val="24"/>
        </w:rPr>
        <w:t>—Ca</w:t>
      </w:r>
      <w:r>
        <w:rPr>
          <w:rFonts w:hint="eastAsia" w:ascii="宋体" w:hAnsi="宋体"/>
          <w:kern w:val="0"/>
          <w:sz w:val="24"/>
          <w:szCs w:val="24"/>
        </w:rPr>
        <w:t>型</w:t>
      </w:r>
      <w:r>
        <w:rPr>
          <w:sz w:val="24"/>
          <w:szCs w:val="24"/>
        </w:rPr>
        <w:t>为主</w:t>
      </w:r>
      <w:r>
        <w:rPr>
          <w:rFonts w:hint="eastAsia"/>
          <w:sz w:val="24"/>
          <w:szCs w:val="24"/>
        </w:rPr>
        <w:t>；厂址下游靠近伊逊河区域潜水</w:t>
      </w:r>
      <w:r>
        <w:rPr>
          <w:sz w:val="24"/>
          <w:szCs w:val="24"/>
        </w:rPr>
        <w:t>地下水化学类型以</w:t>
      </w:r>
      <w:r>
        <w:rPr>
          <w:rFonts w:eastAsia="等线"/>
          <w:kern w:val="0"/>
          <w:sz w:val="24"/>
          <w:szCs w:val="24"/>
        </w:rPr>
        <w:t>HCO</w:t>
      </w:r>
      <w:r>
        <w:rPr>
          <w:rFonts w:eastAsia="等线"/>
          <w:kern w:val="0"/>
          <w:sz w:val="24"/>
          <w:szCs w:val="24"/>
          <w:vertAlign w:val="subscript"/>
        </w:rPr>
        <w:t>3</w:t>
      </w:r>
      <w:r>
        <w:rPr>
          <w:rFonts w:eastAsia="等线"/>
          <w:kern w:val="0"/>
          <w:sz w:val="24"/>
          <w:szCs w:val="24"/>
        </w:rPr>
        <w:t>·Cl—Ca·Mg·Na</w:t>
      </w:r>
      <w:r>
        <w:rPr>
          <w:rFonts w:hint="eastAsia" w:ascii="宋体" w:hAnsi="宋体"/>
          <w:kern w:val="0"/>
          <w:sz w:val="24"/>
          <w:szCs w:val="24"/>
        </w:rPr>
        <w:t>型、</w:t>
      </w:r>
      <w:r>
        <w:rPr>
          <w:rFonts w:eastAsia="等线"/>
          <w:kern w:val="0"/>
          <w:sz w:val="24"/>
          <w:szCs w:val="24"/>
        </w:rPr>
        <w:t>Cl·HCO</w:t>
      </w:r>
      <w:r>
        <w:rPr>
          <w:rFonts w:eastAsia="等线"/>
          <w:kern w:val="0"/>
          <w:sz w:val="24"/>
          <w:szCs w:val="24"/>
          <w:vertAlign w:val="subscript"/>
        </w:rPr>
        <w:t>3</w:t>
      </w:r>
      <w:r>
        <w:rPr>
          <w:rFonts w:eastAsia="等线"/>
          <w:kern w:val="0"/>
          <w:sz w:val="24"/>
          <w:szCs w:val="24"/>
        </w:rPr>
        <w:t>·SO</w:t>
      </w:r>
      <w:r>
        <w:rPr>
          <w:rFonts w:eastAsia="等线"/>
          <w:kern w:val="0"/>
          <w:sz w:val="24"/>
          <w:szCs w:val="24"/>
          <w:vertAlign w:val="subscript"/>
        </w:rPr>
        <w:t>4·</w:t>
      </w:r>
      <w:r>
        <w:rPr>
          <w:rFonts w:eastAsia="等线"/>
          <w:kern w:val="0"/>
          <w:sz w:val="24"/>
          <w:szCs w:val="24"/>
        </w:rPr>
        <w:t>—Na·Ca</w:t>
      </w:r>
      <w:r>
        <w:rPr>
          <w:rFonts w:hint="eastAsia" w:ascii="宋体" w:hAnsi="宋体"/>
          <w:kern w:val="0"/>
          <w:sz w:val="24"/>
          <w:szCs w:val="24"/>
        </w:rPr>
        <w:t>型、</w:t>
      </w:r>
      <w:r>
        <w:rPr>
          <w:rFonts w:eastAsia="等线"/>
          <w:kern w:val="0"/>
          <w:sz w:val="24"/>
          <w:szCs w:val="24"/>
        </w:rPr>
        <w:t>HCO</w:t>
      </w:r>
      <w:r>
        <w:rPr>
          <w:rFonts w:eastAsia="等线"/>
          <w:kern w:val="0"/>
          <w:sz w:val="24"/>
          <w:szCs w:val="24"/>
          <w:vertAlign w:val="subscript"/>
        </w:rPr>
        <w:t>3</w:t>
      </w:r>
      <w:r>
        <w:rPr>
          <w:rFonts w:eastAsia="等线"/>
          <w:kern w:val="0"/>
          <w:sz w:val="24"/>
          <w:szCs w:val="24"/>
        </w:rPr>
        <w:t>·Cl—Na·Ca</w:t>
      </w:r>
      <w:r>
        <w:rPr>
          <w:rFonts w:hint="eastAsia" w:ascii="宋体" w:hAnsi="宋体"/>
          <w:kern w:val="0"/>
          <w:sz w:val="24"/>
          <w:szCs w:val="24"/>
        </w:rPr>
        <w:t>型</w:t>
      </w:r>
      <w:r>
        <w:rPr>
          <w:rFonts w:hint="eastAsia"/>
          <w:sz w:val="24"/>
          <w:szCs w:val="24"/>
        </w:rPr>
        <w:t>为主。</w:t>
      </w:r>
    </w:p>
    <w:p>
      <w:pPr>
        <w:spacing w:line="480" w:lineRule="exact"/>
        <w:ind w:firstLine="210"/>
        <w:jc w:val="center"/>
        <w:rPr>
          <w:rFonts w:eastAsia="黑体"/>
          <w:sz w:val="24"/>
          <w:szCs w:val="24"/>
          <w:lang w:val="zh-CN"/>
        </w:rPr>
      </w:pPr>
      <w:r>
        <w:rPr>
          <w:rFonts w:eastAsia="黑体"/>
          <w:sz w:val="24"/>
          <w:szCs w:val="24"/>
          <w:lang w:val="zh-CN"/>
        </w:rPr>
        <w:t>表4.3.3-6</w:t>
      </w:r>
      <w:r>
        <w:rPr>
          <w:rFonts w:eastAsia="黑体"/>
          <w:sz w:val="24"/>
          <w:szCs w:val="24"/>
        </w:rPr>
        <w:t xml:space="preserve">   </w:t>
      </w:r>
      <w:r>
        <w:rPr>
          <w:rFonts w:eastAsia="黑体"/>
          <w:sz w:val="24"/>
          <w:szCs w:val="24"/>
          <w:lang w:val="zh-CN"/>
        </w:rPr>
        <w:t>潜水监测点水化学类型计算及分析结果一览表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2"/>
        <w:gridCol w:w="2125"/>
        <w:gridCol w:w="2011"/>
        <w:gridCol w:w="2434"/>
      </w:tblGrid>
      <w:tr>
        <w:tblPrEx>
          <w:tblCellMar>
            <w:top w:w="0" w:type="dxa"/>
            <w:left w:w="108" w:type="dxa"/>
            <w:bottom w:w="0" w:type="dxa"/>
            <w:right w:w="108" w:type="dxa"/>
          </w:tblCellMar>
        </w:tblPrEx>
        <w:trPr>
          <w:trHeight w:val="20" w:hRule="atLeast"/>
          <w:tblHeader/>
        </w:trPr>
        <w:tc>
          <w:tcPr>
            <w:tcW w:w="1145" w:type="pct"/>
            <w:shd w:val="clear" w:color="auto" w:fill="auto"/>
            <w:vAlign w:val="center"/>
          </w:tcPr>
          <w:p>
            <w:pPr>
              <w:widowControl/>
              <w:jc w:val="center"/>
              <w:rPr>
                <w:b/>
                <w:bCs/>
                <w:kern w:val="0"/>
                <w:szCs w:val="21"/>
              </w:rPr>
            </w:pPr>
            <w:r>
              <w:rPr>
                <w:b/>
                <w:bCs/>
                <w:kern w:val="0"/>
                <w:szCs w:val="21"/>
              </w:rPr>
              <w:t>分析项目</w:t>
            </w:r>
          </w:p>
        </w:tc>
        <w:tc>
          <w:tcPr>
            <w:tcW w:w="1247" w:type="pct"/>
            <w:shd w:val="clear" w:color="auto" w:fill="auto"/>
            <w:vAlign w:val="center"/>
          </w:tcPr>
          <w:p>
            <w:pPr>
              <w:widowControl/>
              <w:jc w:val="center"/>
              <w:rPr>
                <w:b/>
                <w:bCs/>
                <w:kern w:val="0"/>
                <w:szCs w:val="21"/>
              </w:rPr>
            </w:pPr>
            <w:r>
              <w:rPr>
                <w:b/>
                <w:bCs/>
                <w:kern w:val="0"/>
                <w:szCs w:val="21"/>
              </w:rPr>
              <w:t>离子浓度(mg/L)</w:t>
            </w:r>
          </w:p>
        </w:tc>
        <w:tc>
          <w:tcPr>
            <w:tcW w:w="1180" w:type="pct"/>
            <w:shd w:val="clear" w:color="auto" w:fill="auto"/>
            <w:vAlign w:val="center"/>
          </w:tcPr>
          <w:p>
            <w:pPr>
              <w:widowControl/>
              <w:jc w:val="center"/>
              <w:rPr>
                <w:b/>
                <w:bCs/>
                <w:kern w:val="0"/>
                <w:szCs w:val="21"/>
              </w:rPr>
            </w:pPr>
            <w:r>
              <w:rPr>
                <w:b/>
                <w:bCs/>
                <w:kern w:val="0"/>
                <w:szCs w:val="21"/>
              </w:rPr>
              <w:t>毫克当量(meq/L)</w:t>
            </w:r>
          </w:p>
        </w:tc>
        <w:tc>
          <w:tcPr>
            <w:tcW w:w="1428" w:type="pct"/>
            <w:shd w:val="clear" w:color="auto" w:fill="auto"/>
            <w:vAlign w:val="center"/>
          </w:tcPr>
          <w:p>
            <w:pPr>
              <w:widowControl/>
              <w:jc w:val="center"/>
              <w:rPr>
                <w:b/>
                <w:bCs/>
                <w:kern w:val="0"/>
                <w:szCs w:val="21"/>
              </w:rPr>
            </w:pPr>
            <w:r>
              <w:rPr>
                <w:b/>
                <w:bCs/>
                <w:kern w:val="0"/>
                <w:szCs w:val="21"/>
              </w:rPr>
              <w:t>毫克当量百分比（%）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G1本厂址西侧钻孔1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1.76</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36.5</w:t>
            </w:r>
          </w:p>
        </w:tc>
        <w:tc>
          <w:tcPr>
            <w:tcW w:w="1180" w:type="pct"/>
            <w:shd w:val="clear" w:color="auto" w:fill="auto"/>
            <w:vAlign w:val="center"/>
          </w:tcPr>
          <w:p>
            <w:pPr>
              <w:widowControl/>
              <w:jc w:val="center"/>
              <w:rPr>
                <w:rFonts w:eastAsia="等线"/>
                <w:kern w:val="0"/>
                <w:szCs w:val="21"/>
              </w:rPr>
            </w:pPr>
            <w:r>
              <w:rPr>
                <w:rFonts w:eastAsia="等线"/>
                <w:kern w:val="0"/>
                <w:szCs w:val="21"/>
              </w:rPr>
              <w:t>1.586956522</w:t>
            </w:r>
          </w:p>
        </w:tc>
        <w:tc>
          <w:tcPr>
            <w:tcW w:w="1428" w:type="pct"/>
            <w:shd w:val="clear" w:color="auto" w:fill="auto"/>
            <w:vAlign w:val="center"/>
          </w:tcPr>
          <w:p>
            <w:pPr>
              <w:widowControl/>
              <w:jc w:val="center"/>
              <w:rPr>
                <w:rFonts w:eastAsia="等线"/>
                <w:kern w:val="0"/>
                <w:szCs w:val="21"/>
              </w:rPr>
            </w:pPr>
            <w:r>
              <w:rPr>
                <w:rFonts w:eastAsia="等线"/>
                <w:kern w:val="0"/>
                <w:szCs w:val="21"/>
              </w:rPr>
              <w:t>29.95978002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44.2</w:t>
            </w:r>
          </w:p>
        </w:tc>
        <w:tc>
          <w:tcPr>
            <w:tcW w:w="1180" w:type="pct"/>
            <w:shd w:val="clear" w:color="auto" w:fill="auto"/>
            <w:vAlign w:val="center"/>
          </w:tcPr>
          <w:p>
            <w:pPr>
              <w:widowControl/>
              <w:jc w:val="center"/>
              <w:rPr>
                <w:rFonts w:eastAsia="等线"/>
                <w:kern w:val="0"/>
                <w:szCs w:val="21"/>
              </w:rPr>
            </w:pPr>
            <w:r>
              <w:rPr>
                <w:rFonts w:eastAsia="等线"/>
                <w:kern w:val="0"/>
                <w:szCs w:val="21"/>
              </w:rPr>
              <w:t>2.21</w:t>
            </w:r>
          </w:p>
        </w:tc>
        <w:tc>
          <w:tcPr>
            <w:tcW w:w="1428" w:type="pct"/>
            <w:shd w:val="clear" w:color="auto" w:fill="auto"/>
            <w:vAlign w:val="center"/>
          </w:tcPr>
          <w:p>
            <w:pPr>
              <w:widowControl/>
              <w:jc w:val="center"/>
              <w:rPr>
                <w:rFonts w:eastAsia="等线"/>
                <w:kern w:val="0"/>
                <w:szCs w:val="21"/>
              </w:rPr>
            </w:pPr>
            <w:r>
              <w:rPr>
                <w:rFonts w:eastAsia="等线"/>
                <w:kern w:val="0"/>
                <w:szCs w:val="21"/>
              </w:rPr>
              <w:t>41.72207174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18</w:t>
            </w:r>
          </w:p>
        </w:tc>
        <w:tc>
          <w:tcPr>
            <w:tcW w:w="1180" w:type="pct"/>
            <w:shd w:val="clear" w:color="auto" w:fill="auto"/>
            <w:vAlign w:val="center"/>
          </w:tcPr>
          <w:p>
            <w:pPr>
              <w:widowControl/>
              <w:jc w:val="center"/>
              <w:rPr>
                <w:rFonts w:eastAsia="等线"/>
                <w:kern w:val="0"/>
                <w:szCs w:val="21"/>
              </w:rPr>
            </w:pPr>
            <w:r>
              <w:rPr>
                <w:rFonts w:eastAsia="等线"/>
                <w:kern w:val="0"/>
                <w:szCs w:val="21"/>
              </w:rPr>
              <w:t>1.5</w:t>
            </w:r>
          </w:p>
        </w:tc>
        <w:tc>
          <w:tcPr>
            <w:tcW w:w="1428" w:type="pct"/>
            <w:shd w:val="clear" w:color="auto" w:fill="auto"/>
            <w:vAlign w:val="center"/>
          </w:tcPr>
          <w:p>
            <w:pPr>
              <w:widowControl/>
              <w:jc w:val="center"/>
              <w:rPr>
                <w:rFonts w:eastAsia="等线"/>
                <w:kern w:val="0"/>
                <w:szCs w:val="21"/>
              </w:rPr>
            </w:pPr>
            <w:r>
              <w:rPr>
                <w:rFonts w:eastAsia="等线"/>
                <w:kern w:val="0"/>
                <w:szCs w:val="21"/>
              </w:rPr>
              <w:t>28.31814824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5.296956522</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132</w:t>
            </w:r>
          </w:p>
        </w:tc>
        <w:tc>
          <w:tcPr>
            <w:tcW w:w="1180" w:type="pct"/>
            <w:shd w:val="clear" w:color="auto" w:fill="auto"/>
            <w:vAlign w:val="center"/>
          </w:tcPr>
          <w:p>
            <w:pPr>
              <w:widowControl/>
              <w:jc w:val="center"/>
              <w:rPr>
                <w:rFonts w:eastAsia="等线"/>
                <w:kern w:val="0"/>
                <w:szCs w:val="21"/>
              </w:rPr>
            </w:pPr>
            <w:r>
              <w:rPr>
                <w:rFonts w:eastAsia="等线"/>
                <w:kern w:val="0"/>
                <w:szCs w:val="21"/>
              </w:rPr>
              <w:t>2.163934426</w:t>
            </w:r>
          </w:p>
        </w:tc>
        <w:tc>
          <w:tcPr>
            <w:tcW w:w="1428" w:type="pct"/>
            <w:shd w:val="clear" w:color="auto" w:fill="auto"/>
            <w:vAlign w:val="center"/>
          </w:tcPr>
          <w:p>
            <w:pPr>
              <w:widowControl/>
              <w:jc w:val="center"/>
              <w:rPr>
                <w:rFonts w:eastAsia="等线"/>
                <w:kern w:val="0"/>
                <w:szCs w:val="21"/>
              </w:rPr>
            </w:pPr>
            <w:r>
              <w:rPr>
                <w:rFonts w:eastAsia="等线"/>
                <w:kern w:val="0"/>
                <w:szCs w:val="21"/>
              </w:rPr>
              <w:t>39.95542744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58.2</w:t>
            </w:r>
          </w:p>
        </w:tc>
        <w:tc>
          <w:tcPr>
            <w:tcW w:w="1180" w:type="pct"/>
            <w:shd w:val="clear" w:color="auto" w:fill="auto"/>
            <w:vAlign w:val="center"/>
          </w:tcPr>
          <w:p>
            <w:pPr>
              <w:widowControl/>
              <w:jc w:val="center"/>
              <w:rPr>
                <w:rFonts w:eastAsia="等线"/>
                <w:kern w:val="0"/>
                <w:szCs w:val="21"/>
              </w:rPr>
            </w:pPr>
            <w:r>
              <w:rPr>
                <w:rFonts w:eastAsia="等线"/>
                <w:kern w:val="0"/>
                <w:szCs w:val="21"/>
              </w:rPr>
              <w:t>1.2125</w:t>
            </w:r>
          </w:p>
        </w:tc>
        <w:tc>
          <w:tcPr>
            <w:tcW w:w="1428" w:type="pct"/>
            <w:shd w:val="clear" w:color="auto" w:fill="auto"/>
            <w:vAlign w:val="center"/>
          </w:tcPr>
          <w:p>
            <w:pPr>
              <w:widowControl/>
              <w:jc w:val="center"/>
              <w:rPr>
                <w:rFonts w:eastAsia="等线"/>
                <w:kern w:val="0"/>
                <w:szCs w:val="21"/>
              </w:rPr>
            </w:pPr>
            <w:r>
              <w:rPr>
                <w:rFonts w:eastAsia="等线"/>
                <w:kern w:val="0"/>
                <w:szCs w:val="21"/>
              </w:rPr>
              <w:t>22.38790381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72.4</w:t>
            </w:r>
          </w:p>
        </w:tc>
        <w:tc>
          <w:tcPr>
            <w:tcW w:w="1180" w:type="pct"/>
            <w:shd w:val="clear" w:color="auto" w:fill="auto"/>
            <w:vAlign w:val="center"/>
          </w:tcPr>
          <w:p>
            <w:pPr>
              <w:widowControl/>
              <w:jc w:val="center"/>
              <w:rPr>
                <w:rFonts w:eastAsia="等线"/>
                <w:kern w:val="0"/>
                <w:szCs w:val="21"/>
              </w:rPr>
            </w:pPr>
            <w:r>
              <w:rPr>
                <w:rFonts w:eastAsia="等线"/>
                <w:kern w:val="0"/>
                <w:szCs w:val="21"/>
              </w:rPr>
              <w:t>2.03943662</w:t>
            </w:r>
          </w:p>
        </w:tc>
        <w:tc>
          <w:tcPr>
            <w:tcW w:w="1428" w:type="pct"/>
            <w:shd w:val="clear" w:color="auto" w:fill="auto"/>
            <w:vAlign w:val="center"/>
          </w:tcPr>
          <w:p>
            <w:pPr>
              <w:widowControl/>
              <w:jc w:val="center"/>
              <w:rPr>
                <w:rFonts w:eastAsia="等线"/>
                <w:kern w:val="0"/>
                <w:szCs w:val="21"/>
              </w:rPr>
            </w:pPr>
            <w:r>
              <w:rPr>
                <w:rFonts w:eastAsia="等线"/>
                <w:kern w:val="0"/>
                <w:szCs w:val="21"/>
              </w:rPr>
              <w:t>37.65666875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5.415871046</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·Cl—Ca·Na·Mg</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G4本项目厂址南侧生活垃圾焚烧厂内钻孔1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1.95</w:t>
            </w:r>
          </w:p>
        </w:tc>
        <w:tc>
          <w:tcPr>
            <w:tcW w:w="1180" w:type="pct"/>
            <w:shd w:val="clear" w:color="auto" w:fill="auto"/>
            <w:vAlign w:val="center"/>
          </w:tcPr>
          <w:p>
            <w:pPr>
              <w:widowControl/>
              <w:jc w:val="center"/>
              <w:rPr>
                <w:rFonts w:eastAsia="等线"/>
                <w:kern w:val="0"/>
                <w:szCs w:val="21"/>
              </w:rPr>
            </w:pPr>
            <w:r>
              <w:rPr>
                <w:rFonts w:eastAsia="等线"/>
                <w:kern w:val="0"/>
                <w:szCs w:val="21"/>
              </w:rPr>
              <w:t>0.05</w:t>
            </w:r>
          </w:p>
        </w:tc>
        <w:tc>
          <w:tcPr>
            <w:tcW w:w="1428" w:type="pct"/>
            <w:shd w:val="clear" w:color="auto" w:fill="auto"/>
            <w:vAlign w:val="center"/>
          </w:tcPr>
          <w:p>
            <w:pPr>
              <w:widowControl/>
              <w:jc w:val="center"/>
              <w:rPr>
                <w:rFonts w:eastAsia="等线"/>
                <w:kern w:val="0"/>
                <w:szCs w:val="21"/>
              </w:rPr>
            </w:pPr>
            <w:r>
              <w:rPr>
                <w:rFonts w:eastAsia="等线"/>
                <w:kern w:val="0"/>
                <w:szCs w:val="21"/>
              </w:rPr>
              <w:t>0.931828003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35.4</w:t>
            </w:r>
          </w:p>
        </w:tc>
        <w:tc>
          <w:tcPr>
            <w:tcW w:w="1180" w:type="pct"/>
            <w:shd w:val="clear" w:color="auto" w:fill="auto"/>
            <w:vAlign w:val="center"/>
          </w:tcPr>
          <w:p>
            <w:pPr>
              <w:widowControl/>
              <w:jc w:val="center"/>
              <w:rPr>
                <w:rFonts w:eastAsia="等线"/>
                <w:kern w:val="0"/>
                <w:szCs w:val="21"/>
              </w:rPr>
            </w:pPr>
            <w:r>
              <w:rPr>
                <w:rFonts w:eastAsia="等线"/>
                <w:kern w:val="0"/>
                <w:szCs w:val="21"/>
              </w:rPr>
              <w:t>1.539130435</w:t>
            </w:r>
          </w:p>
        </w:tc>
        <w:tc>
          <w:tcPr>
            <w:tcW w:w="1428" w:type="pct"/>
            <w:shd w:val="clear" w:color="auto" w:fill="auto"/>
            <w:vAlign w:val="center"/>
          </w:tcPr>
          <w:p>
            <w:pPr>
              <w:widowControl/>
              <w:jc w:val="center"/>
              <w:rPr>
                <w:rFonts w:eastAsia="等线"/>
                <w:kern w:val="0"/>
                <w:szCs w:val="21"/>
              </w:rPr>
            </w:pPr>
            <w:r>
              <w:rPr>
                <w:rFonts w:eastAsia="等线"/>
                <w:kern w:val="0"/>
                <w:szCs w:val="21"/>
              </w:rPr>
              <w:t>28.6840968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43.7</w:t>
            </w:r>
          </w:p>
        </w:tc>
        <w:tc>
          <w:tcPr>
            <w:tcW w:w="1180" w:type="pct"/>
            <w:shd w:val="clear" w:color="auto" w:fill="auto"/>
            <w:vAlign w:val="center"/>
          </w:tcPr>
          <w:p>
            <w:pPr>
              <w:widowControl/>
              <w:jc w:val="center"/>
              <w:rPr>
                <w:rFonts w:eastAsia="等线"/>
                <w:kern w:val="0"/>
                <w:szCs w:val="21"/>
              </w:rPr>
            </w:pPr>
            <w:r>
              <w:rPr>
                <w:rFonts w:eastAsia="等线"/>
                <w:kern w:val="0"/>
                <w:szCs w:val="21"/>
              </w:rPr>
              <w:t>2.185</w:t>
            </w:r>
          </w:p>
        </w:tc>
        <w:tc>
          <w:tcPr>
            <w:tcW w:w="1428" w:type="pct"/>
            <w:shd w:val="clear" w:color="auto" w:fill="auto"/>
            <w:vAlign w:val="center"/>
          </w:tcPr>
          <w:p>
            <w:pPr>
              <w:widowControl/>
              <w:jc w:val="center"/>
              <w:rPr>
                <w:rFonts w:eastAsia="等线"/>
                <w:kern w:val="0"/>
                <w:szCs w:val="21"/>
              </w:rPr>
            </w:pPr>
            <w:r>
              <w:rPr>
                <w:rFonts w:eastAsia="等线"/>
                <w:kern w:val="0"/>
                <w:szCs w:val="21"/>
              </w:rPr>
              <w:t>40.72088375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19.1</w:t>
            </w:r>
          </w:p>
        </w:tc>
        <w:tc>
          <w:tcPr>
            <w:tcW w:w="1180" w:type="pct"/>
            <w:shd w:val="clear" w:color="auto" w:fill="auto"/>
            <w:vAlign w:val="center"/>
          </w:tcPr>
          <w:p>
            <w:pPr>
              <w:widowControl/>
              <w:jc w:val="center"/>
              <w:rPr>
                <w:rFonts w:eastAsia="等线"/>
                <w:kern w:val="0"/>
                <w:szCs w:val="21"/>
              </w:rPr>
            </w:pPr>
            <w:r>
              <w:rPr>
                <w:rFonts w:eastAsia="等线"/>
                <w:kern w:val="0"/>
                <w:szCs w:val="21"/>
              </w:rPr>
              <w:t>1.591666667</w:t>
            </w:r>
          </w:p>
        </w:tc>
        <w:tc>
          <w:tcPr>
            <w:tcW w:w="1428" w:type="pct"/>
            <w:shd w:val="clear" w:color="auto" w:fill="auto"/>
            <w:vAlign w:val="center"/>
          </w:tcPr>
          <w:p>
            <w:pPr>
              <w:widowControl/>
              <w:jc w:val="center"/>
              <w:rPr>
                <w:rFonts w:eastAsia="等线"/>
                <w:kern w:val="0"/>
                <w:szCs w:val="21"/>
              </w:rPr>
            </w:pPr>
            <w:r>
              <w:rPr>
                <w:rFonts w:eastAsia="等线"/>
                <w:kern w:val="0"/>
                <w:szCs w:val="21"/>
              </w:rPr>
              <w:t>29.66319144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5.365797101</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128</w:t>
            </w:r>
          </w:p>
        </w:tc>
        <w:tc>
          <w:tcPr>
            <w:tcW w:w="1180" w:type="pct"/>
            <w:shd w:val="clear" w:color="auto" w:fill="auto"/>
            <w:vAlign w:val="center"/>
          </w:tcPr>
          <w:p>
            <w:pPr>
              <w:widowControl/>
              <w:jc w:val="center"/>
              <w:rPr>
                <w:rFonts w:eastAsia="等线"/>
                <w:kern w:val="0"/>
                <w:szCs w:val="21"/>
              </w:rPr>
            </w:pPr>
            <w:r>
              <w:rPr>
                <w:rFonts w:eastAsia="等线"/>
                <w:kern w:val="0"/>
                <w:szCs w:val="21"/>
              </w:rPr>
              <w:t>2.098360656</w:t>
            </w:r>
          </w:p>
        </w:tc>
        <w:tc>
          <w:tcPr>
            <w:tcW w:w="1428" w:type="pct"/>
            <w:shd w:val="clear" w:color="auto" w:fill="auto"/>
            <w:vAlign w:val="center"/>
          </w:tcPr>
          <w:p>
            <w:pPr>
              <w:widowControl/>
              <w:jc w:val="center"/>
              <w:rPr>
                <w:rFonts w:eastAsia="等线"/>
                <w:kern w:val="0"/>
                <w:szCs w:val="21"/>
              </w:rPr>
            </w:pPr>
            <w:r>
              <w:rPr>
                <w:rFonts w:eastAsia="等线"/>
                <w:kern w:val="0"/>
                <w:szCs w:val="21"/>
              </w:rPr>
              <w:t>39.12724319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58.4</w:t>
            </w:r>
          </w:p>
        </w:tc>
        <w:tc>
          <w:tcPr>
            <w:tcW w:w="1180" w:type="pct"/>
            <w:shd w:val="clear" w:color="auto" w:fill="auto"/>
            <w:vAlign w:val="center"/>
          </w:tcPr>
          <w:p>
            <w:pPr>
              <w:widowControl/>
              <w:jc w:val="center"/>
              <w:rPr>
                <w:rFonts w:eastAsia="等线"/>
                <w:kern w:val="0"/>
                <w:szCs w:val="21"/>
              </w:rPr>
            </w:pPr>
            <w:r>
              <w:rPr>
                <w:rFonts w:eastAsia="等线"/>
                <w:kern w:val="0"/>
                <w:szCs w:val="21"/>
              </w:rPr>
              <w:t>1.216666667</w:t>
            </w:r>
          </w:p>
        </w:tc>
        <w:tc>
          <w:tcPr>
            <w:tcW w:w="1428" w:type="pct"/>
            <w:shd w:val="clear" w:color="auto" w:fill="auto"/>
            <w:vAlign w:val="center"/>
          </w:tcPr>
          <w:p>
            <w:pPr>
              <w:widowControl/>
              <w:jc w:val="center"/>
              <w:rPr>
                <w:rFonts w:eastAsia="等线"/>
                <w:kern w:val="0"/>
                <w:szCs w:val="21"/>
              </w:rPr>
            </w:pPr>
            <w:r>
              <w:rPr>
                <w:rFonts w:eastAsia="等线"/>
                <w:kern w:val="0"/>
                <w:szCs w:val="21"/>
              </w:rPr>
              <w:t>22.68666848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72.7</w:t>
            </w:r>
          </w:p>
        </w:tc>
        <w:tc>
          <w:tcPr>
            <w:tcW w:w="1180" w:type="pct"/>
            <w:shd w:val="clear" w:color="auto" w:fill="auto"/>
            <w:vAlign w:val="center"/>
          </w:tcPr>
          <w:p>
            <w:pPr>
              <w:widowControl/>
              <w:jc w:val="center"/>
              <w:rPr>
                <w:rFonts w:eastAsia="等线"/>
                <w:kern w:val="0"/>
                <w:szCs w:val="21"/>
              </w:rPr>
            </w:pPr>
            <w:r>
              <w:rPr>
                <w:rFonts w:eastAsia="等线"/>
                <w:kern w:val="0"/>
                <w:szCs w:val="21"/>
              </w:rPr>
              <w:t>2.047887324</w:t>
            </w:r>
          </w:p>
        </w:tc>
        <w:tc>
          <w:tcPr>
            <w:tcW w:w="1428" w:type="pct"/>
            <w:shd w:val="clear" w:color="auto" w:fill="auto"/>
            <w:vAlign w:val="center"/>
          </w:tcPr>
          <w:p>
            <w:pPr>
              <w:widowControl/>
              <w:jc w:val="center"/>
              <w:rPr>
                <w:rFonts w:eastAsia="等线"/>
                <w:kern w:val="0"/>
                <w:szCs w:val="21"/>
              </w:rPr>
            </w:pPr>
            <w:r>
              <w:rPr>
                <w:rFonts w:eastAsia="等线"/>
                <w:kern w:val="0"/>
                <w:szCs w:val="21"/>
              </w:rPr>
              <w:t>38.18608833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5.362914646</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·Cl—Ca·Mg·Na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G8凯拓商砼水泥厂内水井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1.8</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35.4</w:t>
            </w:r>
          </w:p>
        </w:tc>
        <w:tc>
          <w:tcPr>
            <w:tcW w:w="1180" w:type="pct"/>
            <w:shd w:val="clear" w:color="auto" w:fill="auto"/>
            <w:vAlign w:val="center"/>
          </w:tcPr>
          <w:p>
            <w:pPr>
              <w:widowControl/>
              <w:jc w:val="center"/>
              <w:rPr>
                <w:rFonts w:eastAsia="等线"/>
                <w:kern w:val="0"/>
                <w:szCs w:val="21"/>
              </w:rPr>
            </w:pPr>
            <w:r>
              <w:rPr>
                <w:rFonts w:eastAsia="等线"/>
                <w:kern w:val="0"/>
                <w:szCs w:val="21"/>
              </w:rPr>
              <w:t>1.539130435</w:t>
            </w:r>
          </w:p>
        </w:tc>
        <w:tc>
          <w:tcPr>
            <w:tcW w:w="1428" w:type="pct"/>
            <w:shd w:val="clear" w:color="auto" w:fill="auto"/>
            <w:vAlign w:val="center"/>
          </w:tcPr>
          <w:p>
            <w:pPr>
              <w:widowControl/>
              <w:jc w:val="center"/>
              <w:rPr>
                <w:rFonts w:eastAsia="等线"/>
                <w:kern w:val="0"/>
                <w:szCs w:val="21"/>
              </w:rPr>
            </w:pPr>
            <w:r>
              <w:rPr>
                <w:rFonts w:eastAsia="等线"/>
                <w:kern w:val="0"/>
                <w:szCs w:val="21"/>
              </w:rPr>
              <w:t>28.86340164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43.7</w:t>
            </w:r>
          </w:p>
        </w:tc>
        <w:tc>
          <w:tcPr>
            <w:tcW w:w="1180" w:type="pct"/>
            <w:shd w:val="clear" w:color="auto" w:fill="auto"/>
            <w:vAlign w:val="center"/>
          </w:tcPr>
          <w:p>
            <w:pPr>
              <w:widowControl/>
              <w:jc w:val="center"/>
              <w:rPr>
                <w:rFonts w:eastAsia="等线"/>
                <w:kern w:val="0"/>
                <w:szCs w:val="21"/>
              </w:rPr>
            </w:pPr>
            <w:r>
              <w:rPr>
                <w:rFonts w:eastAsia="等线"/>
                <w:kern w:val="0"/>
                <w:szCs w:val="21"/>
              </w:rPr>
              <w:t>2.185</w:t>
            </w:r>
          </w:p>
        </w:tc>
        <w:tc>
          <w:tcPr>
            <w:tcW w:w="1428" w:type="pct"/>
            <w:shd w:val="clear" w:color="auto" w:fill="auto"/>
            <w:vAlign w:val="center"/>
          </w:tcPr>
          <w:p>
            <w:pPr>
              <w:widowControl/>
              <w:jc w:val="center"/>
              <w:rPr>
                <w:rFonts w:eastAsia="等线"/>
                <w:kern w:val="0"/>
                <w:szCs w:val="21"/>
              </w:rPr>
            </w:pPr>
            <w:r>
              <w:rPr>
                <w:rFonts w:eastAsia="等线"/>
                <w:kern w:val="0"/>
                <w:szCs w:val="21"/>
              </w:rPr>
              <w:t>40.97543078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19.3</w:t>
            </w:r>
          </w:p>
        </w:tc>
        <w:tc>
          <w:tcPr>
            <w:tcW w:w="1180" w:type="pct"/>
            <w:shd w:val="clear" w:color="auto" w:fill="auto"/>
            <w:vAlign w:val="center"/>
          </w:tcPr>
          <w:p>
            <w:pPr>
              <w:widowControl/>
              <w:jc w:val="center"/>
              <w:rPr>
                <w:rFonts w:eastAsia="等线"/>
                <w:kern w:val="0"/>
                <w:szCs w:val="21"/>
              </w:rPr>
            </w:pPr>
            <w:r>
              <w:rPr>
                <w:rFonts w:eastAsia="等线"/>
                <w:kern w:val="0"/>
                <w:szCs w:val="21"/>
              </w:rPr>
              <w:t>1.608333333</w:t>
            </w:r>
          </w:p>
        </w:tc>
        <w:tc>
          <w:tcPr>
            <w:tcW w:w="1428" w:type="pct"/>
            <w:shd w:val="clear" w:color="auto" w:fill="auto"/>
            <w:vAlign w:val="center"/>
          </w:tcPr>
          <w:p>
            <w:pPr>
              <w:widowControl/>
              <w:jc w:val="center"/>
              <w:rPr>
                <w:rFonts w:eastAsia="等线"/>
                <w:kern w:val="0"/>
                <w:szCs w:val="21"/>
              </w:rPr>
            </w:pPr>
            <w:r>
              <w:rPr>
                <w:rFonts w:eastAsia="等线"/>
                <w:kern w:val="0"/>
                <w:szCs w:val="21"/>
              </w:rPr>
              <w:t>30.16116758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5.332463768</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135</w:t>
            </w:r>
          </w:p>
        </w:tc>
        <w:tc>
          <w:tcPr>
            <w:tcW w:w="1180" w:type="pct"/>
            <w:shd w:val="clear" w:color="auto" w:fill="auto"/>
            <w:vAlign w:val="center"/>
          </w:tcPr>
          <w:p>
            <w:pPr>
              <w:widowControl/>
              <w:jc w:val="center"/>
              <w:rPr>
                <w:rFonts w:eastAsia="等线"/>
                <w:kern w:val="0"/>
                <w:szCs w:val="21"/>
              </w:rPr>
            </w:pPr>
            <w:r>
              <w:rPr>
                <w:rFonts w:eastAsia="等线"/>
                <w:kern w:val="0"/>
                <w:szCs w:val="21"/>
              </w:rPr>
              <w:t>2.213114754</w:t>
            </w:r>
          </w:p>
        </w:tc>
        <w:tc>
          <w:tcPr>
            <w:tcW w:w="1428" w:type="pct"/>
            <w:shd w:val="clear" w:color="auto" w:fill="auto"/>
            <w:vAlign w:val="center"/>
          </w:tcPr>
          <w:p>
            <w:pPr>
              <w:widowControl/>
              <w:jc w:val="center"/>
              <w:rPr>
                <w:rFonts w:eastAsia="等线"/>
                <w:kern w:val="0"/>
                <w:szCs w:val="21"/>
              </w:rPr>
            </w:pPr>
            <w:r>
              <w:rPr>
                <w:rFonts w:eastAsia="等线"/>
                <w:kern w:val="0"/>
                <w:szCs w:val="21"/>
              </w:rPr>
              <w:t>40.23867531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59.2</w:t>
            </w:r>
          </w:p>
        </w:tc>
        <w:tc>
          <w:tcPr>
            <w:tcW w:w="1180" w:type="pct"/>
            <w:shd w:val="clear" w:color="auto" w:fill="auto"/>
            <w:vAlign w:val="center"/>
          </w:tcPr>
          <w:p>
            <w:pPr>
              <w:widowControl/>
              <w:jc w:val="center"/>
              <w:rPr>
                <w:rFonts w:eastAsia="等线"/>
                <w:kern w:val="0"/>
                <w:szCs w:val="21"/>
              </w:rPr>
            </w:pPr>
            <w:r>
              <w:rPr>
                <w:rFonts w:eastAsia="等线"/>
                <w:kern w:val="0"/>
                <w:szCs w:val="21"/>
              </w:rPr>
              <w:t>1.233333333</w:t>
            </w:r>
          </w:p>
        </w:tc>
        <w:tc>
          <w:tcPr>
            <w:tcW w:w="1428" w:type="pct"/>
            <w:shd w:val="clear" w:color="auto" w:fill="auto"/>
            <w:vAlign w:val="center"/>
          </w:tcPr>
          <w:p>
            <w:pPr>
              <w:widowControl/>
              <w:jc w:val="center"/>
              <w:rPr>
                <w:rFonts w:eastAsia="等线"/>
                <w:kern w:val="0"/>
                <w:szCs w:val="21"/>
              </w:rPr>
            </w:pPr>
            <w:r>
              <w:rPr>
                <w:rFonts w:eastAsia="等线"/>
                <w:kern w:val="0"/>
                <w:szCs w:val="21"/>
              </w:rPr>
              <w:t>22.42436794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kern w:val="0"/>
                <w:szCs w:val="21"/>
                <w:u w:val="single"/>
              </w:rPr>
              <w:t>72.9</w:t>
            </w:r>
          </w:p>
        </w:tc>
        <w:tc>
          <w:tcPr>
            <w:tcW w:w="1180" w:type="pct"/>
            <w:shd w:val="clear" w:color="auto" w:fill="auto"/>
            <w:vAlign w:val="center"/>
          </w:tcPr>
          <w:p>
            <w:pPr>
              <w:widowControl/>
              <w:jc w:val="center"/>
              <w:rPr>
                <w:rFonts w:eastAsia="等线"/>
                <w:kern w:val="0"/>
                <w:szCs w:val="21"/>
              </w:rPr>
            </w:pPr>
            <w:r>
              <w:rPr>
                <w:rFonts w:eastAsia="等线"/>
                <w:kern w:val="0"/>
                <w:szCs w:val="21"/>
              </w:rPr>
              <w:t>2.053521127</w:t>
            </w:r>
          </w:p>
        </w:tc>
        <w:tc>
          <w:tcPr>
            <w:tcW w:w="1428" w:type="pct"/>
            <w:shd w:val="clear" w:color="auto" w:fill="auto"/>
            <w:vAlign w:val="center"/>
          </w:tcPr>
          <w:p>
            <w:pPr>
              <w:widowControl/>
              <w:jc w:val="center"/>
              <w:rPr>
                <w:rFonts w:eastAsia="等线"/>
                <w:kern w:val="0"/>
                <w:szCs w:val="21"/>
              </w:rPr>
            </w:pPr>
            <w:r>
              <w:rPr>
                <w:rFonts w:eastAsia="等线"/>
                <w:kern w:val="0"/>
                <w:szCs w:val="21"/>
              </w:rPr>
              <w:t>37.33695675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5.499969214</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·Cl—Ca·Mg·Na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G2本厂址西侧钻孔2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szCs w:val="21"/>
              </w:rPr>
              <w:t>0</w:t>
            </w:r>
          </w:p>
        </w:tc>
        <w:tc>
          <w:tcPr>
            <w:tcW w:w="1180" w:type="pct"/>
            <w:shd w:val="clear" w:color="auto" w:fill="auto"/>
            <w:vAlign w:val="center"/>
          </w:tcPr>
          <w:p>
            <w:pPr>
              <w:widowControl/>
              <w:jc w:val="center"/>
              <w:rPr>
                <w:rFonts w:eastAsia="等线"/>
                <w:kern w:val="0"/>
                <w:szCs w:val="21"/>
              </w:rPr>
            </w:pPr>
            <w:r>
              <w:rPr>
                <w:rFonts w:eastAsia="等线"/>
                <w:szCs w:val="21"/>
              </w:rPr>
              <w:t>0</w:t>
            </w:r>
          </w:p>
        </w:tc>
        <w:tc>
          <w:tcPr>
            <w:tcW w:w="1428" w:type="pct"/>
            <w:shd w:val="clear" w:color="auto" w:fill="auto"/>
            <w:vAlign w:val="center"/>
          </w:tcPr>
          <w:p>
            <w:pPr>
              <w:widowControl/>
              <w:jc w:val="center"/>
              <w:rPr>
                <w:rFonts w:eastAsia="等线"/>
                <w:kern w:val="0"/>
                <w:szCs w:val="21"/>
              </w:rPr>
            </w:pPr>
            <w:r>
              <w:rPr>
                <w:rFonts w:eastAsia="等线"/>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sz w:val="20"/>
              </w:rPr>
              <w:t>0.3</w:t>
            </w:r>
          </w:p>
        </w:tc>
        <w:tc>
          <w:tcPr>
            <w:tcW w:w="1180" w:type="pct"/>
            <w:shd w:val="clear" w:color="auto" w:fill="auto"/>
            <w:vAlign w:val="center"/>
          </w:tcPr>
          <w:p>
            <w:pPr>
              <w:widowControl/>
              <w:jc w:val="center"/>
              <w:rPr>
                <w:rFonts w:eastAsia="等线"/>
                <w:kern w:val="0"/>
                <w:szCs w:val="21"/>
              </w:rPr>
            </w:pPr>
            <w:r>
              <w:rPr>
                <w:rFonts w:eastAsia="等线"/>
                <w:szCs w:val="21"/>
              </w:rPr>
              <w:t>0.013043478</w:t>
            </w:r>
          </w:p>
        </w:tc>
        <w:tc>
          <w:tcPr>
            <w:tcW w:w="1428" w:type="pct"/>
            <w:shd w:val="clear" w:color="auto" w:fill="auto"/>
            <w:vAlign w:val="center"/>
          </w:tcPr>
          <w:p>
            <w:pPr>
              <w:widowControl/>
              <w:jc w:val="center"/>
              <w:rPr>
                <w:rFonts w:eastAsia="等线"/>
                <w:kern w:val="0"/>
                <w:szCs w:val="21"/>
              </w:rPr>
            </w:pPr>
            <w:r>
              <w:rPr>
                <w:rFonts w:eastAsia="等线"/>
                <w:szCs w:val="21"/>
              </w:rPr>
              <w:t>0.148563882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sz w:val="20"/>
              </w:rPr>
              <w:t>132</w:t>
            </w:r>
          </w:p>
        </w:tc>
        <w:tc>
          <w:tcPr>
            <w:tcW w:w="1180" w:type="pct"/>
            <w:shd w:val="clear" w:color="auto" w:fill="auto"/>
            <w:vAlign w:val="center"/>
          </w:tcPr>
          <w:p>
            <w:pPr>
              <w:widowControl/>
              <w:jc w:val="center"/>
              <w:rPr>
                <w:rFonts w:eastAsia="等线"/>
                <w:kern w:val="0"/>
                <w:szCs w:val="21"/>
              </w:rPr>
            </w:pPr>
            <w:r>
              <w:rPr>
                <w:rFonts w:eastAsia="等线"/>
                <w:szCs w:val="21"/>
              </w:rPr>
              <w:t>6.6</w:t>
            </w:r>
          </w:p>
        </w:tc>
        <w:tc>
          <w:tcPr>
            <w:tcW w:w="1428" w:type="pct"/>
            <w:shd w:val="clear" w:color="auto" w:fill="auto"/>
            <w:vAlign w:val="center"/>
          </w:tcPr>
          <w:p>
            <w:pPr>
              <w:widowControl/>
              <w:jc w:val="center"/>
              <w:rPr>
                <w:rFonts w:eastAsia="等线"/>
                <w:kern w:val="0"/>
                <w:szCs w:val="21"/>
              </w:rPr>
            </w:pPr>
            <w:r>
              <w:rPr>
                <w:rFonts w:eastAsia="等线"/>
                <w:szCs w:val="21"/>
              </w:rPr>
              <w:t>75.17332453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sz w:val="20"/>
              </w:rPr>
              <w:t>26</w:t>
            </w:r>
          </w:p>
        </w:tc>
        <w:tc>
          <w:tcPr>
            <w:tcW w:w="1180" w:type="pct"/>
            <w:shd w:val="clear" w:color="auto" w:fill="auto"/>
            <w:vAlign w:val="center"/>
          </w:tcPr>
          <w:p>
            <w:pPr>
              <w:widowControl/>
              <w:jc w:val="center"/>
              <w:rPr>
                <w:rFonts w:eastAsia="等线"/>
                <w:kern w:val="0"/>
                <w:szCs w:val="21"/>
              </w:rPr>
            </w:pPr>
            <w:r>
              <w:rPr>
                <w:rFonts w:eastAsia="等线"/>
                <w:szCs w:val="21"/>
              </w:rPr>
              <w:t>2.166666667</w:t>
            </w:r>
          </w:p>
        </w:tc>
        <w:tc>
          <w:tcPr>
            <w:tcW w:w="1428" w:type="pct"/>
            <w:shd w:val="clear" w:color="auto" w:fill="auto"/>
            <w:vAlign w:val="center"/>
          </w:tcPr>
          <w:p>
            <w:pPr>
              <w:widowControl/>
              <w:jc w:val="center"/>
              <w:rPr>
                <w:rFonts w:eastAsia="等线"/>
                <w:kern w:val="0"/>
                <w:szCs w:val="21"/>
              </w:rPr>
            </w:pPr>
            <w:r>
              <w:rPr>
                <w:rFonts w:eastAsia="等线"/>
                <w:szCs w:val="21"/>
              </w:rPr>
              <w:t>24.67811159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szCs w:val="21"/>
              </w:rPr>
              <w:t>8.779710145</w:t>
            </w:r>
          </w:p>
        </w:tc>
        <w:tc>
          <w:tcPr>
            <w:tcW w:w="1428" w:type="pct"/>
            <w:shd w:val="clear" w:color="auto" w:fill="auto"/>
            <w:vAlign w:val="center"/>
          </w:tcPr>
          <w:p>
            <w:pPr>
              <w:widowControl/>
              <w:jc w:val="center"/>
              <w:rPr>
                <w:rFonts w:eastAsia="等线"/>
                <w:kern w:val="0"/>
                <w:szCs w:val="21"/>
              </w:rPr>
            </w:pPr>
            <w:r>
              <w:rPr>
                <w:rFonts w:eastAsia="等线"/>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szCs w:val="21"/>
              </w:rPr>
              <w:t>0</w:t>
            </w:r>
          </w:p>
        </w:tc>
        <w:tc>
          <w:tcPr>
            <w:tcW w:w="1180" w:type="pct"/>
            <w:shd w:val="clear" w:color="auto" w:fill="auto"/>
            <w:vAlign w:val="center"/>
          </w:tcPr>
          <w:p>
            <w:pPr>
              <w:widowControl/>
              <w:jc w:val="center"/>
              <w:rPr>
                <w:rFonts w:eastAsia="等线"/>
                <w:kern w:val="0"/>
                <w:szCs w:val="21"/>
              </w:rPr>
            </w:pPr>
            <w:r>
              <w:rPr>
                <w:rFonts w:eastAsia="等线"/>
                <w:szCs w:val="21"/>
              </w:rPr>
              <w:t>0</w:t>
            </w:r>
          </w:p>
        </w:tc>
        <w:tc>
          <w:tcPr>
            <w:tcW w:w="1428" w:type="pct"/>
            <w:shd w:val="clear" w:color="auto" w:fill="auto"/>
            <w:vAlign w:val="center"/>
          </w:tcPr>
          <w:p>
            <w:pPr>
              <w:widowControl/>
              <w:jc w:val="center"/>
              <w:rPr>
                <w:rFonts w:eastAsia="等线"/>
                <w:kern w:val="0"/>
                <w:szCs w:val="21"/>
              </w:rPr>
            </w:pPr>
            <w:r>
              <w:rPr>
                <w:rFonts w:eastAsia="等线"/>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sz w:val="20"/>
              </w:rPr>
              <w:t>0.00769</w:t>
            </w:r>
          </w:p>
        </w:tc>
        <w:tc>
          <w:tcPr>
            <w:tcW w:w="1180" w:type="pct"/>
            <w:shd w:val="clear" w:color="auto" w:fill="auto"/>
            <w:vAlign w:val="center"/>
          </w:tcPr>
          <w:p>
            <w:pPr>
              <w:widowControl/>
              <w:jc w:val="center"/>
              <w:rPr>
                <w:rFonts w:eastAsia="等线"/>
                <w:kern w:val="0"/>
                <w:szCs w:val="21"/>
              </w:rPr>
            </w:pPr>
            <w:r>
              <w:rPr>
                <w:rFonts w:eastAsia="等线"/>
                <w:szCs w:val="21"/>
              </w:rPr>
              <w:t>0.000126066</w:t>
            </w:r>
          </w:p>
        </w:tc>
        <w:tc>
          <w:tcPr>
            <w:tcW w:w="1428" w:type="pct"/>
            <w:shd w:val="clear" w:color="auto" w:fill="auto"/>
            <w:vAlign w:val="center"/>
          </w:tcPr>
          <w:p>
            <w:pPr>
              <w:widowControl/>
              <w:jc w:val="center"/>
              <w:rPr>
                <w:rFonts w:eastAsia="等线"/>
                <w:kern w:val="0"/>
                <w:szCs w:val="21"/>
              </w:rPr>
            </w:pPr>
            <w:r>
              <w:rPr>
                <w:rFonts w:eastAsia="等线"/>
                <w:szCs w:val="21"/>
              </w:rPr>
              <w:t>0.044135853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u w:val="single"/>
              </w:rPr>
            </w:pPr>
            <w:r>
              <w:rPr>
                <w:rFonts w:eastAsia="等线"/>
                <w:szCs w:val="21"/>
              </w:rPr>
              <w:t>11</w:t>
            </w:r>
          </w:p>
        </w:tc>
        <w:tc>
          <w:tcPr>
            <w:tcW w:w="1180" w:type="pct"/>
            <w:shd w:val="clear" w:color="auto" w:fill="auto"/>
            <w:vAlign w:val="center"/>
          </w:tcPr>
          <w:p>
            <w:pPr>
              <w:widowControl/>
              <w:jc w:val="center"/>
              <w:rPr>
                <w:rFonts w:eastAsia="等线"/>
                <w:kern w:val="0"/>
                <w:szCs w:val="21"/>
              </w:rPr>
            </w:pPr>
            <w:r>
              <w:rPr>
                <w:rFonts w:eastAsia="等线"/>
                <w:szCs w:val="21"/>
              </w:rPr>
              <w:t>0.229166667</w:t>
            </w:r>
          </w:p>
        </w:tc>
        <w:tc>
          <w:tcPr>
            <w:tcW w:w="1428" w:type="pct"/>
            <w:shd w:val="clear" w:color="auto" w:fill="auto"/>
            <w:vAlign w:val="center"/>
          </w:tcPr>
          <w:p>
            <w:pPr>
              <w:widowControl/>
              <w:jc w:val="center"/>
              <w:rPr>
                <w:rFonts w:eastAsia="等线"/>
                <w:kern w:val="0"/>
                <w:szCs w:val="21"/>
              </w:rPr>
            </w:pPr>
            <w:r>
              <w:rPr>
                <w:rFonts w:eastAsia="等线"/>
                <w:szCs w:val="21"/>
              </w:rPr>
              <w:t>80.23178818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u w:val="single"/>
              </w:rPr>
            </w:pPr>
            <w:r>
              <w:rPr>
                <w:rFonts w:eastAsia="等线"/>
                <w:szCs w:val="21"/>
              </w:rPr>
              <w:t>2</w:t>
            </w:r>
          </w:p>
        </w:tc>
        <w:tc>
          <w:tcPr>
            <w:tcW w:w="1180" w:type="pct"/>
            <w:shd w:val="clear" w:color="auto" w:fill="auto"/>
            <w:vAlign w:val="center"/>
          </w:tcPr>
          <w:p>
            <w:pPr>
              <w:widowControl/>
              <w:jc w:val="center"/>
              <w:rPr>
                <w:rFonts w:eastAsia="等线"/>
                <w:kern w:val="0"/>
                <w:szCs w:val="21"/>
              </w:rPr>
            </w:pPr>
            <w:r>
              <w:rPr>
                <w:rFonts w:eastAsia="等线"/>
                <w:szCs w:val="21"/>
              </w:rPr>
              <w:t>0.056338028</w:t>
            </w:r>
          </w:p>
        </w:tc>
        <w:tc>
          <w:tcPr>
            <w:tcW w:w="1428" w:type="pct"/>
            <w:shd w:val="clear" w:color="auto" w:fill="auto"/>
            <w:vAlign w:val="center"/>
          </w:tcPr>
          <w:p>
            <w:pPr>
              <w:widowControl/>
              <w:jc w:val="center"/>
              <w:rPr>
                <w:rFonts w:eastAsia="等线"/>
                <w:kern w:val="0"/>
                <w:szCs w:val="21"/>
              </w:rPr>
            </w:pPr>
            <w:r>
              <w:rPr>
                <w:rFonts w:eastAsia="等线"/>
                <w:szCs w:val="21"/>
              </w:rPr>
              <w:t>19.72407597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szCs w:val="21"/>
              </w:rPr>
              <w:t>0.28563076</w:t>
            </w:r>
          </w:p>
        </w:tc>
        <w:tc>
          <w:tcPr>
            <w:tcW w:w="1428" w:type="pct"/>
            <w:shd w:val="clear" w:color="auto" w:fill="auto"/>
            <w:vAlign w:val="center"/>
          </w:tcPr>
          <w:p>
            <w:pPr>
              <w:widowControl/>
              <w:jc w:val="center"/>
              <w:rPr>
                <w:rFonts w:eastAsia="等线"/>
                <w:kern w:val="0"/>
                <w:szCs w:val="21"/>
              </w:rPr>
            </w:pPr>
            <w:r>
              <w:rPr>
                <w:rFonts w:eastAsia="等线"/>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rPr>
              <w:t>—Ca型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G6土城子村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0.67</w:t>
            </w:r>
          </w:p>
        </w:tc>
        <w:tc>
          <w:tcPr>
            <w:tcW w:w="1180" w:type="pct"/>
            <w:shd w:val="clear" w:color="auto" w:fill="auto"/>
            <w:vAlign w:val="center"/>
          </w:tcPr>
          <w:p>
            <w:pPr>
              <w:widowControl/>
              <w:jc w:val="center"/>
              <w:rPr>
                <w:rFonts w:eastAsia="等线"/>
                <w:kern w:val="0"/>
                <w:szCs w:val="21"/>
              </w:rPr>
            </w:pPr>
            <w:r>
              <w:rPr>
                <w:rFonts w:eastAsia="等线"/>
                <w:kern w:val="0"/>
                <w:szCs w:val="21"/>
              </w:rPr>
              <w:t>0.017179487</w:t>
            </w:r>
          </w:p>
        </w:tc>
        <w:tc>
          <w:tcPr>
            <w:tcW w:w="1428" w:type="pct"/>
            <w:shd w:val="clear" w:color="auto" w:fill="auto"/>
            <w:vAlign w:val="center"/>
          </w:tcPr>
          <w:p>
            <w:pPr>
              <w:widowControl/>
              <w:jc w:val="center"/>
              <w:rPr>
                <w:rFonts w:eastAsia="等线"/>
                <w:kern w:val="0"/>
                <w:szCs w:val="21"/>
              </w:rPr>
            </w:pPr>
            <w:r>
              <w:rPr>
                <w:rFonts w:eastAsia="等线"/>
                <w:kern w:val="0"/>
                <w:szCs w:val="21"/>
              </w:rPr>
              <w:t>0.398863717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45.5</w:t>
            </w:r>
          </w:p>
        </w:tc>
        <w:tc>
          <w:tcPr>
            <w:tcW w:w="1180" w:type="pct"/>
            <w:shd w:val="clear" w:color="auto" w:fill="auto"/>
            <w:vAlign w:val="center"/>
          </w:tcPr>
          <w:p>
            <w:pPr>
              <w:widowControl/>
              <w:jc w:val="center"/>
              <w:rPr>
                <w:rFonts w:eastAsia="等线"/>
                <w:kern w:val="0"/>
                <w:szCs w:val="21"/>
              </w:rPr>
            </w:pPr>
            <w:r>
              <w:rPr>
                <w:rFonts w:eastAsia="等线"/>
                <w:kern w:val="0"/>
                <w:szCs w:val="21"/>
              </w:rPr>
              <w:t>1.97826087</w:t>
            </w:r>
          </w:p>
        </w:tc>
        <w:tc>
          <w:tcPr>
            <w:tcW w:w="1428" w:type="pct"/>
            <w:shd w:val="clear" w:color="auto" w:fill="auto"/>
            <w:vAlign w:val="center"/>
          </w:tcPr>
          <w:p>
            <w:pPr>
              <w:widowControl/>
              <w:jc w:val="center"/>
              <w:rPr>
                <w:rFonts w:eastAsia="等线"/>
                <w:kern w:val="0"/>
                <w:szCs w:val="21"/>
              </w:rPr>
            </w:pPr>
            <w:r>
              <w:rPr>
                <w:rFonts w:eastAsia="等线"/>
                <w:kern w:val="0"/>
                <w:szCs w:val="21"/>
              </w:rPr>
              <w:t>45.93015355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31.2</w:t>
            </w:r>
          </w:p>
        </w:tc>
        <w:tc>
          <w:tcPr>
            <w:tcW w:w="1180" w:type="pct"/>
            <w:shd w:val="clear" w:color="auto" w:fill="auto"/>
            <w:vAlign w:val="center"/>
          </w:tcPr>
          <w:p>
            <w:pPr>
              <w:widowControl/>
              <w:jc w:val="center"/>
              <w:rPr>
                <w:rFonts w:eastAsia="等线"/>
                <w:kern w:val="0"/>
                <w:szCs w:val="21"/>
              </w:rPr>
            </w:pPr>
            <w:r>
              <w:rPr>
                <w:rFonts w:eastAsia="等线"/>
                <w:kern w:val="0"/>
                <w:szCs w:val="21"/>
              </w:rPr>
              <w:t>1.56</w:t>
            </w:r>
          </w:p>
        </w:tc>
        <w:tc>
          <w:tcPr>
            <w:tcW w:w="1428" w:type="pct"/>
            <w:shd w:val="clear" w:color="auto" w:fill="auto"/>
            <w:vAlign w:val="center"/>
          </w:tcPr>
          <w:p>
            <w:pPr>
              <w:widowControl/>
              <w:jc w:val="center"/>
              <w:rPr>
                <w:rFonts w:eastAsia="等线"/>
                <w:kern w:val="0"/>
                <w:szCs w:val="21"/>
              </w:rPr>
            </w:pPr>
            <w:r>
              <w:rPr>
                <w:rFonts w:eastAsia="等线"/>
                <w:kern w:val="0"/>
                <w:szCs w:val="21"/>
              </w:rPr>
              <w:t>36.2192068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9.02</w:t>
            </w:r>
          </w:p>
        </w:tc>
        <w:tc>
          <w:tcPr>
            <w:tcW w:w="1180" w:type="pct"/>
            <w:shd w:val="clear" w:color="auto" w:fill="auto"/>
            <w:vAlign w:val="center"/>
          </w:tcPr>
          <w:p>
            <w:pPr>
              <w:widowControl/>
              <w:jc w:val="center"/>
              <w:rPr>
                <w:rFonts w:eastAsia="等线"/>
                <w:kern w:val="0"/>
                <w:szCs w:val="21"/>
              </w:rPr>
            </w:pPr>
            <w:r>
              <w:rPr>
                <w:rFonts w:eastAsia="等线"/>
                <w:kern w:val="0"/>
                <w:szCs w:val="21"/>
              </w:rPr>
              <w:t>0.751666667</w:t>
            </w:r>
          </w:p>
        </w:tc>
        <w:tc>
          <w:tcPr>
            <w:tcW w:w="1428" w:type="pct"/>
            <w:shd w:val="clear" w:color="auto" w:fill="auto"/>
            <w:vAlign w:val="center"/>
          </w:tcPr>
          <w:p>
            <w:pPr>
              <w:widowControl/>
              <w:jc w:val="center"/>
              <w:rPr>
                <w:rFonts w:eastAsia="等线"/>
                <w:kern w:val="0"/>
                <w:szCs w:val="21"/>
              </w:rPr>
            </w:pPr>
            <w:r>
              <w:rPr>
                <w:rFonts w:eastAsia="等线"/>
                <w:kern w:val="0"/>
                <w:szCs w:val="21"/>
              </w:rPr>
              <w:t>17.45177593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4.307107023</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102</w:t>
            </w:r>
          </w:p>
        </w:tc>
        <w:tc>
          <w:tcPr>
            <w:tcW w:w="1180" w:type="pct"/>
            <w:shd w:val="clear" w:color="auto" w:fill="auto"/>
            <w:vAlign w:val="center"/>
          </w:tcPr>
          <w:p>
            <w:pPr>
              <w:widowControl/>
              <w:jc w:val="center"/>
              <w:rPr>
                <w:rFonts w:eastAsia="等线"/>
                <w:kern w:val="0"/>
                <w:szCs w:val="21"/>
              </w:rPr>
            </w:pPr>
            <w:r>
              <w:rPr>
                <w:rFonts w:eastAsia="等线"/>
                <w:kern w:val="0"/>
                <w:szCs w:val="21"/>
              </w:rPr>
              <w:t>1.672131148</w:t>
            </w:r>
          </w:p>
        </w:tc>
        <w:tc>
          <w:tcPr>
            <w:tcW w:w="1428" w:type="pct"/>
            <w:shd w:val="clear" w:color="auto" w:fill="auto"/>
            <w:vAlign w:val="center"/>
          </w:tcPr>
          <w:p>
            <w:pPr>
              <w:widowControl/>
              <w:jc w:val="center"/>
              <w:rPr>
                <w:rFonts w:eastAsia="等线"/>
                <w:kern w:val="0"/>
                <w:szCs w:val="21"/>
              </w:rPr>
            </w:pPr>
            <w:r>
              <w:rPr>
                <w:rFonts w:eastAsia="等线"/>
                <w:kern w:val="0"/>
                <w:szCs w:val="21"/>
              </w:rPr>
              <w:t>36.52396149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56.2</w:t>
            </w:r>
          </w:p>
        </w:tc>
        <w:tc>
          <w:tcPr>
            <w:tcW w:w="1180" w:type="pct"/>
            <w:shd w:val="clear" w:color="auto" w:fill="auto"/>
            <w:vAlign w:val="center"/>
          </w:tcPr>
          <w:p>
            <w:pPr>
              <w:widowControl/>
              <w:jc w:val="center"/>
              <w:rPr>
                <w:rFonts w:eastAsia="等线"/>
                <w:kern w:val="0"/>
                <w:szCs w:val="21"/>
              </w:rPr>
            </w:pPr>
            <w:r>
              <w:rPr>
                <w:rFonts w:eastAsia="等线"/>
                <w:kern w:val="0"/>
                <w:szCs w:val="21"/>
              </w:rPr>
              <w:t>1.170833333</w:t>
            </w:r>
          </w:p>
        </w:tc>
        <w:tc>
          <w:tcPr>
            <w:tcW w:w="1428" w:type="pct"/>
            <w:shd w:val="clear" w:color="auto" w:fill="auto"/>
            <w:vAlign w:val="center"/>
          </w:tcPr>
          <w:p>
            <w:pPr>
              <w:widowControl/>
              <w:jc w:val="center"/>
              <w:rPr>
                <w:rFonts w:eastAsia="等线"/>
                <w:kern w:val="0"/>
                <w:szCs w:val="21"/>
              </w:rPr>
            </w:pPr>
            <w:r>
              <w:rPr>
                <w:rFonts w:eastAsia="等线"/>
                <w:kern w:val="0"/>
                <w:szCs w:val="21"/>
              </w:rPr>
              <w:t>25.57423301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61.6</w:t>
            </w:r>
          </w:p>
        </w:tc>
        <w:tc>
          <w:tcPr>
            <w:tcW w:w="1180" w:type="pct"/>
            <w:shd w:val="clear" w:color="auto" w:fill="auto"/>
            <w:vAlign w:val="center"/>
          </w:tcPr>
          <w:p>
            <w:pPr>
              <w:widowControl/>
              <w:jc w:val="center"/>
              <w:rPr>
                <w:rFonts w:eastAsia="等线"/>
                <w:kern w:val="0"/>
                <w:szCs w:val="21"/>
              </w:rPr>
            </w:pPr>
            <w:r>
              <w:rPr>
                <w:rFonts w:eastAsia="等线"/>
                <w:kern w:val="0"/>
                <w:szCs w:val="21"/>
              </w:rPr>
              <w:t>1.735211268</w:t>
            </w:r>
          </w:p>
        </w:tc>
        <w:tc>
          <w:tcPr>
            <w:tcW w:w="1428" w:type="pct"/>
            <w:shd w:val="clear" w:color="auto" w:fill="auto"/>
            <w:vAlign w:val="center"/>
          </w:tcPr>
          <w:p>
            <w:pPr>
              <w:widowControl/>
              <w:jc w:val="center"/>
              <w:rPr>
                <w:rFonts w:eastAsia="等线"/>
                <w:kern w:val="0"/>
                <w:szCs w:val="21"/>
              </w:rPr>
            </w:pPr>
            <w:r>
              <w:rPr>
                <w:rFonts w:eastAsia="等线"/>
                <w:kern w:val="0"/>
                <w:szCs w:val="21"/>
              </w:rPr>
              <w:t>37.9018055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4.578175748</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Cl·HCO</w:t>
            </w:r>
            <w:r>
              <w:rPr>
                <w:rFonts w:eastAsia="等线"/>
                <w:kern w:val="0"/>
                <w:szCs w:val="21"/>
                <w:vertAlign w:val="subscript"/>
              </w:rPr>
              <w:t>3</w:t>
            </w:r>
            <w:r>
              <w:rPr>
                <w:rFonts w:eastAsia="等线"/>
                <w:kern w:val="0"/>
                <w:szCs w:val="21"/>
              </w:rPr>
              <w:t>·SO</w:t>
            </w:r>
            <w:r>
              <w:rPr>
                <w:rFonts w:eastAsia="等线"/>
                <w:kern w:val="0"/>
                <w:szCs w:val="21"/>
                <w:vertAlign w:val="subscript"/>
              </w:rPr>
              <w:t>4·</w:t>
            </w:r>
            <w:r>
              <w:rPr>
                <w:rFonts w:eastAsia="等线"/>
                <w:kern w:val="0"/>
                <w:szCs w:val="21"/>
              </w:rPr>
              <w:t>—Na·Ca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G7龙头山村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0.66</w:t>
            </w:r>
          </w:p>
        </w:tc>
        <w:tc>
          <w:tcPr>
            <w:tcW w:w="1180" w:type="pct"/>
            <w:shd w:val="clear" w:color="auto" w:fill="auto"/>
            <w:vAlign w:val="center"/>
          </w:tcPr>
          <w:p>
            <w:pPr>
              <w:widowControl/>
              <w:jc w:val="center"/>
              <w:rPr>
                <w:rFonts w:eastAsia="等线"/>
                <w:kern w:val="0"/>
                <w:szCs w:val="21"/>
              </w:rPr>
            </w:pPr>
            <w:r>
              <w:rPr>
                <w:rFonts w:eastAsia="等线"/>
                <w:kern w:val="0"/>
                <w:szCs w:val="21"/>
              </w:rPr>
              <w:t>0.016923077</w:t>
            </w:r>
          </w:p>
        </w:tc>
        <w:tc>
          <w:tcPr>
            <w:tcW w:w="1428" w:type="pct"/>
            <w:shd w:val="clear" w:color="auto" w:fill="auto"/>
            <w:vAlign w:val="center"/>
          </w:tcPr>
          <w:p>
            <w:pPr>
              <w:widowControl/>
              <w:jc w:val="center"/>
              <w:rPr>
                <w:rFonts w:eastAsia="等线"/>
                <w:kern w:val="0"/>
                <w:szCs w:val="21"/>
              </w:rPr>
            </w:pPr>
            <w:r>
              <w:rPr>
                <w:rFonts w:eastAsia="等线"/>
                <w:kern w:val="0"/>
                <w:szCs w:val="21"/>
              </w:rPr>
              <w:t>0.396254119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44.9</w:t>
            </w:r>
          </w:p>
        </w:tc>
        <w:tc>
          <w:tcPr>
            <w:tcW w:w="1180" w:type="pct"/>
            <w:shd w:val="clear" w:color="auto" w:fill="auto"/>
            <w:vAlign w:val="center"/>
          </w:tcPr>
          <w:p>
            <w:pPr>
              <w:widowControl/>
              <w:jc w:val="center"/>
              <w:rPr>
                <w:rFonts w:eastAsia="等线"/>
                <w:kern w:val="0"/>
                <w:szCs w:val="21"/>
              </w:rPr>
            </w:pPr>
            <w:r>
              <w:rPr>
                <w:rFonts w:eastAsia="等线"/>
                <w:kern w:val="0"/>
                <w:szCs w:val="21"/>
              </w:rPr>
              <w:t>1.952173913</w:t>
            </w:r>
          </w:p>
        </w:tc>
        <w:tc>
          <w:tcPr>
            <w:tcW w:w="1428" w:type="pct"/>
            <w:shd w:val="clear" w:color="auto" w:fill="auto"/>
            <w:vAlign w:val="center"/>
          </w:tcPr>
          <w:p>
            <w:pPr>
              <w:widowControl/>
              <w:jc w:val="center"/>
              <w:rPr>
                <w:rFonts w:eastAsia="等线"/>
                <w:kern w:val="0"/>
                <w:szCs w:val="21"/>
              </w:rPr>
            </w:pPr>
            <w:r>
              <w:rPr>
                <w:rFonts w:eastAsia="等线"/>
                <w:kern w:val="0"/>
                <w:szCs w:val="21"/>
              </w:rPr>
              <w:t>45.7101837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30.6</w:t>
            </w:r>
          </w:p>
        </w:tc>
        <w:tc>
          <w:tcPr>
            <w:tcW w:w="1180" w:type="pct"/>
            <w:shd w:val="clear" w:color="auto" w:fill="auto"/>
            <w:vAlign w:val="center"/>
          </w:tcPr>
          <w:p>
            <w:pPr>
              <w:widowControl/>
              <w:jc w:val="center"/>
              <w:rPr>
                <w:rFonts w:eastAsia="等线"/>
                <w:kern w:val="0"/>
                <w:szCs w:val="21"/>
              </w:rPr>
            </w:pPr>
            <w:r>
              <w:rPr>
                <w:rFonts w:eastAsia="等线"/>
                <w:kern w:val="0"/>
                <w:szCs w:val="21"/>
              </w:rPr>
              <w:t>1.53</w:t>
            </w:r>
          </w:p>
        </w:tc>
        <w:tc>
          <w:tcPr>
            <w:tcW w:w="1428" w:type="pct"/>
            <w:shd w:val="clear" w:color="auto" w:fill="auto"/>
            <w:vAlign w:val="center"/>
          </w:tcPr>
          <w:p>
            <w:pPr>
              <w:widowControl/>
              <w:jc w:val="center"/>
              <w:rPr>
                <w:rFonts w:eastAsia="等线"/>
                <w:kern w:val="0"/>
                <w:szCs w:val="21"/>
              </w:rPr>
            </w:pPr>
            <w:r>
              <w:rPr>
                <w:rFonts w:eastAsia="等线"/>
                <w:kern w:val="0"/>
                <w:szCs w:val="21"/>
              </w:rPr>
              <w:t>35.82497471</w:t>
            </w:r>
          </w:p>
        </w:tc>
      </w:tr>
      <w:tr>
        <w:tblPrEx>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9.26</w:t>
            </w:r>
          </w:p>
        </w:tc>
        <w:tc>
          <w:tcPr>
            <w:tcW w:w="1180" w:type="pct"/>
            <w:shd w:val="clear" w:color="auto" w:fill="auto"/>
            <w:vAlign w:val="center"/>
          </w:tcPr>
          <w:p>
            <w:pPr>
              <w:widowControl/>
              <w:jc w:val="center"/>
              <w:rPr>
                <w:rFonts w:eastAsia="等线"/>
                <w:kern w:val="0"/>
                <w:szCs w:val="21"/>
              </w:rPr>
            </w:pPr>
            <w:r>
              <w:rPr>
                <w:rFonts w:eastAsia="等线"/>
                <w:kern w:val="0"/>
                <w:szCs w:val="21"/>
              </w:rPr>
              <w:t>0.771666667</w:t>
            </w:r>
          </w:p>
        </w:tc>
        <w:tc>
          <w:tcPr>
            <w:tcW w:w="1428" w:type="pct"/>
            <w:shd w:val="clear" w:color="auto" w:fill="auto"/>
            <w:vAlign w:val="center"/>
          </w:tcPr>
          <w:p>
            <w:pPr>
              <w:widowControl/>
              <w:jc w:val="center"/>
              <w:rPr>
                <w:rFonts w:eastAsia="等线"/>
                <w:kern w:val="0"/>
                <w:szCs w:val="21"/>
              </w:rPr>
            </w:pPr>
            <w:r>
              <w:rPr>
                <w:rFonts w:eastAsia="等线"/>
                <w:kern w:val="0"/>
                <w:szCs w:val="21"/>
              </w:rPr>
              <w:t>18.06858746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4.270763657</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115</w:t>
            </w:r>
          </w:p>
        </w:tc>
        <w:tc>
          <w:tcPr>
            <w:tcW w:w="1180" w:type="pct"/>
            <w:shd w:val="clear" w:color="auto" w:fill="auto"/>
            <w:vAlign w:val="center"/>
          </w:tcPr>
          <w:p>
            <w:pPr>
              <w:widowControl/>
              <w:jc w:val="center"/>
              <w:rPr>
                <w:rFonts w:eastAsia="等线"/>
                <w:kern w:val="0"/>
                <w:szCs w:val="21"/>
              </w:rPr>
            </w:pPr>
            <w:r>
              <w:rPr>
                <w:rFonts w:eastAsia="等线"/>
                <w:kern w:val="0"/>
                <w:szCs w:val="21"/>
              </w:rPr>
              <w:t>1.885245902</w:t>
            </w:r>
          </w:p>
        </w:tc>
        <w:tc>
          <w:tcPr>
            <w:tcW w:w="1428" w:type="pct"/>
            <w:shd w:val="clear" w:color="auto" w:fill="auto"/>
            <w:vAlign w:val="center"/>
          </w:tcPr>
          <w:p>
            <w:pPr>
              <w:widowControl/>
              <w:jc w:val="center"/>
              <w:rPr>
                <w:rFonts w:eastAsia="等线"/>
                <w:kern w:val="0"/>
                <w:szCs w:val="21"/>
              </w:rPr>
            </w:pPr>
            <w:r>
              <w:rPr>
                <w:rFonts w:eastAsia="等线"/>
                <w:kern w:val="0"/>
                <w:szCs w:val="21"/>
              </w:rPr>
              <w:t>40.74677468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50.6</w:t>
            </w:r>
          </w:p>
        </w:tc>
        <w:tc>
          <w:tcPr>
            <w:tcW w:w="1180" w:type="pct"/>
            <w:shd w:val="clear" w:color="auto" w:fill="auto"/>
            <w:vAlign w:val="center"/>
          </w:tcPr>
          <w:p>
            <w:pPr>
              <w:widowControl/>
              <w:jc w:val="center"/>
              <w:rPr>
                <w:rFonts w:eastAsia="等线"/>
                <w:kern w:val="0"/>
                <w:szCs w:val="21"/>
              </w:rPr>
            </w:pPr>
            <w:r>
              <w:rPr>
                <w:rFonts w:eastAsia="等线"/>
                <w:kern w:val="0"/>
                <w:szCs w:val="21"/>
              </w:rPr>
              <w:t>1.054166667</w:t>
            </w:r>
          </w:p>
        </w:tc>
        <w:tc>
          <w:tcPr>
            <w:tcW w:w="1428" w:type="pct"/>
            <w:shd w:val="clear" w:color="auto" w:fill="auto"/>
            <w:vAlign w:val="center"/>
          </w:tcPr>
          <w:p>
            <w:pPr>
              <w:widowControl/>
              <w:jc w:val="center"/>
              <w:rPr>
                <w:rFonts w:eastAsia="等线"/>
                <w:kern w:val="0"/>
                <w:szCs w:val="21"/>
              </w:rPr>
            </w:pPr>
            <w:r>
              <w:rPr>
                <w:rFonts w:eastAsia="等线"/>
                <w:kern w:val="0"/>
                <w:szCs w:val="21"/>
              </w:rPr>
              <w:t>22.78423818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59.9</w:t>
            </w:r>
          </w:p>
        </w:tc>
        <w:tc>
          <w:tcPr>
            <w:tcW w:w="1180" w:type="pct"/>
            <w:shd w:val="clear" w:color="auto" w:fill="auto"/>
            <w:vAlign w:val="center"/>
          </w:tcPr>
          <w:p>
            <w:pPr>
              <w:widowControl/>
              <w:jc w:val="center"/>
              <w:rPr>
                <w:rFonts w:eastAsia="等线"/>
                <w:kern w:val="0"/>
                <w:szCs w:val="21"/>
              </w:rPr>
            </w:pPr>
            <w:r>
              <w:rPr>
                <w:rFonts w:eastAsia="等线"/>
                <w:kern w:val="0"/>
                <w:szCs w:val="21"/>
              </w:rPr>
              <w:t>1.687323944</w:t>
            </w:r>
          </w:p>
        </w:tc>
        <w:tc>
          <w:tcPr>
            <w:tcW w:w="1428" w:type="pct"/>
            <w:shd w:val="clear" w:color="auto" w:fill="auto"/>
            <w:vAlign w:val="center"/>
          </w:tcPr>
          <w:p>
            <w:pPr>
              <w:widowControl/>
              <w:jc w:val="center"/>
              <w:rPr>
                <w:rFonts w:eastAsia="等线"/>
                <w:kern w:val="0"/>
                <w:szCs w:val="21"/>
              </w:rPr>
            </w:pPr>
            <w:r>
              <w:rPr>
                <w:rFonts w:eastAsia="等线"/>
                <w:kern w:val="0"/>
                <w:szCs w:val="21"/>
              </w:rPr>
              <w:t>36.46898714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4.626736512</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·Cl—Na·Ca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G11二十二号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0.7</w:t>
            </w:r>
          </w:p>
        </w:tc>
        <w:tc>
          <w:tcPr>
            <w:tcW w:w="1180" w:type="pct"/>
            <w:shd w:val="clear" w:color="auto" w:fill="auto"/>
            <w:vAlign w:val="center"/>
          </w:tcPr>
          <w:p>
            <w:pPr>
              <w:widowControl/>
              <w:jc w:val="center"/>
              <w:rPr>
                <w:rFonts w:eastAsia="等线"/>
                <w:kern w:val="0"/>
                <w:szCs w:val="21"/>
              </w:rPr>
            </w:pPr>
            <w:r>
              <w:rPr>
                <w:rFonts w:eastAsia="等线"/>
                <w:kern w:val="0"/>
                <w:szCs w:val="21"/>
              </w:rPr>
              <w:t>0.017948718</w:t>
            </w:r>
          </w:p>
        </w:tc>
        <w:tc>
          <w:tcPr>
            <w:tcW w:w="1428" w:type="pct"/>
            <w:shd w:val="clear" w:color="auto" w:fill="auto"/>
            <w:vAlign w:val="center"/>
          </w:tcPr>
          <w:p>
            <w:pPr>
              <w:widowControl/>
              <w:jc w:val="center"/>
              <w:rPr>
                <w:rFonts w:eastAsia="等线"/>
                <w:kern w:val="0"/>
                <w:szCs w:val="21"/>
              </w:rPr>
            </w:pPr>
            <w:r>
              <w:rPr>
                <w:rFonts w:eastAsia="等线"/>
                <w:kern w:val="0"/>
                <w:szCs w:val="21"/>
              </w:rPr>
              <w:t>0.415324976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47.1</w:t>
            </w:r>
          </w:p>
        </w:tc>
        <w:tc>
          <w:tcPr>
            <w:tcW w:w="1180" w:type="pct"/>
            <w:shd w:val="clear" w:color="auto" w:fill="auto"/>
            <w:vAlign w:val="center"/>
          </w:tcPr>
          <w:p>
            <w:pPr>
              <w:widowControl/>
              <w:jc w:val="center"/>
              <w:rPr>
                <w:rFonts w:eastAsia="等线"/>
                <w:kern w:val="0"/>
                <w:szCs w:val="21"/>
              </w:rPr>
            </w:pPr>
            <w:r>
              <w:rPr>
                <w:rFonts w:eastAsia="等线"/>
                <w:kern w:val="0"/>
                <w:szCs w:val="21"/>
              </w:rPr>
              <w:t>2.047826087</w:t>
            </w:r>
          </w:p>
        </w:tc>
        <w:tc>
          <w:tcPr>
            <w:tcW w:w="1428" w:type="pct"/>
            <w:shd w:val="clear" w:color="auto" w:fill="auto"/>
            <w:vAlign w:val="center"/>
          </w:tcPr>
          <w:p>
            <w:pPr>
              <w:widowControl/>
              <w:jc w:val="center"/>
              <w:rPr>
                <w:rFonts w:eastAsia="等线"/>
                <w:kern w:val="0"/>
                <w:szCs w:val="21"/>
              </w:rPr>
            </w:pPr>
            <w:r>
              <w:rPr>
                <w:rFonts w:eastAsia="等线"/>
                <w:kern w:val="0"/>
                <w:szCs w:val="21"/>
              </w:rPr>
              <w:t>47.3857421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29.8</w:t>
            </w:r>
          </w:p>
        </w:tc>
        <w:tc>
          <w:tcPr>
            <w:tcW w:w="1180" w:type="pct"/>
            <w:shd w:val="clear" w:color="auto" w:fill="auto"/>
            <w:vAlign w:val="center"/>
          </w:tcPr>
          <w:p>
            <w:pPr>
              <w:widowControl/>
              <w:jc w:val="center"/>
              <w:rPr>
                <w:rFonts w:eastAsia="等线"/>
                <w:kern w:val="0"/>
                <w:szCs w:val="21"/>
              </w:rPr>
            </w:pPr>
            <w:r>
              <w:rPr>
                <w:rFonts w:eastAsia="等线"/>
                <w:kern w:val="0"/>
                <w:szCs w:val="21"/>
              </w:rPr>
              <w:t>1.49</w:t>
            </w:r>
          </w:p>
        </w:tc>
        <w:tc>
          <w:tcPr>
            <w:tcW w:w="1428" w:type="pct"/>
            <w:shd w:val="clear" w:color="auto" w:fill="auto"/>
            <w:vAlign w:val="center"/>
          </w:tcPr>
          <w:p>
            <w:pPr>
              <w:widowControl/>
              <w:jc w:val="center"/>
              <w:rPr>
                <w:rFonts w:eastAsia="等线"/>
                <w:kern w:val="0"/>
                <w:szCs w:val="21"/>
              </w:rPr>
            </w:pPr>
            <w:r>
              <w:rPr>
                <w:rFonts w:eastAsia="等线"/>
                <w:kern w:val="0"/>
                <w:szCs w:val="21"/>
              </w:rPr>
              <w:t>34.47790619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9.19</w:t>
            </w:r>
          </w:p>
        </w:tc>
        <w:tc>
          <w:tcPr>
            <w:tcW w:w="1180" w:type="pct"/>
            <w:shd w:val="clear" w:color="auto" w:fill="auto"/>
            <w:vAlign w:val="center"/>
          </w:tcPr>
          <w:p>
            <w:pPr>
              <w:widowControl/>
              <w:jc w:val="center"/>
              <w:rPr>
                <w:rFonts w:eastAsia="等线"/>
                <w:kern w:val="0"/>
                <w:szCs w:val="21"/>
              </w:rPr>
            </w:pPr>
            <w:r>
              <w:rPr>
                <w:rFonts w:eastAsia="等线"/>
                <w:kern w:val="0"/>
                <w:szCs w:val="21"/>
              </w:rPr>
              <w:t>0.765833333</w:t>
            </w:r>
          </w:p>
        </w:tc>
        <w:tc>
          <w:tcPr>
            <w:tcW w:w="1428" w:type="pct"/>
            <w:shd w:val="clear" w:color="auto" w:fill="auto"/>
            <w:vAlign w:val="center"/>
          </w:tcPr>
          <w:p>
            <w:pPr>
              <w:widowControl/>
              <w:jc w:val="center"/>
              <w:rPr>
                <w:rFonts w:eastAsia="等线"/>
                <w:kern w:val="0"/>
                <w:szCs w:val="21"/>
              </w:rPr>
            </w:pPr>
            <w:r>
              <w:rPr>
                <w:rFonts w:eastAsia="等线"/>
                <w:kern w:val="0"/>
                <w:szCs w:val="21"/>
              </w:rPr>
              <w:t>17.72102673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4.321608138</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108</w:t>
            </w:r>
          </w:p>
        </w:tc>
        <w:tc>
          <w:tcPr>
            <w:tcW w:w="1180" w:type="pct"/>
            <w:shd w:val="clear" w:color="auto" w:fill="auto"/>
            <w:vAlign w:val="center"/>
          </w:tcPr>
          <w:p>
            <w:pPr>
              <w:widowControl/>
              <w:jc w:val="center"/>
              <w:rPr>
                <w:rFonts w:eastAsia="等线"/>
                <w:kern w:val="0"/>
                <w:szCs w:val="21"/>
              </w:rPr>
            </w:pPr>
            <w:r>
              <w:rPr>
                <w:rFonts w:eastAsia="等线"/>
                <w:kern w:val="0"/>
                <w:szCs w:val="21"/>
              </w:rPr>
              <w:t>1.770491803</w:t>
            </w:r>
          </w:p>
        </w:tc>
        <w:tc>
          <w:tcPr>
            <w:tcW w:w="1428" w:type="pct"/>
            <w:shd w:val="clear" w:color="auto" w:fill="auto"/>
            <w:vAlign w:val="center"/>
          </w:tcPr>
          <w:p>
            <w:pPr>
              <w:widowControl/>
              <w:jc w:val="center"/>
              <w:rPr>
                <w:rFonts w:eastAsia="等线"/>
                <w:kern w:val="0"/>
                <w:szCs w:val="21"/>
              </w:rPr>
            </w:pPr>
            <w:r>
              <w:rPr>
                <w:rFonts w:eastAsia="等线"/>
                <w:kern w:val="0"/>
                <w:szCs w:val="21"/>
              </w:rPr>
              <w:t>38.03444474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55.3</w:t>
            </w:r>
          </w:p>
        </w:tc>
        <w:tc>
          <w:tcPr>
            <w:tcW w:w="1180" w:type="pct"/>
            <w:shd w:val="clear" w:color="auto" w:fill="auto"/>
            <w:vAlign w:val="center"/>
          </w:tcPr>
          <w:p>
            <w:pPr>
              <w:widowControl/>
              <w:jc w:val="center"/>
              <w:rPr>
                <w:rFonts w:eastAsia="等线"/>
                <w:kern w:val="0"/>
                <w:szCs w:val="21"/>
              </w:rPr>
            </w:pPr>
            <w:r>
              <w:rPr>
                <w:rFonts w:eastAsia="等线"/>
                <w:kern w:val="0"/>
                <w:szCs w:val="21"/>
              </w:rPr>
              <w:t>1.152083333</w:t>
            </w:r>
          </w:p>
        </w:tc>
        <w:tc>
          <w:tcPr>
            <w:tcW w:w="1428" w:type="pct"/>
            <w:shd w:val="clear" w:color="auto" w:fill="auto"/>
            <w:vAlign w:val="center"/>
          </w:tcPr>
          <w:p>
            <w:pPr>
              <w:widowControl/>
              <w:jc w:val="center"/>
              <w:rPr>
                <w:rFonts w:eastAsia="等线"/>
                <w:kern w:val="0"/>
                <w:szCs w:val="21"/>
              </w:rPr>
            </w:pPr>
            <w:r>
              <w:rPr>
                <w:rFonts w:eastAsia="等线"/>
                <w:kern w:val="0"/>
                <w:szCs w:val="21"/>
              </w:rPr>
              <w:t>24.74953558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61.5</w:t>
            </w:r>
          </w:p>
        </w:tc>
        <w:tc>
          <w:tcPr>
            <w:tcW w:w="1180" w:type="pct"/>
            <w:shd w:val="clear" w:color="auto" w:fill="auto"/>
            <w:vAlign w:val="center"/>
          </w:tcPr>
          <w:p>
            <w:pPr>
              <w:widowControl/>
              <w:jc w:val="center"/>
              <w:rPr>
                <w:rFonts w:eastAsia="等线"/>
                <w:kern w:val="0"/>
                <w:szCs w:val="21"/>
              </w:rPr>
            </w:pPr>
            <w:r>
              <w:rPr>
                <w:rFonts w:eastAsia="等线"/>
                <w:kern w:val="0"/>
                <w:szCs w:val="21"/>
              </w:rPr>
              <w:t>1.732394366</w:t>
            </w:r>
          </w:p>
        </w:tc>
        <w:tc>
          <w:tcPr>
            <w:tcW w:w="1428" w:type="pct"/>
            <w:shd w:val="clear" w:color="auto" w:fill="auto"/>
            <w:vAlign w:val="center"/>
          </w:tcPr>
          <w:p>
            <w:pPr>
              <w:widowControl/>
              <w:jc w:val="center"/>
              <w:rPr>
                <w:rFonts w:eastAsia="等线"/>
                <w:kern w:val="0"/>
                <w:szCs w:val="21"/>
              </w:rPr>
            </w:pPr>
            <w:r>
              <w:rPr>
                <w:rFonts w:eastAsia="等线"/>
                <w:kern w:val="0"/>
                <w:szCs w:val="21"/>
              </w:rPr>
              <w:t>37.21601968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4.654969503</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·Cl—Na·Ca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土城子村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0.67</w:t>
            </w:r>
          </w:p>
        </w:tc>
        <w:tc>
          <w:tcPr>
            <w:tcW w:w="1180" w:type="pct"/>
            <w:shd w:val="clear" w:color="auto" w:fill="auto"/>
            <w:vAlign w:val="center"/>
          </w:tcPr>
          <w:p>
            <w:pPr>
              <w:widowControl/>
              <w:jc w:val="center"/>
              <w:rPr>
                <w:rFonts w:eastAsia="等线"/>
                <w:kern w:val="0"/>
                <w:szCs w:val="21"/>
              </w:rPr>
            </w:pPr>
            <w:r>
              <w:rPr>
                <w:rFonts w:eastAsia="等线"/>
                <w:kern w:val="0"/>
                <w:szCs w:val="21"/>
              </w:rPr>
              <w:t>0.017179487</w:t>
            </w:r>
          </w:p>
        </w:tc>
        <w:tc>
          <w:tcPr>
            <w:tcW w:w="1428" w:type="pct"/>
            <w:shd w:val="clear" w:color="auto" w:fill="auto"/>
            <w:vAlign w:val="center"/>
          </w:tcPr>
          <w:p>
            <w:pPr>
              <w:widowControl/>
              <w:jc w:val="center"/>
              <w:rPr>
                <w:rFonts w:eastAsia="等线"/>
                <w:kern w:val="0"/>
                <w:szCs w:val="21"/>
              </w:rPr>
            </w:pPr>
            <w:r>
              <w:rPr>
                <w:rFonts w:eastAsia="等线"/>
                <w:kern w:val="0"/>
                <w:szCs w:val="21"/>
              </w:rPr>
              <w:t>0.398863717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45.5</w:t>
            </w:r>
          </w:p>
        </w:tc>
        <w:tc>
          <w:tcPr>
            <w:tcW w:w="1180" w:type="pct"/>
            <w:shd w:val="clear" w:color="auto" w:fill="auto"/>
            <w:vAlign w:val="center"/>
          </w:tcPr>
          <w:p>
            <w:pPr>
              <w:widowControl/>
              <w:jc w:val="center"/>
              <w:rPr>
                <w:rFonts w:eastAsia="等线"/>
                <w:kern w:val="0"/>
                <w:szCs w:val="21"/>
              </w:rPr>
            </w:pPr>
            <w:r>
              <w:rPr>
                <w:rFonts w:eastAsia="等线"/>
                <w:kern w:val="0"/>
                <w:szCs w:val="21"/>
              </w:rPr>
              <w:t>1.97826087</w:t>
            </w:r>
          </w:p>
        </w:tc>
        <w:tc>
          <w:tcPr>
            <w:tcW w:w="1428" w:type="pct"/>
            <w:shd w:val="clear" w:color="auto" w:fill="auto"/>
            <w:vAlign w:val="center"/>
          </w:tcPr>
          <w:p>
            <w:pPr>
              <w:widowControl/>
              <w:jc w:val="center"/>
              <w:rPr>
                <w:rFonts w:eastAsia="等线"/>
                <w:kern w:val="0"/>
                <w:szCs w:val="21"/>
              </w:rPr>
            </w:pPr>
            <w:r>
              <w:rPr>
                <w:rFonts w:eastAsia="等线"/>
                <w:kern w:val="0"/>
                <w:szCs w:val="21"/>
              </w:rPr>
              <w:t>45.93015355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31.2</w:t>
            </w:r>
          </w:p>
        </w:tc>
        <w:tc>
          <w:tcPr>
            <w:tcW w:w="1180" w:type="pct"/>
            <w:shd w:val="clear" w:color="auto" w:fill="auto"/>
            <w:vAlign w:val="center"/>
          </w:tcPr>
          <w:p>
            <w:pPr>
              <w:widowControl/>
              <w:jc w:val="center"/>
              <w:rPr>
                <w:rFonts w:eastAsia="等线"/>
                <w:kern w:val="0"/>
                <w:szCs w:val="21"/>
              </w:rPr>
            </w:pPr>
            <w:r>
              <w:rPr>
                <w:rFonts w:eastAsia="等线"/>
                <w:kern w:val="0"/>
                <w:szCs w:val="21"/>
              </w:rPr>
              <w:t>1.56</w:t>
            </w:r>
          </w:p>
        </w:tc>
        <w:tc>
          <w:tcPr>
            <w:tcW w:w="1428" w:type="pct"/>
            <w:shd w:val="clear" w:color="auto" w:fill="auto"/>
            <w:vAlign w:val="center"/>
          </w:tcPr>
          <w:p>
            <w:pPr>
              <w:widowControl/>
              <w:jc w:val="center"/>
              <w:rPr>
                <w:rFonts w:eastAsia="等线"/>
                <w:kern w:val="0"/>
                <w:szCs w:val="21"/>
              </w:rPr>
            </w:pPr>
            <w:r>
              <w:rPr>
                <w:rFonts w:eastAsia="等线"/>
                <w:kern w:val="0"/>
                <w:szCs w:val="21"/>
              </w:rPr>
              <w:t>36.2192068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9.02</w:t>
            </w:r>
          </w:p>
        </w:tc>
        <w:tc>
          <w:tcPr>
            <w:tcW w:w="1180" w:type="pct"/>
            <w:shd w:val="clear" w:color="auto" w:fill="auto"/>
            <w:vAlign w:val="center"/>
          </w:tcPr>
          <w:p>
            <w:pPr>
              <w:widowControl/>
              <w:jc w:val="center"/>
              <w:rPr>
                <w:rFonts w:eastAsia="等线"/>
                <w:kern w:val="0"/>
                <w:szCs w:val="21"/>
              </w:rPr>
            </w:pPr>
            <w:r>
              <w:rPr>
                <w:rFonts w:eastAsia="等线"/>
                <w:kern w:val="0"/>
                <w:szCs w:val="21"/>
              </w:rPr>
              <w:t>0.751666667</w:t>
            </w:r>
          </w:p>
        </w:tc>
        <w:tc>
          <w:tcPr>
            <w:tcW w:w="1428" w:type="pct"/>
            <w:shd w:val="clear" w:color="auto" w:fill="auto"/>
            <w:vAlign w:val="center"/>
          </w:tcPr>
          <w:p>
            <w:pPr>
              <w:widowControl/>
              <w:jc w:val="center"/>
              <w:rPr>
                <w:rFonts w:eastAsia="等线"/>
                <w:kern w:val="0"/>
                <w:szCs w:val="21"/>
              </w:rPr>
            </w:pPr>
            <w:r>
              <w:rPr>
                <w:rFonts w:eastAsia="等线"/>
                <w:kern w:val="0"/>
                <w:szCs w:val="21"/>
              </w:rPr>
              <w:t>17.45177593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4.307107023</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102</w:t>
            </w:r>
          </w:p>
        </w:tc>
        <w:tc>
          <w:tcPr>
            <w:tcW w:w="1180" w:type="pct"/>
            <w:shd w:val="clear" w:color="auto" w:fill="auto"/>
            <w:vAlign w:val="center"/>
          </w:tcPr>
          <w:p>
            <w:pPr>
              <w:widowControl/>
              <w:jc w:val="center"/>
              <w:rPr>
                <w:rFonts w:eastAsia="等线"/>
                <w:kern w:val="0"/>
                <w:szCs w:val="21"/>
              </w:rPr>
            </w:pPr>
            <w:r>
              <w:rPr>
                <w:rFonts w:eastAsia="等线"/>
                <w:kern w:val="0"/>
                <w:szCs w:val="21"/>
              </w:rPr>
              <w:t>1.672131148</w:t>
            </w:r>
          </w:p>
        </w:tc>
        <w:tc>
          <w:tcPr>
            <w:tcW w:w="1428" w:type="pct"/>
            <w:shd w:val="clear" w:color="auto" w:fill="auto"/>
            <w:vAlign w:val="center"/>
          </w:tcPr>
          <w:p>
            <w:pPr>
              <w:widowControl/>
              <w:jc w:val="center"/>
              <w:rPr>
                <w:rFonts w:eastAsia="等线"/>
                <w:kern w:val="0"/>
                <w:szCs w:val="21"/>
              </w:rPr>
            </w:pPr>
            <w:r>
              <w:rPr>
                <w:rFonts w:eastAsia="等线"/>
                <w:kern w:val="0"/>
                <w:szCs w:val="21"/>
              </w:rPr>
              <w:t>36.52396149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56.2</w:t>
            </w:r>
          </w:p>
        </w:tc>
        <w:tc>
          <w:tcPr>
            <w:tcW w:w="1180" w:type="pct"/>
            <w:shd w:val="clear" w:color="auto" w:fill="auto"/>
            <w:vAlign w:val="center"/>
          </w:tcPr>
          <w:p>
            <w:pPr>
              <w:widowControl/>
              <w:jc w:val="center"/>
              <w:rPr>
                <w:rFonts w:eastAsia="等线"/>
                <w:kern w:val="0"/>
                <w:szCs w:val="21"/>
              </w:rPr>
            </w:pPr>
            <w:r>
              <w:rPr>
                <w:rFonts w:eastAsia="等线"/>
                <w:kern w:val="0"/>
                <w:szCs w:val="21"/>
              </w:rPr>
              <w:t>1.170833333</w:t>
            </w:r>
          </w:p>
        </w:tc>
        <w:tc>
          <w:tcPr>
            <w:tcW w:w="1428" w:type="pct"/>
            <w:shd w:val="clear" w:color="auto" w:fill="auto"/>
            <w:vAlign w:val="center"/>
          </w:tcPr>
          <w:p>
            <w:pPr>
              <w:widowControl/>
              <w:jc w:val="center"/>
              <w:rPr>
                <w:rFonts w:eastAsia="等线"/>
                <w:kern w:val="0"/>
                <w:szCs w:val="21"/>
              </w:rPr>
            </w:pPr>
            <w:r>
              <w:rPr>
                <w:rFonts w:eastAsia="等线"/>
                <w:kern w:val="0"/>
                <w:szCs w:val="21"/>
              </w:rPr>
              <w:t>25.57423301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61.6</w:t>
            </w:r>
          </w:p>
        </w:tc>
        <w:tc>
          <w:tcPr>
            <w:tcW w:w="1180" w:type="pct"/>
            <w:shd w:val="clear" w:color="auto" w:fill="auto"/>
            <w:vAlign w:val="center"/>
          </w:tcPr>
          <w:p>
            <w:pPr>
              <w:widowControl/>
              <w:jc w:val="center"/>
              <w:rPr>
                <w:rFonts w:eastAsia="等线"/>
                <w:kern w:val="0"/>
                <w:szCs w:val="21"/>
              </w:rPr>
            </w:pPr>
            <w:r>
              <w:rPr>
                <w:rFonts w:eastAsia="等线"/>
                <w:kern w:val="0"/>
                <w:szCs w:val="21"/>
              </w:rPr>
              <w:t>1.735211268</w:t>
            </w:r>
          </w:p>
        </w:tc>
        <w:tc>
          <w:tcPr>
            <w:tcW w:w="1428" w:type="pct"/>
            <w:shd w:val="clear" w:color="auto" w:fill="auto"/>
            <w:vAlign w:val="center"/>
          </w:tcPr>
          <w:p>
            <w:pPr>
              <w:widowControl/>
              <w:jc w:val="center"/>
              <w:rPr>
                <w:rFonts w:eastAsia="等线"/>
                <w:kern w:val="0"/>
                <w:szCs w:val="21"/>
              </w:rPr>
            </w:pPr>
            <w:r>
              <w:rPr>
                <w:rFonts w:eastAsia="等线"/>
                <w:kern w:val="0"/>
                <w:szCs w:val="21"/>
              </w:rPr>
              <w:t>37.9018055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4.578175748</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Cl·HCO</w:t>
            </w:r>
            <w:r>
              <w:rPr>
                <w:rFonts w:eastAsia="等线"/>
                <w:kern w:val="0"/>
                <w:szCs w:val="21"/>
                <w:vertAlign w:val="subscript"/>
              </w:rPr>
              <w:t>3</w:t>
            </w:r>
            <w:r>
              <w:rPr>
                <w:rFonts w:eastAsia="等线"/>
                <w:kern w:val="0"/>
                <w:szCs w:val="21"/>
              </w:rPr>
              <w:t>·SO</w:t>
            </w:r>
            <w:r>
              <w:rPr>
                <w:rFonts w:eastAsia="等线"/>
                <w:kern w:val="0"/>
                <w:szCs w:val="21"/>
                <w:vertAlign w:val="subscript"/>
              </w:rPr>
              <w:t>4·</w:t>
            </w:r>
            <w:r>
              <w:rPr>
                <w:rFonts w:eastAsia="等线"/>
                <w:kern w:val="0"/>
                <w:szCs w:val="21"/>
              </w:rPr>
              <w:t>—Na·Ca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龙头山村</w:t>
            </w:r>
          </w:p>
        </w:tc>
      </w:tr>
      <w:tr>
        <w:tblPrEx>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0.66</w:t>
            </w:r>
          </w:p>
        </w:tc>
        <w:tc>
          <w:tcPr>
            <w:tcW w:w="1180" w:type="pct"/>
            <w:shd w:val="clear" w:color="auto" w:fill="auto"/>
            <w:vAlign w:val="center"/>
          </w:tcPr>
          <w:p>
            <w:pPr>
              <w:widowControl/>
              <w:jc w:val="center"/>
              <w:rPr>
                <w:rFonts w:eastAsia="等线"/>
                <w:kern w:val="0"/>
                <w:szCs w:val="21"/>
              </w:rPr>
            </w:pPr>
            <w:r>
              <w:rPr>
                <w:rFonts w:eastAsia="等线"/>
                <w:kern w:val="0"/>
                <w:szCs w:val="21"/>
              </w:rPr>
              <w:t>0.016923077</w:t>
            </w:r>
          </w:p>
        </w:tc>
        <w:tc>
          <w:tcPr>
            <w:tcW w:w="1428" w:type="pct"/>
            <w:shd w:val="clear" w:color="auto" w:fill="auto"/>
            <w:vAlign w:val="center"/>
          </w:tcPr>
          <w:p>
            <w:pPr>
              <w:widowControl/>
              <w:jc w:val="center"/>
              <w:rPr>
                <w:rFonts w:eastAsia="等线"/>
                <w:kern w:val="0"/>
                <w:szCs w:val="21"/>
              </w:rPr>
            </w:pPr>
            <w:r>
              <w:rPr>
                <w:rFonts w:eastAsia="等线"/>
                <w:kern w:val="0"/>
                <w:szCs w:val="21"/>
              </w:rPr>
              <w:t>0.396254119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44.9</w:t>
            </w:r>
          </w:p>
        </w:tc>
        <w:tc>
          <w:tcPr>
            <w:tcW w:w="1180" w:type="pct"/>
            <w:shd w:val="clear" w:color="auto" w:fill="auto"/>
            <w:vAlign w:val="center"/>
          </w:tcPr>
          <w:p>
            <w:pPr>
              <w:widowControl/>
              <w:jc w:val="center"/>
              <w:rPr>
                <w:rFonts w:eastAsia="等线"/>
                <w:kern w:val="0"/>
                <w:szCs w:val="21"/>
              </w:rPr>
            </w:pPr>
            <w:r>
              <w:rPr>
                <w:rFonts w:eastAsia="等线"/>
                <w:kern w:val="0"/>
                <w:szCs w:val="21"/>
              </w:rPr>
              <w:t>1.952173913</w:t>
            </w:r>
          </w:p>
        </w:tc>
        <w:tc>
          <w:tcPr>
            <w:tcW w:w="1428" w:type="pct"/>
            <w:shd w:val="clear" w:color="auto" w:fill="auto"/>
            <w:vAlign w:val="center"/>
          </w:tcPr>
          <w:p>
            <w:pPr>
              <w:widowControl/>
              <w:jc w:val="center"/>
              <w:rPr>
                <w:rFonts w:eastAsia="等线"/>
                <w:kern w:val="0"/>
                <w:szCs w:val="21"/>
              </w:rPr>
            </w:pPr>
            <w:r>
              <w:rPr>
                <w:rFonts w:eastAsia="等线"/>
                <w:kern w:val="0"/>
                <w:szCs w:val="21"/>
              </w:rPr>
              <w:t>45.7101837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30.6</w:t>
            </w:r>
          </w:p>
        </w:tc>
        <w:tc>
          <w:tcPr>
            <w:tcW w:w="1180" w:type="pct"/>
            <w:shd w:val="clear" w:color="auto" w:fill="auto"/>
            <w:vAlign w:val="center"/>
          </w:tcPr>
          <w:p>
            <w:pPr>
              <w:widowControl/>
              <w:jc w:val="center"/>
              <w:rPr>
                <w:rFonts w:eastAsia="等线"/>
                <w:kern w:val="0"/>
                <w:szCs w:val="21"/>
              </w:rPr>
            </w:pPr>
            <w:r>
              <w:rPr>
                <w:rFonts w:eastAsia="等线"/>
                <w:kern w:val="0"/>
                <w:szCs w:val="21"/>
              </w:rPr>
              <w:t>1.53</w:t>
            </w:r>
          </w:p>
        </w:tc>
        <w:tc>
          <w:tcPr>
            <w:tcW w:w="1428" w:type="pct"/>
            <w:shd w:val="clear" w:color="auto" w:fill="auto"/>
            <w:vAlign w:val="center"/>
          </w:tcPr>
          <w:p>
            <w:pPr>
              <w:widowControl/>
              <w:jc w:val="center"/>
              <w:rPr>
                <w:rFonts w:eastAsia="等线"/>
                <w:kern w:val="0"/>
                <w:szCs w:val="21"/>
              </w:rPr>
            </w:pPr>
            <w:r>
              <w:rPr>
                <w:rFonts w:eastAsia="等线"/>
                <w:kern w:val="0"/>
                <w:szCs w:val="21"/>
              </w:rPr>
              <w:t>35.82497471</w:t>
            </w:r>
          </w:p>
        </w:tc>
      </w:tr>
      <w:tr>
        <w:tblPrEx>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9.26</w:t>
            </w:r>
          </w:p>
        </w:tc>
        <w:tc>
          <w:tcPr>
            <w:tcW w:w="1180" w:type="pct"/>
            <w:shd w:val="clear" w:color="auto" w:fill="auto"/>
            <w:vAlign w:val="center"/>
          </w:tcPr>
          <w:p>
            <w:pPr>
              <w:widowControl/>
              <w:jc w:val="center"/>
              <w:rPr>
                <w:rFonts w:eastAsia="等线"/>
                <w:kern w:val="0"/>
                <w:szCs w:val="21"/>
              </w:rPr>
            </w:pPr>
            <w:r>
              <w:rPr>
                <w:rFonts w:eastAsia="等线"/>
                <w:kern w:val="0"/>
                <w:szCs w:val="21"/>
              </w:rPr>
              <w:t>0.771666667</w:t>
            </w:r>
          </w:p>
        </w:tc>
        <w:tc>
          <w:tcPr>
            <w:tcW w:w="1428" w:type="pct"/>
            <w:shd w:val="clear" w:color="auto" w:fill="auto"/>
            <w:vAlign w:val="center"/>
          </w:tcPr>
          <w:p>
            <w:pPr>
              <w:widowControl/>
              <w:jc w:val="center"/>
              <w:rPr>
                <w:rFonts w:eastAsia="等线"/>
                <w:kern w:val="0"/>
                <w:szCs w:val="21"/>
              </w:rPr>
            </w:pPr>
            <w:r>
              <w:rPr>
                <w:rFonts w:eastAsia="等线"/>
                <w:kern w:val="0"/>
                <w:szCs w:val="21"/>
              </w:rPr>
              <w:t>18.06858746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4.270763657</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115</w:t>
            </w:r>
          </w:p>
        </w:tc>
        <w:tc>
          <w:tcPr>
            <w:tcW w:w="1180" w:type="pct"/>
            <w:shd w:val="clear" w:color="auto" w:fill="auto"/>
            <w:vAlign w:val="center"/>
          </w:tcPr>
          <w:p>
            <w:pPr>
              <w:widowControl/>
              <w:jc w:val="center"/>
              <w:rPr>
                <w:rFonts w:eastAsia="等线"/>
                <w:kern w:val="0"/>
                <w:szCs w:val="21"/>
              </w:rPr>
            </w:pPr>
            <w:r>
              <w:rPr>
                <w:rFonts w:eastAsia="等线"/>
                <w:kern w:val="0"/>
                <w:szCs w:val="21"/>
              </w:rPr>
              <w:t>1.885245902</w:t>
            </w:r>
          </w:p>
        </w:tc>
        <w:tc>
          <w:tcPr>
            <w:tcW w:w="1428" w:type="pct"/>
            <w:shd w:val="clear" w:color="auto" w:fill="auto"/>
            <w:vAlign w:val="center"/>
          </w:tcPr>
          <w:p>
            <w:pPr>
              <w:widowControl/>
              <w:jc w:val="center"/>
              <w:rPr>
                <w:rFonts w:eastAsia="等线"/>
                <w:kern w:val="0"/>
                <w:szCs w:val="21"/>
              </w:rPr>
            </w:pPr>
            <w:r>
              <w:rPr>
                <w:rFonts w:eastAsia="等线"/>
                <w:kern w:val="0"/>
                <w:szCs w:val="21"/>
              </w:rPr>
              <w:t>40.74677468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50.6</w:t>
            </w:r>
          </w:p>
        </w:tc>
        <w:tc>
          <w:tcPr>
            <w:tcW w:w="1180" w:type="pct"/>
            <w:shd w:val="clear" w:color="auto" w:fill="auto"/>
            <w:vAlign w:val="center"/>
          </w:tcPr>
          <w:p>
            <w:pPr>
              <w:widowControl/>
              <w:jc w:val="center"/>
              <w:rPr>
                <w:rFonts w:eastAsia="等线"/>
                <w:kern w:val="0"/>
                <w:szCs w:val="21"/>
              </w:rPr>
            </w:pPr>
            <w:r>
              <w:rPr>
                <w:rFonts w:eastAsia="等线"/>
                <w:kern w:val="0"/>
                <w:szCs w:val="21"/>
              </w:rPr>
              <w:t>1.054166667</w:t>
            </w:r>
          </w:p>
        </w:tc>
        <w:tc>
          <w:tcPr>
            <w:tcW w:w="1428" w:type="pct"/>
            <w:shd w:val="clear" w:color="auto" w:fill="auto"/>
            <w:vAlign w:val="center"/>
          </w:tcPr>
          <w:p>
            <w:pPr>
              <w:widowControl/>
              <w:jc w:val="center"/>
              <w:rPr>
                <w:rFonts w:eastAsia="等线"/>
                <w:kern w:val="0"/>
                <w:szCs w:val="21"/>
              </w:rPr>
            </w:pPr>
            <w:r>
              <w:rPr>
                <w:rFonts w:eastAsia="等线"/>
                <w:kern w:val="0"/>
                <w:szCs w:val="21"/>
              </w:rPr>
              <w:t>22.78423818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59.9</w:t>
            </w:r>
          </w:p>
        </w:tc>
        <w:tc>
          <w:tcPr>
            <w:tcW w:w="1180" w:type="pct"/>
            <w:shd w:val="clear" w:color="auto" w:fill="auto"/>
            <w:vAlign w:val="center"/>
          </w:tcPr>
          <w:p>
            <w:pPr>
              <w:widowControl/>
              <w:jc w:val="center"/>
              <w:rPr>
                <w:rFonts w:eastAsia="等线"/>
                <w:kern w:val="0"/>
                <w:szCs w:val="21"/>
              </w:rPr>
            </w:pPr>
            <w:r>
              <w:rPr>
                <w:rFonts w:eastAsia="等线"/>
                <w:kern w:val="0"/>
                <w:szCs w:val="21"/>
              </w:rPr>
              <w:t>1.687323944</w:t>
            </w:r>
          </w:p>
        </w:tc>
        <w:tc>
          <w:tcPr>
            <w:tcW w:w="1428" w:type="pct"/>
            <w:shd w:val="clear" w:color="auto" w:fill="auto"/>
            <w:vAlign w:val="center"/>
          </w:tcPr>
          <w:p>
            <w:pPr>
              <w:widowControl/>
              <w:jc w:val="center"/>
              <w:rPr>
                <w:rFonts w:eastAsia="等线"/>
                <w:kern w:val="0"/>
                <w:szCs w:val="21"/>
              </w:rPr>
            </w:pPr>
            <w:r>
              <w:rPr>
                <w:rFonts w:eastAsia="等线"/>
                <w:kern w:val="0"/>
                <w:szCs w:val="21"/>
              </w:rPr>
              <w:t>36.46898714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4.626736512</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·Cl—Na·Ca</w:t>
            </w:r>
            <w:r>
              <w:rPr>
                <w:kern w:val="0"/>
                <w:szCs w:val="21"/>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4"/>
            <w:shd w:val="clear" w:color="auto" w:fill="auto"/>
            <w:vAlign w:val="center"/>
          </w:tcPr>
          <w:p>
            <w:pPr>
              <w:widowControl/>
              <w:jc w:val="center"/>
              <w:rPr>
                <w:kern w:val="0"/>
                <w:szCs w:val="21"/>
              </w:rPr>
            </w:pPr>
            <w:r>
              <w:rPr>
                <w:kern w:val="0"/>
                <w:szCs w:val="21"/>
              </w:rPr>
              <w:t>二十二号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K</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0.7</w:t>
            </w:r>
          </w:p>
        </w:tc>
        <w:tc>
          <w:tcPr>
            <w:tcW w:w="1180" w:type="pct"/>
            <w:shd w:val="clear" w:color="auto" w:fill="auto"/>
            <w:vAlign w:val="center"/>
          </w:tcPr>
          <w:p>
            <w:pPr>
              <w:widowControl/>
              <w:jc w:val="center"/>
              <w:rPr>
                <w:rFonts w:eastAsia="等线"/>
                <w:kern w:val="0"/>
                <w:szCs w:val="21"/>
              </w:rPr>
            </w:pPr>
            <w:r>
              <w:rPr>
                <w:rFonts w:eastAsia="等线"/>
                <w:kern w:val="0"/>
                <w:szCs w:val="21"/>
              </w:rPr>
              <w:t>0.017948718</w:t>
            </w:r>
          </w:p>
        </w:tc>
        <w:tc>
          <w:tcPr>
            <w:tcW w:w="1428" w:type="pct"/>
            <w:shd w:val="clear" w:color="auto" w:fill="auto"/>
            <w:vAlign w:val="center"/>
          </w:tcPr>
          <w:p>
            <w:pPr>
              <w:widowControl/>
              <w:jc w:val="center"/>
              <w:rPr>
                <w:rFonts w:eastAsia="等线"/>
                <w:kern w:val="0"/>
                <w:szCs w:val="21"/>
              </w:rPr>
            </w:pPr>
            <w:r>
              <w:rPr>
                <w:rFonts w:eastAsia="等线"/>
                <w:kern w:val="0"/>
                <w:szCs w:val="21"/>
              </w:rPr>
              <w:t>0.415324976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Na</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47.1</w:t>
            </w:r>
          </w:p>
        </w:tc>
        <w:tc>
          <w:tcPr>
            <w:tcW w:w="1180" w:type="pct"/>
            <w:shd w:val="clear" w:color="auto" w:fill="auto"/>
            <w:vAlign w:val="center"/>
          </w:tcPr>
          <w:p>
            <w:pPr>
              <w:widowControl/>
              <w:jc w:val="center"/>
              <w:rPr>
                <w:rFonts w:eastAsia="等线"/>
                <w:kern w:val="0"/>
                <w:szCs w:val="21"/>
              </w:rPr>
            </w:pPr>
            <w:r>
              <w:rPr>
                <w:rFonts w:eastAsia="等线"/>
                <w:kern w:val="0"/>
                <w:szCs w:val="21"/>
              </w:rPr>
              <w:t>2.047826087</w:t>
            </w:r>
          </w:p>
        </w:tc>
        <w:tc>
          <w:tcPr>
            <w:tcW w:w="1428" w:type="pct"/>
            <w:shd w:val="clear" w:color="auto" w:fill="auto"/>
            <w:vAlign w:val="center"/>
          </w:tcPr>
          <w:p>
            <w:pPr>
              <w:widowControl/>
              <w:jc w:val="center"/>
              <w:rPr>
                <w:rFonts w:eastAsia="等线"/>
                <w:kern w:val="0"/>
                <w:szCs w:val="21"/>
              </w:rPr>
            </w:pPr>
            <w:r>
              <w:rPr>
                <w:rFonts w:eastAsia="等线"/>
                <w:kern w:val="0"/>
                <w:szCs w:val="21"/>
              </w:rPr>
              <w:t>47.3857421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Ca</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29.8</w:t>
            </w:r>
          </w:p>
        </w:tc>
        <w:tc>
          <w:tcPr>
            <w:tcW w:w="1180" w:type="pct"/>
            <w:shd w:val="clear" w:color="auto" w:fill="auto"/>
            <w:vAlign w:val="center"/>
          </w:tcPr>
          <w:p>
            <w:pPr>
              <w:widowControl/>
              <w:jc w:val="center"/>
              <w:rPr>
                <w:rFonts w:eastAsia="等线"/>
                <w:kern w:val="0"/>
                <w:szCs w:val="21"/>
              </w:rPr>
            </w:pPr>
            <w:r>
              <w:rPr>
                <w:rFonts w:eastAsia="等线"/>
                <w:kern w:val="0"/>
                <w:szCs w:val="21"/>
              </w:rPr>
              <w:t>1.49</w:t>
            </w:r>
          </w:p>
        </w:tc>
        <w:tc>
          <w:tcPr>
            <w:tcW w:w="1428" w:type="pct"/>
            <w:shd w:val="clear" w:color="auto" w:fill="auto"/>
            <w:vAlign w:val="center"/>
          </w:tcPr>
          <w:p>
            <w:pPr>
              <w:widowControl/>
              <w:jc w:val="center"/>
              <w:rPr>
                <w:rFonts w:eastAsia="等线"/>
                <w:kern w:val="0"/>
                <w:szCs w:val="21"/>
              </w:rPr>
            </w:pPr>
            <w:r>
              <w:rPr>
                <w:rFonts w:eastAsia="等线"/>
                <w:kern w:val="0"/>
                <w:szCs w:val="21"/>
              </w:rPr>
              <w:t>34.47790619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Mg</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9.19</w:t>
            </w:r>
          </w:p>
        </w:tc>
        <w:tc>
          <w:tcPr>
            <w:tcW w:w="1180" w:type="pct"/>
            <w:shd w:val="clear" w:color="auto" w:fill="auto"/>
            <w:vAlign w:val="center"/>
          </w:tcPr>
          <w:p>
            <w:pPr>
              <w:widowControl/>
              <w:jc w:val="center"/>
              <w:rPr>
                <w:rFonts w:eastAsia="等线"/>
                <w:kern w:val="0"/>
                <w:szCs w:val="21"/>
              </w:rPr>
            </w:pPr>
            <w:r>
              <w:rPr>
                <w:rFonts w:eastAsia="等线"/>
                <w:kern w:val="0"/>
                <w:szCs w:val="21"/>
              </w:rPr>
              <w:t>0.765833333</w:t>
            </w:r>
          </w:p>
        </w:tc>
        <w:tc>
          <w:tcPr>
            <w:tcW w:w="1428" w:type="pct"/>
            <w:shd w:val="clear" w:color="auto" w:fill="auto"/>
            <w:vAlign w:val="center"/>
          </w:tcPr>
          <w:p>
            <w:pPr>
              <w:widowControl/>
              <w:jc w:val="center"/>
              <w:rPr>
                <w:rFonts w:eastAsia="等线"/>
                <w:kern w:val="0"/>
                <w:szCs w:val="21"/>
              </w:rPr>
            </w:pPr>
            <w:r>
              <w:rPr>
                <w:rFonts w:eastAsia="等线"/>
                <w:kern w:val="0"/>
                <w:szCs w:val="21"/>
              </w:rPr>
              <w:t>17.72102673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4.321608138</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CO</w:t>
            </w:r>
            <w:r>
              <w:rPr>
                <w:rFonts w:eastAsia="等线"/>
                <w:kern w:val="0"/>
                <w:szCs w:val="21"/>
                <w:vertAlign w:val="subscript"/>
              </w:rPr>
              <w:t>3</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0</w:t>
            </w:r>
          </w:p>
        </w:tc>
        <w:tc>
          <w:tcPr>
            <w:tcW w:w="1180" w:type="pct"/>
            <w:shd w:val="clear" w:color="auto" w:fill="auto"/>
            <w:vAlign w:val="center"/>
          </w:tcPr>
          <w:p>
            <w:pPr>
              <w:widowControl/>
              <w:jc w:val="center"/>
              <w:rPr>
                <w:rFonts w:eastAsia="等线"/>
                <w:kern w:val="0"/>
                <w:szCs w:val="21"/>
              </w:rPr>
            </w:pPr>
            <w:r>
              <w:rPr>
                <w:rFonts w:eastAsia="等线"/>
                <w:kern w:val="0"/>
                <w:szCs w:val="21"/>
              </w:rPr>
              <w:t>0</w:t>
            </w:r>
          </w:p>
        </w:tc>
        <w:tc>
          <w:tcPr>
            <w:tcW w:w="1428" w:type="pct"/>
            <w:shd w:val="clear" w:color="auto" w:fill="auto"/>
            <w:vAlign w:val="center"/>
          </w:tcPr>
          <w:p>
            <w:pPr>
              <w:widowControl/>
              <w:jc w:val="center"/>
              <w:rPr>
                <w:rFonts w:eastAsia="等线"/>
                <w:kern w:val="0"/>
                <w:szCs w:val="21"/>
              </w:rPr>
            </w:pPr>
            <w:r>
              <w:rPr>
                <w:rFonts w:eastAsia="等线"/>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108</w:t>
            </w:r>
          </w:p>
        </w:tc>
        <w:tc>
          <w:tcPr>
            <w:tcW w:w="1180" w:type="pct"/>
            <w:shd w:val="clear" w:color="auto" w:fill="auto"/>
            <w:vAlign w:val="center"/>
          </w:tcPr>
          <w:p>
            <w:pPr>
              <w:widowControl/>
              <w:jc w:val="center"/>
              <w:rPr>
                <w:rFonts w:eastAsia="等线"/>
                <w:kern w:val="0"/>
                <w:szCs w:val="21"/>
              </w:rPr>
            </w:pPr>
            <w:r>
              <w:rPr>
                <w:rFonts w:eastAsia="等线"/>
                <w:kern w:val="0"/>
                <w:szCs w:val="21"/>
              </w:rPr>
              <w:t>1.770491803</w:t>
            </w:r>
          </w:p>
        </w:tc>
        <w:tc>
          <w:tcPr>
            <w:tcW w:w="1428" w:type="pct"/>
            <w:shd w:val="clear" w:color="auto" w:fill="auto"/>
            <w:vAlign w:val="center"/>
          </w:tcPr>
          <w:p>
            <w:pPr>
              <w:widowControl/>
              <w:jc w:val="center"/>
              <w:rPr>
                <w:rFonts w:eastAsia="等线"/>
                <w:kern w:val="0"/>
                <w:szCs w:val="21"/>
              </w:rPr>
            </w:pPr>
            <w:r>
              <w:rPr>
                <w:rFonts w:eastAsia="等线"/>
                <w:kern w:val="0"/>
                <w:szCs w:val="21"/>
              </w:rPr>
              <w:t>38.03444474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SO</w:t>
            </w:r>
            <w:r>
              <w:rPr>
                <w:rFonts w:eastAsia="等线"/>
                <w:kern w:val="0"/>
                <w:szCs w:val="21"/>
                <w:vertAlign w:val="subscript"/>
              </w:rPr>
              <w:t>4</w:t>
            </w:r>
            <w:r>
              <w:rPr>
                <w:rFonts w:eastAsia="等线"/>
                <w:kern w:val="0"/>
                <w:szCs w:val="21"/>
                <w:vertAlign w:val="superscript"/>
              </w:rPr>
              <w:t>2-</w:t>
            </w:r>
          </w:p>
        </w:tc>
        <w:tc>
          <w:tcPr>
            <w:tcW w:w="1247" w:type="pct"/>
            <w:shd w:val="clear" w:color="auto" w:fill="auto"/>
            <w:vAlign w:val="center"/>
          </w:tcPr>
          <w:p>
            <w:pPr>
              <w:widowControl/>
              <w:jc w:val="center"/>
              <w:rPr>
                <w:rFonts w:eastAsia="等线"/>
                <w:kern w:val="0"/>
                <w:szCs w:val="21"/>
              </w:rPr>
            </w:pPr>
            <w:r>
              <w:rPr>
                <w:rFonts w:eastAsia="等线"/>
                <w:kern w:val="0"/>
                <w:szCs w:val="21"/>
              </w:rPr>
              <w:t>55.3</w:t>
            </w:r>
          </w:p>
        </w:tc>
        <w:tc>
          <w:tcPr>
            <w:tcW w:w="1180" w:type="pct"/>
            <w:shd w:val="clear" w:color="auto" w:fill="auto"/>
            <w:vAlign w:val="center"/>
          </w:tcPr>
          <w:p>
            <w:pPr>
              <w:widowControl/>
              <w:jc w:val="center"/>
              <w:rPr>
                <w:rFonts w:eastAsia="等线"/>
                <w:kern w:val="0"/>
                <w:szCs w:val="21"/>
              </w:rPr>
            </w:pPr>
            <w:r>
              <w:rPr>
                <w:rFonts w:eastAsia="等线"/>
                <w:kern w:val="0"/>
                <w:szCs w:val="21"/>
              </w:rPr>
              <w:t>1.152083333</w:t>
            </w:r>
          </w:p>
        </w:tc>
        <w:tc>
          <w:tcPr>
            <w:tcW w:w="1428" w:type="pct"/>
            <w:shd w:val="clear" w:color="auto" w:fill="auto"/>
            <w:vAlign w:val="center"/>
          </w:tcPr>
          <w:p>
            <w:pPr>
              <w:widowControl/>
              <w:jc w:val="center"/>
              <w:rPr>
                <w:rFonts w:eastAsia="等线"/>
                <w:kern w:val="0"/>
                <w:szCs w:val="21"/>
              </w:rPr>
            </w:pPr>
            <w:r>
              <w:rPr>
                <w:rFonts w:eastAsia="等线"/>
                <w:kern w:val="0"/>
                <w:szCs w:val="21"/>
              </w:rPr>
              <w:t>24.74953558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rFonts w:eastAsia="等线"/>
                <w:kern w:val="0"/>
                <w:szCs w:val="21"/>
              </w:rPr>
            </w:pPr>
            <w:r>
              <w:rPr>
                <w:rFonts w:eastAsia="等线"/>
                <w:kern w:val="0"/>
                <w:szCs w:val="21"/>
              </w:rPr>
              <w:t>Cl</w:t>
            </w:r>
            <w:r>
              <w:rPr>
                <w:rFonts w:eastAsia="等线"/>
                <w:kern w:val="0"/>
                <w:szCs w:val="21"/>
                <w:vertAlign w:val="superscript"/>
              </w:rPr>
              <w:t>-</w:t>
            </w:r>
          </w:p>
        </w:tc>
        <w:tc>
          <w:tcPr>
            <w:tcW w:w="1247" w:type="pct"/>
            <w:shd w:val="clear" w:color="auto" w:fill="auto"/>
            <w:vAlign w:val="center"/>
          </w:tcPr>
          <w:p>
            <w:pPr>
              <w:widowControl/>
              <w:jc w:val="center"/>
              <w:rPr>
                <w:rFonts w:eastAsia="等线"/>
                <w:kern w:val="0"/>
                <w:szCs w:val="21"/>
              </w:rPr>
            </w:pPr>
            <w:r>
              <w:rPr>
                <w:rFonts w:eastAsia="等线"/>
                <w:kern w:val="0"/>
                <w:szCs w:val="21"/>
              </w:rPr>
              <w:t>61.5</w:t>
            </w:r>
          </w:p>
        </w:tc>
        <w:tc>
          <w:tcPr>
            <w:tcW w:w="1180" w:type="pct"/>
            <w:shd w:val="clear" w:color="auto" w:fill="auto"/>
            <w:vAlign w:val="center"/>
          </w:tcPr>
          <w:p>
            <w:pPr>
              <w:widowControl/>
              <w:jc w:val="center"/>
              <w:rPr>
                <w:rFonts w:eastAsia="等线"/>
                <w:kern w:val="0"/>
                <w:szCs w:val="21"/>
              </w:rPr>
            </w:pPr>
            <w:r>
              <w:rPr>
                <w:rFonts w:eastAsia="等线"/>
                <w:kern w:val="0"/>
                <w:szCs w:val="21"/>
              </w:rPr>
              <w:t>1.732394366</w:t>
            </w:r>
          </w:p>
        </w:tc>
        <w:tc>
          <w:tcPr>
            <w:tcW w:w="1428" w:type="pct"/>
            <w:shd w:val="clear" w:color="auto" w:fill="auto"/>
            <w:vAlign w:val="center"/>
          </w:tcPr>
          <w:p>
            <w:pPr>
              <w:widowControl/>
              <w:jc w:val="center"/>
              <w:rPr>
                <w:rFonts w:eastAsia="等线"/>
                <w:kern w:val="0"/>
                <w:szCs w:val="21"/>
              </w:rPr>
            </w:pPr>
            <w:r>
              <w:rPr>
                <w:rFonts w:eastAsia="等线"/>
                <w:kern w:val="0"/>
                <w:szCs w:val="21"/>
              </w:rPr>
              <w:t>37.21601968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92" w:type="pct"/>
            <w:gridSpan w:val="2"/>
            <w:shd w:val="clear" w:color="auto" w:fill="auto"/>
            <w:vAlign w:val="center"/>
          </w:tcPr>
          <w:p>
            <w:pPr>
              <w:widowControl/>
              <w:jc w:val="center"/>
              <w:rPr>
                <w:kern w:val="0"/>
                <w:szCs w:val="21"/>
              </w:rPr>
            </w:pPr>
            <w:r>
              <w:rPr>
                <w:kern w:val="0"/>
                <w:szCs w:val="21"/>
              </w:rPr>
              <w:t>总计</w:t>
            </w:r>
          </w:p>
        </w:tc>
        <w:tc>
          <w:tcPr>
            <w:tcW w:w="1180" w:type="pct"/>
            <w:shd w:val="clear" w:color="auto" w:fill="auto"/>
            <w:vAlign w:val="center"/>
          </w:tcPr>
          <w:p>
            <w:pPr>
              <w:widowControl/>
              <w:jc w:val="center"/>
              <w:rPr>
                <w:rFonts w:eastAsia="等线"/>
                <w:kern w:val="0"/>
                <w:szCs w:val="21"/>
              </w:rPr>
            </w:pPr>
            <w:r>
              <w:rPr>
                <w:rFonts w:eastAsia="等线"/>
                <w:kern w:val="0"/>
                <w:szCs w:val="21"/>
              </w:rPr>
              <w:t>4.654969503</w:t>
            </w:r>
          </w:p>
        </w:tc>
        <w:tc>
          <w:tcPr>
            <w:tcW w:w="1428" w:type="pct"/>
            <w:shd w:val="clear" w:color="auto" w:fill="auto"/>
            <w:vAlign w:val="center"/>
          </w:tcPr>
          <w:p>
            <w:pPr>
              <w:widowControl/>
              <w:jc w:val="center"/>
              <w:rPr>
                <w:rFonts w:eastAsia="等线"/>
                <w:kern w:val="0"/>
                <w:szCs w:val="21"/>
              </w:rPr>
            </w:pPr>
            <w:r>
              <w:rPr>
                <w:rFonts w:eastAsia="等线"/>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45" w:type="pct"/>
            <w:shd w:val="clear" w:color="auto" w:fill="auto"/>
            <w:vAlign w:val="center"/>
          </w:tcPr>
          <w:p>
            <w:pPr>
              <w:widowControl/>
              <w:jc w:val="center"/>
              <w:rPr>
                <w:kern w:val="0"/>
                <w:szCs w:val="21"/>
              </w:rPr>
            </w:pPr>
            <w:r>
              <w:rPr>
                <w:kern w:val="0"/>
                <w:szCs w:val="21"/>
              </w:rPr>
              <w:t>水化学类型</w:t>
            </w:r>
          </w:p>
        </w:tc>
        <w:tc>
          <w:tcPr>
            <w:tcW w:w="3855" w:type="pct"/>
            <w:gridSpan w:val="3"/>
            <w:shd w:val="clear" w:color="auto" w:fill="auto"/>
            <w:vAlign w:val="center"/>
          </w:tcPr>
          <w:p>
            <w:pPr>
              <w:widowControl/>
              <w:jc w:val="center"/>
              <w:rPr>
                <w:rFonts w:eastAsia="等线"/>
                <w:kern w:val="0"/>
                <w:szCs w:val="21"/>
              </w:rPr>
            </w:pPr>
            <w:r>
              <w:rPr>
                <w:rFonts w:eastAsia="等线"/>
                <w:kern w:val="0"/>
                <w:szCs w:val="21"/>
              </w:rPr>
              <w:t>HCO</w:t>
            </w:r>
            <w:r>
              <w:rPr>
                <w:rFonts w:eastAsia="等线"/>
                <w:kern w:val="0"/>
                <w:szCs w:val="21"/>
                <w:vertAlign w:val="subscript"/>
              </w:rPr>
              <w:t>3</w:t>
            </w:r>
            <w:r>
              <w:rPr>
                <w:rFonts w:eastAsia="等线"/>
                <w:kern w:val="0"/>
                <w:szCs w:val="21"/>
              </w:rPr>
              <w:t>·Cl—Na·Ca</w:t>
            </w:r>
            <w:r>
              <w:rPr>
                <w:kern w:val="0"/>
                <w:szCs w:val="21"/>
              </w:rPr>
              <w:t>型</w:t>
            </w:r>
          </w:p>
        </w:tc>
      </w:tr>
    </w:tbl>
    <w:p>
      <w:pPr>
        <w:spacing w:line="360" w:lineRule="auto"/>
        <w:rPr>
          <w:bCs/>
          <w:sz w:val="24"/>
          <w:szCs w:val="24"/>
        </w:rPr>
      </w:pPr>
    </w:p>
    <w:p>
      <w:pPr>
        <w:spacing w:line="360" w:lineRule="auto"/>
        <w:ind w:firstLine="480" w:firstLineChars="200"/>
        <w:rPr>
          <w:bCs/>
          <w:sz w:val="24"/>
          <w:szCs w:val="24"/>
        </w:rPr>
      </w:pPr>
    </w:p>
    <w:p>
      <w:pPr>
        <w:adjustRightInd w:val="0"/>
        <w:snapToGrid w:val="0"/>
        <w:spacing w:line="360" w:lineRule="auto"/>
        <w:ind w:firstLine="480" w:firstLineChars="200"/>
        <w:rPr>
          <w:sz w:val="24"/>
          <w:szCs w:val="24"/>
        </w:rPr>
        <w:sectPr>
          <w:footerReference r:id="rId14" w:type="default"/>
          <w:footerReference r:id="rId15" w:type="even"/>
          <w:pgSz w:w="11906" w:h="16838"/>
          <w:pgMar w:top="1440" w:right="1800" w:bottom="1440" w:left="1800" w:header="851" w:footer="992" w:gutter="0"/>
          <w:cols w:space="425" w:num="1"/>
          <w:docGrid w:type="lines" w:linePitch="312" w:charSpace="0"/>
        </w:sectPr>
      </w:pP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0" w:firstLine="0"/>
        <w:jc w:val="left"/>
        <w:outlineLvl w:val="2"/>
        <w:rPr>
          <w:b/>
          <w:bCs/>
          <w:snapToGrid w:val="0"/>
          <w:sz w:val="28"/>
          <w:szCs w:val="28"/>
        </w:rPr>
      </w:pPr>
      <w:r>
        <w:rPr>
          <w:b/>
          <w:bCs/>
          <w:snapToGrid w:val="0"/>
          <w:sz w:val="28"/>
          <w:szCs w:val="28"/>
        </w:rPr>
        <w:t>声环境质量现状</w:t>
      </w:r>
    </w:p>
    <w:p>
      <w:pPr>
        <w:adjustRightInd w:val="0"/>
        <w:snapToGrid w:val="0"/>
        <w:spacing w:line="360" w:lineRule="auto"/>
        <w:ind w:firstLine="480" w:firstLineChars="200"/>
        <w:rPr>
          <w:sz w:val="24"/>
          <w:szCs w:val="24"/>
        </w:rPr>
      </w:pPr>
      <w:r>
        <w:rPr>
          <w:sz w:val="24"/>
        </w:rPr>
        <w:t>（1）监测因子：</w:t>
      </w:r>
      <w:r>
        <w:rPr>
          <w:sz w:val="24"/>
          <w:szCs w:val="24"/>
        </w:rPr>
        <w:t>等效连续A声级。</w:t>
      </w:r>
    </w:p>
    <w:p>
      <w:pPr>
        <w:adjustRightInd w:val="0"/>
        <w:snapToGrid w:val="0"/>
        <w:spacing w:line="360" w:lineRule="auto"/>
        <w:ind w:firstLine="480" w:firstLineChars="200"/>
        <w:rPr>
          <w:sz w:val="24"/>
        </w:rPr>
      </w:pPr>
      <w:r>
        <w:rPr>
          <w:sz w:val="24"/>
          <w:szCs w:val="24"/>
        </w:rPr>
        <w:t>（2）监测点位：厂界四周边界外1m。</w:t>
      </w:r>
    </w:p>
    <w:p>
      <w:pPr>
        <w:adjustRightInd w:val="0"/>
        <w:snapToGrid w:val="0"/>
        <w:spacing w:line="360" w:lineRule="auto"/>
        <w:ind w:firstLine="480" w:firstLineChars="200"/>
        <w:rPr>
          <w:sz w:val="24"/>
          <w:szCs w:val="24"/>
        </w:rPr>
      </w:pPr>
      <w:r>
        <w:rPr>
          <w:sz w:val="24"/>
          <w:szCs w:val="24"/>
        </w:rPr>
        <w:t>（3）监测时间和频次：</w:t>
      </w:r>
    </w:p>
    <w:p>
      <w:pPr>
        <w:adjustRightInd w:val="0"/>
        <w:snapToGrid w:val="0"/>
        <w:spacing w:line="360" w:lineRule="auto"/>
        <w:ind w:firstLine="480" w:firstLineChars="200"/>
        <w:rPr>
          <w:sz w:val="24"/>
          <w:szCs w:val="24"/>
        </w:rPr>
      </w:pPr>
      <w:r>
        <w:rPr>
          <w:sz w:val="24"/>
        </w:rPr>
        <w:t>噪声监测时间为2021年7月25日-26日，</w:t>
      </w:r>
      <w:r>
        <w:rPr>
          <w:rFonts w:hint="eastAsia"/>
          <w:sz w:val="24"/>
        </w:rPr>
        <w:t>连续</w:t>
      </w:r>
      <w:r>
        <w:rPr>
          <w:sz w:val="24"/>
        </w:rPr>
        <w:t>测量</w:t>
      </w:r>
      <w:r>
        <w:rPr>
          <w:rFonts w:hint="eastAsia"/>
          <w:sz w:val="24"/>
        </w:rPr>
        <w:t>2天，分昼间（06：00-22：00）和夜间（22：00-06：00）两个时段进行，昼夜各监测一次，每次不少于20分钟。</w:t>
      </w:r>
    </w:p>
    <w:p>
      <w:pPr>
        <w:adjustRightInd w:val="0"/>
        <w:snapToGrid w:val="0"/>
        <w:spacing w:line="360" w:lineRule="auto"/>
        <w:ind w:firstLine="480" w:firstLineChars="200"/>
        <w:rPr>
          <w:sz w:val="24"/>
        </w:rPr>
      </w:pPr>
      <w:r>
        <w:rPr>
          <w:sz w:val="24"/>
          <w:szCs w:val="24"/>
        </w:rPr>
        <w:t>（4）</w:t>
      </w:r>
      <w:r>
        <w:rPr>
          <w:sz w:val="24"/>
        </w:rPr>
        <w:t>监测方法：分别按《声环境质量标准》（GB3096-2008）和《工业企业厂界环境噪声排放标准》（GB12348-2008）中要求的测量方法进行。</w:t>
      </w:r>
    </w:p>
    <w:p>
      <w:pPr>
        <w:adjustRightInd w:val="0"/>
        <w:snapToGrid w:val="0"/>
        <w:spacing w:line="360" w:lineRule="auto"/>
        <w:ind w:firstLine="480" w:firstLineChars="200"/>
        <w:rPr>
          <w:sz w:val="24"/>
        </w:rPr>
      </w:pPr>
      <w:r>
        <w:rPr>
          <w:sz w:val="24"/>
        </w:rPr>
        <w:t>（5）监测结果分析</w:t>
      </w:r>
    </w:p>
    <w:p>
      <w:pPr>
        <w:widowControl/>
        <w:spacing w:line="360" w:lineRule="auto"/>
        <w:ind w:firstLine="480" w:firstLineChars="200"/>
        <w:jc w:val="left"/>
        <w:rPr>
          <w:sz w:val="24"/>
          <w:szCs w:val="24"/>
        </w:rPr>
      </w:pPr>
      <w:r>
        <w:rPr>
          <w:sz w:val="24"/>
          <w:szCs w:val="24"/>
        </w:rPr>
        <w:t>本项目厂界四周噪声现状监测结果及达标分析见表4.3.1-1。由表可知，厂界</w:t>
      </w:r>
      <w:r>
        <w:rPr>
          <w:rFonts w:hint="eastAsia"/>
          <w:sz w:val="24"/>
          <w:szCs w:val="24"/>
        </w:rPr>
        <w:t>各</w:t>
      </w:r>
      <w:r>
        <w:rPr>
          <w:sz w:val="24"/>
          <w:szCs w:val="24"/>
        </w:rPr>
        <w:t>噪声监测点位昼间</w:t>
      </w:r>
      <w:r>
        <w:rPr>
          <w:rFonts w:hint="eastAsia"/>
          <w:sz w:val="24"/>
          <w:szCs w:val="24"/>
        </w:rPr>
        <w:t>、夜间</w:t>
      </w:r>
      <w:r>
        <w:rPr>
          <w:sz w:val="24"/>
          <w:szCs w:val="24"/>
        </w:rPr>
        <w:t>监测结果均达到《工业企业厂界噪声 标准》（GB12348-2008）2类标准限值要求(昼间 60dB(A)，夜间 50 dB(A))。</w:t>
      </w:r>
    </w:p>
    <w:p>
      <w:pPr>
        <w:spacing w:line="360" w:lineRule="auto"/>
        <w:jc w:val="center"/>
        <w:rPr>
          <w:szCs w:val="21"/>
        </w:rPr>
      </w:pPr>
      <w:r>
        <w:rPr>
          <w:b/>
          <w:sz w:val="24"/>
        </w:rPr>
        <w:t xml:space="preserve">       表4.3.4-1 本项目厂界噪声现状监测结果    </w:t>
      </w:r>
      <w:r>
        <w:rPr>
          <w:szCs w:val="21"/>
        </w:rPr>
        <w:t>单位：dB（A）</w:t>
      </w:r>
    </w:p>
    <w:tbl>
      <w:tblPr>
        <w:tblStyle w:val="39"/>
        <w:tblW w:w="5106"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287"/>
        <w:gridCol w:w="1154"/>
        <w:gridCol w:w="936"/>
        <w:gridCol w:w="936"/>
        <w:gridCol w:w="768"/>
        <w:gridCol w:w="725"/>
        <w:gridCol w:w="1678"/>
        <w:gridCol w:w="102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vMerge w:val="restar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监测</w:t>
            </w:r>
            <w:r>
              <w:rPr>
                <w:rFonts w:eastAsiaTheme="minorEastAsia"/>
                <w:spacing w:val="-3"/>
                <w:kern w:val="0"/>
                <w:szCs w:val="21"/>
                <w:lang w:eastAsia="en-US"/>
              </w:rPr>
              <w:t>点</w:t>
            </w:r>
            <w:r>
              <w:rPr>
                <w:rFonts w:eastAsiaTheme="minorEastAsia"/>
                <w:kern w:val="0"/>
                <w:szCs w:val="21"/>
                <w:lang w:eastAsia="en-US"/>
              </w:rPr>
              <w:t>位置</w:t>
            </w:r>
          </w:p>
        </w:tc>
        <w:tc>
          <w:tcPr>
            <w:tcW w:w="678" w:type="pct"/>
            <w:vMerge w:val="restar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监测</w:t>
            </w:r>
            <w:r>
              <w:rPr>
                <w:rFonts w:eastAsiaTheme="minorEastAsia"/>
                <w:spacing w:val="-3"/>
                <w:kern w:val="0"/>
                <w:szCs w:val="21"/>
                <w:lang w:eastAsia="en-US"/>
              </w:rPr>
              <w:t>时</w:t>
            </w:r>
            <w:r>
              <w:rPr>
                <w:rFonts w:eastAsiaTheme="minorEastAsia"/>
                <w:kern w:val="0"/>
                <w:szCs w:val="21"/>
                <w:lang w:eastAsia="en-US"/>
              </w:rPr>
              <w:t>间</w:t>
            </w:r>
          </w:p>
        </w:tc>
        <w:tc>
          <w:tcPr>
            <w:tcW w:w="1099" w:type="pct"/>
            <w:gridSpan w:val="2"/>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结果</w:t>
            </w:r>
            <w:r>
              <w:rPr>
                <w:rFonts w:eastAsiaTheme="minorEastAsia"/>
                <w:spacing w:val="-2"/>
                <w:kern w:val="0"/>
                <w:szCs w:val="21"/>
                <w:lang w:eastAsia="en-US"/>
              </w:rPr>
              <w:t>/</w:t>
            </w:r>
            <w:r>
              <w:rPr>
                <w:rFonts w:eastAsiaTheme="minorEastAsia"/>
                <w:kern w:val="0"/>
                <w:szCs w:val="21"/>
                <w:lang w:eastAsia="en-US"/>
              </w:rPr>
              <w:t>单位:</w:t>
            </w:r>
            <w:r>
              <w:rPr>
                <w:rFonts w:eastAsiaTheme="minorEastAsia"/>
                <w:spacing w:val="-2"/>
                <w:kern w:val="0"/>
                <w:szCs w:val="21"/>
                <w:lang w:eastAsia="en-US"/>
              </w:rPr>
              <w:t xml:space="preserve"> </w:t>
            </w:r>
            <w:r>
              <w:rPr>
                <w:rFonts w:eastAsiaTheme="minorEastAsia"/>
                <w:kern w:val="0"/>
                <w:szCs w:val="21"/>
                <w:lang w:eastAsia="en-US"/>
              </w:rPr>
              <w:t>dB</w:t>
            </w:r>
            <w:r>
              <w:rPr>
                <w:rFonts w:eastAsiaTheme="minorEastAsia"/>
                <w:spacing w:val="-3"/>
                <w:kern w:val="0"/>
                <w:szCs w:val="21"/>
                <w:lang w:eastAsia="en-US"/>
              </w:rPr>
              <w:t>(</w:t>
            </w:r>
            <w:r>
              <w:rPr>
                <w:rFonts w:eastAsiaTheme="minorEastAsia"/>
                <w:kern w:val="0"/>
                <w:szCs w:val="21"/>
                <w:lang w:eastAsia="en-US"/>
              </w:rPr>
              <w:t>A)</w:t>
            </w:r>
          </w:p>
        </w:tc>
        <w:tc>
          <w:tcPr>
            <w:tcW w:w="877" w:type="pct"/>
            <w:gridSpan w:val="2"/>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标准</w:t>
            </w:r>
            <w:r>
              <w:rPr>
                <w:rFonts w:eastAsiaTheme="minorEastAsia"/>
                <w:spacing w:val="-3"/>
                <w:kern w:val="0"/>
                <w:szCs w:val="21"/>
                <w:lang w:eastAsia="en-US"/>
              </w:rPr>
              <w:t>限</w:t>
            </w:r>
            <w:r>
              <w:rPr>
                <w:rFonts w:eastAsiaTheme="minorEastAsia"/>
                <w:kern w:val="0"/>
                <w:szCs w:val="21"/>
                <w:lang w:eastAsia="en-US"/>
              </w:rPr>
              <w:t>值</w:t>
            </w:r>
          </w:p>
        </w:tc>
        <w:tc>
          <w:tcPr>
            <w:tcW w:w="985" w:type="pct"/>
            <w:vMerge w:val="restar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执行 标准</w:t>
            </w:r>
          </w:p>
        </w:tc>
        <w:tc>
          <w:tcPr>
            <w:tcW w:w="604" w:type="pct"/>
            <w:vMerge w:val="restar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r>
              <w:rPr>
                <w:rFonts w:eastAsiaTheme="minorEastAsia"/>
                <w:spacing w:val="-3"/>
                <w:kern w:val="0"/>
                <w:szCs w:val="21"/>
                <w:lang w:eastAsia="en-US"/>
              </w:rPr>
              <w:t>情</w:t>
            </w:r>
            <w:r>
              <w:rPr>
                <w:rFonts w:eastAsiaTheme="minorEastAsia"/>
                <w:kern w:val="0"/>
                <w:szCs w:val="21"/>
                <w:lang w:eastAsia="en-US"/>
              </w:rPr>
              <w:t>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vMerge w:val="continue"/>
            <w:shd w:val="clear" w:color="auto" w:fill="auto"/>
            <w:vAlign w:val="center"/>
          </w:tcPr>
          <w:p>
            <w:pPr>
              <w:adjustRightInd w:val="0"/>
              <w:snapToGrid w:val="0"/>
              <w:jc w:val="center"/>
              <w:rPr>
                <w:rFonts w:eastAsiaTheme="minorEastAsia"/>
                <w:kern w:val="0"/>
                <w:szCs w:val="21"/>
                <w:lang w:eastAsia="en-US"/>
              </w:rPr>
            </w:pP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昼间</w:t>
            </w:r>
          </w:p>
        </w:tc>
        <w:tc>
          <w:tcPr>
            <w:tcW w:w="550"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夜间</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昼间</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夜间</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vMerge w:val="continue"/>
            <w:shd w:val="clear" w:color="auto" w:fill="auto"/>
            <w:vAlign w:val="center"/>
          </w:tcPr>
          <w:p>
            <w:pPr>
              <w:adjustRightInd w:val="0"/>
              <w:snapToGrid w:val="0"/>
              <w:jc w:val="center"/>
              <w:rPr>
                <w:rFonts w:eastAsiaTheme="minorEastAsia"/>
                <w:kern w:val="0"/>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1</w:t>
            </w:r>
            <w:r>
              <w:rPr>
                <w:rFonts w:eastAsiaTheme="minorEastAsia"/>
                <w:spacing w:val="-1"/>
                <w:kern w:val="0"/>
                <w:position w:val="11"/>
                <w:szCs w:val="21"/>
                <w:lang w:eastAsia="en-US"/>
              </w:rPr>
              <w:t>#</w:t>
            </w:r>
            <w:r>
              <w:rPr>
                <w:rFonts w:eastAsiaTheme="minorEastAsia"/>
                <w:kern w:val="0"/>
                <w:szCs w:val="21"/>
                <w:lang w:eastAsia="en-US"/>
              </w:rPr>
              <w:t>东</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restar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2021.7.25</w:t>
            </w:r>
          </w:p>
        </w:tc>
        <w:tc>
          <w:tcPr>
            <w:tcW w:w="550" w:type="pct"/>
            <w:tcBorders>
              <w:tl2br w:val="nil"/>
              <w:tr2bl w:val="nil"/>
            </w:tcBorders>
            <w:vAlign w:val="center"/>
          </w:tcPr>
          <w:p>
            <w:pPr>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0.1</w:t>
            </w:r>
          </w:p>
        </w:tc>
        <w:tc>
          <w:tcPr>
            <w:tcW w:w="550" w:type="pct"/>
            <w:tcBorders>
              <w:tl2br w:val="nil"/>
              <w:tr2bl w:val="nil"/>
            </w:tcBorders>
            <w:vAlign w:val="center"/>
          </w:tcPr>
          <w:p>
            <w:pPr>
              <w:adjustRightInd w:val="0"/>
              <w:snapToGrid w:val="0"/>
              <w:jc w:val="center"/>
              <w:rPr>
                <w:rFonts w:eastAsiaTheme="minorEastAsia"/>
                <w:kern w:val="0"/>
                <w:szCs w:val="21"/>
              </w:rPr>
            </w:pPr>
            <w:r>
              <w:rPr>
                <w:rFonts w:eastAsiaTheme="minorEastAsia"/>
                <w:kern w:val="0"/>
                <w:szCs w:val="21"/>
              </w:rPr>
              <w:t>40.5</w:t>
            </w:r>
          </w:p>
        </w:tc>
        <w:tc>
          <w:tcPr>
            <w:tcW w:w="451" w:type="pct"/>
            <w:shd w:val="clear" w:color="auto" w:fill="auto"/>
            <w:vAlign w:val="center"/>
          </w:tcPr>
          <w:p>
            <w:pPr>
              <w:adjustRightInd w:val="0"/>
              <w:snapToGrid w:val="0"/>
              <w:jc w:val="center"/>
              <w:rPr>
                <w:rFonts w:eastAsiaTheme="minorEastAsia"/>
                <w:kern w:val="0"/>
                <w:szCs w:val="21"/>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rPr>
            </w:pPr>
            <w:r>
              <w:rPr>
                <w:rFonts w:eastAsiaTheme="minorEastAsia"/>
                <w:kern w:val="0"/>
                <w:szCs w:val="21"/>
              </w:rPr>
              <w:t>50</w:t>
            </w:r>
          </w:p>
        </w:tc>
        <w:tc>
          <w:tcPr>
            <w:tcW w:w="985" w:type="pct"/>
            <w:vMerge w:val="restart"/>
            <w:shd w:val="clear" w:color="auto" w:fill="auto"/>
            <w:vAlign w:val="center"/>
          </w:tcPr>
          <w:p>
            <w:pPr>
              <w:adjustRightInd w:val="0"/>
              <w:snapToGrid w:val="0"/>
              <w:jc w:val="center"/>
              <w:rPr>
                <w:rFonts w:eastAsiaTheme="minorEastAsia"/>
                <w:kern w:val="0"/>
                <w:szCs w:val="21"/>
              </w:rPr>
            </w:pPr>
            <w:r>
              <w:rPr>
                <w:rFonts w:eastAsiaTheme="minorEastAsia"/>
                <w:kern w:val="0"/>
                <w:szCs w:val="21"/>
              </w:rPr>
              <w:t>GB 12348-2008</w:t>
            </w:r>
          </w:p>
          <w:p>
            <w:pPr>
              <w:adjustRightInd w:val="0"/>
              <w:snapToGrid w:val="0"/>
              <w:jc w:val="center"/>
              <w:rPr>
                <w:rFonts w:eastAsiaTheme="minorEastAsia"/>
                <w:kern w:val="0"/>
                <w:szCs w:val="21"/>
              </w:rPr>
            </w:pPr>
            <w:r>
              <w:rPr>
                <w:rFonts w:eastAsiaTheme="minorEastAsia"/>
                <w:kern w:val="0"/>
                <w:szCs w:val="21"/>
              </w:rPr>
              <w:t>2类</w:t>
            </w: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2</w:t>
            </w:r>
            <w:r>
              <w:rPr>
                <w:rFonts w:eastAsiaTheme="minorEastAsia"/>
                <w:spacing w:val="-1"/>
                <w:kern w:val="0"/>
                <w:position w:val="11"/>
                <w:szCs w:val="21"/>
                <w:lang w:eastAsia="en-US"/>
              </w:rPr>
              <w:t>#</w:t>
            </w:r>
            <w:r>
              <w:rPr>
                <w:rFonts w:eastAsiaTheme="minorEastAsia"/>
                <w:kern w:val="0"/>
                <w:szCs w:val="21"/>
                <w:lang w:eastAsia="en-US"/>
              </w:rPr>
              <w:t>南</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9.6</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3</w:t>
            </w:r>
            <w:r>
              <w:rPr>
                <w:rFonts w:eastAsiaTheme="minorEastAsia"/>
                <w:kern w:val="0"/>
                <w:szCs w:val="21"/>
              </w:rPr>
              <w:t>9.1</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3</w:t>
            </w:r>
            <w:r>
              <w:rPr>
                <w:rFonts w:eastAsiaTheme="minorEastAsia"/>
                <w:spacing w:val="-1"/>
                <w:kern w:val="0"/>
                <w:position w:val="11"/>
                <w:szCs w:val="21"/>
                <w:lang w:eastAsia="en-US"/>
              </w:rPr>
              <w:t>#</w:t>
            </w:r>
            <w:r>
              <w:rPr>
                <w:rFonts w:eastAsiaTheme="minorEastAsia"/>
                <w:kern w:val="0"/>
                <w:szCs w:val="21"/>
                <w:lang w:eastAsia="en-US"/>
              </w:rPr>
              <w:t>西</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9.9</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0.0</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4</w:t>
            </w:r>
            <w:r>
              <w:rPr>
                <w:rFonts w:eastAsiaTheme="minorEastAsia"/>
                <w:spacing w:val="-1"/>
                <w:kern w:val="0"/>
                <w:position w:val="11"/>
                <w:szCs w:val="21"/>
                <w:lang w:eastAsia="en-US"/>
              </w:rPr>
              <w:t>#</w:t>
            </w:r>
            <w:r>
              <w:rPr>
                <w:rFonts w:eastAsiaTheme="minorEastAsia"/>
                <w:kern w:val="0"/>
                <w:szCs w:val="21"/>
                <w:lang w:eastAsia="en-US"/>
              </w:rPr>
              <w:t>北</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9.6</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3</w:t>
            </w:r>
            <w:r>
              <w:rPr>
                <w:rFonts w:eastAsiaTheme="minorEastAsia"/>
                <w:kern w:val="0"/>
                <w:szCs w:val="21"/>
              </w:rPr>
              <w:t>8.9</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1</w:t>
            </w:r>
            <w:r>
              <w:rPr>
                <w:rFonts w:eastAsiaTheme="minorEastAsia"/>
                <w:spacing w:val="-1"/>
                <w:kern w:val="0"/>
                <w:position w:val="11"/>
                <w:szCs w:val="21"/>
                <w:lang w:eastAsia="en-US"/>
              </w:rPr>
              <w:t>#</w:t>
            </w:r>
            <w:r>
              <w:rPr>
                <w:rFonts w:eastAsiaTheme="minorEastAsia"/>
                <w:kern w:val="0"/>
                <w:szCs w:val="21"/>
                <w:lang w:eastAsia="en-US"/>
              </w:rPr>
              <w:t>东</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restar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2021.7.26</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9.9</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0.6</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2</w:t>
            </w:r>
            <w:r>
              <w:rPr>
                <w:rFonts w:eastAsiaTheme="minorEastAsia"/>
                <w:spacing w:val="-1"/>
                <w:kern w:val="0"/>
                <w:position w:val="11"/>
                <w:szCs w:val="21"/>
                <w:lang w:eastAsia="en-US"/>
              </w:rPr>
              <w:t>#</w:t>
            </w:r>
            <w:r>
              <w:rPr>
                <w:rFonts w:eastAsiaTheme="minorEastAsia"/>
                <w:kern w:val="0"/>
                <w:szCs w:val="21"/>
                <w:lang w:eastAsia="en-US"/>
              </w:rPr>
              <w:t>南</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9.7</w:t>
            </w:r>
          </w:p>
        </w:tc>
        <w:tc>
          <w:tcPr>
            <w:tcW w:w="550" w:type="pct"/>
            <w:vAlign w:val="center"/>
          </w:tcPr>
          <w:p>
            <w:pPr>
              <w:adjustRightInd w:val="0"/>
              <w:snapToGrid w:val="0"/>
              <w:jc w:val="center"/>
              <w:rPr>
                <w:rFonts w:eastAsiaTheme="minorEastAsia"/>
                <w:kern w:val="0"/>
                <w:szCs w:val="21"/>
              </w:rPr>
            </w:pPr>
            <w:r>
              <w:rPr>
                <w:rFonts w:eastAsiaTheme="minorEastAsia"/>
                <w:kern w:val="0"/>
                <w:szCs w:val="21"/>
              </w:rPr>
              <w:t>40.3</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3</w:t>
            </w:r>
            <w:r>
              <w:rPr>
                <w:rFonts w:eastAsiaTheme="minorEastAsia"/>
                <w:spacing w:val="-1"/>
                <w:kern w:val="0"/>
                <w:position w:val="11"/>
                <w:szCs w:val="21"/>
                <w:lang w:eastAsia="en-US"/>
              </w:rPr>
              <w:t>#</w:t>
            </w:r>
            <w:r>
              <w:rPr>
                <w:rFonts w:eastAsiaTheme="minorEastAsia"/>
                <w:kern w:val="0"/>
                <w:szCs w:val="21"/>
                <w:lang w:eastAsia="en-US"/>
              </w:rPr>
              <w:t>西</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8.5</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3</w:t>
            </w:r>
            <w:r>
              <w:rPr>
                <w:rFonts w:eastAsiaTheme="minorEastAsia"/>
                <w:kern w:val="0"/>
                <w:szCs w:val="21"/>
              </w:rPr>
              <w:t>9.0</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75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position w:val="1"/>
                <w:szCs w:val="21"/>
                <w:lang w:eastAsia="en-US"/>
              </w:rPr>
              <w:t>4</w:t>
            </w:r>
            <w:r>
              <w:rPr>
                <w:rFonts w:eastAsiaTheme="minorEastAsia"/>
                <w:spacing w:val="-1"/>
                <w:kern w:val="0"/>
                <w:position w:val="11"/>
                <w:szCs w:val="21"/>
                <w:lang w:eastAsia="en-US"/>
              </w:rPr>
              <w:t>#</w:t>
            </w:r>
            <w:r>
              <w:rPr>
                <w:rFonts w:eastAsiaTheme="minorEastAsia"/>
                <w:kern w:val="0"/>
                <w:szCs w:val="21"/>
                <w:lang w:eastAsia="en-US"/>
              </w:rPr>
              <w:t>北</w:t>
            </w:r>
            <w:r>
              <w:rPr>
                <w:rFonts w:eastAsiaTheme="minorEastAsia"/>
                <w:spacing w:val="-3"/>
                <w:kern w:val="0"/>
                <w:szCs w:val="21"/>
                <w:lang w:eastAsia="en-US"/>
              </w:rPr>
              <w:t>厂</w:t>
            </w:r>
            <w:r>
              <w:rPr>
                <w:rFonts w:eastAsiaTheme="minorEastAsia"/>
                <w:kern w:val="0"/>
                <w:szCs w:val="21"/>
                <w:lang w:eastAsia="en-US"/>
              </w:rPr>
              <w:t>界</w:t>
            </w:r>
          </w:p>
        </w:tc>
        <w:tc>
          <w:tcPr>
            <w:tcW w:w="678" w:type="pct"/>
            <w:vMerge w:val="continue"/>
            <w:shd w:val="clear" w:color="auto" w:fill="auto"/>
            <w:vAlign w:val="center"/>
          </w:tcPr>
          <w:p>
            <w:pPr>
              <w:adjustRightInd w:val="0"/>
              <w:snapToGrid w:val="0"/>
              <w:jc w:val="center"/>
              <w:rPr>
                <w:rFonts w:eastAsiaTheme="minorEastAsia"/>
                <w:kern w:val="0"/>
                <w:szCs w:val="21"/>
                <w:lang w:eastAsia="en-US"/>
              </w:rPr>
            </w:pP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0.6</w:t>
            </w:r>
          </w:p>
        </w:tc>
        <w:tc>
          <w:tcPr>
            <w:tcW w:w="550" w:type="pct"/>
            <w:vAlign w:val="center"/>
          </w:tcPr>
          <w:p>
            <w:pPr>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0.2</w:t>
            </w:r>
          </w:p>
        </w:tc>
        <w:tc>
          <w:tcPr>
            <w:tcW w:w="451"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60</w:t>
            </w:r>
          </w:p>
        </w:tc>
        <w:tc>
          <w:tcPr>
            <w:tcW w:w="426"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rPr>
              <w:t>50</w:t>
            </w:r>
          </w:p>
        </w:tc>
        <w:tc>
          <w:tcPr>
            <w:tcW w:w="985" w:type="pct"/>
            <w:vMerge w:val="continue"/>
            <w:shd w:val="clear" w:color="auto" w:fill="auto"/>
            <w:vAlign w:val="center"/>
          </w:tcPr>
          <w:p>
            <w:pPr>
              <w:adjustRightInd w:val="0"/>
              <w:snapToGrid w:val="0"/>
              <w:jc w:val="center"/>
              <w:rPr>
                <w:rFonts w:eastAsiaTheme="minorEastAsia"/>
                <w:kern w:val="0"/>
                <w:szCs w:val="21"/>
                <w:lang w:eastAsia="en-US"/>
              </w:rPr>
            </w:pPr>
          </w:p>
        </w:tc>
        <w:tc>
          <w:tcPr>
            <w:tcW w:w="604" w:type="pct"/>
            <w:shd w:val="clear" w:color="auto" w:fill="auto"/>
            <w:vAlign w:val="center"/>
          </w:tcPr>
          <w:p>
            <w:pPr>
              <w:adjustRightInd w:val="0"/>
              <w:snapToGrid w:val="0"/>
              <w:jc w:val="center"/>
              <w:rPr>
                <w:rFonts w:eastAsiaTheme="minorEastAsia"/>
                <w:kern w:val="0"/>
                <w:szCs w:val="21"/>
                <w:lang w:eastAsia="en-US"/>
              </w:rPr>
            </w:pPr>
            <w:r>
              <w:rPr>
                <w:rFonts w:eastAsiaTheme="minorEastAsia"/>
                <w:kern w:val="0"/>
                <w:szCs w:val="21"/>
                <w:lang w:eastAsia="en-US"/>
              </w:rPr>
              <w:t>达标</w:t>
            </w:r>
          </w:p>
        </w:tc>
      </w:tr>
    </w:tbl>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0" w:firstLine="0"/>
        <w:jc w:val="left"/>
        <w:outlineLvl w:val="2"/>
        <w:rPr>
          <w:b/>
          <w:bCs/>
          <w:snapToGrid w:val="0"/>
          <w:sz w:val="28"/>
          <w:szCs w:val="28"/>
        </w:rPr>
      </w:pPr>
      <w:r>
        <w:rPr>
          <w:b/>
          <w:bCs/>
          <w:snapToGrid w:val="0"/>
          <w:sz w:val="28"/>
          <w:szCs w:val="28"/>
        </w:rPr>
        <w:t>土壤环境质量现状</w:t>
      </w:r>
    </w:p>
    <w:p>
      <w:pPr>
        <w:widowControl/>
        <w:spacing w:line="360" w:lineRule="auto"/>
        <w:ind w:firstLine="600" w:firstLineChars="250"/>
        <w:jc w:val="left"/>
        <w:rPr>
          <w:sz w:val="24"/>
          <w:szCs w:val="24"/>
        </w:rPr>
      </w:pPr>
      <w:r>
        <w:rPr>
          <w:rFonts w:hint="eastAsia"/>
          <w:sz w:val="24"/>
          <w:szCs w:val="24"/>
        </w:rPr>
        <w:t>土壤监测由辽宁鹏宇环境监测有限公司于2021年7月20日和2</w:t>
      </w:r>
      <w:r>
        <w:rPr>
          <w:sz w:val="24"/>
          <w:szCs w:val="24"/>
        </w:rPr>
        <w:t>021</w:t>
      </w:r>
      <w:r>
        <w:rPr>
          <w:rFonts w:hint="eastAsia"/>
          <w:sz w:val="24"/>
          <w:szCs w:val="24"/>
        </w:rPr>
        <w:t>年1</w:t>
      </w:r>
      <w:r>
        <w:rPr>
          <w:sz w:val="24"/>
          <w:szCs w:val="24"/>
        </w:rPr>
        <w:t>2</w:t>
      </w:r>
      <w:r>
        <w:rPr>
          <w:rFonts w:hint="eastAsia"/>
          <w:sz w:val="24"/>
          <w:szCs w:val="24"/>
        </w:rPr>
        <w:t>月1</w:t>
      </w:r>
      <w:r>
        <w:rPr>
          <w:sz w:val="24"/>
          <w:szCs w:val="24"/>
        </w:rPr>
        <w:t>4</w:t>
      </w:r>
      <w:r>
        <w:rPr>
          <w:rFonts w:hint="eastAsia"/>
          <w:sz w:val="24"/>
          <w:szCs w:val="24"/>
        </w:rPr>
        <w:t>日进行采样，监测报告见附件（监测报告编号：PY2107246-001）。</w:t>
      </w:r>
    </w:p>
    <w:p>
      <w:pPr>
        <w:spacing w:line="440" w:lineRule="exact"/>
        <w:ind w:firstLine="482" w:firstLineChars="200"/>
        <w:jc w:val="left"/>
        <w:rPr>
          <w:b/>
          <w:sz w:val="24"/>
          <w:szCs w:val="24"/>
        </w:rPr>
      </w:pPr>
      <w:bookmarkStart w:id="120" w:name="修改3"/>
      <w:r>
        <w:rPr>
          <w:b/>
          <w:sz w:val="24"/>
          <w:szCs w:val="24"/>
        </w:rPr>
        <w:t>（1）检测点位</w:t>
      </w:r>
      <w:bookmarkEnd w:id="120"/>
    </w:p>
    <w:p>
      <w:pPr>
        <w:spacing w:line="440" w:lineRule="exact"/>
        <w:ind w:firstLine="480" w:firstLineChars="200"/>
        <w:jc w:val="left"/>
        <w:rPr>
          <w:sz w:val="24"/>
          <w:szCs w:val="24"/>
        </w:rPr>
      </w:pPr>
      <w:r>
        <w:rPr>
          <w:rFonts w:hint="eastAsia"/>
          <w:sz w:val="24"/>
          <w:szCs w:val="24"/>
        </w:rPr>
        <w:t>厂址内设置3个表层样。</w:t>
      </w:r>
      <w:r>
        <w:rPr>
          <w:sz w:val="24"/>
          <w:szCs w:val="24"/>
        </w:rPr>
        <w:t>土壤检测点位见表4.3.5-1。采样点分布图见图</w:t>
      </w:r>
      <w:r>
        <w:rPr>
          <w:rFonts w:hint="eastAsia"/>
          <w:sz w:val="24"/>
          <w:szCs w:val="24"/>
        </w:rPr>
        <w:t>4</w:t>
      </w:r>
      <w:r>
        <w:rPr>
          <w:sz w:val="24"/>
          <w:szCs w:val="24"/>
        </w:rPr>
        <w:t>.3-4。</w:t>
      </w:r>
    </w:p>
    <w:p>
      <w:pPr>
        <w:spacing w:line="440" w:lineRule="exact"/>
        <w:ind w:firstLine="480" w:firstLineChars="200"/>
        <w:jc w:val="left"/>
        <w:rPr>
          <w:sz w:val="24"/>
          <w:szCs w:val="24"/>
        </w:rPr>
      </w:pPr>
    </w:p>
    <w:p>
      <w:pPr>
        <w:spacing w:line="360" w:lineRule="auto"/>
        <w:ind w:firstLine="482" w:firstLineChars="200"/>
        <w:jc w:val="center"/>
        <w:rPr>
          <w:b/>
          <w:bCs/>
          <w:sz w:val="24"/>
          <w:szCs w:val="24"/>
        </w:rPr>
      </w:pPr>
      <w:r>
        <w:rPr>
          <w:b/>
          <w:bCs/>
          <w:sz w:val="24"/>
          <w:szCs w:val="24"/>
        </w:rPr>
        <w:t>表4.3.5-1  土壤环境质量现状检测点一览表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9"/>
        <w:gridCol w:w="500"/>
        <w:gridCol w:w="786"/>
        <w:gridCol w:w="535"/>
        <w:gridCol w:w="62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69" w:type="pct"/>
            <w:vAlign w:val="center"/>
          </w:tcPr>
          <w:p>
            <w:pPr>
              <w:adjustRightInd w:val="0"/>
              <w:snapToGrid w:val="0"/>
              <w:jc w:val="center"/>
              <w:rPr>
                <w:rFonts w:eastAsiaTheme="minorEastAsia"/>
                <w:bCs/>
                <w:szCs w:val="21"/>
              </w:rPr>
            </w:pPr>
            <w:r>
              <w:rPr>
                <w:rFonts w:eastAsiaTheme="minorEastAsia"/>
                <w:bCs/>
                <w:szCs w:val="21"/>
              </w:rPr>
              <w:t>序号</w:t>
            </w:r>
          </w:p>
        </w:tc>
        <w:tc>
          <w:tcPr>
            <w:tcW w:w="293" w:type="pct"/>
            <w:vAlign w:val="center"/>
          </w:tcPr>
          <w:p>
            <w:pPr>
              <w:adjustRightInd w:val="0"/>
              <w:snapToGrid w:val="0"/>
              <w:jc w:val="center"/>
              <w:rPr>
                <w:rFonts w:eastAsiaTheme="minorEastAsia"/>
                <w:bCs/>
                <w:szCs w:val="21"/>
              </w:rPr>
            </w:pPr>
            <w:r>
              <w:rPr>
                <w:rFonts w:eastAsiaTheme="minorEastAsia"/>
                <w:bCs/>
                <w:szCs w:val="21"/>
              </w:rPr>
              <w:t>方位</w:t>
            </w:r>
          </w:p>
        </w:tc>
        <w:tc>
          <w:tcPr>
            <w:tcW w:w="461" w:type="pct"/>
            <w:vAlign w:val="center"/>
          </w:tcPr>
          <w:p>
            <w:pPr>
              <w:adjustRightInd w:val="0"/>
              <w:snapToGrid w:val="0"/>
              <w:jc w:val="center"/>
              <w:rPr>
                <w:rFonts w:eastAsiaTheme="minorEastAsia"/>
                <w:bCs/>
                <w:szCs w:val="21"/>
              </w:rPr>
            </w:pPr>
            <w:r>
              <w:rPr>
                <w:rFonts w:eastAsiaTheme="minorEastAsia"/>
                <w:bCs/>
                <w:szCs w:val="21"/>
              </w:rPr>
              <w:t>监测点位</w:t>
            </w:r>
          </w:p>
        </w:tc>
        <w:tc>
          <w:tcPr>
            <w:tcW w:w="314" w:type="pct"/>
            <w:vAlign w:val="center"/>
          </w:tcPr>
          <w:p>
            <w:pPr>
              <w:adjustRightInd w:val="0"/>
              <w:snapToGrid w:val="0"/>
              <w:jc w:val="center"/>
              <w:rPr>
                <w:rFonts w:eastAsiaTheme="minorEastAsia"/>
                <w:bCs/>
                <w:szCs w:val="21"/>
              </w:rPr>
            </w:pPr>
            <w:r>
              <w:rPr>
                <w:rFonts w:eastAsiaTheme="minorEastAsia"/>
                <w:bCs/>
                <w:szCs w:val="21"/>
              </w:rPr>
              <w:t>点位类型</w:t>
            </w:r>
          </w:p>
        </w:tc>
        <w:tc>
          <w:tcPr>
            <w:tcW w:w="3661" w:type="pct"/>
            <w:vAlign w:val="center"/>
          </w:tcPr>
          <w:p>
            <w:pPr>
              <w:adjustRightInd w:val="0"/>
              <w:snapToGrid w:val="0"/>
              <w:jc w:val="center"/>
              <w:rPr>
                <w:rFonts w:eastAsiaTheme="minorEastAsia"/>
                <w:bCs/>
                <w:szCs w:val="21"/>
              </w:rPr>
            </w:pPr>
            <w:r>
              <w:rPr>
                <w:rFonts w:eastAsiaTheme="minorEastAsia"/>
                <w:bCs/>
                <w:szCs w:val="21"/>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69" w:type="pct"/>
            <w:vAlign w:val="center"/>
          </w:tcPr>
          <w:p>
            <w:pPr>
              <w:adjustRightInd w:val="0"/>
              <w:snapToGrid w:val="0"/>
              <w:jc w:val="center"/>
              <w:rPr>
                <w:rFonts w:eastAsiaTheme="minorEastAsia"/>
                <w:bCs/>
                <w:szCs w:val="21"/>
              </w:rPr>
            </w:pPr>
            <w:r>
              <w:rPr>
                <w:rFonts w:eastAsiaTheme="minorEastAsia"/>
                <w:bCs/>
                <w:szCs w:val="21"/>
              </w:rPr>
              <w:t>1</w:t>
            </w:r>
          </w:p>
        </w:tc>
        <w:tc>
          <w:tcPr>
            <w:tcW w:w="293" w:type="pct"/>
            <w:vMerge w:val="restart"/>
            <w:vAlign w:val="center"/>
          </w:tcPr>
          <w:p>
            <w:pPr>
              <w:adjustRightInd w:val="0"/>
              <w:snapToGrid w:val="0"/>
              <w:jc w:val="center"/>
              <w:rPr>
                <w:rFonts w:eastAsiaTheme="minorEastAsia"/>
                <w:bCs/>
                <w:szCs w:val="21"/>
              </w:rPr>
            </w:pPr>
            <w:r>
              <w:rPr>
                <w:rFonts w:eastAsiaTheme="minorEastAsia"/>
                <w:bCs/>
                <w:szCs w:val="21"/>
              </w:rPr>
              <w:t>厂址内</w:t>
            </w:r>
          </w:p>
        </w:tc>
        <w:tc>
          <w:tcPr>
            <w:tcW w:w="461" w:type="pct"/>
            <w:vAlign w:val="center"/>
          </w:tcPr>
          <w:p>
            <w:pPr>
              <w:adjustRightInd w:val="0"/>
              <w:snapToGrid w:val="0"/>
              <w:jc w:val="center"/>
              <w:rPr>
                <w:rFonts w:eastAsiaTheme="minorEastAsia"/>
                <w:bCs/>
                <w:szCs w:val="21"/>
              </w:rPr>
            </w:pPr>
            <w:r>
              <w:rPr>
                <w:rFonts w:eastAsiaTheme="minorEastAsia"/>
                <w:szCs w:val="21"/>
              </w:rPr>
              <w:t>1#</w:t>
            </w:r>
            <w:r>
              <w:rPr>
                <w:rFonts w:hint="eastAsia" w:ascii="宋体" w:hAnsi="宋体" w:eastAsiaTheme="minorEastAsia"/>
                <w:szCs w:val="21"/>
              </w:rPr>
              <w:t>填埋场西侧</w:t>
            </w:r>
          </w:p>
        </w:tc>
        <w:tc>
          <w:tcPr>
            <w:tcW w:w="314" w:type="pct"/>
            <w:vAlign w:val="center"/>
          </w:tcPr>
          <w:p>
            <w:pPr>
              <w:adjustRightInd w:val="0"/>
              <w:snapToGrid w:val="0"/>
              <w:jc w:val="center"/>
              <w:rPr>
                <w:rFonts w:eastAsiaTheme="minorEastAsia"/>
                <w:bCs/>
                <w:szCs w:val="21"/>
              </w:rPr>
            </w:pPr>
            <w:r>
              <w:rPr>
                <w:rFonts w:hint="eastAsia" w:eastAsiaTheme="minorEastAsia"/>
                <w:bCs/>
                <w:szCs w:val="21"/>
              </w:rPr>
              <w:t>表层样</w:t>
            </w:r>
          </w:p>
        </w:tc>
        <w:tc>
          <w:tcPr>
            <w:tcW w:w="3661" w:type="pct"/>
            <w:vMerge w:val="restart"/>
            <w:vAlign w:val="center"/>
          </w:tcPr>
          <w:p>
            <w:pPr>
              <w:adjustRightInd w:val="0"/>
              <w:snapToGrid w:val="0"/>
              <w:jc w:val="left"/>
              <w:rPr>
                <w:rFonts w:eastAsiaTheme="minorEastAsia"/>
                <w:bCs/>
                <w:szCs w:val="21"/>
              </w:rPr>
            </w:pPr>
            <w:r>
              <w:rPr>
                <w:bCs/>
                <w:szCs w:val="21"/>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二噁英、</w:t>
            </w:r>
            <w:r>
              <w:rPr>
                <w:rFonts w:hint="eastAsia"/>
                <w:bCs/>
                <w:szCs w:val="21"/>
              </w:rPr>
              <w:t>氨氮、锌、铬</w:t>
            </w:r>
            <w:r>
              <w:rPr>
                <w:rFonts w:hint="eastAsia" w:eastAsiaTheme="minorEastAsia"/>
                <w:bCs/>
                <w:szCs w:val="21"/>
              </w:rPr>
              <w:t>、钼、硒、铊、钡、银、锡、氟化物（可溶性）、氨氮、丙酮、二硫化碳、溴氯甲烷、2-氯甲苯、4-氯甲苯、1,2,4-三氯苯、1,2,3-三氯苯、1,3-二氯丙烷、1,1,2-三氯丙烷、溴甲烷、氯乙烷、三氯氟甲烷、二溴甲烷、1,2-二溴-3-氯丙烷、二氯二氟甲烷、丙烯腈、溴苯异丙基苯、正丙苯、叔丁基苯、仲丁基苯、正丁苯、1,3,5-三甲苯、1,2,4-三甲苯、2-丁酮、4-甲基-2-戊酮、2-己酮、甲醛、六氯乙烷、N-亚硝基二丙胺、N-亚硝基二甲胺、六氯丁二烯、4-甲基苯酚、2,4-二甲基苯酚、2,3,4,6-四氯苯酚、2-甲基苯酚、2,6-二硝基甲苯、异佛乐酮、4-氯-3-甲基苯酚、4,6-二硝基邻甲酚、偶氮苯、苯酚、2,4,5-三氯酚、4-硝基苯胺、4-氯苯胺、2-硝基苯胺、2-氯萘、苊、蒽、荧蒽、芴、芘、菲、苯并[g,h,i]苝、2-甲基萘、邻苯二甲酸二乙酯、双（2-氯乙氧基）甲烷、二苯并呋喃、二氯乙醚、毒杀芬、艾氏剂、狄氏剂、异狄氏剂、草甘膦、甲拌磷、乙拌磷、甲基对硫磷、二嗪磷环氧七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9" w:hRule="atLeast"/>
          <w:jc w:val="center"/>
        </w:trPr>
        <w:tc>
          <w:tcPr>
            <w:tcW w:w="269" w:type="pct"/>
            <w:vAlign w:val="center"/>
          </w:tcPr>
          <w:p>
            <w:pPr>
              <w:adjustRightInd w:val="0"/>
              <w:snapToGrid w:val="0"/>
              <w:jc w:val="center"/>
              <w:rPr>
                <w:rFonts w:eastAsiaTheme="minorEastAsia"/>
                <w:bCs/>
                <w:szCs w:val="21"/>
              </w:rPr>
            </w:pPr>
            <w:r>
              <w:rPr>
                <w:rFonts w:eastAsiaTheme="minorEastAsia"/>
                <w:bCs/>
                <w:szCs w:val="21"/>
              </w:rPr>
              <w:t>2</w:t>
            </w:r>
          </w:p>
        </w:tc>
        <w:tc>
          <w:tcPr>
            <w:tcW w:w="293" w:type="pct"/>
            <w:vMerge w:val="continue"/>
            <w:vAlign w:val="center"/>
          </w:tcPr>
          <w:p>
            <w:pPr>
              <w:adjustRightInd w:val="0"/>
              <w:snapToGrid w:val="0"/>
              <w:jc w:val="center"/>
              <w:rPr>
                <w:rFonts w:eastAsiaTheme="minorEastAsia"/>
                <w:bCs/>
                <w:szCs w:val="21"/>
              </w:rPr>
            </w:pPr>
          </w:p>
        </w:tc>
        <w:tc>
          <w:tcPr>
            <w:tcW w:w="461" w:type="pct"/>
            <w:vAlign w:val="center"/>
          </w:tcPr>
          <w:p>
            <w:pPr>
              <w:adjustRightInd w:val="0"/>
              <w:snapToGrid w:val="0"/>
              <w:jc w:val="center"/>
              <w:rPr>
                <w:rFonts w:eastAsiaTheme="minorEastAsia"/>
                <w:bCs/>
                <w:szCs w:val="21"/>
              </w:rPr>
            </w:pPr>
            <w:r>
              <w:rPr>
                <w:rFonts w:eastAsiaTheme="minorEastAsia"/>
                <w:szCs w:val="21"/>
              </w:rPr>
              <w:t>2#</w:t>
            </w:r>
            <w:r>
              <w:rPr>
                <w:rFonts w:hint="eastAsia" w:ascii="宋体" w:hAnsi="宋体" w:eastAsiaTheme="minorEastAsia"/>
                <w:szCs w:val="21"/>
              </w:rPr>
              <w:t>填埋场东侧</w:t>
            </w:r>
          </w:p>
        </w:tc>
        <w:tc>
          <w:tcPr>
            <w:tcW w:w="314" w:type="pct"/>
            <w:vAlign w:val="center"/>
          </w:tcPr>
          <w:p>
            <w:pPr>
              <w:adjustRightInd w:val="0"/>
              <w:snapToGrid w:val="0"/>
              <w:jc w:val="center"/>
              <w:rPr>
                <w:rFonts w:eastAsiaTheme="minorEastAsia"/>
                <w:bCs/>
                <w:szCs w:val="21"/>
              </w:rPr>
            </w:pPr>
            <w:r>
              <w:rPr>
                <w:rFonts w:hint="eastAsia" w:eastAsiaTheme="minorEastAsia"/>
                <w:bCs/>
                <w:szCs w:val="21"/>
              </w:rPr>
              <w:t>表层样</w:t>
            </w:r>
          </w:p>
        </w:tc>
        <w:tc>
          <w:tcPr>
            <w:tcW w:w="3661" w:type="pct"/>
            <w:vMerge w:val="continue"/>
            <w:vAlign w:val="center"/>
          </w:tcPr>
          <w:p>
            <w:pPr>
              <w:adjustRightInd w:val="0"/>
              <w:snapToGrid w:val="0"/>
              <w:jc w:val="center"/>
              <w:rPr>
                <w:rFonts w:eastAsiaTheme="minorEastAsia"/>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3" w:hRule="atLeast"/>
          <w:jc w:val="center"/>
        </w:trPr>
        <w:tc>
          <w:tcPr>
            <w:tcW w:w="269" w:type="pct"/>
            <w:vAlign w:val="center"/>
          </w:tcPr>
          <w:p>
            <w:pPr>
              <w:adjustRightInd w:val="0"/>
              <w:snapToGrid w:val="0"/>
              <w:jc w:val="center"/>
              <w:rPr>
                <w:rFonts w:eastAsiaTheme="minorEastAsia"/>
                <w:bCs/>
                <w:szCs w:val="21"/>
              </w:rPr>
            </w:pPr>
            <w:r>
              <w:rPr>
                <w:rFonts w:eastAsiaTheme="minorEastAsia"/>
                <w:bCs/>
                <w:szCs w:val="21"/>
              </w:rPr>
              <w:t>3</w:t>
            </w:r>
          </w:p>
        </w:tc>
        <w:tc>
          <w:tcPr>
            <w:tcW w:w="293" w:type="pct"/>
            <w:vMerge w:val="continue"/>
            <w:vAlign w:val="center"/>
          </w:tcPr>
          <w:p>
            <w:pPr>
              <w:adjustRightInd w:val="0"/>
              <w:snapToGrid w:val="0"/>
              <w:jc w:val="center"/>
              <w:rPr>
                <w:rFonts w:eastAsiaTheme="minorEastAsia"/>
                <w:bCs/>
                <w:szCs w:val="21"/>
              </w:rPr>
            </w:pPr>
          </w:p>
        </w:tc>
        <w:tc>
          <w:tcPr>
            <w:tcW w:w="461" w:type="pct"/>
            <w:vAlign w:val="center"/>
          </w:tcPr>
          <w:p>
            <w:pPr>
              <w:adjustRightInd w:val="0"/>
              <w:snapToGrid w:val="0"/>
              <w:jc w:val="center"/>
              <w:rPr>
                <w:rFonts w:eastAsiaTheme="minorEastAsia"/>
                <w:szCs w:val="21"/>
              </w:rPr>
            </w:pPr>
            <w:r>
              <w:rPr>
                <w:rFonts w:eastAsiaTheme="minorEastAsia"/>
                <w:szCs w:val="21"/>
              </w:rPr>
              <w:t>3#</w:t>
            </w:r>
            <w:r>
              <w:rPr>
                <w:rFonts w:hint="eastAsia" w:ascii="宋体" w:hAnsi="宋体" w:eastAsiaTheme="minorEastAsia"/>
                <w:szCs w:val="21"/>
              </w:rPr>
              <w:t>填埋场南侧</w:t>
            </w:r>
          </w:p>
        </w:tc>
        <w:tc>
          <w:tcPr>
            <w:tcW w:w="314" w:type="pct"/>
            <w:vAlign w:val="center"/>
          </w:tcPr>
          <w:p>
            <w:pPr>
              <w:adjustRightInd w:val="0"/>
              <w:snapToGrid w:val="0"/>
              <w:jc w:val="center"/>
              <w:rPr>
                <w:rFonts w:eastAsiaTheme="minorEastAsia"/>
                <w:bCs/>
                <w:szCs w:val="21"/>
              </w:rPr>
            </w:pPr>
            <w:r>
              <w:rPr>
                <w:rFonts w:hint="eastAsia" w:eastAsiaTheme="minorEastAsia"/>
                <w:bCs/>
                <w:szCs w:val="21"/>
              </w:rPr>
              <w:t>表层样</w:t>
            </w:r>
          </w:p>
        </w:tc>
        <w:tc>
          <w:tcPr>
            <w:tcW w:w="3661" w:type="pct"/>
            <w:vMerge w:val="continue"/>
            <w:vAlign w:val="center"/>
          </w:tcPr>
          <w:p>
            <w:pPr>
              <w:adjustRightInd w:val="0"/>
              <w:snapToGrid w:val="0"/>
              <w:jc w:val="center"/>
              <w:rPr>
                <w:rFonts w:eastAsiaTheme="minorEastAsia"/>
                <w:bCs/>
                <w:szCs w:val="21"/>
              </w:rPr>
            </w:pPr>
          </w:p>
        </w:tc>
      </w:tr>
    </w:tbl>
    <w:p>
      <w:pPr>
        <w:adjustRightInd w:val="0"/>
        <w:snapToGrid w:val="0"/>
        <w:spacing w:line="360" w:lineRule="auto"/>
        <w:ind w:firstLine="482" w:firstLineChars="200"/>
        <w:rPr>
          <w:b/>
          <w:sz w:val="24"/>
          <w:szCs w:val="24"/>
        </w:rPr>
      </w:pPr>
      <w:r>
        <w:rPr>
          <w:b/>
          <w:sz w:val="24"/>
          <w:szCs w:val="24"/>
        </w:rPr>
        <w:t>（2）监测项目</w:t>
      </w:r>
    </w:p>
    <w:p>
      <w:pPr>
        <w:adjustRightInd w:val="0"/>
        <w:snapToGrid w:val="0"/>
        <w:spacing w:line="360" w:lineRule="auto"/>
        <w:ind w:firstLine="480" w:firstLineChars="200"/>
        <w:rPr>
          <w:sz w:val="24"/>
        </w:rPr>
      </w:pPr>
      <w:r>
        <w:rPr>
          <w:rFonts w:hint="eastAsia"/>
          <w:sz w:val="24"/>
        </w:rPr>
        <w:t>3个表层样品测G</w:t>
      </w:r>
      <w:r>
        <w:rPr>
          <w:sz w:val="24"/>
        </w:rPr>
        <w:t>B 36600-2018</w:t>
      </w:r>
      <w:r>
        <w:rPr>
          <w:rFonts w:hint="eastAsia"/>
          <w:sz w:val="24"/>
        </w:rPr>
        <w:t>中4</w:t>
      </w:r>
      <w:r>
        <w:rPr>
          <w:sz w:val="24"/>
        </w:rPr>
        <w:t>5</w:t>
      </w:r>
      <w:r>
        <w:rPr>
          <w:rFonts w:hint="eastAsia"/>
          <w:sz w:val="24"/>
        </w:rPr>
        <w:t>项+二噁英+锰+DB 13/T 5216</w:t>
      </w:r>
      <w:r>
        <w:rPr>
          <w:sz w:val="24"/>
        </w:rPr>
        <w:t>-</w:t>
      </w:r>
      <w:r>
        <w:rPr>
          <w:rFonts w:hint="eastAsia"/>
          <w:sz w:val="24"/>
        </w:rPr>
        <w:t>2020中78项。</w:t>
      </w:r>
    </w:p>
    <w:p>
      <w:pPr>
        <w:spacing w:line="360" w:lineRule="auto"/>
        <w:ind w:left="480"/>
        <w:rPr>
          <w:b/>
          <w:sz w:val="24"/>
          <w:szCs w:val="24"/>
        </w:rPr>
      </w:pPr>
      <w:r>
        <w:rPr>
          <w:b/>
          <w:sz w:val="24"/>
          <w:szCs w:val="24"/>
        </w:rPr>
        <w:t>（3）监测频率</w:t>
      </w:r>
    </w:p>
    <w:p>
      <w:pPr>
        <w:spacing w:line="360" w:lineRule="auto"/>
        <w:ind w:firstLine="480" w:firstLineChars="200"/>
        <w:rPr>
          <w:sz w:val="24"/>
        </w:rPr>
      </w:pPr>
      <w:r>
        <w:rPr>
          <w:sz w:val="24"/>
        </w:rPr>
        <w:t>2</w:t>
      </w:r>
      <w:r>
        <w:rPr>
          <w:rFonts w:hint="eastAsia"/>
          <w:sz w:val="24"/>
        </w:rPr>
        <w:t>021年7月25日和2</w:t>
      </w:r>
      <w:r>
        <w:rPr>
          <w:sz w:val="24"/>
        </w:rPr>
        <w:t>021</w:t>
      </w:r>
      <w:r>
        <w:rPr>
          <w:rFonts w:hint="eastAsia"/>
          <w:sz w:val="24"/>
        </w:rPr>
        <w:t>年1</w:t>
      </w:r>
      <w:r>
        <w:rPr>
          <w:sz w:val="24"/>
        </w:rPr>
        <w:t>2</w:t>
      </w:r>
      <w:r>
        <w:rPr>
          <w:rFonts w:hint="eastAsia"/>
          <w:sz w:val="24"/>
        </w:rPr>
        <w:t>月1</w:t>
      </w:r>
      <w:r>
        <w:rPr>
          <w:sz w:val="24"/>
        </w:rPr>
        <w:t>4</w:t>
      </w:r>
      <w:r>
        <w:rPr>
          <w:rFonts w:hint="eastAsia"/>
          <w:sz w:val="24"/>
        </w:rPr>
        <w:t>日，各</w:t>
      </w:r>
      <w:r>
        <w:rPr>
          <w:sz w:val="24"/>
        </w:rPr>
        <w:t>采样</w:t>
      </w:r>
      <w:r>
        <w:rPr>
          <w:rFonts w:hint="eastAsia"/>
          <w:sz w:val="24"/>
        </w:rPr>
        <w:t>1天，监测1次。</w:t>
      </w:r>
    </w:p>
    <w:p>
      <w:pPr>
        <w:adjustRightInd w:val="0"/>
        <w:snapToGrid w:val="0"/>
        <w:spacing w:line="360" w:lineRule="auto"/>
        <w:ind w:firstLine="482" w:firstLineChars="200"/>
        <w:rPr>
          <w:b/>
          <w:sz w:val="24"/>
          <w:szCs w:val="24"/>
        </w:rPr>
      </w:pPr>
      <w:r>
        <w:rPr>
          <w:b/>
          <w:sz w:val="24"/>
          <w:szCs w:val="24"/>
        </w:rPr>
        <w:t>（4）监测方法</w:t>
      </w:r>
    </w:p>
    <w:p>
      <w:pPr>
        <w:adjustRightInd w:val="0"/>
        <w:snapToGrid w:val="0"/>
        <w:spacing w:line="360" w:lineRule="auto"/>
        <w:ind w:firstLine="480" w:firstLineChars="200"/>
        <w:rPr>
          <w:kern w:val="0"/>
          <w:sz w:val="24"/>
          <w:szCs w:val="24"/>
        </w:rPr>
      </w:pPr>
      <w:r>
        <w:rPr>
          <w:kern w:val="0"/>
          <w:sz w:val="24"/>
          <w:szCs w:val="24"/>
        </w:rPr>
        <w:t>采样参照《土壤环境监测技术规范》（HJ/T 166-2004）、</w:t>
      </w:r>
      <w:r>
        <w:rPr>
          <w:sz w:val="24"/>
          <w:szCs w:val="24"/>
        </w:rPr>
        <w:t>采用《土壤环境质量 建设用地土壤污染风险管控标准（试行）》（GB36600-2018）中表3</w:t>
      </w:r>
      <w:r>
        <w:rPr>
          <w:rFonts w:hint="eastAsia"/>
          <w:sz w:val="24"/>
          <w:szCs w:val="24"/>
        </w:rPr>
        <w:t>、</w:t>
      </w:r>
      <w:r>
        <w:rPr>
          <w:sz w:val="24"/>
          <w:szCs w:val="24"/>
        </w:rPr>
        <w:t>《</w:t>
      </w:r>
      <w:r>
        <w:rPr>
          <w:rFonts w:hint="eastAsia"/>
          <w:sz w:val="24"/>
          <w:szCs w:val="24"/>
        </w:rPr>
        <w:t>河北省地方标准</w:t>
      </w:r>
      <w:r>
        <w:rPr>
          <w:sz w:val="24"/>
          <w:szCs w:val="24"/>
        </w:rPr>
        <w:t xml:space="preserve"> 建设用地土壤污染风险管控标准（试行）》</w:t>
      </w:r>
      <w:r>
        <w:rPr>
          <w:rFonts w:hint="eastAsia"/>
          <w:sz w:val="24"/>
          <w:szCs w:val="24"/>
        </w:rPr>
        <w:t>（</w:t>
      </w:r>
      <w:r>
        <w:rPr>
          <w:rFonts w:hint="eastAsia"/>
          <w:sz w:val="24"/>
        </w:rPr>
        <w:t>DB13/T 5216—2020</w:t>
      </w:r>
      <w:r>
        <w:rPr>
          <w:rFonts w:hint="eastAsia"/>
          <w:sz w:val="24"/>
          <w:szCs w:val="24"/>
        </w:rPr>
        <w:t>）中表2、</w:t>
      </w:r>
      <w:r>
        <w:rPr>
          <w:kern w:val="0"/>
          <w:sz w:val="24"/>
          <w:szCs w:val="24"/>
        </w:rPr>
        <w:t>国家环保局的《环境监测分析方法》、《土壤元素的近代分析方法》（中国环境监测总站编）等进行，具体见表4.3.5-2。</w:t>
      </w:r>
    </w:p>
    <w:p>
      <w:pPr>
        <w:jc w:val="center"/>
      </w:pPr>
    </w:p>
    <w:p>
      <w:pPr>
        <w:jc w:val="center"/>
        <w:rPr>
          <w:b/>
          <w:sz w:val="24"/>
          <w:szCs w:val="24"/>
        </w:rPr>
      </w:pPr>
      <w:r>
        <w:drawing>
          <wp:anchor distT="0" distB="0" distL="114300" distR="114300" simplePos="0" relativeHeight="251757568" behindDoc="0" locked="0" layoutInCell="1" allowOverlap="1">
            <wp:simplePos x="0" y="0"/>
            <wp:positionH relativeFrom="column">
              <wp:posOffset>4483100</wp:posOffset>
            </wp:positionH>
            <wp:positionV relativeFrom="paragraph">
              <wp:posOffset>81915</wp:posOffset>
            </wp:positionV>
            <wp:extent cx="730250" cy="766445"/>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730250" cy="766445"/>
                    </a:xfrm>
                    <a:prstGeom prst="rect">
                      <a:avLst/>
                    </a:prstGeom>
                    <a:noFill/>
                    <a:ln>
                      <a:noFill/>
                    </a:ln>
                  </pic:spPr>
                </pic:pic>
              </a:graphicData>
            </a:graphic>
          </wp:anchor>
        </w:drawing>
      </w:r>
      <w:r>
        <mc:AlternateContent>
          <mc:Choice Requires="wps">
            <w:drawing>
              <wp:anchor distT="0" distB="0" distL="114300" distR="114300" simplePos="0" relativeHeight="251744256" behindDoc="0" locked="0" layoutInCell="1" allowOverlap="1">
                <wp:simplePos x="0" y="0"/>
                <wp:positionH relativeFrom="column">
                  <wp:posOffset>1480820</wp:posOffset>
                </wp:positionH>
                <wp:positionV relativeFrom="paragraph">
                  <wp:posOffset>2028825</wp:posOffset>
                </wp:positionV>
                <wp:extent cx="1012825" cy="330835"/>
                <wp:effectExtent l="0" t="76200" r="434975" b="12065"/>
                <wp:wrapNone/>
                <wp:docPr id="34" name="AutoShape 47"/>
                <wp:cNvGraphicFramePr/>
                <a:graphic xmlns:a="http://schemas.openxmlformats.org/drawingml/2006/main">
                  <a:graphicData uri="http://schemas.microsoft.com/office/word/2010/wordprocessingShape">
                    <wps:wsp>
                      <wps:cNvSpPr>
                        <a:spLocks noChangeArrowheads="1"/>
                      </wps:cNvSpPr>
                      <wps:spPr bwMode="auto">
                        <a:xfrm>
                          <a:off x="0" y="0"/>
                          <a:ext cx="1012825" cy="330835"/>
                        </a:xfrm>
                        <a:prstGeom prst="wedgeRectCallout">
                          <a:avLst>
                            <a:gd name="adj1" fmla="val 87454"/>
                            <a:gd name="adj2" fmla="val -66436"/>
                          </a:avLst>
                        </a:prstGeom>
                        <a:solidFill>
                          <a:srgbClr val="F79646">
                            <a:lumMod val="75000"/>
                            <a:alpha val="50000"/>
                          </a:srgbClr>
                        </a:solidFill>
                        <a:ln w="9525">
                          <a:solidFill>
                            <a:srgbClr val="000000"/>
                          </a:solidFill>
                          <a:miter lim="800000"/>
                        </a:ln>
                      </wps:spPr>
                      <wps:txbx>
                        <w:txbxContent>
                          <w:p>
                            <w:pPr>
                              <w:rPr>
                                <w:b/>
                                <w:bCs/>
                              </w:rPr>
                            </w:pPr>
                            <w:r>
                              <w:rPr>
                                <w:rFonts w:hint="eastAsia"/>
                                <w:b/>
                                <w:bCs/>
                              </w:rPr>
                              <w:t>本项目厂界</w:t>
                            </w:r>
                          </w:p>
                        </w:txbxContent>
                      </wps:txbx>
                      <wps:bodyPr rot="0" vert="horz" wrap="square" lIns="91440" tIns="45720" rIns="91440" bIns="45720" anchor="t" anchorCtr="0" upright="1">
                        <a:noAutofit/>
                      </wps:bodyPr>
                    </wps:wsp>
                  </a:graphicData>
                </a:graphic>
              </wp:anchor>
            </w:drawing>
          </mc:Choice>
          <mc:Fallback>
            <w:pict>
              <v:shape id="AutoShape 47" o:spid="_x0000_s1026" o:spt="61" type="#_x0000_t61" style="position:absolute;left:0pt;margin-left:116.6pt;margin-top:159.75pt;height:26.05pt;width:79.75pt;z-index:251744256;mso-width-relative:page;mso-height-relative:page;" fillcolor="#E46C0A" filled="t" stroked="t" coordsize="21600,21600" o:gfxdata="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5CIT9NsAAAALAQAADwAAAAAAAAABACAAAAAiAAAAZHJz&#10;L2Rvd25yZXYueG1sUEsBAhQAFAAAAAgAh07iQAdHpepzAgAAFQUAAA4AAAAAAAAAAQAgAAAAKgEA&#10;AGRycy9lMm9Eb2MueG1sUEsFBgAAAAAGAAYAWQEAAA8GAAAAAA==&#10;" adj="29690,-3550">
                <v:fill on="t" opacity="32768f" focussize="0,0"/>
                <v:stroke color="#000000" miterlimit="8" joinstyle="miter"/>
                <v:imagedata o:title=""/>
                <o:lock v:ext="edit" aspectratio="f"/>
                <v:textbox>
                  <w:txbxContent>
                    <w:p>
                      <w:pPr>
                        <w:rPr>
                          <w:b/>
                          <w:bCs/>
                        </w:rPr>
                      </w:pPr>
                      <w:r>
                        <w:rPr>
                          <w:rFonts w:hint="eastAsia"/>
                          <w:b/>
                          <w:bCs/>
                        </w:rPr>
                        <w:t>本项目厂界</w:t>
                      </w:r>
                    </w:p>
                  </w:txbxContent>
                </v:textbox>
              </v:shap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3569970</wp:posOffset>
                </wp:positionH>
                <wp:positionV relativeFrom="paragraph">
                  <wp:posOffset>2032000</wp:posOffset>
                </wp:positionV>
                <wp:extent cx="90805" cy="184150"/>
                <wp:effectExtent l="19050" t="38100" r="42545" b="25400"/>
                <wp:wrapNone/>
                <wp:docPr id="228" name="AutoShape 23"/>
                <wp:cNvGraphicFramePr/>
                <a:graphic xmlns:a="http://schemas.openxmlformats.org/drawingml/2006/main">
                  <a:graphicData uri="http://schemas.microsoft.com/office/word/2010/wordprocessingShape">
                    <wps:wsp>
                      <wps:cNvSpPr>
                        <a:spLocks noChangeArrowheads="1"/>
                      </wps:cNvSpPr>
                      <wps:spPr bwMode="auto">
                        <a:xfrm>
                          <a:off x="0" y="0"/>
                          <a:ext cx="90805" cy="18415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23" o:spid="_x0000_s1026" o:spt="5" type="#_x0000_t5" style="position:absolute;left:0pt;margin-left:281.1pt;margin-top:160pt;height:14.5pt;width:7.15pt;z-index:251731968;mso-width-relative:page;mso-height-relative:page;" fillcolor="#FFFF00" filled="t" stroked="t" coordsize="21600,21600" o:gfxdata="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yZ9G5dsAAAALAQAADwAAAAAAAAABACAAAAAiAAAAZHJz&#10;L2Rvd25yZXYueG1sUEsBAhQAFAAAAAgAh07iQC15ZOg6AgAAowQAAA4AAAAAAAAAAQAgAAAAKgEA&#10;AGRycy9lMm9Eb2MueG1sUEsFBgAAAAAGAAYAWQEAANYFA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3816350</wp:posOffset>
                </wp:positionH>
                <wp:positionV relativeFrom="paragraph">
                  <wp:posOffset>1798320</wp:posOffset>
                </wp:positionV>
                <wp:extent cx="90805" cy="184150"/>
                <wp:effectExtent l="19050" t="38100" r="42545" b="25400"/>
                <wp:wrapNone/>
                <wp:docPr id="229" name="AutoShape 22"/>
                <wp:cNvGraphicFramePr/>
                <a:graphic xmlns:a="http://schemas.openxmlformats.org/drawingml/2006/main">
                  <a:graphicData uri="http://schemas.microsoft.com/office/word/2010/wordprocessingShape">
                    <wps:wsp>
                      <wps:cNvSpPr>
                        <a:spLocks noChangeArrowheads="1"/>
                      </wps:cNvSpPr>
                      <wps:spPr bwMode="auto">
                        <a:xfrm>
                          <a:off x="0" y="0"/>
                          <a:ext cx="90805" cy="18415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22" o:spid="_x0000_s1026" o:spt="5" type="#_x0000_t5" style="position:absolute;left:0pt;margin-left:300.5pt;margin-top:141.6pt;height:14.5pt;width:7.15pt;z-index:251723776;mso-width-relative:page;mso-height-relative:page;" fillcolor="#FFFF00" filled="t" stroked="t" coordsize="21600,21600" o:gfxdata="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16sK9sAAAALAQAADwAAAAAAAAABACAAAAAiAAAAZHJz&#10;L2Rvd25yZXYueG1sUEsBAhQAFAAAAAgAh07iQNDoZUE6AgAAowQAAA4AAAAAAAAAAQAgAAAAKgEA&#10;AGRycy9lMm9Eb2MueG1sUEsFBgAAAAAGAAYAWQEAANYFA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749376" behindDoc="0" locked="0" layoutInCell="1" allowOverlap="1">
                <wp:simplePos x="0" y="0"/>
                <wp:positionH relativeFrom="column">
                  <wp:posOffset>3396615</wp:posOffset>
                </wp:positionH>
                <wp:positionV relativeFrom="paragraph">
                  <wp:posOffset>1686560</wp:posOffset>
                </wp:positionV>
                <wp:extent cx="90805" cy="184150"/>
                <wp:effectExtent l="19050" t="38100" r="42545" b="25400"/>
                <wp:wrapNone/>
                <wp:docPr id="230" name="AutoShape 21"/>
                <wp:cNvGraphicFramePr/>
                <a:graphic xmlns:a="http://schemas.openxmlformats.org/drawingml/2006/main">
                  <a:graphicData uri="http://schemas.microsoft.com/office/word/2010/wordprocessingShape">
                    <wps:wsp>
                      <wps:cNvSpPr>
                        <a:spLocks noChangeArrowheads="1"/>
                      </wps:cNvSpPr>
                      <wps:spPr bwMode="auto">
                        <a:xfrm>
                          <a:off x="0" y="0"/>
                          <a:ext cx="90805" cy="18415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21" o:spid="_x0000_s1026" o:spt="5" type="#_x0000_t5" style="position:absolute;left:0pt;margin-left:267.45pt;margin-top:132.8pt;height:14.5pt;width:7.15pt;z-index:251749376;mso-width-relative:page;mso-height-relative:page;" fillcolor="#FFFF00" filled="t" stroked="t" coordsize="21600,21600" o:gfxdata="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e4Lu7cAAAACwEAAA8AAAAAAAAAAQAgAAAAIgAA&#10;AGRycy9kb3ducmV2LnhtbFBLAQIUABQAAAAIAIdO4kBd+NHxPQIAAKMEAAAOAAAAAAAAAAEAIAAA&#10;ACsBAABkcnMvZTJvRG9jLnhtbFBLBQYAAAAABgAGAFkBAADaBQ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765760" behindDoc="0" locked="0" layoutInCell="1" allowOverlap="1">
                <wp:simplePos x="0" y="0"/>
                <wp:positionH relativeFrom="column">
                  <wp:posOffset>3567430</wp:posOffset>
                </wp:positionH>
                <wp:positionV relativeFrom="paragraph">
                  <wp:posOffset>2283460</wp:posOffset>
                </wp:positionV>
                <wp:extent cx="348615" cy="296545"/>
                <wp:effectExtent l="0" t="1270" r="0" b="0"/>
                <wp:wrapNone/>
                <wp:docPr id="220" name="AutoShape 34"/>
                <wp:cNvGraphicFramePr/>
                <a:graphic xmlns:a="http://schemas.openxmlformats.org/drawingml/2006/main">
                  <a:graphicData uri="http://schemas.microsoft.com/office/word/2010/wordprocessingShape">
                    <wps:wsp>
                      <wps:cNvSpPr>
                        <a:spLocks noChangeArrowheads="1"/>
                      </wps:cNvSpPr>
                      <wps:spPr bwMode="auto">
                        <a:xfrm>
                          <a:off x="0" y="0"/>
                          <a:ext cx="348615" cy="296545"/>
                        </a:xfrm>
                        <a:prstGeom prst="wedgeRectCallout">
                          <a:avLst>
                            <a:gd name="adj1" fmla="val -34519"/>
                            <a:gd name="adj2" fmla="val 537"/>
                          </a:avLst>
                        </a:prstGeom>
                        <a:solidFill>
                          <a:srgbClr val="92D050"/>
                        </a:solidFill>
                        <a:ln>
                          <a:noFill/>
                        </a:ln>
                      </wps:spPr>
                      <wps:txbx>
                        <w:txbxContent>
                          <w:p>
                            <w:r>
                              <w:t>3</w:t>
                            </w:r>
                            <w:r>
                              <w:rPr>
                                <w:rFonts w:hint="eastAsia"/>
                              </w:rPr>
                              <w:t>#</w:t>
                            </w:r>
                          </w:p>
                        </w:txbxContent>
                      </wps:txbx>
                      <wps:bodyPr rot="0" vert="horz" wrap="square" lIns="91440" tIns="45720" rIns="91440" bIns="45720" anchor="t" anchorCtr="0" upright="1">
                        <a:noAutofit/>
                      </wps:bodyPr>
                    </wps:wsp>
                  </a:graphicData>
                </a:graphic>
              </wp:anchor>
            </w:drawing>
          </mc:Choice>
          <mc:Fallback>
            <w:pict>
              <v:shape id="AutoShape 34" o:spid="_x0000_s1026" o:spt="61" type="#_x0000_t61" style="position:absolute;left:0pt;margin-left:280.9pt;margin-top:179.8pt;height:23.35pt;width:27.45pt;z-index:251765760;mso-width-relative:page;mso-height-relative:page;" fillcolor="#92D050" filled="t" stroked="f" coordsize="21600,21600" o:gfxdata="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Jz+VeDZAAAACwEAAA8AAAAAAAAAAQAg&#10;AAAAIgAAAGRycy9kb3ducmV2LnhtbFBLAQIUABQAAAAIAIdO4kClDqIORgIAAJIEAAAOAAAAAAAA&#10;AAEAIAAAACgBAABkcnMvZTJvRG9jLnhtbFBLBQYAAAAABgAGAFkBAADgBQAAAAA=&#10;" adj="3344,10916">
                <v:fill on="t" focussize="0,0"/>
                <v:stroke on="f"/>
                <v:imagedata o:title=""/>
                <o:lock v:ext="edit" aspectratio="f"/>
                <v:textbox>
                  <w:txbxContent>
                    <w:p>
                      <w:r>
                        <w:t>3</w:t>
                      </w:r>
                      <w:r>
                        <w:rPr>
                          <w:rFonts w:hint="eastAsia"/>
                        </w:rPr>
                        <w:t>#</w:t>
                      </w:r>
                    </w:p>
                  </w:txbxContent>
                </v:textbox>
              </v:shape>
            </w:pict>
          </mc:Fallback>
        </mc:AlternateContent>
      </w:r>
      <w:r>
        <mc:AlternateContent>
          <mc:Choice Requires="wps">
            <w:drawing>
              <wp:anchor distT="0" distB="0" distL="114300" distR="114300" simplePos="0" relativeHeight="251761664" behindDoc="0" locked="0" layoutInCell="1" allowOverlap="1">
                <wp:simplePos x="0" y="0"/>
                <wp:positionH relativeFrom="column">
                  <wp:posOffset>4025900</wp:posOffset>
                </wp:positionH>
                <wp:positionV relativeFrom="paragraph">
                  <wp:posOffset>1876425</wp:posOffset>
                </wp:positionV>
                <wp:extent cx="348615" cy="296545"/>
                <wp:effectExtent l="3810" t="635" r="0" b="0"/>
                <wp:wrapNone/>
                <wp:docPr id="221" name="AutoShape 33"/>
                <wp:cNvGraphicFramePr/>
                <a:graphic xmlns:a="http://schemas.openxmlformats.org/drawingml/2006/main">
                  <a:graphicData uri="http://schemas.microsoft.com/office/word/2010/wordprocessingShape">
                    <wps:wsp>
                      <wps:cNvSpPr>
                        <a:spLocks noChangeArrowheads="1"/>
                      </wps:cNvSpPr>
                      <wps:spPr bwMode="auto">
                        <a:xfrm>
                          <a:off x="0" y="0"/>
                          <a:ext cx="348615" cy="296545"/>
                        </a:xfrm>
                        <a:prstGeom prst="wedgeRectCallout">
                          <a:avLst>
                            <a:gd name="adj1" fmla="val -34519"/>
                            <a:gd name="adj2" fmla="val 537"/>
                          </a:avLst>
                        </a:prstGeom>
                        <a:solidFill>
                          <a:srgbClr val="92D050"/>
                        </a:solidFill>
                        <a:ln>
                          <a:noFill/>
                        </a:ln>
                      </wps:spPr>
                      <wps:txbx>
                        <w:txbxContent>
                          <w:p>
                            <w:r>
                              <w:t>2</w:t>
                            </w:r>
                            <w:r>
                              <w:rPr>
                                <w:rFonts w:hint="eastAsia"/>
                              </w:rPr>
                              <w:t>#</w:t>
                            </w:r>
                          </w:p>
                        </w:txbxContent>
                      </wps:txbx>
                      <wps:bodyPr rot="0" vert="horz" wrap="square" lIns="91440" tIns="45720" rIns="91440" bIns="45720" anchor="t" anchorCtr="0" upright="1">
                        <a:noAutofit/>
                      </wps:bodyPr>
                    </wps:wsp>
                  </a:graphicData>
                </a:graphic>
              </wp:anchor>
            </w:drawing>
          </mc:Choice>
          <mc:Fallback>
            <w:pict>
              <v:shape id="AutoShape 33" o:spid="_x0000_s1026" o:spt="61" type="#_x0000_t61" style="position:absolute;left:0pt;margin-left:317pt;margin-top:147.75pt;height:23.35pt;width:27.45pt;z-index:251761664;mso-width-relative:page;mso-height-relative:page;" fillcolor="#92D050" filled="t" stroked="f" coordsize="21600,21600" o:gfxdata="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KwVAtoAAAALAQAADwAAAAAAAAAB&#10;ACAAAAAiAAAAZHJzL2Rvd25yZXYueG1sUEsBAhQAFAAAAAgAh07iQEHHsrNHAgAAkgQAAA4AAAAA&#10;AAAAAQAgAAAAKQEAAGRycy9lMm9Eb2MueG1sUEsFBgAAAAAGAAYAWQEAAOIFAAAAAA==&#10;" adj="3344,10916">
                <v:fill on="t" focussize="0,0"/>
                <v:stroke on="f"/>
                <v:imagedata o:title=""/>
                <o:lock v:ext="edit" aspectratio="f"/>
                <v:textbox>
                  <w:txbxContent>
                    <w:p>
                      <w:r>
                        <w:t>2</w:t>
                      </w:r>
                      <w:r>
                        <w:rPr>
                          <w:rFonts w:hint="eastAsia"/>
                        </w:rPr>
                        <w:t>#</w:t>
                      </w:r>
                    </w:p>
                  </w:txbxContent>
                </v:textbox>
              </v:shape>
            </w:pict>
          </mc:Fallback>
        </mc:AlternateContent>
      </w:r>
      <w:r>
        <mc:AlternateContent>
          <mc:Choice Requires="wps">
            <w:drawing>
              <wp:anchor distT="0" distB="0" distL="114300" distR="114300" simplePos="0" relativeHeight="251759616" behindDoc="0" locked="0" layoutInCell="1" allowOverlap="1">
                <wp:simplePos x="0" y="0"/>
                <wp:positionH relativeFrom="column">
                  <wp:posOffset>2960370</wp:posOffset>
                </wp:positionH>
                <wp:positionV relativeFrom="paragraph">
                  <wp:posOffset>1270635</wp:posOffset>
                </wp:positionV>
                <wp:extent cx="348615" cy="296545"/>
                <wp:effectExtent l="1905" t="3175" r="1905" b="0"/>
                <wp:wrapNone/>
                <wp:docPr id="222" name="AutoShape 32"/>
                <wp:cNvGraphicFramePr/>
                <a:graphic xmlns:a="http://schemas.openxmlformats.org/drawingml/2006/main">
                  <a:graphicData uri="http://schemas.microsoft.com/office/word/2010/wordprocessingShape">
                    <wps:wsp>
                      <wps:cNvSpPr>
                        <a:spLocks noChangeArrowheads="1"/>
                      </wps:cNvSpPr>
                      <wps:spPr bwMode="auto">
                        <a:xfrm>
                          <a:off x="0" y="0"/>
                          <a:ext cx="348615" cy="296545"/>
                        </a:xfrm>
                        <a:prstGeom prst="wedgeRectCallout">
                          <a:avLst>
                            <a:gd name="adj1" fmla="val -34519"/>
                            <a:gd name="adj2" fmla="val 537"/>
                          </a:avLst>
                        </a:prstGeom>
                        <a:solidFill>
                          <a:srgbClr val="92D050"/>
                        </a:solidFill>
                        <a:ln>
                          <a:noFill/>
                        </a:ln>
                      </wps:spPr>
                      <wps:txbx>
                        <w:txbxContent>
                          <w:p>
                            <w:r>
                              <w:rPr>
                                <w:rFonts w:hint="eastAsia"/>
                              </w:rPr>
                              <w:t>1#</w:t>
                            </w:r>
                          </w:p>
                        </w:txbxContent>
                      </wps:txbx>
                      <wps:bodyPr rot="0" vert="horz" wrap="square" lIns="91440" tIns="45720" rIns="91440" bIns="45720" anchor="t" anchorCtr="0" upright="1">
                        <a:noAutofit/>
                      </wps:bodyPr>
                    </wps:wsp>
                  </a:graphicData>
                </a:graphic>
              </wp:anchor>
            </w:drawing>
          </mc:Choice>
          <mc:Fallback>
            <w:pict>
              <v:shape id="AutoShape 32" o:spid="_x0000_s1026" o:spt="61" type="#_x0000_t61" style="position:absolute;left:0pt;margin-left:233.1pt;margin-top:100.05pt;height:23.35pt;width:27.45pt;z-index:251759616;mso-width-relative:page;mso-height-relative:page;" fillcolor="#92D050" filled="t" stroked="f" coordsize="21600,21600" o:gfxdata="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YBwXnXAAAACwEAAA8AAAAAAAAAAQAg&#10;AAAAIgAAAGRycy9kb3ducmV2LnhtbFBLAQIUABQAAAAIAIdO4kDueok0SAIAAJIEAAAOAAAAAAAA&#10;AAEAIAAAACYBAABkcnMvZTJvRG9jLnhtbFBLBQYAAAAABgAGAFkBAADgBQAAAAA=&#10;" adj="3344,10916">
                <v:fill on="t" focussize="0,0"/>
                <v:stroke on="f"/>
                <v:imagedata o:title=""/>
                <o:lock v:ext="edit" aspectratio="f"/>
                <v:textbox>
                  <w:txbxContent>
                    <w:p>
                      <w:r>
                        <w:rPr>
                          <w:rFonts w:hint="eastAsia"/>
                        </w:rPr>
                        <w:t>1#</w:t>
                      </w:r>
                    </w:p>
                  </w:txbxContent>
                </v:textbox>
              </v:shape>
            </w:pict>
          </mc:Fallback>
        </mc:AlternateContent>
      </w:r>
      <w:r>
        <w:rPr>
          <w:b/>
          <w:sz w:val="24"/>
          <w:szCs w:val="24"/>
        </w:rPr>
        <w:drawing>
          <wp:inline distT="0" distB="0" distL="0" distR="0">
            <wp:extent cx="5161280" cy="4192270"/>
            <wp:effectExtent l="0" t="0" r="127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182078" cy="4209530"/>
                    </a:xfrm>
                    <a:prstGeom prst="rect">
                      <a:avLst/>
                    </a:prstGeom>
                    <a:noFill/>
                    <a:ln>
                      <a:noFill/>
                    </a:ln>
                  </pic:spPr>
                </pic:pic>
              </a:graphicData>
            </a:graphic>
          </wp:inline>
        </w:drawing>
      </w:r>
      <w:r>
        <w:rPr>
          <w:b/>
          <w:sz w:val="24"/>
          <w:szCs w:val="24"/>
        </w:rPr>
        <w:t>图4.3-4  本项目</w:t>
      </w:r>
      <w:r>
        <w:rPr>
          <w:rFonts w:hint="eastAsia"/>
          <w:b/>
          <w:sz w:val="24"/>
          <w:szCs w:val="24"/>
        </w:rPr>
        <w:t>土壤</w:t>
      </w:r>
      <w:r>
        <w:rPr>
          <w:b/>
          <w:sz w:val="24"/>
          <w:szCs w:val="24"/>
        </w:rPr>
        <w:t>现状监测点位</w:t>
      </w:r>
      <w:r>
        <w:rPr>
          <w:rFonts w:hint="eastAsia"/>
          <w:b/>
          <w:sz w:val="24"/>
          <w:szCs w:val="24"/>
        </w:rPr>
        <w:t>示意</w:t>
      </w:r>
      <w:r>
        <w:rPr>
          <w:b/>
          <w:sz w:val="24"/>
          <w:szCs w:val="24"/>
        </w:rPr>
        <w:t>图</w:t>
      </w:r>
      <w:r>
        <w:rPr>
          <w:rFonts w:hint="eastAsia"/>
          <w:b/>
          <w:sz w:val="24"/>
          <w:szCs w:val="24"/>
        </w:rPr>
        <w:t xml:space="preserve"> </w:t>
      </w:r>
    </w:p>
    <w:p>
      <w:pPr>
        <w:jc w:val="center"/>
        <w:rPr>
          <w:b/>
          <w:sz w:val="24"/>
          <w:szCs w:val="24"/>
        </w:rPr>
      </w:pPr>
    </w:p>
    <w:p>
      <w:pPr>
        <w:adjustRightInd w:val="0"/>
        <w:snapToGrid w:val="0"/>
        <w:spacing w:line="360" w:lineRule="auto"/>
        <w:jc w:val="center"/>
        <w:rPr>
          <w:b/>
          <w:sz w:val="24"/>
          <w:szCs w:val="24"/>
        </w:rPr>
      </w:pPr>
      <w:r>
        <w:rPr>
          <w:b/>
          <w:sz w:val="24"/>
          <w:szCs w:val="24"/>
        </w:rPr>
        <w:t>表4.3.5-2 土壤监测项目及分析方法</w:t>
      </w:r>
    </w:p>
    <w:tbl>
      <w:tblPr>
        <w:tblStyle w:val="39"/>
        <w:tblW w:w="497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69"/>
        <w:gridCol w:w="4264"/>
        <w:gridCol w:w="21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 xml:space="preserve">检测项目                                                                                                                                                                                                                                                                                                                                                                                                                                                                                                                                                                                                                                                                                                                                                                                                                                                                                                                                                                                                                                                                                                                                                                                                                                                                                                                                                                                                                                                                                                                                                                                                                                                                                                                                                                </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分 析 方 法</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砷</w:t>
            </w:r>
          </w:p>
        </w:tc>
        <w:tc>
          <w:tcPr>
            <w:tcW w:w="2516" w:type="pct"/>
            <w:tcBorders>
              <w:tl2br w:val="nil"/>
              <w:tr2bl w:val="nil"/>
            </w:tcBorders>
            <w:vAlign w:val="center"/>
          </w:tcPr>
          <w:p>
            <w:pPr>
              <w:adjustRightInd w:val="0"/>
              <w:snapToGrid w:val="0"/>
              <w:jc w:val="center"/>
              <w:rPr>
                <w:szCs w:val="21"/>
              </w:rPr>
            </w:pPr>
            <w:r>
              <w:rPr>
                <w:szCs w:val="21"/>
              </w:rPr>
              <w:t>土壤和沉积物  汞、砷、硒、铋、锑的测定 微波消解/原子荧光法HJ 680-2013</w:t>
            </w:r>
          </w:p>
        </w:tc>
        <w:tc>
          <w:tcPr>
            <w:tcW w:w="1263" w:type="pct"/>
            <w:tcBorders>
              <w:tl2br w:val="nil"/>
              <w:tr2bl w:val="nil"/>
            </w:tcBorders>
            <w:vAlign w:val="center"/>
          </w:tcPr>
          <w:p>
            <w:pPr>
              <w:adjustRightInd w:val="0"/>
              <w:snapToGrid w:val="0"/>
              <w:jc w:val="center"/>
              <w:rPr>
                <w:szCs w:val="21"/>
              </w:rPr>
            </w:pPr>
            <w:r>
              <w:rPr>
                <w:szCs w:val="21"/>
              </w:rPr>
              <w:t>0.01mg/kg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铜</w:t>
            </w:r>
          </w:p>
        </w:tc>
        <w:tc>
          <w:tcPr>
            <w:tcW w:w="2516" w:type="pct"/>
            <w:tcBorders>
              <w:tl2br w:val="nil"/>
              <w:tr2bl w:val="nil"/>
            </w:tcBorders>
            <w:vAlign w:val="center"/>
          </w:tcPr>
          <w:p>
            <w:pPr>
              <w:adjustRightInd w:val="0"/>
              <w:snapToGrid w:val="0"/>
              <w:jc w:val="center"/>
              <w:rPr>
                <w:szCs w:val="21"/>
              </w:rPr>
            </w:pPr>
            <w:r>
              <w:rPr>
                <w:szCs w:val="21"/>
              </w:rPr>
              <w:t>土壤和沉积物 铜、锌、铅、镍、铬的测定火焰原子吸收分光光度法HJ 491-2019</w:t>
            </w:r>
          </w:p>
        </w:tc>
        <w:tc>
          <w:tcPr>
            <w:tcW w:w="1263" w:type="pct"/>
            <w:tcBorders>
              <w:tl2br w:val="nil"/>
              <w:tr2bl w:val="nil"/>
            </w:tcBorders>
            <w:vAlign w:val="center"/>
          </w:tcPr>
          <w:p>
            <w:pPr>
              <w:adjustRightInd w:val="0"/>
              <w:snapToGrid w:val="0"/>
              <w:jc w:val="center"/>
              <w:rPr>
                <w:szCs w:val="21"/>
              </w:rPr>
            </w:pPr>
            <w:r>
              <w:rPr>
                <w:szCs w:val="21"/>
              </w:rPr>
              <w:t>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汞</w:t>
            </w:r>
          </w:p>
        </w:tc>
        <w:tc>
          <w:tcPr>
            <w:tcW w:w="2516" w:type="pct"/>
            <w:tcBorders>
              <w:tl2br w:val="nil"/>
              <w:tr2bl w:val="nil"/>
            </w:tcBorders>
            <w:vAlign w:val="center"/>
          </w:tcPr>
          <w:p>
            <w:pPr>
              <w:adjustRightInd w:val="0"/>
              <w:snapToGrid w:val="0"/>
              <w:jc w:val="center"/>
              <w:rPr>
                <w:szCs w:val="21"/>
              </w:rPr>
            </w:pPr>
            <w:r>
              <w:rPr>
                <w:szCs w:val="21"/>
              </w:rPr>
              <w:t>土壤和沉积物  汞、砷、硒、铋、锑的测定 微波消解/原子荧光法HJ 680-2013</w:t>
            </w:r>
          </w:p>
        </w:tc>
        <w:tc>
          <w:tcPr>
            <w:tcW w:w="1263" w:type="pct"/>
            <w:tcBorders>
              <w:tl2br w:val="nil"/>
              <w:tr2bl w:val="nil"/>
            </w:tcBorders>
            <w:vAlign w:val="center"/>
          </w:tcPr>
          <w:p>
            <w:pPr>
              <w:adjustRightInd w:val="0"/>
              <w:snapToGrid w:val="0"/>
              <w:jc w:val="center"/>
              <w:rPr>
                <w:szCs w:val="21"/>
              </w:rPr>
            </w:pPr>
            <w:r>
              <w:rPr>
                <w:szCs w:val="21"/>
              </w:rPr>
              <w:t>0.002mg/kg</w:t>
            </w:r>
          </w:p>
        </w:tc>
      </w:tr>
      <w:tr>
        <w:tblPrEx>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镍</w:t>
            </w:r>
          </w:p>
        </w:tc>
        <w:tc>
          <w:tcPr>
            <w:tcW w:w="2516" w:type="pct"/>
            <w:tcBorders>
              <w:tl2br w:val="nil"/>
              <w:tr2bl w:val="nil"/>
            </w:tcBorders>
            <w:vAlign w:val="center"/>
          </w:tcPr>
          <w:p>
            <w:pPr>
              <w:adjustRightInd w:val="0"/>
              <w:snapToGrid w:val="0"/>
              <w:jc w:val="center"/>
              <w:rPr>
                <w:szCs w:val="21"/>
              </w:rPr>
            </w:pPr>
            <w:r>
              <w:rPr>
                <w:szCs w:val="21"/>
              </w:rPr>
              <w:t>土壤和沉积物 铜、锌、铅、镍、铬的测定火焰原子吸收分光光度法HJ 491-2019</w:t>
            </w:r>
          </w:p>
        </w:tc>
        <w:tc>
          <w:tcPr>
            <w:tcW w:w="1263" w:type="pct"/>
            <w:tcBorders>
              <w:tl2br w:val="nil"/>
              <w:tr2bl w:val="nil"/>
            </w:tcBorders>
            <w:vAlign w:val="center"/>
          </w:tcPr>
          <w:p>
            <w:pPr>
              <w:adjustRightInd w:val="0"/>
              <w:snapToGrid w:val="0"/>
              <w:jc w:val="center"/>
              <w:rPr>
                <w:szCs w:val="21"/>
              </w:rPr>
            </w:pPr>
            <w:r>
              <w:rPr>
                <w:szCs w:val="21"/>
              </w:rPr>
              <w:t>3 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铬（六价）</w:t>
            </w:r>
          </w:p>
        </w:tc>
        <w:tc>
          <w:tcPr>
            <w:tcW w:w="2516" w:type="pct"/>
            <w:tcBorders>
              <w:tl2br w:val="nil"/>
              <w:tr2bl w:val="nil"/>
            </w:tcBorders>
            <w:vAlign w:val="center"/>
          </w:tcPr>
          <w:p>
            <w:pPr>
              <w:adjustRightInd w:val="0"/>
              <w:snapToGrid w:val="0"/>
              <w:jc w:val="center"/>
              <w:rPr>
                <w:szCs w:val="21"/>
              </w:rPr>
            </w:pPr>
            <w:r>
              <w:rPr>
                <w:szCs w:val="21"/>
              </w:rPr>
              <w:t>土壤和沉积物 六价铬的测定 碱溶液提取-火焰原子吸收分光光度法  HJ 1082-2019</w:t>
            </w:r>
          </w:p>
        </w:tc>
        <w:tc>
          <w:tcPr>
            <w:tcW w:w="1263" w:type="pct"/>
            <w:tcBorders>
              <w:tl2br w:val="nil"/>
              <w:tr2bl w:val="nil"/>
            </w:tcBorders>
            <w:vAlign w:val="center"/>
          </w:tcPr>
          <w:p>
            <w:pPr>
              <w:adjustRightInd w:val="0"/>
              <w:snapToGrid w:val="0"/>
              <w:jc w:val="center"/>
              <w:rPr>
                <w:szCs w:val="21"/>
              </w:rPr>
            </w:pPr>
            <w:r>
              <w:rPr>
                <w:szCs w:val="21"/>
              </w:rPr>
              <w:t>0.5mg/kg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苯并［a］蒽</w:t>
            </w:r>
          </w:p>
        </w:tc>
        <w:tc>
          <w:tcPr>
            <w:tcW w:w="2516" w:type="pct"/>
            <w:vMerge w:val="restart"/>
            <w:tcBorders>
              <w:tl2br w:val="nil"/>
              <w:tr2bl w:val="nil"/>
            </w:tcBorders>
            <w:vAlign w:val="center"/>
          </w:tcPr>
          <w:p>
            <w:pPr>
              <w:adjustRightInd w:val="0"/>
              <w:snapToGrid w:val="0"/>
              <w:jc w:val="center"/>
              <w:rPr>
                <w:szCs w:val="21"/>
              </w:rPr>
            </w:pPr>
            <w:r>
              <w:rPr>
                <w:szCs w:val="21"/>
              </w:rPr>
              <w:t xml:space="preserve">土壤和沉积物 半挥发性有机物的测定 气相色谱-质谱法 </w:t>
            </w:r>
          </w:p>
          <w:p>
            <w:pPr>
              <w:adjustRightInd w:val="0"/>
              <w:snapToGrid w:val="0"/>
              <w:jc w:val="center"/>
              <w:rPr>
                <w:szCs w:val="21"/>
              </w:rPr>
            </w:pPr>
            <w:r>
              <w:rPr>
                <w:szCs w:val="21"/>
              </w:rPr>
              <w:t>HJ 834-2017</w:t>
            </w:r>
          </w:p>
        </w:tc>
        <w:tc>
          <w:tcPr>
            <w:tcW w:w="1263" w:type="pct"/>
            <w:tcBorders>
              <w:tl2br w:val="nil"/>
              <w:tr2bl w:val="nil"/>
            </w:tcBorders>
            <w:vAlign w:val="center"/>
          </w:tcPr>
          <w:p>
            <w:pPr>
              <w:adjustRightInd w:val="0"/>
              <w:snapToGrid w:val="0"/>
              <w:jc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苯并［a］芘</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苯并［b］荧蒽</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0.2mg/kg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苯并［k］荧蒽</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䓛</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0.1mg/kg</w:t>
            </w:r>
          </w:p>
        </w:tc>
      </w:tr>
      <w:tr>
        <w:tblPrEx>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二苯并［a,h］蒽</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21" w:type="pct"/>
            <w:tcBorders>
              <w:tl2br w:val="nil"/>
              <w:tr2bl w:val="nil"/>
            </w:tcBorders>
            <w:vAlign w:val="center"/>
          </w:tcPr>
          <w:p>
            <w:pPr>
              <w:adjustRightInd w:val="0"/>
              <w:snapToGrid w:val="0"/>
              <w:jc w:val="center"/>
              <w:rPr>
                <w:szCs w:val="21"/>
              </w:rPr>
            </w:pPr>
            <w:r>
              <w:rPr>
                <w:szCs w:val="21"/>
              </w:rPr>
              <w:t>茚并［1,2,3-cd］芘</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硝基苯</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2-氯酚</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0.06mg/kg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萘</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苯胺</w:t>
            </w:r>
          </w:p>
        </w:tc>
        <w:tc>
          <w:tcPr>
            <w:tcW w:w="2516" w:type="pct"/>
            <w:tcBorders>
              <w:tl2br w:val="nil"/>
              <w:tr2bl w:val="nil"/>
            </w:tcBorders>
          </w:tcPr>
          <w:p>
            <w:pPr>
              <w:adjustRightInd w:val="0"/>
              <w:snapToGrid w:val="0"/>
              <w:jc w:val="center"/>
              <w:rPr>
                <w:rFonts w:eastAsiaTheme="minorEastAsia"/>
                <w:szCs w:val="21"/>
              </w:rPr>
            </w:pPr>
            <w:r>
              <w:rPr>
                <w:rFonts w:eastAsiaTheme="minorEastAsia"/>
                <w:szCs w:val="21"/>
              </w:rPr>
              <w:t>土壤和沉积物 苯胺的测定 气相色谱-质谱法P</w:t>
            </w:r>
            <w:r>
              <w:rPr>
                <w:rFonts w:eastAsiaTheme="minorEastAsia"/>
                <w:szCs w:val="21"/>
                <w:shd w:val="clear" w:color="auto" w:fill="FFFFFF"/>
              </w:rPr>
              <w:t>Y-07-51</w:t>
            </w:r>
            <w:r>
              <w:rPr>
                <w:rFonts w:eastAsiaTheme="minorEastAsia"/>
                <w:szCs w:val="21"/>
              </w:rPr>
              <w:t>(参考土壤和沉积物 半挥发性有机物的测定 气相色谱-质谱法HJ 834-2017)</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四氯化碳</w:t>
            </w:r>
          </w:p>
        </w:tc>
        <w:tc>
          <w:tcPr>
            <w:tcW w:w="2516" w:type="pct"/>
            <w:vMerge w:val="restart"/>
            <w:tcBorders>
              <w:tl2br w:val="nil"/>
              <w:tr2bl w:val="nil"/>
            </w:tcBorders>
            <w:vAlign w:val="center"/>
          </w:tcPr>
          <w:p>
            <w:pPr>
              <w:adjustRightInd w:val="0"/>
              <w:snapToGrid w:val="0"/>
              <w:jc w:val="center"/>
              <w:rPr>
                <w:rFonts w:eastAsiaTheme="minorEastAsia"/>
                <w:szCs w:val="21"/>
              </w:rPr>
            </w:pPr>
            <w:r>
              <w:rPr>
                <w:rFonts w:eastAsiaTheme="minorEastAsia"/>
                <w:szCs w:val="21"/>
              </w:rPr>
              <w:t xml:space="preserve">土壤和沉积物 挥发性有机物的测定吹扫捕集/气相色谱-质谱法 </w:t>
            </w:r>
          </w:p>
          <w:p>
            <w:pPr>
              <w:adjustRightInd w:val="0"/>
              <w:snapToGrid w:val="0"/>
              <w:jc w:val="center"/>
              <w:rPr>
                <w:rFonts w:eastAsiaTheme="minorEastAsia"/>
                <w:szCs w:val="21"/>
              </w:rPr>
            </w:pPr>
            <w:r>
              <w:rPr>
                <w:rFonts w:eastAsiaTheme="minorEastAsia"/>
                <w:szCs w:val="21"/>
              </w:rPr>
              <w:t>HJ 605-2011</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氯仿</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 二氯乙烷</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 二氯乙烷</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 二氯乙烯</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顺-1,2-二氯乙烯</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反-1,2-二氯乙烯</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二氯甲烷</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1,2-二氯丙烷</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1,1,1,2-四氯乙烷</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1,1,2,2-四氯乙烷</w:t>
            </w:r>
          </w:p>
        </w:tc>
        <w:tc>
          <w:tcPr>
            <w:tcW w:w="2516" w:type="pct"/>
            <w:vMerge w:val="restart"/>
            <w:tcBorders>
              <w:tl2br w:val="nil"/>
              <w:tr2bl w:val="nil"/>
            </w:tcBorders>
            <w:vAlign w:val="center"/>
          </w:tcPr>
          <w:p>
            <w:pPr>
              <w:adjustRightInd w:val="0"/>
              <w:snapToGrid w:val="0"/>
              <w:jc w:val="center"/>
              <w:rPr>
                <w:rFonts w:eastAsiaTheme="minorEastAsia"/>
                <w:szCs w:val="21"/>
              </w:rPr>
            </w:pPr>
            <w:r>
              <w:rPr>
                <w:rFonts w:eastAsiaTheme="minorEastAsia"/>
                <w:szCs w:val="21"/>
              </w:rPr>
              <w:t xml:space="preserve"> 土壤和沉积物 挥发性有机物的测定吹扫捕集/气相色谱-质谱法 </w:t>
            </w:r>
          </w:p>
          <w:p>
            <w:pPr>
              <w:adjustRightInd w:val="0"/>
              <w:snapToGrid w:val="0"/>
              <w:jc w:val="center"/>
              <w:rPr>
                <w:rFonts w:eastAsiaTheme="minorEastAsia"/>
                <w:szCs w:val="21"/>
              </w:rPr>
            </w:pPr>
            <w:r>
              <w:rPr>
                <w:rFonts w:eastAsiaTheme="minorEastAsia"/>
                <w:szCs w:val="21"/>
              </w:rPr>
              <w:t>HJ 605-2011</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四氯乙烯</w:t>
            </w:r>
          </w:p>
        </w:tc>
        <w:tc>
          <w:tcPr>
            <w:tcW w:w="2516" w:type="pct"/>
            <w:vMerge w:val="continue"/>
            <w:tcBorders>
              <w:tl2br w:val="nil"/>
              <w:tr2bl w:val="nil"/>
            </w:tcBorders>
            <w:vAlign w:val="center"/>
          </w:tcPr>
          <w:p>
            <w:pPr>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1,1,1-三氯乙烷</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1,1,2-三氯乙烷</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三氯乙烯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氯乙烯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1.9μg/kg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氯苯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1,2-二氯苯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1,4-二氯苯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乙苯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苯乙烯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甲苯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间二甲苯+对二甲苯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邻二甲苯</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1,2,3-三氯丙烷</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氯甲烷</w:t>
            </w:r>
          </w:p>
        </w:tc>
        <w:tc>
          <w:tcPr>
            <w:tcW w:w="2516" w:type="pct"/>
            <w:vMerge w:val="continue"/>
            <w:tcBorders>
              <w:tl2br w:val="nil"/>
              <w:tr2bl w:val="nil"/>
            </w:tcBorders>
            <w:vAlign w:val="center"/>
          </w:tcPr>
          <w:p>
            <w:pPr>
              <w:tabs>
                <w:tab w:val="left" w:pos="420"/>
              </w:tabs>
              <w:adjustRightInd w:val="0"/>
              <w:snapToGrid w:val="0"/>
              <w:jc w:val="center"/>
              <w:rPr>
                <w:rFonts w:eastAsiaTheme="minorEastAsia"/>
                <w:szCs w:val="21"/>
              </w:rPr>
            </w:pP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pH</w:t>
            </w:r>
          </w:p>
        </w:tc>
        <w:tc>
          <w:tcPr>
            <w:tcW w:w="2516" w:type="pct"/>
            <w:tcBorders>
              <w:tl2br w:val="nil"/>
              <w:tr2bl w:val="nil"/>
            </w:tcBorders>
            <w:vAlign w:val="center"/>
          </w:tcPr>
          <w:p>
            <w:pPr>
              <w:widowControl/>
              <w:adjustRightInd w:val="0"/>
              <w:snapToGrid w:val="0"/>
              <w:jc w:val="center"/>
              <w:textAlignment w:val="center"/>
              <w:rPr>
                <w:rFonts w:eastAsiaTheme="minorEastAsia"/>
                <w:szCs w:val="21"/>
              </w:rPr>
            </w:pPr>
            <w:r>
              <w:rPr>
                <w:rFonts w:eastAsiaTheme="minorEastAsia"/>
                <w:kern w:val="0"/>
                <w:szCs w:val="21"/>
                <w:lang w:bidi="ar"/>
              </w:rPr>
              <w:t>土壤 pH 值的测定 电位法 HJ 962-2018</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阳离子交换量</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土壤 阳离子交换量的测定 三氯化六氨合钴浸提-分光光度法 HJ 889-2017</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0.8cmol</w:t>
            </w:r>
            <w:r>
              <w:rPr>
                <w:rFonts w:eastAsiaTheme="minorEastAsia"/>
                <w:szCs w:val="21"/>
                <w:vertAlign w:val="superscript"/>
              </w:rPr>
              <w:t>+</w:t>
            </w:r>
            <w:r>
              <w:rPr>
                <w:rFonts w:eastAsiaTheme="minorEastAsia"/>
                <w:szCs w:val="21"/>
              </w:rPr>
              <w:t>/kg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氧化还原电位</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土壤 氧化还原电位的测定 电位法 HJ 746-2015</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总孔隙度</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森林土壤水分-物理性质的测定LY/T 1215-1999</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渗透率</w:t>
            </w:r>
          </w:p>
        </w:tc>
        <w:tc>
          <w:tcPr>
            <w:tcW w:w="2516" w:type="pct"/>
            <w:tcBorders>
              <w:tl2br w:val="nil"/>
              <w:tr2bl w:val="nil"/>
            </w:tcBorders>
            <w:vAlign w:val="center"/>
          </w:tcPr>
          <w:p>
            <w:pPr>
              <w:adjustRightInd w:val="0"/>
              <w:snapToGrid w:val="0"/>
              <w:jc w:val="left"/>
              <w:rPr>
                <w:rFonts w:eastAsiaTheme="minorEastAsia"/>
                <w:szCs w:val="21"/>
              </w:rPr>
            </w:pPr>
            <w:r>
              <w:rPr>
                <w:rFonts w:eastAsiaTheme="minorEastAsia"/>
                <w:szCs w:val="21"/>
              </w:rPr>
              <w:t>森林土壤渗透性的测定LY/T 1218-1999 3 环刀法</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rPr>
                <w:rFonts w:eastAsiaTheme="minorEastAsia"/>
                <w:szCs w:val="21"/>
              </w:rPr>
            </w:pPr>
            <w:r>
              <w:rPr>
                <w:rFonts w:eastAsiaTheme="minorEastAsia"/>
                <w:szCs w:val="21"/>
              </w:rPr>
              <w:t>容重</w:t>
            </w:r>
          </w:p>
        </w:tc>
        <w:tc>
          <w:tcPr>
            <w:tcW w:w="2516" w:type="pct"/>
            <w:tcBorders>
              <w:tl2br w:val="nil"/>
              <w:tr2bl w:val="nil"/>
            </w:tcBorders>
            <w:vAlign w:val="center"/>
          </w:tcPr>
          <w:p>
            <w:pPr>
              <w:adjustRightInd w:val="0"/>
              <w:snapToGrid w:val="0"/>
              <w:rPr>
                <w:rFonts w:eastAsiaTheme="minorEastAsia"/>
                <w:szCs w:val="21"/>
              </w:rPr>
            </w:pPr>
            <w:r>
              <w:rPr>
                <w:rFonts w:eastAsiaTheme="minorEastAsia"/>
                <w:szCs w:val="21"/>
              </w:rPr>
              <w:t>土壤检测 第4部分：土壤容重的测定  NY/T 1121.4-2006</w:t>
            </w:r>
          </w:p>
        </w:tc>
        <w:tc>
          <w:tcPr>
            <w:tcW w:w="1263" w:type="pct"/>
            <w:tcBorders>
              <w:tl2br w:val="nil"/>
              <w:tr2bl w:val="nil"/>
            </w:tcBorders>
          </w:tcPr>
          <w:p>
            <w:pPr>
              <w:adjustRightInd w:val="0"/>
              <w:snapToGrid w:val="0"/>
              <w:jc w:val="center"/>
              <w:rPr>
                <w:rFonts w:eastAsiaTheme="minorEastAsia"/>
                <w:szCs w:val="21"/>
              </w:rPr>
            </w:pPr>
            <w:r>
              <w:rPr>
                <w:rFonts w:eastAsiaTheme="minorEastAsia"/>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pH</w:t>
            </w:r>
          </w:p>
        </w:tc>
        <w:tc>
          <w:tcPr>
            <w:tcW w:w="2516" w:type="pct"/>
            <w:tcBorders>
              <w:tl2br w:val="nil"/>
              <w:tr2bl w:val="nil"/>
            </w:tcBorders>
            <w:vAlign w:val="center"/>
          </w:tcPr>
          <w:p>
            <w:pPr>
              <w:widowControl/>
              <w:adjustRightInd w:val="0"/>
              <w:snapToGrid w:val="0"/>
              <w:jc w:val="center"/>
              <w:textAlignment w:val="center"/>
              <w:rPr>
                <w:rFonts w:eastAsiaTheme="minorEastAsia"/>
                <w:szCs w:val="21"/>
              </w:rPr>
            </w:pPr>
            <w:r>
              <w:rPr>
                <w:rFonts w:eastAsiaTheme="minorEastAsia"/>
                <w:kern w:val="0"/>
                <w:szCs w:val="21"/>
                <w:lang w:bidi="ar"/>
              </w:rPr>
              <w:t>水质 pH值的测定 电极法 HJ 1147-2020</w:t>
            </w:r>
          </w:p>
        </w:tc>
        <w:tc>
          <w:tcPr>
            <w:tcW w:w="1263" w:type="pct"/>
            <w:tcBorders>
              <w:tl2br w:val="nil"/>
              <w:tr2bl w:val="nil"/>
            </w:tcBorders>
            <w:vAlign w:val="center"/>
          </w:tcPr>
          <w:p>
            <w:pPr>
              <w:adjustRightInd w:val="0"/>
              <w:snapToGrid w:val="0"/>
              <w:jc w:val="center"/>
              <w:rPr>
                <w:rFonts w:eastAsiaTheme="minorEastAsia"/>
                <w:kern w:val="0"/>
                <w:szCs w:val="21"/>
              </w:rPr>
            </w:pPr>
            <w:r>
              <w:rPr>
                <w:rFonts w:eastAsiaTheme="minorEastAsia"/>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锌</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土壤和沉积物铜、锌、铅、镍、铬的测定 火焰原子吸收分光光度法   HJ 491-2019</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pacing w:val="20"/>
                <w:szCs w:val="21"/>
              </w:rPr>
              <w:t>1</w:t>
            </w:r>
            <w:r>
              <w:rPr>
                <w:rFonts w:eastAsiaTheme="minor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二噁英</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二噁英：土壤《土壤和沉积物 二噁英类的测定 同位素稀释高分辨气相色谱-高分辨质谱法》（HJ 77.4-2008）</w:t>
            </w:r>
          </w:p>
        </w:tc>
        <w:tc>
          <w:tcPr>
            <w:tcW w:w="1263" w:type="pct"/>
            <w:tcBorders>
              <w:tl2br w:val="nil"/>
              <w:tr2bl w:val="nil"/>
            </w:tcBorders>
            <w:vAlign w:val="center"/>
          </w:tcPr>
          <w:p>
            <w:pPr>
              <w:adjustRightInd w:val="0"/>
              <w:snapToGrid w:val="0"/>
              <w:jc w:val="center"/>
              <w:rPr>
                <w:rFonts w:eastAsiaTheme="minor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硒</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土壤和沉积物  汞、砷、硒、铋、锑的测定 微波消解/原子荧光法HJ 680-2013</w:t>
            </w:r>
          </w:p>
        </w:tc>
        <w:tc>
          <w:tcPr>
            <w:tcW w:w="1263" w:type="pct"/>
            <w:tcBorders>
              <w:tl2br w:val="nil"/>
              <w:tr2bl w:val="nil"/>
            </w:tcBorders>
            <w:vAlign w:val="center"/>
          </w:tcPr>
          <w:p>
            <w:pPr>
              <w:adjustRightInd w:val="0"/>
              <w:snapToGrid w:val="0"/>
              <w:jc w:val="center"/>
              <w:rPr>
                <w:rFonts w:eastAsiaTheme="minorEastAsia"/>
                <w:bCs/>
                <w:szCs w:val="21"/>
              </w:rPr>
            </w:pPr>
            <w:r>
              <w:rPr>
                <w:rFonts w:eastAsiaTheme="minorEastAsia"/>
                <w:bCs/>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rFonts w:eastAsiaTheme="minorEastAsia"/>
                <w:szCs w:val="21"/>
              </w:rPr>
            </w:pPr>
            <w:r>
              <w:rPr>
                <w:rFonts w:eastAsiaTheme="minorEastAsia"/>
                <w:szCs w:val="21"/>
              </w:rPr>
              <w:t>氨氮</w:t>
            </w:r>
          </w:p>
        </w:tc>
        <w:tc>
          <w:tcPr>
            <w:tcW w:w="2516" w:type="pct"/>
            <w:tcBorders>
              <w:tl2br w:val="nil"/>
              <w:tr2bl w:val="nil"/>
            </w:tcBorders>
            <w:vAlign w:val="center"/>
          </w:tcPr>
          <w:p>
            <w:pPr>
              <w:adjustRightInd w:val="0"/>
              <w:snapToGrid w:val="0"/>
              <w:jc w:val="center"/>
              <w:rPr>
                <w:rFonts w:eastAsiaTheme="minorEastAsia"/>
                <w:szCs w:val="21"/>
              </w:rPr>
            </w:pPr>
            <w:r>
              <w:rPr>
                <w:rFonts w:eastAsiaTheme="minorEastAsia"/>
                <w:szCs w:val="21"/>
              </w:rPr>
              <w:t>土壤 氨氮、亚硝酸盐氮、硝酸盐氮的测定 氯化钾溶液提取-分光光度法HJ 634-2012</w:t>
            </w:r>
          </w:p>
        </w:tc>
        <w:tc>
          <w:tcPr>
            <w:tcW w:w="1263" w:type="pct"/>
            <w:tcBorders>
              <w:tl2br w:val="nil"/>
              <w:tr2bl w:val="nil"/>
            </w:tcBorders>
            <w:vAlign w:val="center"/>
          </w:tcPr>
          <w:p>
            <w:pPr>
              <w:adjustRightInd w:val="0"/>
              <w:snapToGrid w:val="0"/>
              <w:jc w:val="center"/>
              <w:rPr>
                <w:rFonts w:eastAsiaTheme="minorEastAsia"/>
                <w:szCs w:val="21"/>
              </w:rPr>
            </w:pPr>
            <w:r>
              <w:rPr>
                <w:rFonts w:eastAsiaTheme="minorEastAsia"/>
                <w:szCs w:val="21"/>
              </w:rPr>
              <w:t>0.1</w:t>
            </w:r>
            <w:r>
              <w:rPr>
                <w:rFonts w:eastAsiaTheme="minor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锌</w:t>
            </w:r>
          </w:p>
        </w:tc>
        <w:tc>
          <w:tcPr>
            <w:tcW w:w="2516" w:type="pct"/>
            <w:tcBorders>
              <w:tl2br w:val="nil"/>
              <w:tr2bl w:val="nil"/>
            </w:tcBorders>
            <w:vAlign w:val="center"/>
          </w:tcPr>
          <w:p>
            <w:pPr>
              <w:adjustRightInd w:val="0"/>
              <w:snapToGrid w:val="0"/>
              <w:jc w:val="center"/>
              <w:rPr>
                <w:szCs w:val="21"/>
              </w:rPr>
            </w:pPr>
            <w:r>
              <w:rPr>
                <w:szCs w:val="21"/>
              </w:rPr>
              <w:t>土壤和沉积物 铜、锌、铅、镍、铬的测定</w:t>
            </w:r>
          </w:p>
          <w:p>
            <w:pPr>
              <w:adjustRightInd w:val="0"/>
              <w:snapToGrid w:val="0"/>
              <w:jc w:val="center"/>
              <w:rPr>
                <w:szCs w:val="21"/>
              </w:rPr>
            </w:pPr>
            <w:r>
              <w:rPr>
                <w:szCs w:val="21"/>
              </w:rPr>
              <w:t>火焰原子吸收分光光度法，HJ 491-2019</w:t>
            </w:r>
          </w:p>
        </w:tc>
        <w:tc>
          <w:tcPr>
            <w:tcW w:w="1263" w:type="pct"/>
            <w:tcBorders>
              <w:tl2br w:val="nil"/>
              <w:tr2bl w:val="nil"/>
            </w:tcBorders>
            <w:vAlign w:val="center"/>
          </w:tcPr>
          <w:p>
            <w:pPr>
              <w:adjustRightInd w:val="0"/>
              <w:snapToGrid w:val="0"/>
              <w:jc w:val="center"/>
              <w:rPr>
                <w:szCs w:val="21"/>
              </w:rPr>
            </w:pPr>
            <w:r>
              <w:rPr>
                <w:spacing w:val="20"/>
                <w:szCs w:val="21"/>
              </w:rPr>
              <w:t>1</w:t>
            </w: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硒</w:t>
            </w:r>
          </w:p>
        </w:tc>
        <w:tc>
          <w:tcPr>
            <w:tcW w:w="2516" w:type="pct"/>
            <w:tcBorders>
              <w:tl2br w:val="nil"/>
              <w:tr2bl w:val="nil"/>
            </w:tcBorders>
            <w:vAlign w:val="center"/>
          </w:tcPr>
          <w:p>
            <w:pPr>
              <w:adjustRightInd w:val="0"/>
              <w:snapToGrid w:val="0"/>
              <w:jc w:val="center"/>
              <w:rPr>
                <w:szCs w:val="21"/>
              </w:rPr>
            </w:pPr>
            <w:r>
              <w:rPr>
                <w:szCs w:val="21"/>
              </w:rPr>
              <w:t>土壤和沉积物  汞、砷、硒、铋、锑的测定 微波消解/原子荧光法，HJ 680-2013</w:t>
            </w:r>
          </w:p>
        </w:tc>
        <w:tc>
          <w:tcPr>
            <w:tcW w:w="1263" w:type="pct"/>
            <w:tcBorders>
              <w:tl2br w:val="nil"/>
              <w:tr2bl w:val="nil"/>
            </w:tcBorders>
            <w:vAlign w:val="center"/>
          </w:tcPr>
          <w:p>
            <w:pPr>
              <w:adjustRightInd w:val="0"/>
              <w:snapToGrid w:val="0"/>
              <w:jc w:val="center"/>
              <w:rPr>
                <w:bCs/>
                <w:szCs w:val="21"/>
              </w:rPr>
            </w:pPr>
            <w:r>
              <w:rPr>
                <w:bCs/>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铊</w:t>
            </w:r>
          </w:p>
        </w:tc>
        <w:tc>
          <w:tcPr>
            <w:tcW w:w="2516" w:type="pct"/>
            <w:tcBorders>
              <w:tl2br w:val="nil"/>
              <w:tr2bl w:val="nil"/>
            </w:tcBorders>
            <w:vAlign w:val="center"/>
          </w:tcPr>
          <w:p>
            <w:pPr>
              <w:adjustRightInd w:val="0"/>
              <w:snapToGrid w:val="0"/>
              <w:jc w:val="center"/>
              <w:rPr>
                <w:szCs w:val="21"/>
              </w:rPr>
            </w:pPr>
            <w:r>
              <w:rPr>
                <w:szCs w:val="21"/>
              </w:rPr>
              <w:t>固体废物 金属元素的测定 电感耦合等离子体质谱法，HJ 766-2015</w:t>
            </w:r>
          </w:p>
        </w:tc>
        <w:tc>
          <w:tcPr>
            <w:tcW w:w="1263" w:type="pct"/>
            <w:tcBorders>
              <w:tl2br w:val="nil"/>
              <w:tr2bl w:val="nil"/>
            </w:tcBorders>
            <w:vAlign w:val="center"/>
          </w:tcPr>
          <w:p>
            <w:pPr>
              <w:adjustRightInd w:val="0"/>
              <w:snapToGrid w:val="0"/>
              <w:jc w:val="center"/>
              <w:rPr>
                <w:szCs w:val="21"/>
              </w:rPr>
            </w:pPr>
            <w:r>
              <w:rPr>
                <w:szCs w:val="21"/>
              </w:rPr>
              <w:t>0.6mg/kg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rPr>
            </w:pPr>
            <w:r>
              <w:rPr>
                <w:kern w:val="0"/>
                <w:szCs w:val="21"/>
              </w:rPr>
              <w:t>钡</w:t>
            </w:r>
          </w:p>
        </w:tc>
        <w:tc>
          <w:tcPr>
            <w:tcW w:w="2516" w:type="pct"/>
            <w:tcBorders>
              <w:tl2br w:val="nil"/>
              <w:tr2bl w:val="nil"/>
            </w:tcBorders>
            <w:vAlign w:val="center"/>
          </w:tcPr>
          <w:p>
            <w:pPr>
              <w:adjustRightInd w:val="0"/>
              <w:snapToGrid w:val="0"/>
              <w:jc w:val="center"/>
              <w:rPr>
                <w:szCs w:val="21"/>
              </w:rPr>
            </w:pPr>
            <w:r>
              <w:rPr>
                <w:szCs w:val="21"/>
              </w:rPr>
              <w:t>固体废物 金属元素的测定 电感耦合等离子体质谱法，HJ 766-2015</w:t>
            </w:r>
          </w:p>
        </w:tc>
        <w:tc>
          <w:tcPr>
            <w:tcW w:w="1263" w:type="pct"/>
            <w:tcBorders>
              <w:tl2br w:val="nil"/>
              <w:tr2bl w:val="nil"/>
            </w:tcBorders>
            <w:vAlign w:val="center"/>
          </w:tcPr>
          <w:p>
            <w:pPr>
              <w:adjustRightInd w:val="0"/>
              <w:snapToGrid w:val="0"/>
              <w:jc w:val="center"/>
              <w:rPr>
                <w:szCs w:val="21"/>
              </w:rPr>
            </w:pPr>
            <w:r>
              <w:rPr>
                <w:szCs w:val="21"/>
              </w:rPr>
              <w:t>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银</w:t>
            </w:r>
          </w:p>
        </w:tc>
        <w:tc>
          <w:tcPr>
            <w:tcW w:w="2516" w:type="pct"/>
            <w:tcBorders>
              <w:tl2br w:val="nil"/>
              <w:tr2bl w:val="nil"/>
            </w:tcBorders>
            <w:vAlign w:val="center"/>
          </w:tcPr>
          <w:p>
            <w:pPr>
              <w:adjustRightInd w:val="0"/>
              <w:snapToGrid w:val="0"/>
              <w:jc w:val="center"/>
              <w:rPr>
                <w:szCs w:val="21"/>
              </w:rPr>
            </w:pPr>
            <w:r>
              <w:rPr>
                <w:kern w:val="0"/>
                <w:szCs w:val="21"/>
                <w:lang w:bidi="ar"/>
              </w:rPr>
              <w:t>固体废物 金属元素的测定 电感耦合等离子体质谱法 ，HJ 766-2015</w:t>
            </w:r>
          </w:p>
        </w:tc>
        <w:tc>
          <w:tcPr>
            <w:tcW w:w="1263" w:type="pct"/>
            <w:tcBorders>
              <w:tl2br w:val="nil"/>
              <w:tr2bl w:val="nil"/>
            </w:tcBorders>
            <w:vAlign w:val="center"/>
          </w:tcPr>
          <w:p>
            <w:pPr>
              <w:adjustRightInd w:val="0"/>
              <w:snapToGrid w:val="0"/>
              <w:jc w:val="center"/>
              <w:rPr>
                <w:szCs w:val="21"/>
              </w:rPr>
            </w:pPr>
            <w:r>
              <w:rPr>
                <w:szCs w:val="21"/>
              </w:rPr>
              <w:t>1.4mg/kg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rPr>
            </w:pPr>
            <w:r>
              <w:rPr>
                <w:kern w:val="0"/>
                <w:szCs w:val="21"/>
                <w:lang w:bidi="ar"/>
              </w:rPr>
              <w:t>锡</w:t>
            </w:r>
          </w:p>
        </w:tc>
        <w:tc>
          <w:tcPr>
            <w:tcW w:w="2516" w:type="pct"/>
            <w:tcBorders>
              <w:tl2br w:val="nil"/>
              <w:tr2bl w:val="nil"/>
            </w:tcBorders>
            <w:vAlign w:val="center"/>
          </w:tcPr>
          <w:p>
            <w:pPr>
              <w:adjustRightInd w:val="0"/>
              <w:snapToGrid w:val="0"/>
              <w:jc w:val="center"/>
              <w:rPr>
                <w:szCs w:val="21"/>
              </w:rPr>
            </w:pPr>
            <w:r>
              <w:rPr>
                <w:szCs w:val="21"/>
              </w:rPr>
              <w:t>《全国土壤污染状况调查样品分析测试技术规定》国家环境保护总局（2006年） 2-30 锡、钼和钨</w:t>
            </w:r>
          </w:p>
        </w:tc>
        <w:tc>
          <w:tcPr>
            <w:tcW w:w="1263" w:type="pct"/>
            <w:tcBorders>
              <w:tl2br w:val="nil"/>
              <w:tr2bl w:val="nil"/>
            </w:tcBorders>
            <w:vAlign w:val="center"/>
          </w:tcPr>
          <w:p>
            <w:pPr>
              <w:adjustRightInd w:val="0"/>
              <w:snapToGrid w:val="0"/>
              <w:jc w:val="center"/>
              <w:rPr>
                <w:szCs w:val="21"/>
              </w:rPr>
            </w:pPr>
            <w:r>
              <w:rPr>
                <w:szCs w:val="21"/>
              </w:rPr>
              <w:t>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bCs/>
                <w:szCs w:val="21"/>
              </w:rPr>
              <w:t>氟化物（水溶性）</w:t>
            </w:r>
          </w:p>
        </w:tc>
        <w:tc>
          <w:tcPr>
            <w:tcW w:w="2516" w:type="pct"/>
            <w:tcBorders>
              <w:tl2br w:val="nil"/>
              <w:tr2bl w:val="nil"/>
            </w:tcBorders>
            <w:vAlign w:val="center"/>
          </w:tcPr>
          <w:p>
            <w:pPr>
              <w:adjustRightInd w:val="0"/>
              <w:snapToGrid w:val="0"/>
              <w:jc w:val="center"/>
              <w:rPr>
                <w:szCs w:val="21"/>
              </w:rPr>
            </w:pPr>
            <w:r>
              <w:rPr>
                <w:kern w:val="0"/>
                <w:szCs w:val="21"/>
                <w:lang w:bidi="ar"/>
              </w:rPr>
              <w:t xml:space="preserve">土壤 水溶性氟化物和总氟化物的测定 离子选择电极法 ，HJ 873-2017 </w:t>
            </w:r>
          </w:p>
        </w:tc>
        <w:tc>
          <w:tcPr>
            <w:tcW w:w="1263" w:type="pct"/>
            <w:tcBorders>
              <w:tl2br w:val="nil"/>
              <w:tr2bl w:val="nil"/>
            </w:tcBorders>
            <w:vAlign w:val="center"/>
          </w:tcPr>
          <w:p>
            <w:pPr>
              <w:adjustRightInd w:val="0"/>
              <w:snapToGrid w:val="0"/>
              <w:jc w:val="center"/>
              <w:rPr>
                <w:szCs w:val="21"/>
              </w:rPr>
            </w:pPr>
            <w:r>
              <w:rPr>
                <w:szCs w:val="21"/>
              </w:rPr>
              <w:t>0.7</w:t>
            </w: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氨氮</w:t>
            </w:r>
          </w:p>
        </w:tc>
        <w:tc>
          <w:tcPr>
            <w:tcW w:w="2516" w:type="pct"/>
            <w:tcBorders>
              <w:tl2br w:val="nil"/>
              <w:tr2bl w:val="nil"/>
            </w:tcBorders>
            <w:vAlign w:val="center"/>
          </w:tcPr>
          <w:p>
            <w:pPr>
              <w:adjustRightInd w:val="0"/>
              <w:snapToGrid w:val="0"/>
              <w:jc w:val="center"/>
              <w:rPr>
                <w:szCs w:val="21"/>
              </w:rPr>
            </w:pPr>
            <w:r>
              <w:rPr>
                <w:szCs w:val="21"/>
              </w:rPr>
              <w:t>土壤 氨氮、亚硝酸盐氮、硝酸盐氮的测定 氯化钾溶液提取-分光光度法，HJ 634-2012</w:t>
            </w:r>
          </w:p>
        </w:tc>
        <w:tc>
          <w:tcPr>
            <w:tcW w:w="1263" w:type="pct"/>
            <w:tcBorders>
              <w:tl2br w:val="nil"/>
              <w:tr2bl w:val="nil"/>
            </w:tcBorders>
            <w:vAlign w:val="center"/>
          </w:tcPr>
          <w:p>
            <w:pPr>
              <w:adjustRightInd w:val="0"/>
              <w:snapToGrid w:val="0"/>
              <w:jc w:val="center"/>
              <w:rPr>
                <w:szCs w:val="21"/>
              </w:rPr>
            </w:pPr>
            <w:r>
              <w:rPr>
                <w:szCs w:val="21"/>
              </w:rPr>
              <w:t>0.10</w:t>
            </w: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kern w:val="0"/>
                <w:szCs w:val="21"/>
                <w:lang w:bidi="ar"/>
              </w:rPr>
              <w:t>pH</w:t>
            </w:r>
          </w:p>
        </w:tc>
        <w:tc>
          <w:tcPr>
            <w:tcW w:w="2516"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土壤 pH 值的测定 电位法 ，HJ 962-2018</w:t>
            </w:r>
          </w:p>
        </w:tc>
        <w:tc>
          <w:tcPr>
            <w:tcW w:w="1263" w:type="pct"/>
            <w:tcBorders>
              <w:tl2br w:val="nil"/>
              <w:tr2bl w:val="nil"/>
            </w:tcBorders>
            <w:vAlign w:val="center"/>
          </w:tcPr>
          <w:p>
            <w:pPr>
              <w:adjustRightInd w:val="0"/>
              <w:snapToGrid w:val="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钼</w:t>
            </w:r>
          </w:p>
        </w:tc>
        <w:tc>
          <w:tcPr>
            <w:tcW w:w="2516" w:type="pct"/>
            <w:tcBorders>
              <w:tl2br w:val="nil"/>
              <w:tr2bl w:val="nil"/>
            </w:tcBorders>
            <w:vAlign w:val="center"/>
          </w:tcPr>
          <w:p>
            <w:pPr>
              <w:adjustRightInd w:val="0"/>
              <w:snapToGrid w:val="0"/>
              <w:jc w:val="center"/>
              <w:rPr>
                <w:szCs w:val="21"/>
              </w:rPr>
            </w:pPr>
            <w:r>
              <w:rPr>
                <w:szCs w:val="21"/>
              </w:rPr>
              <w:t>土壤和沉积物 12种金属元素的测定 王水提取-电感耦合等离子体质谱法 HJ 803-2016</w:t>
            </w:r>
          </w:p>
        </w:tc>
        <w:tc>
          <w:tcPr>
            <w:tcW w:w="1263" w:type="pct"/>
            <w:tcBorders>
              <w:tl2br w:val="nil"/>
              <w:tr2bl w:val="nil"/>
            </w:tcBorders>
            <w:vAlign w:val="center"/>
          </w:tcPr>
          <w:p>
            <w:pPr>
              <w:adjustRightInd w:val="0"/>
              <w:snapToGrid w:val="0"/>
              <w:jc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草甘膦</w:t>
            </w:r>
          </w:p>
        </w:tc>
        <w:tc>
          <w:tcPr>
            <w:tcW w:w="2516" w:type="pct"/>
            <w:tcBorders>
              <w:tl2br w:val="nil"/>
              <w:tr2bl w:val="nil"/>
            </w:tcBorders>
            <w:vAlign w:val="center"/>
          </w:tcPr>
          <w:p>
            <w:pPr>
              <w:adjustRightInd w:val="0"/>
              <w:snapToGrid w:val="0"/>
              <w:jc w:val="center"/>
              <w:rPr>
                <w:szCs w:val="21"/>
              </w:rPr>
            </w:pPr>
            <w:r>
              <w:rPr>
                <w:szCs w:val="21"/>
              </w:rPr>
              <w:t xml:space="preserve">土壤和沉积物 草甘膦的测定 高效液相色谱法 </w:t>
            </w:r>
          </w:p>
          <w:p>
            <w:pPr>
              <w:adjustRightInd w:val="0"/>
              <w:snapToGrid w:val="0"/>
              <w:jc w:val="center"/>
              <w:rPr>
                <w:szCs w:val="21"/>
              </w:rPr>
            </w:pPr>
            <w:r>
              <w:rPr>
                <w:szCs w:val="21"/>
              </w:rPr>
              <w:t>HJ 1055-2019</w:t>
            </w:r>
          </w:p>
        </w:tc>
        <w:tc>
          <w:tcPr>
            <w:tcW w:w="1263" w:type="pct"/>
            <w:tcBorders>
              <w:tl2br w:val="nil"/>
              <w:tr2bl w:val="nil"/>
            </w:tcBorders>
            <w:vAlign w:val="center"/>
          </w:tcPr>
          <w:p>
            <w:pPr>
              <w:adjustRightInd w:val="0"/>
              <w:snapToGrid w:val="0"/>
              <w:jc w:val="center"/>
              <w:rPr>
                <w:szCs w:val="21"/>
              </w:rPr>
            </w:pPr>
            <w:r>
              <w:rPr>
                <w:szCs w:val="21"/>
              </w:rPr>
              <w:t>0.02mg/kg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甲醛</w:t>
            </w:r>
          </w:p>
        </w:tc>
        <w:tc>
          <w:tcPr>
            <w:tcW w:w="2516" w:type="pct"/>
            <w:tcBorders>
              <w:tl2br w:val="nil"/>
              <w:tr2bl w:val="nil"/>
            </w:tcBorders>
            <w:vAlign w:val="center"/>
          </w:tcPr>
          <w:p>
            <w:pPr>
              <w:adjustRightInd w:val="0"/>
              <w:snapToGrid w:val="0"/>
              <w:jc w:val="center"/>
              <w:rPr>
                <w:szCs w:val="21"/>
              </w:rPr>
            </w:pPr>
            <w:r>
              <w:rPr>
                <w:szCs w:val="21"/>
              </w:rPr>
              <w:t>土壤和沉积物 醛、酮类化合物的测定 高效液相色谱法 HJ 997-2018</w:t>
            </w:r>
          </w:p>
        </w:tc>
        <w:tc>
          <w:tcPr>
            <w:tcW w:w="1263" w:type="pct"/>
            <w:tcBorders>
              <w:tl2br w:val="nil"/>
              <w:tr2bl w:val="nil"/>
            </w:tcBorders>
            <w:vAlign w:val="center"/>
          </w:tcPr>
          <w:p>
            <w:pPr>
              <w:adjustRightInd w:val="0"/>
              <w:snapToGrid w:val="0"/>
              <w:jc w:val="center"/>
              <w:rPr>
                <w:szCs w:val="21"/>
              </w:rPr>
            </w:pPr>
            <w:r>
              <w:rPr>
                <w:szCs w:val="21"/>
              </w:rPr>
              <w:t>0.02mg/kg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丙酮</w:t>
            </w:r>
          </w:p>
        </w:tc>
        <w:tc>
          <w:tcPr>
            <w:tcW w:w="2516" w:type="pct"/>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0.04mg/kg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2，3,4,6-四氯酚</w:t>
            </w:r>
          </w:p>
        </w:tc>
        <w:tc>
          <w:tcPr>
            <w:tcW w:w="2516" w:type="pct"/>
            <w:tcBorders>
              <w:tl2br w:val="nil"/>
              <w:tr2bl w:val="nil"/>
            </w:tcBorders>
            <w:vAlign w:val="center"/>
          </w:tcPr>
          <w:p>
            <w:pPr>
              <w:adjustRightInd w:val="0"/>
              <w:snapToGrid w:val="0"/>
              <w:jc w:val="center"/>
              <w:rPr>
                <w:szCs w:val="21"/>
              </w:rPr>
            </w:pPr>
            <w:r>
              <w:rPr>
                <w:szCs w:val="21"/>
              </w:rPr>
              <w:t>土壤和沉积物 酚类化合物的测定 气相色谱法 HJ 703-2014</w:t>
            </w:r>
          </w:p>
        </w:tc>
        <w:tc>
          <w:tcPr>
            <w:tcW w:w="1263" w:type="pct"/>
            <w:tcBorders>
              <w:tl2br w:val="nil"/>
              <w:tr2bl w:val="nil"/>
            </w:tcBorders>
            <w:vAlign w:val="center"/>
          </w:tcPr>
          <w:p>
            <w:pPr>
              <w:adjustRightInd w:val="0"/>
              <w:snapToGrid w:val="0"/>
              <w:jc w:val="center"/>
              <w:rPr>
                <w:szCs w:val="21"/>
              </w:rPr>
            </w:pPr>
            <w:r>
              <w:rPr>
                <w:szCs w:val="21"/>
              </w:rPr>
              <w:t>0.02mg/kg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艾氏剂</w:t>
            </w:r>
          </w:p>
        </w:tc>
        <w:tc>
          <w:tcPr>
            <w:tcW w:w="2516" w:type="pct"/>
            <w:vMerge w:val="restart"/>
            <w:tcBorders>
              <w:tl2br w:val="nil"/>
              <w:tr2bl w:val="nil"/>
            </w:tcBorders>
            <w:vAlign w:val="center"/>
          </w:tcPr>
          <w:p>
            <w:pPr>
              <w:adjustRightInd w:val="0"/>
              <w:snapToGrid w:val="0"/>
              <w:jc w:val="center"/>
              <w:rPr>
                <w:szCs w:val="21"/>
              </w:rPr>
            </w:pPr>
            <w:r>
              <w:rPr>
                <w:szCs w:val="21"/>
              </w:rPr>
              <w:t>土壤和沉积物 有机氯农药的测定</w:t>
            </w:r>
          </w:p>
          <w:p>
            <w:pPr>
              <w:adjustRightInd w:val="0"/>
              <w:snapToGrid w:val="0"/>
              <w:jc w:val="center"/>
              <w:rPr>
                <w:szCs w:val="21"/>
              </w:rPr>
            </w:pPr>
            <w:r>
              <w:rPr>
                <w:szCs w:val="21"/>
              </w:rPr>
              <w:t xml:space="preserve">HJ 921-2017 </w:t>
            </w:r>
          </w:p>
        </w:tc>
        <w:tc>
          <w:tcPr>
            <w:tcW w:w="1263" w:type="pct"/>
            <w:tcBorders>
              <w:tl2br w:val="nil"/>
              <w:tr2bl w:val="nil"/>
            </w:tcBorders>
            <w:vAlign w:val="center"/>
          </w:tcPr>
          <w:p>
            <w:pPr>
              <w:adjustRightInd w:val="0"/>
              <w:snapToGrid w:val="0"/>
              <w:jc w:val="center"/>
              <w:rPr>
                <w:szCs w:val="21"/>
              </w:rPr>
            </w:pPr>
            <w:r>
              <w:rPr>
                <w:szCs w:val="21"/>
              </w:rPr>
              <w:t>0.09μg/kg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环氧七氯</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0.05μg/kg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狄氏剂</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0.04μg/kg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异狄氏剂</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0.07μg/kg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二嗪磷</w:t>
            </w:r>
          </w:p>
        </w:tc>
        <w:tc>
          <w:tcPr>
            <w:tcW w:w="2516" w:type="pct"/>
            <w:tcBorders>
              <w:tl2br w:val="nil"/>
              <w:tr2bl w:val="nil"/>
            </w:tcBorders>
            <w:vAlign w:val="center"/>
          </w:tcPr>
          <w:p>
            <w:pPr>
              <w:adjustRightInd w:val="0"/>
              <w:snapToGrid w:val="0"/>
              <w:jc w:val="center"/>
              <w:rPr>
                <w:szCs w:val="21"/>
              </w:rPr>
            </w:pPr>
            <w:r>
              <w:rPr>
                <w:szCs w:val="21"/>
              </w:rPr>
              <w:t>水土中有机磷农药的测定 气相色谱法 GB/T 14552-2003</w:t>
            </w:r>
          </w:p>
        </w:tc>
        <w:tc>
          <w:tcPr>
            <w:tcW w:w="1263" w:type="pct"/>
            <w:tcBorders>
              <w:tl2br w:val="nil"/>
              <w:tr2bl w:val="nil"/>
            </w:tcBorders>
            <w:vAlign w:val="center"/>
          </w:tcPr>
          <w:p>
            <w:pPr>
              <w:adjustRightInd w:val="0"/>
              <w:snapToGrid w:val="0"/>
              <w:jc w:val="center"/>
              <w:rPr>
                <w:szCs w:val="21"/>
              </w:rPr>
            </w:pPr>
            <w:r>
              <w:rPr>
                <w:szCs w:val="21"/>
              </w:rPr>
              <w:t>0.71×10</w:t>
            </w:r>
            <w:r>
              <w:rPr>
                <w:szCs w:val="21"/>
                <w:vertAlign w:val="superscript"/>
              </w:rPr>
              <w:t>-3</w:t>
            </w:r>
            <w:r>
              <w:rPr>
                <w:szCs w:val="21"/>
              </w:rPr>
              <w:t>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毒杀芬</w:t>
            </w:r>
          </w:p>
        </w:tc>
        <w:tc>
          <w:tcPr>
            <w:tcW w:w="2516" w:type="pct"/>
            <w:tcBorders>
              <w:tl2br w:val="nil"/>
              <w:tr2bl w:val="nil"/>
            </w:tcBorders>
            <w:vAlign w:val="center"/>
          </w:tcPr>
          <w:p>
            <w:pPr>
              <w:adjustRightInd w:val="0"/>
              <w:snapToGrid w:val="0"/>
              <w:jc w:val="center"/>
              <w:rPr>
                <w:szCs w:val="21"/>
              </w:rPr>
            </w:pPr>
            <w:r>
              <w:rPr>
                <w:szCs w:val="21"/>
              </w:rPr>
              <w:t>纺织品 农药残留毒杀芬的测定 气相色谱法 GB/T 17412.7-2006</w:t>
            </w:r>
          </w:p>
        </w:tc>
        <w:tc>
          <w:tcPr>
            <w:tcW w:w="1263" w:type="pct"/>
            <w:tcBorders>
              <w:tl2br w:val="nil"/>
              <w:tr2bl w:val="nil"/>
            </w:tcBorders>
            <w:vAlign w:val="center"/>
          </w:tcPr>
          <w:p>
            <w:pPr>
              <w:adjustRightInd w:val="0"/>
              <w:snapToGrid w:val="0"/>
              <w:jc w:val="center"/>
              <w:rPr>
                <w:szCs w:val="21"/>
              </w:rPr>
            </w:pPr>
            <w:r>
              <w:rPr>
                <w:szCs w:val="21"/>
              </w:rPr>
              <w:t>0.2μg/g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szCs w:val="21"/>
              </w:rPr>
              <w:t>丙烯腈</w:t>
            </w:r>
          </w:p>
        </w:tc>
        <w:tc>
          <w:tcPr>
            <w:tcW w:w="2516" w:type="pct"/>
            <w:tcBorders>
              <w:tl2br w:val="nil"/>
              <w:tr2bl w:val="nil"/>
            </w:tcBorders>
            <w:vAlign w:val="center"/>
          </w:tcPr>
          <w:p>
            <w:pPr>
              <w:adjustRightInd w:val="0"/>
              <w:snapToGrid w:val="0"/>
              <w:jc w:val="center"/>
              <w:rPr>
                <w:szCs w:val="21"/>
              </w:rPr>
            </w:pPr>
            <w:r>
              <w:rPr>
                <w:szCs w:val="21"/>
              </w:rPr>
              <w:t xml:space="preserve">土壤和沉积物 丙烯腈 丙烯醛 </w:t>
            </w:r>
          </w:p>
          <w:p>
            <w:pPr>
              <w:adjustRightInd w:val="0"/>
              <w:snapToGrid w:val="0"/>
              <w:jc w:val="center"/>
              <w:rPr>
                <w:szCs w:val="21"/>
              </w:rPr>
            </w:pPr>
            <w:r>
              <w:rPr>
                <w:szCs w:val="21"/>
              </w:rPr>
              <w:t>乙腈的测定 HJ 679-2013</w:t>
            </w:r>
          </w:p>
        </w:tc>
        <w:tc>
          <w:tcPr>
            <w:tcW w:w="1263" w:type="pct"/>
            <w:tcBorders>
              <w:tl2br w:val="nil"/>
              <w:tr2bl w:val="nil"/>
            </w:tcBorders>
            <w:vAlign w:val="center"/>
          </w:tcPr>
          <w:p>
            <w:pPr>
              <w:adjustRightInd w:val="0"/>
              <w:snapToGrid w:val="0"/>
              <w:jc w:val="center"/>
              <w:rPr>
                <w:szCs w:val="21"/>
              </w:rPr>
            </w:pPr>
            <w:r>
              <w:rPr>
                <w:szCs w:val="21"/>
              </w:rPr>
              <w:t>0.3mg/kg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甲拌磷</w:t>
            </w:r>
          </w:p>
        </w:tc>
        <w:tc>
          <w:tcPr>
            <w:tcW w:w="2516" w:type="pct"/>
            <w:vMerge w:val="restart"/>
            <w:tcBorders>
              <w:tl2br w:val="nil"/>
              <w:tr2bl w:val="nil"/>
            </w:tcBorders>
            <w:vAlign w:val="center"/>
          </w:tcPr>
          <w:p>
            <w:pPr>
              <w:adjustRightInd w:val="0"/>
              <w:snapToGrid w:val="0"/>
              <w:jc w:val="center"/>
              <w:rPr>
                <w:szCs w:val="21"/>
              </w:rPr>
            </w:pPr>
            <w:r>
              <w:rPr>
                <w:szCs w:val="21"/>
              </w:rPr>
              <w:t>土壤和沉积物  有机磷类和拟除虫菊酯类等47种农药的测定 气相色谱—质谱法  HJ1023-2019</w:t>
            </w:r>
          </w:p>
        </w:tc>
        <w:tc>
          <w:tcPr>
            <w:tcW w:w="1263" w:type="pct"/>
            <w:tcBorders>
              <w:tl2br w:val="nil"/>
              <w:tr2bl w:val="nil"/>
            </w:tcBorders>
            <w:vAlign w:val="center"/>
          </w:tcPr>
          <w:p>
            <w:pPr>
              <w:adjustRightInd w:val="0"/>
              <w:snapToGrid w:val="0"/>
              <w:jc w:val="center"/>
              <w:rPr>
                <w:szCs w:val="21"/>
              </w:rPr>
            </w:pPr>
            <w:r>
              <w:rPr>
                <w:szCs w:val="21"/>
              </w:rPr>
              <w:t>0.4mg/kg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乙拌磷</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0.3mg/kg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甲基对硫磷</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0.3mg/kg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N-亚硝基二正甲胺</w:t>
            </w:r>
          </w:p>
        </w:tc>
        <w:tc>
          <w:tcPr>
            <w:tcW w:w="2516" w:type="pct"/>
            <w:vMerge w:val="restart"/>
            <w:tcBorders>
              <w:tl2br w:val="nil"/>
              <w:tr2bl w:val="nil"/>
            </w:tcBorders>
            <w:vAlign w:val="center"/>
          </w:tcPr>
          <w:p>
            <w:pPr>
              <w:adjustRightInd w:val="0"/>
              <w:snapToGrid w:val="0"/>
              <w:jc w:val="center"/>
              <w:rPr>
                <w:szCs w:val="21"/>
              </w:rPr>
            </w:pPr>
            <w:r>
              <w:rPr>
                <w:szCs w:val="21"/>
              </w:rPr>
              <w:t>土壤和沉积物 半挥发性有机物的测定 气相色谱-质谱法HJ834-2017</w:t>
            </w:r>
          </w:p>
        </w:tc>
        <w:tc>
          <w:tcPr>
            <w:tcW w:w="1263" w:type="pct"/>
            <w:tcBorders>
              <w:tl2br w:val="nil"/>
              <w:tr2bl w:val="nil"/>
            </w:tcBorders>
            <w:vAlign w:val="center"/>
          </w:tcPr>
          <w:p>
            <w:pPr>
              <w:widowControl/>
              <w:adjustRightInd w:val="0"/>
              <w:snapToGrid w:val="0"/>
              <w:jc w:val="center"/>
              <w:textAlignment w:val="center"/>
              <w:rPr>
                <w:szCs w:val="21"/>
              </w:rPr>
            </w:pPr>
            <w:r>
              <w:rPr>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苯酚</w:t>
            </w:r>
          </w:p>
        </w:tc>
        <w:tc>
          <w:tcPr>
            <w:tcW w:w="2516" w:type="pct"/>
            <w:vMerge w:val="continue"/>
            <w:tcBorders>
              <w:tl2br w:val="nil"/>
              <w:tr2bl w:val="nil"/>
            </w:tcBorders>
            <w:vAlign w:val="center"/>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二（2-氯乙基）醚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2-甲基苯酚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4-甲基苯酚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N-亚硝基二正丙胺</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0.07mg/kg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六氯乙烷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异佛尔酮</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0.07mg/kg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2,4-二甲基苯酚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二（2-氯乙氧基）甲烷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4-氯苯胺</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六氯丁二烯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0.06mg/kg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4-氯-3-甲基苯酚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0.06mg/kg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2-甲基萘</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2,4,5-三氯苯酚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2-氯萘</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2-硝基苯胺</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2,6-二硝基甲苯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苊</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二苯并呋喃</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邻苯二甲酸二乙酯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0.3</w:t>
            </w:r>
            <w:r>
              <w:rPr>
                <w:szCs w:val="21"/>
              </w:rPr>
              <w:t>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芴</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4-硝基苯胺</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偶氮苯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4,6-二硝基-2-甲基苯酚</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菲</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蒽</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荧蒽</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0.2</w:t>
            </w:r>
            <w:r>
              <w:rPr>
                <w:szCs w:val="21"/>
              </w:rPr>
              <w:t>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21" w:type="pct"/>
            <w:tcBorders>
              <w:tl2br w:val="nil"/>
              <w:tr2bl w:val="nil"/>
            </w:tcBorders>
            <w:vAlign w:val="center"/>
          </w:tcPr>
          <w:p>
            <w:pPr>
              <w:adjustRightInd w:val="0"/>
              <w:snapToGrid w:val="0"/>
              <w:jc w:val="center"/>
              <w:rPr>
                <w:szCs w:val="21"/>
              </w:rPr>
            </w:pPr>
            <w:r>
              <w:rPr>
                <w:szCs w:val="21"/>
              </w:rPr>
              <w:t>芘</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adjustRightInd w:val="0"/>
              <w:snapToGrid w:val="0"/>
              <w:jc w:val="center"/>
              <w:rPr>
                <w:szCs w:val="21"/>
              </w:rPr>
            </w:pPr>
            <w:r>
              <w:rPr>
                <w:szCs w:val="21"/>
              </w:rPr>
              <w:t>苯并[g，h，i]苝</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kern w:val="0"/>
                <w:szCs w:val="21"/>
                <w:lang w:bidi="ar"/>
              </w:rPr>
            </w:pPr>
            <w:r>
              <w:rPr>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2-丁酮</w:t>
            </w:r>
          </w:p>
        </w:tc>
        <w:tc>
          <w:tcPr>
            <w:tcW w:w="2516" w:type="pct"/>
            <w:vMerge w:val="restart"/>
            <w:tcBorders>
              <w:tl2br w:val="nil"/>
              <w:tr2bl w:val="nil"/>
            </w:tcBorders>
            <w:vAlign w:val="center"/>
          </w:tcPr>
          <w:p>
            <w:pPr>
              <w:adjustRightInd w:val="0"/>
              <w:snapToGrid w:val="0"/>
              <w:jc w:val="center"/>
              <w:rPr>
                <w:szCs w:val="21"/>
              </w:rPr>
            </w:pPr>
            <w:r>
              <w:rPr>
                <w:szCs w:val="21"/>
              </w:rPr>
              <w:t>土壤和沉积物   挥发性有机物的测定 吹扫捕集/气相色谱-质谱法 HJ605-2011</w:t>
            </w:r>
          </w:p>
        </w:tc>
        <w:tc>
          <w:tcPr>
            <w:tcW w:w="1263" w:type="pct"/>
            <w:tcBorders>
              <w:tl2br w:val="nil"/>
              <w:tr2bl w:val="nil"/>
            </w:tcBorders>
            <w:vAlign w:val="center"/>
          </w:tcPr>
          <w:p>
            <w:pPr>
              <w:adjustRightInd w:val="0"/>
              <w:snapToGrid w:val="0"/>
              <w:jc w:val="center"/>
              <w:rPr>
                <w:szCs w:val="21"/>
              </w:rPr>
            </w:pPr>
            <w:r>
              <w:rPr>
                <w:szCs w:val="21"/>
              </w:rPr>
              <w:t>3.2μg/kg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1,1,2-三氯丙烷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二硫化碳</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丙酮</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溴氯甲烷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adjustRightInd w:val="0"/>
              <w:snapToGrid w:val="0"/>
              <w:jc w:val="center"/>
              <w:rPr>
                <w:szCs w:val="21"/>
              </w:rPr>
            </w:pPr>
            <w:r>
              <w:rPr>
                <w:szCs w:val="21"/>
              </w:rPr>
              <w:t>1.4μg/kg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二溴甲烷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4-甲基-2-戊酮</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1.8μg/kg</w:t>
            </w:r>
          </w:p>
        </w:tc>
      </w:tr>
      <w:tr>
        <w:tblPrEx>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1,3-二氯丙烷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2-己酮</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3.0μg/kg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溴苯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正丙苯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2-氯甲苯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4-氯甲苯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1,3,5-三甲基苯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1,2,4-三甲基苯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仲丁基苯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正丁基苯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1.7μg/kg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1,2-二溴-3-氯丙烷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1.9μg/kg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1,2,4-三氯苯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1,2,3-三氯苯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溴甲烷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kern w:val="0"/>
                <w:szCs w:val="21"/>
                <w:lang w:bidi="ar"/>
              </w:rPr>
            </w:pPr>
            <w:r>
              <w:rPr>
                <w:kern w:val="0"/>
                <w:szCs w:val="21"/>
                <w:lang w:bidi="ar"/>
              </w:rPr>
              <w:t>氯乙烷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0.8μg/kg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三氯氟甲烷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1.1μg/kg</w:t>
            </w:r>
          </w:p>
        </w:tc>
      </w:tr>
      <w:tr>
        <w:tblPrEx>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二氯二氟甲烷</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0.4μg/kg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叔丁基苯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21" w:type="pct"/>
            <w:tcBorders>
              <w:tl2br w:val="nil"/>
              <w:tr2bl w:val="nil"/>
            </w:tcBorders>
            <w:vAlign w:val="center"/>
          </w:tcPr>
          <w:p>
            <w:pPr>
              <w:widowControl/>
              <w:adjustRightInd w:val="0"/>
              <w:snapToGrid w:val="0"/>
              <w:jc w:val="center"/>
              <w:textAlignment w:val="center"/>
              <w:rPr>
                <w:szCs w:val="21"/>
              </w:rPr>
            </w:pPr>
            <w:r>
              <w:rPr>
                <w:szCs w:val="21"/>
              </w:rPr>
              <w:t>异丙苯</w:t>
            </w:r>
          </w:p>
        </w:tc>
        <w:tc>
          <w:tcPr>
            <w:tcW w:w="2516" w:type="pct"/>
            <w:vMerge w:val="continue"/>
            <w:tcBorders>
              <w:tl2br w:val="nil"/>
              <w:tr2bl w:val="nil"/>
            </w:tcBorders>
          </w:tcPr>
          <w:p>
            <w:pPr>
              <w:adjustRightInd w:val="0"/>
              <w:snapToGrid w:val="0"/>
              <w:jc w:val="center"/>
              <w:rPr>
                <w:szCs w:val="21"/>
              </w:rPr>
            </w:pPr>
          </w:p>
        </w:tc>
        <w:tc>
          <w:tcPr>
            <w:tcW w:w="1263" w:type="pct"/>
            <w:tcBorders>
              <w:tl2br w:val="nil"/>
              <w:tr2bl w:val="nil"/>
            </w:tcBorders>
            <w:vAlign w:val="center"/>
          </w:tcPr>
          <w:p>
            <w:pPr>
              <w:widowControl/>
              <w:adjustRightInd w:val="0"/>
              <w:snapToGrid w:val="0"/>
              <w:jc w:val="center"/>
              <w:textAlignment w:val="center"/>
              <w:rPr>
                <w:szCs w:val="21"/>
              </w:rPr>
            </w:pPr>
            <w:r>
              <w:rPr>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21" w:type="pct"/>
            <w:vAlign w:val="center"/>
          </w:tcPr>
          <w:p>
            <w:pPr>
              <w:widowControl/>
              <w:adjustRightInd w:val="0"/>
              <w:snapToGrid w:val="0"/>
              <w:jc w:val="center"/>
              <w:textAlignment w:val="center"/>
              <w:rPr>
                <w:szCs w:val="21"/>
              </w:rPr>
            </w:pPr>
            <w:r>
              <w:rPr>
                <w:rFonts w:eastAsiaTheme="minorEastAsia"/>
                <w:szCs w:val="21"/>
              </w:rPr>
              <w:t>氨氮</w:t>
            </w:r>
          </w:p>
        </w:tc>
        <w:tc>
          <w:tcPr>
            <w:tcW w:w="2516" w:type="pct"/>
            <w:vAlign w:val="center"/>
          </w:tcPr>
          <w:p>
            <w:pPr>
              <w:adjustRightInd w:val="0"/>
              <w:snapToGrid w:val="0"/>
              <w:jc w:val="center"/>
              <w:rPr>
                <w:szCs w:val="21"/>
              </w:rPr>
            </w:pPr>
            <w:r>
              <w:rPr>
                <w:rFonts w:eastAsiaTheme="minorEastAsia"/>
                <w:szCs w:val="21"/>
              </w:rPr>
              <w:t>土壤 氨氮、亚硝酸盐氮、硝酸盐氮的测定 氯化钾溶液提取-分光光度法HJ 634-2012</w:t>
            </w:r>
          </w:p>
        </w:tc>
        <w:tc>
          <w:tcPr>
            <w:tcW w:w="1263" w:type="pct"/>
            <w:vAlign w:val="center"/>
          </w:tcPr>
          <w:p>
            <w:pPr>
              <w:jc w:val="center"/>
            </w:pPr>
            <w:r>
              <w:t>0.1</w:t>
            </w:r>
            <w:r>
              <w:rPr>
                <w:rFonts w:hint="eastAsia"/>
              </w:rPr>
              <w:t>mg/kg</w:t>
            </w:r>
          </w:p>
        </w:tc>
      </w:tr>
    </w:tbl>
    <w:p>
      <w:pPr>
        <w:spacing w:line="480" w:lineRule="exact"/>
        <w:ind w:firstLine="525" w:firstLineChars="218"/>
        <w:rPr>
          <w:b/>
          <w:sz w:val="24"/>
        </w:rPr>
      </w:pPr>
      <w:r>
        <w:rPr>
          <w:b/>
          <w:sz w:val="24"/>
          <w:szCs w:val="24"/>
        </w:rPr>
        <w:t>（5）</w:t>
      </w:r>
      <w:bookmarkStart w:id="121" w:name="_Hlk80193398"/>
      <w:r>
        <w:rPr>
          <w:b/>
          <w:sz w:val="24"/>
          <w:szCs w:val="24"/>
        </w:rPr>
        <w:t xml:space="preserve"> </w:t>
      </w:r>
      <w:r>
        <w:rPr>
          <w:b/>
          <w:sz w:val="24"/>
        </w:rPr>
        <w:t>监测结果</w:t>
      </w:r>
    </w:p>
    <w:p>
      <w:pPr>
        <w:spacing w:line="480" w:lineRule="exact"/>
        <w:ind w:firstLine="523" w:firstLineChars="218"/>
        <w:rPr>
          <w:sz w:val="24"/>
        </w:rPr>
      </w:pPr>
      <w:r>
        <w:rPr>
          <w:rFonts w:hint="eastAsia"/>
          <w:sz w:val="24"/>
        </w:rPr>
        <w:t>本项目场址</w:t>
      </w:r>
      <w:r>
        <w:rPr>
          <w:sz w:val="24"/>
        </w:rPr>
        <w:t>所在地土壤环境中建设用地（表层样</w:t>
      </w:r>
      <w:r>
        <w:rPr>
          <w:rFonts w:hint="eastAsia"/>
          <w:sz w:val="24"/>
        </w:rPr>
        <w:t>1</w:t>
      </w:r>
      <w:r>
        <w:rPr>
          <w:sz w:val="24"/>
        </w:rPr>
        <w:t>#、</w:t>
      </w:r>
      <w:r>
        <w:rPr>
          <w:rFonts w:hint="eastAsia"/>
          <w:sz w:val="24"/>
        </w:rPr>
        <w:t>2</w:t>
      </w:r>
      <w:r>
        <w:rPr>
          <w:sz w:val="24"/>
        </w:rPr>
        <w:t>#、</w:t>
      </w:r>
      <w:r>
        <w:rPr>
          <w:rFonts w:hint="eastAsia"/>
          <w:sz w:val="24"/>
        </w:rPr>
        <w:t>3</w:t>
      </w:r>
      <w:r>
        <w:rPr>
          <w:sz w:val="24"/>
        </w:rPr>
        <w:t>#）各种污染物的</w:t>
      </w:r>
      <w:r>
        <w:rPr>
          <w:rFonts w:hint="eastAsia"/>
          <w:sz w:val="24"/>
        </w:rPr>
        <w:t>监测值</w:t>
      </w:r>
      <w:r>
        <w:rPr>
          <w:sz w:val="24"/>
        </w:rPr>
        <w:t>见</w:t>
      </w:r>
      <w:r>
        <w:rPr>
          <w:rFonts w:hint="eastAsia"/>
          <w:sz w:val="24"/>
        </w:rPr>
        <w:t>表</w:t>
      </w:r>
      <w:r>
        <w:rPr>
          <w:sz w:val="24"/>
        </w:rPr>
        <w:t>4.3</w:t>
      </w:r>
      <w:r>
        <w:rPr>
          <w:rFonts w:hint="eastAsia"/>
          <w:sz w:val="24"/>
        </w:rPr>
        <w:t>.5</w:t>
      </w:r>
      <w:r>
        <w:rPr>
          <w:sz w:val="24"/>
        </w:rPr>
        <w:t>-</w:t>
      </w:r>
      <w:r>
        <w:rPr>
          <w:rFonts w:hint="eastAsia"/>
          <w:sz w:val="24"/>
        </w:rPr>
        <w:t>3</w:t>
      </w:r>
      <w:r>
        <w:rPr>
          <w:sz w:val="24"/>
        </w:rPr>
        <w:t>。</w:t>
      </w:r>
    </w:p>
    <w:p>
      <w:pPr>
        <w:spacing w:line="480" w:lineRule="exact"/>
        <w:ind w:firstLine="210"/>
        <w:jc w:val="center"/>
        <w:rPr>
          <w:rFonts w:eastAsia="黑体"/>
          <w:sz w:val="24"/>
          <w:szCs w:val="24"/>
          <w:lang w:val="zh-CN"/>
        </w:rPr>
      </w:pPr>
      <w:r>
        <w:rPr>
          <w:b/>
          <w:sz w:val="24"/>
          <w:szCs w:val="24"/>
        </w:rPr>
        <w:t>表4.3.5-</w:t>
      </w:r>
      <w:r>
        <w:rPr>
          <w:rFonts w:hint="eastAsia"/>
          <w:b/>
          <w:sz w:val="24"/>
          <w:szCs w:val="24"/>
        </w:rPr>
        <w:t>3</w:t>
      </w:r>
      <w:r>
        <w:rPr>
          <w:rFonts w:eastAsia="黑体"/>
          <w:sz w:val="24"/>
          <w:szCs w:val="24"/>
          <w:lang w:val="zh-CN"/>
        </w:rPr>
        <w:t>土壤监测及评价结果一览表监测值</w:t>
      </w:r>
      <w:r>
        <w:rPr>
          <w:rFonts w:eastAsia="黑体"/>
          <w:sz w:val="24"/>
          <w:szCs w:val="24"/>
        </w:rPr>
        <w:t xml:space="preserve"> </w:t>
      </w:r>
      <w:r>
        <w:rPr>
          <w:rFonts w:eastAsia="黑体"/>
          <w:sz w:val="24"/>
          <w:szCs w:val="24"/>
          <w:lang w:val="zh-CN"/>
        </w:rPr>
        <w:t>单位：mg/kg（二噁英除外）</w:t>
      </w:r>
    </w:p>
    <w:tbl>
      <w:tblPr>
        <w:tblStyle w:val="39"/>
        <w:tblW w:w="49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560"/>
        <w:gridCol w:w="1946"/>
        <w:gridCol w:w="1188"/>
        <w:gridCol w:w="1275"/>
        <w:gridCol w:w="1275"/>
        <w:gridCol w:w="127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2755" w:type="pct"/>
            <w:gridSpan w:val="3"/>
            <w:shd w:val="clear" w:color="auto" w:fill="auto"/>
            <w:vAlign w:val="center"/>
          </w:tcPr>
          <w:p>
            <w:pPr>
              <w:adjustRightInd w:val="0"/>
              <w:snapToGrid w:val="0"/>
              <w:jc w:val="center"/>
              <w:rPr>
                <w:rFonts w:eastAsiaTheme="minorEastAsia"/>
                <w:szCs w:val="21"/>
              </w:rPr>
            </w:pPr>
            <w:r>
              <w:rPr>
                <w:rFonts w:eastAsiaTheme="minorEastAsia"/>
                <w:szCs w:val="21"/>
              </w:rPr>
              <w:t>项目</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厂址内1#</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厂址内2#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厂址内3#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2755" w:type="pct"/>
            <w:gridSpan w:val="3"/>
            <w:shd w:val="clear" w:color="auto" w:fill="auto"/>
            <w:vAlign w:val="center"/>
          </w:tcPr>
          <w:p>
            <w:pPr>
              <w:adjustRightInd w:val="0"/>
              <w:snapToGrid w:val="0"/>
              <w:jc w:val="center"/>
              <w:rPr>
                <w:rFonts w:eastAsiaTheme="minorEastAsia"/>
                <w:szCs w:val="21"/>
              </w:rPr>
            </w:pPr>
            <w:r>
              <w:rPr>
                <w:rFonts w:eastAsiaTheme="minorEastAsia"/>
                <w:szCs w:val="21"/>
              </w:rPr>
              <w:t>监测因子</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表面</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表面</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表面</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3.56</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4.55</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4.21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60mg/kg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0.059</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0.076</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镉</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0.12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0.14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0.14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65mg/kg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0.0022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0.0022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六价铬</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tcPr>
          <w:p>
            <w:pPr>
              <w:adjustRightInd w:val="0"/>
              <w:snapToGrid w:val="0"/>
              <w:jc w:val="center"/>
              <w:rPr>
                <w:rFonts w:eastAsiaTheme="minorEastAsia"/>
                <w:szCs w:val="21"/>
              </w:rPr>
            </w:pPr>
            <w:r>
              <w:rPr>
                <w:rFonts w:eastAsiaTheme="minorEastAsia"/>
                <w:szCs w:val="21"/>
              </w:rPr>
              <w:t>--</w:t>
            </w:r>
          </w:p>
        </w:tc>
        <w:tc>
          <w:tcPr>
            <w:tcW w:w="748" w:type="pct"/>
            <w:shd w:val="clear" w:color="auto" w:fill="auto"/>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汞</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0.132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0.157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0.179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38mg/kg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0.0035</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0.0041</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0.0047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铅</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26</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29</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31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800mg/kg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0.033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0.036</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0.039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铜</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31</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18000mg/kg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镍</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34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31</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31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900mg/kg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0.038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0.034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0.034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c>
          <w:tcPr>
            <w:tcW w:w="748" w:type="pct"/>
            <w:shd w:val="clear" w:color="auto" w:fill="auto"/>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四氯化碳</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氯仿</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0.9mg/kg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氯甲烷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37mg/kg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1,1-二氯乙烷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9mg/kg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1,2-二氯乙烷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1,1-二氯乙烯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66mg/kg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顺-1,2-二氯乙烯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596mg/kg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反-1,2-二氯乙烯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二氯甲烷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616mg/kg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1,2-二氯丙烷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1,1,1,2-四氯乙烷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1,1,2,2-四氯乙烷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6.8mg/kg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四氯乙烯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1,1,1-三氯乙烷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840mg/kg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1,1,2-三氯乙烷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三氯乙烯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1,2,3-三氯丙烷</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0.5mg/kg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0.43mg/kg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氯苯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270mg/kg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1,2-二氯苯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560mg/kg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1,4-二氯苯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乙苯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苯乙烯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1290mg/kg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甲苯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间二甲苯+对二甲苯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570mg/kg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邻二甲苯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640mg/kg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硝基苯</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76mg/kg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苯胺</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260mg/kg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2-氯酚</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2256mg/kg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苯并[a]蒽</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苯并[a]芘</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苯并荧[b]蒽</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苯并荧[k]蒽</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151mg/kg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䓛</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1293mg/kg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二苯并[a，h]蒽</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茚并[1,2,3-cd]芘</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萘</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70mg/kg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氨氮</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86.9</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84.3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83.7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0.072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二噁英类</w:t>
            </w:r>
          </w:p>
        </w:tc>
        <w:tc>
          <w:tcPr>
            <w:tcW w:w="1142" w:type="pct"/>
            <w:shd w:val="clear" w:color="auto" w:fill="auto"/>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监测值ng/kg</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4×10</w:t>
            </w:r>
            <w:r>
              <w:rPr>
                <w:rFonts w:eastAsiaTheme="minorEastAsia"/>
                <w:szCs w:val="21"/>
                <w:vertAlign w:val="superscript"/>
              </w:rPr>
              <w:t>-5</w:t>
            </w:r>
            <w:r>
              <w:rPr>
                <w:rFonts w:eastAsiaTheme="minorEastAsia"/>
                <w:szCs w:val="21"/>
              </w:rPr>
              <w:t>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锌</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63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54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0.063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0.054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钼</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2.5</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2418mg/kg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硒</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2.43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2393mg/kg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铊</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4.8mg/kg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钡</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486</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528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495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5460mg/kg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0.089</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0.097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0.091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银</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9.7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11.3</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12.5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2418mg/kg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0.004</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0.0047</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0.0052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锡</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锰</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502</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616</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507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氟化物（可溶性）</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1.8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1.8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0.0018</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0.0019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丙酮</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二硫化碳</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228mg/kg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溴氯甲烷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140mg/kg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2-氯甲苯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910mg/kg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4-氯甲苯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250mg/kg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1,2,4-三氯苯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1,2,3-三氯苯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387mg/kg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1,3-二氯丙烷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1,1,2-三氯丙烷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1596mg/kg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溴甲烷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氯乙烷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4165mg/kg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三氯氟甲烷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1200mg/kg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二溴甲烷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33mg/kg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1,2-二溴-3-氯丙烷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0.13mg/kg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二氯二氟甲烷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丙烯腈</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溴苯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683mg/kg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异丙基苯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270mg/kg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正丙苯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260mg/kg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叔丁基苯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180mg/kg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仲丁基苯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150mg/kg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丙烯腈</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溴苯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683mg/kg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异丙基苯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270mg/kg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正丙苯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260mg/kg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叔丁基苯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180mg/kg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仲丁基苯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150mg/kg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甲醛</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30mg/kg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六氯乙烷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N-亚硝基二丙胺</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0.24mg/kg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N-亚硝基二甲胺</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0.08mg/kg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六氯丁二烯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7.6mg/kg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4-甲基苯酚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2,4-二甲基苯酚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5927mg/kg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2,3,4,6-四氯苯酚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8890mg/kg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2-甲基苯酚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2,6-二硝基甲苯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1.2mg/kg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异佛乐酮</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1897mg/kg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4-氯-3-甲基苯酚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4,6-二硝基邻甲酚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偶氮苯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2,4,5-三氯酚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4-硝基苯胺</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90mg/kg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4-氯苯胺</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9mg/kg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2-硝基苯胺</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48mg/kg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2-氯萘</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苊</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蒽</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荧蒽</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芴</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芘</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7964mg/kg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菲</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7190mg/kg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苯并[g,h,i]苝</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7190mg/kg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2-甲基萘</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1062mg/kg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邻苯二甲酸二乙酯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双（2-氯乙氧基）甲烷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889mg/kg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二苯并呋喃</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407mg/kg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二氯乙醚</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1.5mg/kg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毒杀芬</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1.6mg/kg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艾氏剂</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0.1mg/kg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狄氏剂</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0.1mg/kg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异狄氏剂</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89mg/kg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草甘膦</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10000mg/kg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甲拌磷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59mg/kg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乙拌磷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12mg/kg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甲基对硫磷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74mg/kg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二嗪磷</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207mg/kg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restart"/>
            <w:shd w:val="clear" w:color="auto" w:fill="auto"/>
            <w:vAlign w:val="center"/>
          </w:tcPr>
          <w:p>
            <w:pPr>
              <w:adjustRightInd w:val="0"/>
              <w:snapToGrid w:val="0"/>
              <w:jc w:val="center"/>
              <w:rPr>
                <w:rFonts w:eastAsiaTheme="minorEastAsia"/>
                <w:szCs w:val="21"/>
              </w:rPr>
            </w:pPr>
            <w:r>
              <w:rPr>
                <w:rFonts w:eastAsiaTheme="minorEastAsia"/>
                <w:szCs w:val="21"/>
              </w:rPr>
              <w:t>环氧七氯</w:t>
            </w:r>
          </w:p>
        </w:tc>
        <w:tc>
          <w:tcPr>
            <w:tcW w:w="1142" w:type="pct"/>
            <w:shd w:val="clear" w:color="auto" w:fill="auto"/>
            <w:noWrap/>
            <w:vAlign w:val="center"/>
          </w:tcPr>
          <w:p>
            <w:pPr>
              <w:adjustRightInd w:val="0"/>
              <w:snapToGrid w:val="0"/>
              <w:jc w:val="center"/>
              <w:rPr>
                <w:rFonts w:eastAsiaTheme="minorEastAsia"/>
                <w:szCs w:val="21"/>
              </w:rPr>
            </w:pPr>
            <w:r>
              <w:rPr>
                <w:rFonts w:eastAsiaTheme="minorEastAsia"/>
                <w:szCs w:val="21"/>
              </w:rPr>
              <w:t>标准值</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监测值</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ND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restart"/>
            <w:shd w:val="clear" w:color="auto" w:fill="auto"/>
            <w:noWrap/>
            <w:vAlign w:val="center"/>
          </w:tcPr>
          <w:p>
            <w:pPr>
              <w:adjustRightInd w:val="0"/>
              <w:snapToGrid w:val="0"/>
              <w:jc w:val="center"/>
              <w:rPr>
                <w:rFonts w:eastAsiaTheme="minorEastAsia"/>
                <w:szCs w:val="21"/>
              </w:rPr>
            </w:pPr>
            <w:r>
              <w:rPr>
                <w:rFonts w:eastAsiaTheme="minorEastAsia"/>
                <w:szCs w:val="21"/>
              </w:rPr>
              <w:t>0.3mg/kg</w:t>
            </w: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标准指数</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16" w:type="pct"/>
            <w:vMerge w:val="continue"/>
            <w:shd w:val="clear" w:color="auto" w:fill="auto"/>
            <w:vAlign w:val="center"/>
          </w:tcPr>
          <w:p>
            <w:pPr>
              <w:adjustRightInd w:val="0"/>
              <w:snapToGrid w:val="0"/>
              <w:jc w:val="center"/>
              <w:rPr>
                <w:rFonts w:eastAsiaTheme="minorEastAsia"/>
                <w:szCs w:val="21"/>
              </w:rPr>
            </w:pPr>
          </w:p>
        </w:tc>
        <w:tc>
          <w:tcPr>
            <w:tcW w:w="1142" w:type="pct"/>
            <w:vMerge w:val="continue"/>
            <w:shd w:val="clear" w:color="auto" w:fill="auto"/>
            <w:noWrap/>
            <w:vAlign w:val="center"/>
          </w:tcPr>
          <w:p>
            <w:pPr>
              <w:adjustRightInd w:val="0"/>
              <w:snapToGrid w:val="0"/>
              <w:jc w:val="center"/>
              <w:rPr>
                <w:rFonts w:eastAsiaTheme="minorEastAsia"/>
                <w:szCs w:val="21"/>
              </w:rPr>
            </w:pPr>
          </w:p>
        </w:tc>
        <w:tc>
          <w:tcPr>
            <w:tcW w:w="696" w:type="pct"/>
            <w:shd w:val="clear" w:color="auto" w:fill="auto"/>
            <w:vAlign w:val="center"/>
          </w:tcPr>
          <w:p>
            <w:pPr>
              <w:adjustRightInd w:val="0"/>
              <w:snapToGrid w:val="0"/>
              <w:jc w:val="center"/>
              <w:rPr>
                <w:rFonts w:eastAsiaTheme="minorEastAsia"/>
                <w:szCs w:val="21"/>
              </w:rPr>
            </w:pPr>
            <w:r>
              <w:rPr>
                <w:rFonts w:eastAsiaTheme="minorEastAsia"/>
                <w:szCs w:val="21"/>
              </w:rPr>
              <w:t>超标率</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c>
          <w:tcPr>
            <w:tcW w:w="748" w:type="pct"/>
            <w:shd w:val="clear" w:color="auto" w:fill="auto"/>
            <w:vAlign w:val="center"/>
          </w:tcPr>
          <w:p>
            <w:pPr>
              <w:adjustRightInd w:val="0"/>
              <w:snapToGrid w:val="0"/>
              <w:jc w:val="center"/>
              <w:rPr>
                <w:rFonts w:eastAsiaTheme="minorEastAsia"/>
                <w:szCs w:val="21"/>
              </w:rPr>
            </w:pPr>
            <w:r>
              <w:rPr>
                <w:rFonts w:eastAsiaTheme="minorEastAsia"/>
                <w:szCs w:val="21"/>
              </w:rPr>
              <w:t>0</w:t>
            </w:r>
          </w:p>
        </w:tc>
      </w:tr>
      <w:bookmarkEnd w:id="121"/>
    </w:tbl>
    <w:p>
      <w:pPr>
        <w:spacing w:line="480" w:lineRule="exact"/>
        <w:ind w:firstLine="482" w:firstLineChars="200"/>
        <w:rPr>
          <w:b/>
          <w:bCs/>
          <w:sz w:val="24"/>
          <w:szCs w:val="24"/>
        </w:rPr>
      </w:pPr>
      <w:r>
        <w:rPr>
          <w:b/>
          <w:bCs/>
          <w:sz w:val="24"/>
          <w:szCs w:val="24"/>
        </w:rPr>
        <w:t>（</w:t>
      </w:r>
      <w:r>
        <w:rPr>
          <w:rFonts w:hint="eastAsia"/>
          <w:b/>
          <w:bCs/>
          <w:sz w:val="24"/>
          <w:szCs w:val="24"/>
        </w:rPr>
        <w:t>6</w:t>
      </w:r>
      <w:r>
        <w:rPr>
          <w:b/>
          <w:bCs/>
          <w:sz w:val="24"/>
          <w:szCs w:val="24"/>
        </w:rPr>
        <w:t>）统计结果分析</w:t>
      </w:r>
    </w:p>
    <w:p>
      <w:pPr>
        <w:spacing w:line="480" w:lineRule="exact"/>
        <w:ind w:firstLine="480" w:firstLineChars="200"/>
        <w:rPr>
          <w:sz w:val="24"/>
          <w:szCs w:val="24"/>
        </w:rPr>
      </w:pPr>
      <w:r>
        <w:rPr>
          <w:sz w:val="24"/>
          <w:szCs w:val="24"/>
        </w:rPr>
        <w:t>土壤环境质量现状监测统计结果见表</w:t>
      </w:r>
      <w:r>
        <w:rPr>
          <w:rFonts w:hint="eastAsia"/>
          <w:sz w:val="24"/>
          <w:szCs w:val="24"/>
        </w:rPr>
        <w:t>4.3.5-4。</w:t>
      </w:r>
    </w:p>
    <w:p>
      <w:pPr>
        <w:jc w:val="center"/>
        <w:rPr>
          <w:rFonts w:eastAsia="黑体"/>
          <w:sz w:val="24"/>
          <w:szCs w:val="24"/>
          <w:lang w:val="zh-CN"/>
        </w:rPr>
      </w:pPr>
      <w:bookmarkStart w:id="122" w:name="_Hlk45291603"/>
      <w:r>
        <w:rPr>
          <w:b/>
          <w:sz w:val="24"/>
          <w:szCs w:val="24"/>
        </w:rPr>
        <w:t>表4.3.5-</w:t>
      </w:r>
      <w:r>
        <w:rPr>
          <w:rFonts w:hint="eastAsia"/>
          <w:b/>
          <w:sz w:val="24"/>
          <w:szCs w:val="24"/>
        </w:rPr>
        <w:t>4</w:t>
      </w:r>
      <w:r>
        <w:rPr>
          <w:rFonts w:eastAsia="黑体"/>
          <w:sz w:val="24"/>
          <w:szCs w:val="24"/>
        </w:rPr>
        <w:t xml:space="preserve"> </w:t>
      </w:r>
      <w:r>
        <w:rPr>
          <w:rFonts w:eastAsia="黑体"/>
          <w:sz w:val="24"/>
          <w:szCs w:val="24"/>
          <w:lang w:val="zh-CN"/>
        </w:rPr>
        <w:t>第二类建设用地土壤环境质量现状监测统计</w:t>
      </w:r>
      <w:bookmarkEnd w:id="122"/>
      <w:r>
        <w:rPr>
          <w:rFonts w:eastAsia="黑体"/>
          <w:sz w:val="24"/>
          <w:szCs w:val="24"/>
          <w:lang w:val="zh-CN"/>
        </w:rPr>
        <w:t>表</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688"/>
        <w:gridCol w:w="764"/>
        <w:gridCol w:w="764"/>
        <w:gridCol w:w="758"/>
        <w:gridCol w:w="844"/>
        <w:gridCol w:w="922"/>
        <w:gridCol w:w="719"/>
        <w:gridCol w:w="654"/>
        <w:gridCol w:w="714"/>
        <w:gridCol w:w="69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vMerge w:val="restart"/>
            <w:shd w:val="clear" w:color="auto" w:fill="auto"/>
            <w:vAlign w:val="center"/>
          </w:tcPr>
          <w:p>
            <w:pPr>
              <w:widowControl/>
              <w:adjustRightInd w:val="0"/>
              <w:snapToGrid w:val="0"/>
              <w:jc w:val="center"/>
              <w:rPr>
                <w:kern w:val="0"/>
                <w:szCs w:val="21"/>
              </w:rPr>
            </w:pPr>
            <w:r>
              <w:rPr>
                <w:kern w:val="0"/>
                <w:szCs w:val="21"/>
              </w:rPr>
              <w:t>检测项目</w:t>
            </w:r>
          </w:p>
        </w:tc>
        <w:tc>
          <w:tcPr>
            <w:tcW w:w="448" w:type="pct"/>
            <w:shd w:val="clear" w:color="auto" w:fill="auto"/>
            <w:vAlign w:val="center"/>
          </w:tcPr>
          <w:p>
            <w:pPr>
              <w:widowControl/>
              <w:adjustRightInd w:val="0"/>
              <w:snapToGrid w:val="0"/>
              <w:jc w:val="center"/>
              <w:rPr>
                <w:kern w:val="0"/>
                <w:szCs w:val="21"/>
              </w:rPr>
            </w:pPr>
            <w:r>
              <w:rPr>
                <w:kern w:val="0"/>
                <w:szCs w:val="21"/>
              </w:rPr>
              <w:t>最大值</w:t>
            </w:r>
          </w:p>
        </w:tc>
        <w:tc>
          <w:tcPr>
            <w:tcW w:w="448" w:type="pct"/>
            <w:shd w:val="clear" w:color="auto" w:fill="auto"/>
            <w:vAlign w:val="center"/>
          </w:tcPr>
          <w:p>
            <w:pPr>
              <w:adjustRightInd w:val="0"/>
              <w:snapToGrid w:val="0"/>
              <w:jc w:val="center"/>
              <w:rPr>
                <w:kern w:val="0"/>
                <w:szCs w:val="21"/>
              </w:rPr>
            </w:pPr>
            <w:r>
              <w:rPr>
                <w:kern w:val="0"/>
                <w:szCs w:val="21"/>
              </w:rPr>
              <w:t>最小值</w:t>
            </w:r>
          </w:p>
        </w:tc>
        <w:tc>
          <w:tcPr>
            <w:tcW w:w="444" w:type="pct"/>
            <w:shd w:val="clear" w:color="auto" w:fill="auto"/>
            <w:vAlign w:val="center"/>
          </w:tcPr>
          <w:p>
            <w:pPr>
              <w:adjustRightInd w:val="0"/>
              <w:snapToGrid w:val="0"/>
              <w:jc w:val="center"/>
              <w:rPr>
                <w:kern w:val="0"/>
                <w:szCs w:val="21"/>
              </w:rPr>
            </w:pPr>
            <w:r>
              <w:rPr>
                <w:kern w:val="0"/>
                <w:szCs w:val="21"/>
              </w:rPr>
              <w:t>平均值</w:t>
            </w:r>
          </w:p>
        </w:tc>
        <w:tc>
          <w:tcPr>
            <w:tcW w:w="494" w:type="pct"/>
            <w:shd w:val="clear" w:color="auto" w:fill="auto"/>
            <w:vAlign w:val="center"/>
          </w:tcPr>
          <w:p>
            <w:pPr>
              <w:adjustRightInd w:val="0"/>
              <w:snapToGrid w:val="0"/>
              <w:jc w:val="center"/>
              <w:rPr>
                <w:kern w:val="0"/>
                <w:szCs w:val="21"/>
              </w:rPr>
            </w:pPr>
            <w:r>
              <w:rPr>
                <w:kern w:val="0"/>
                <w:szCs w:val="21"/>
              </w:rPr>
              <w:t>标准值</w:t>
            </w:r>
          </w:p>
        </w:tc>
        <w:tc>
          <w:tcPr>
            <w:tcW w:w="540" w:type="pct"/>
            <w:vMerge w:val="restart"/>
            <w:shd w:val="clear" w:color="auto" w:fill="auto"/>
            <w:vAlign w:val="center"/>
          </w:tcPr>
          <w:p>
            <w:pPr>
              <w:widowControl/>
              <w:adjustRightInd w:val="0"/>
              <w:snapToGrid w:val="0"/>
              <w:jc w:val="center"/>
              <w:rPr>
                <w:kern w:val="0"/>
                <w:szCs w:val="21"/>
              </w:rPr>
            </w:pPr>
            <w:r>
              <w:rPr>
                <w:kern w:val="0"/>
                <w:szCs w:val="21"/>
              </w:rPr>
              <w:t>标准</w:t>
            </w:r>
          </w:p>
          <w:p>
            <w:pPr>
              <w:widowControl/>
              <w:adjustRightInd w:val="0"/>
              <w:snapToGrid w:val="0"/>
              <w:jc w:val="center"/>
              <w:rPr>
                <w:kern w:val="0"/>
                <w:szCs w:val="21"/>
              </w:rPr>
            </w:pPr>
            <w:r>
              <w:rPr>
                <w:kern w:val="0"/>
                <w:szCs w:val="21"/>
              </w:rPr>
              <w:t>指数</w:t>
            </w:r>
          </w:p>
        </w:tc>
        <w:tc>
          <w:tcPr>
            <w:tcW w:w="421" w:type="pct"/>
            <w:vMerge w:val="restart"/>
            <w:shd w:val="clear" w:color="auto" w:fill="auto"/>
            <w:vAlign w:val="center"/>
          </w:tcPr>
          <w:p>
            <w:pPr>
              <w:widowControl/>
              <w:adjustRightInd w:val="0"/>
              <w:snapToGrid w:val="0"/>
              <w:jc w:val="center"/>
              <w:rPr>
                <w:kern w:val="0"/>
                <w:szCs w:val="21"/>
              </w:rPr>
            </w:pPr>
            <w:r>
              <w:rPr>
                <w:kern w:val="0"/>
                <w:szCs w:val="21"/>
              </w:rPr>
              <w:t>测试样品数量</w:t>
            </w:r>
          </w:p>
        </w:tc>
        <w:tc>
          <w:tcPr>
            <w:tcW w:w="383" w:type="pct"/>
            <w:vMerge w:val="restart"/>
            <w:shd w:val="clear" w:color="auto" w:fill="auto"/>
            <w:vAlign w:val="center"/>
          </w:tcPr>
          <w:p>
            <w:pPr>
              <w:widowControl/>
              <w:adjustRightInd w:val="0"/>
              <w:snapToGrid w:val="0"/>
              <w:jc w:val="center"/>
              <w:rPr>
                <w:kern w:val="0"/>
                <w:szCs w:val="21"/>
              </w:rPr>
            </w:pPr>
            <w:r>
              <w:rPr>
                <w:kern w:val="0"/>
                <w:szCs w:val="21"/>
              </w:rPr>
              <w:t>检出样品数量</w:t>
            </w:r>
          </w:p>
        </w:tc>
        <w:tc>
          <w:tcPr>
            <w:tcW w:w="418" w:type="pct"/>
            <w:shd w:val="clear" w:color="auto" w:fill="auto"/>
            <w:vAlign w:val="center"/>
          </w:tcPr>
          <w:p>
            <w:pPr>
              <w:adjustRightInd w:val="0"/>
              <w:snapToGrid w:val="0"/>
              <w:jc w:val="center"/>
              <w:rPr>
                <w:kern w:val="0"/>
                <w:szCs w:val="21"/>
              </w:rPr>
            </w:pPr>
            <w:r>
              <w:rPr>
                <w:kern w:val="0"/>
                <w:szCs w:val="21"/>
              </w:rPr>
              <w:t>检出率</w:t>
            </w:r>
          </w:p>
        </w:tc>
        <w:tc>
          <w:tcPr>
            <w:tcW w:w="407" w:type="pct"/>
            <w:shd w:val="clear" w:color="auto" w:fill="auto"/>
            <w:vAlign w:val="center"/>
          </w:tcPr>
          <w:p>
            <w:pPr>
              <w:widowControl/>
              <w:adjustRightInd w:val="0"/>
              <w:snapToGrid w:val="0"/>
              <w:jc w:val="center"/>
              <w:rPr>
                <w:kern w:val="0"/>
                <w:szCs w:val="21"/>
              </w:rPr>
            </w:pPr>
            <w:r>
              <w:rPr>
                <w:kern w:val="0"/>
                <w:szCs w:val="21"/>
              </w:rPr>
              <w:t>超标率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vMerge w:val="continue"/>
            <w:shd w:val="clear" w:color="auto" w:fill="auto"/>
            <w:vAlign w:val="center"/>
          </w:tcPr>
          <w:p>
            <w:pPr>
              <w:widowControl/>
              <w:adjustRightInd w:val="0"/>
              <w:snapToGrid w:val="0"/>
              <w:jc w:val="center"/>
              <w:rPr>
                <w:kern w:val="0"/>
                <w:szCs w:val="21"/>
              </w:rPr>
            </w:pPr>
          </w:p>
        </w:tc>
        <w:tc>
          <w:tcPr>
            <w:tcW w:w="448" w:type="pct"/>
            <w:shd w:val="clear" w:color="auto" w:fill="auto"/>
            <w:vAlign w:val="center"/>
          </w:tcPr>
          <w:p>
            <w:pPr>
              <w:widowControl/>
              <w:adjustRightInd w:val="0"/>
              <w:snapToGrid w:val="0"/>
              <w:jc w:val="center"/>
              <w:rPr>
                <w:kern w:val="0"/>
                <w:szCs w:val="21"/>
              </w:rPr>
            </w:pPr>
            <w:r>
              <w:rPr>
                <w:kern w:val="0"/>
                <w:szCs w:val="21"/>
              </w:rPr>
              <w:t>mg/kg</w:t>
            </w:r>
          </w:p>
        </w:tc>
        <w:tc>
          <w:tcPr>
            <w:tcW w:w="448" w:type="pct"/>
            <w:shd w:val="clear" w:color="auto" w:fill="auto"/>
            <w:vAlign w:val="center"/>
          </w:tcPr>
          <w:p>
            <w:pPr>
              <w:adjustRightInd w:val="0"/>
              <w:snapToGrid w:val="0"/>
              <w:jc w:val="center"/>
              <w:rPr>
                <w:kern w:val="0"/>
                <w:szCs w:val="21"/>
              </w:rPr>
            </w:pPr>
            <w:r>
              <w:rPr>
                <w:kern w:val="0"/>
                <w:szCs w:val="21"/>
              </w:rPr>
              <w:t>mg/kg</w:t>
            </w:r>
          </w:p>
        </w:tc>
        <w:tc>
          <w:tcPr>
            <w:tcW w:w="444" w:type="pct"/>
            <w:shd w:val="clear" w:color="auto" w:fill="auto"/>
            <w:vAlign w:val="center"/>
          </w:tcPr>
          <w:p>
            <w:pPr>
              <w:adjustRightInd w:val="0"/>
              <w:snapToGrid w:val="0"/>
              <w:jc w:val="center"/>
              <w:rPr>
                <w:kern w:val="0"/>
                <w:szCs w:val="21"/>
              </w:rPr>
            </w:pPr>
            <w:r>
              <w:rPr>
                <w:kern w:val="0"/>
                <w:szCs w:val="21"/>
              </w:rPr>
              <w:t>mg/kg</w:t>
            </w:r>
          </w:p>
        </w:tc>
        <w:tc>
          <w:tcPr>
            <w:tcW w:w="494" w:type="pct"/>
            <w:shd w:val="clear" w:color="auto" w:fill="auto"/>
            <w:vAlign w:val="center"/>
          </w:tcPr>
          <w:p>
            <w:pPr>
              <w:adjustRightInd w:val="0"/>
              <w:snapToGrid w:val="0"/>
              <w:jc w:val="center"/>
              <w:rPr>
                <w:kern w:val="0"/>
                <w:szCs w:val="21"/>
              </w:rPr>
            </w:pPr>
            <w:r>
              <w:rPr>
                <w:kern w:val="0"/>
                <w:szCs w:val="21"/>
              </w:rPr>
              <w:t>mg/kg</w:t>
            </w:r>
          </w:p>
        </w:tc>
        <w:tc>
          <w:tcPr>
            <w:tcW w:w="540" w:type="pct"/>
            <w:vMerge w:val="continue"/>
            <w:shd w:val="clear" w:color="auto" w:fill="auto"/>
            <w:vAlign w:val="center"/>
          </w:tcPr>
          <w:p>
            <w:pPr>
              <w:widowControl/>
              <w:adjustRightInd w:val="0"/>
              <w:snapToGrid w:val="0"/>
              <w:jc w:val="center"/>
              <w:rPr>
                <w:kern w:val="0"/>
                <w:szCs w:val="21"/>
              </w:rPr>
            </w:pPr>
          </w:p>
        </w:tc>
        <w:tc>
          <w:tcPr>
            <w:tcW w:w="421" w:type="pct"/>
            <w:vMerge w:val="continue"/>
            <w:shd w:val="clear" w:color="auto" w:fill="auto"/>
            <w:vAlign w:val="center"/>
          </w:tcPr>
          <w:p>
            <w:pPr>
              <w:widowControl/>
              <w:adjustRightInd w:val="0"/>
              <w:snapToGrid w:val="0"/>
              <w:jc w:val="center"/>
              <w:rPr>
                <w:kern w:val="0"/>
                <w:szCs w:val="21"/>
              </w:rPr>
            </w:pPr>
          </w:p>
        </w:tc>
        <w:tc>
          <w:tcPr>
            <w:tcW w:w="383" w:type="pct"/>
            <w:vMerge w:val="continue"/>
            <w:shd w:val="clear" w:color="auto" w:fill="auto"/>
            <w:vAlign w:val="center"/>
          </w:tcPr>
          <w:p>
            <w:pPr>
              <w:widowControl/>
              <w:adjustRightInd w:val="0"/>
              <w:snapToGrid w:val="0"/>
              <w:jc w:val="center"/>
              <w:rPr>
                <w:kern w:val="0"/>
                <w:szCs w:val="21"/>
              </w:rPr>
            </w:pPr>
          </w:p>
        </w:tc>
        <w:tc>
          <w:tcPr>
            <w:tcW w:w="418" w:type="pct"/>
            <w:shd w:val="clear" w:color="auto" w:fill="auto"/>
            <w:vAlign w:val="center"/>
          </w:tcPr>
          <w:p>
            <w:pPr>
              <w:adjustRightInd w:val="0"/>
              <w:snapToGrid w:val="0"/>
              <w:jc w:val="center"/>
              <w:rPr>
                <w:kern w:val="0"/>
                <w:szCs w:val="21"/>
              </w:rPr>
            </w:pPr>
            <w:r>
              <w:rPr>
                <w:kern w:val="0"/>
                <w:szCs w:val="21"/>
              </w:rPr>
              <w:t>%</w:t>
            </w:r>
          </w:p>
        </w:tc>
        <w:tc>
          <w:tcPr>
            <w:tcW w:w="407" w:type="pct"/>
            <w:shd w:val="clear" w:color="auto" w:fill="auto"/>
            <w:vAlign w:val="center"/>
          </w:tcPr>
          <w:p>
            <w:pPr>
              <w:widowControl/>
              <w:adjustRightInd w:val="0"/>
              <w:snapToGrid w:val="0"/>
              <w:jc w:val="center"/>
              <w:rPr>
                <w:kern w:val="0"/>
                <w:szCs w:val="21"/>
              </w:rPr>
            </w:pPr>
            <w:r>
              <w:rPr>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砷</w:t>
            </w:r>
          </w:p>
        </w:tc>
        <w:tc>
          <w:tcPr>
            <w:tcW w:w="765" w:type="dxa"/>
            <w:shd w:val="clear" w:color="auto" w:fill="auto"/>
            <w:vAlign w:val="center"/>
          </w:tcPr>
          <w:p>
            <w:pPr>
              <w:widowControl/>
              <w:adjustRightInd w:val="0"/>
              <w:snapToGrid w:val="0"/>
              <w:jc w:val="right"/>
              <w:textAlignment w:val="center"/>
              <w:rPr>
                <w:kern w:val="0"/>
                <w:szCs w:val="21"/>
              </w:rPr>
            </w:pPr>
            <w:r>
              <w:rPr>
                <w:kern w:val="0"/>
                <w:szCs w:val="21"/>
                <w:lang w:bidi="ar"/>
              </w:rPr>
              <w:t>4.55</w:t>
            </w:r>
          </w:p>
        </w:tc>
        <w:tc>
          <w:tcPr>
            <w:tcW w:w="765" w:type="dxa"/>
            <w:shd w:val="clear" w:color="auto" w:fill="auto"/>
            <w:vAlign w:val="center"/>
          </w:tcPr>
          <w:p>
            <w:pPr>
              <w:widowControl/>
              <w:adjustRightInd w:val="0"/>
              <w:snapToGrid w:val="0"/>
              <w:jc w:val="right"/>
              <w:textAlignment w:val="center"/>
              <w:rPr>
                <w:kern w:val="0"/>
                <w:szCs w:val="21"/>
              </w:rPr>
            </w:pPr>
            <w:r>
              <w:rPr>
                <w:kern w:val="0"/>
                <w:szCs w:val="21"/>
                <w:lang w:bidi="ar"/>
              </w:rPr>
              <w:t>3.56</w:t>
            </w:r>
          </w:p>
        </w:tc>
        <w:tc>
          <w:tcPr>
            <w:tcW w:w="758" w:type="dxa"/>
            <w:shd w:val="clear" w:color="auto" w:fill="auto"/>
            <w:vAlign w:val="center"/>
          </w:tcPr>
          <w:p>
            <w:pPr>
              <w:widowControl/>
              <w:adjustRightInd w:val="0"/>
              <w:snapToGrid w:val="0"/>
              <w:jc w:val="right"/>
              <w:textAlignment w:val="center"/>
              <w:rPr>
                <w:rFonts w:eastAsia="等线"/>
                <w:kern w:val="0"/>
                <w:szCs w:val="21"/>
              </w:rPr>
            </w:pPr>
            <w:r>
              <w:rPr>
                <w:kern w:val="0"/>
                <w:szCs w:val="21"/>
                <w:lang w:bidi="ar"/>
              </w:rPr>
              <w:t xml:space="preserve">4.11 </w:t>
            </w:r>
          </w:p>
        </w:tc>
        <w:tc>
          <w:tcPr>
            <w:tcW w:w="494" w:type="pct"/>
            <w:shd w:val="clear" w:color="auto" w:fill="auto"/>
            <w:vAlign w:val="center"/>
          </w:tcPr>
          <w:p>
            <w:pPr>
              <w:widowControl/>
              <w:adjustRightInd w:val="0"/>
              <w:snapToGrid w:val="0"/>
              <w:jc w:val="center"/>
              <w:textAlignment w:val="center"/>
              <w:rPr>
                <w:kern w:val="0"/>
                <w:szCs w:val="21"/>
              </w:rPr>
            </w:pPr>
            <w:r>
              <w:rPr>
                <w:szCs w:val="21"/>
              </w:rPr>
              <w:t>60</w:t>
            </w:r>
          </w:p>
        </w:tc>
        <w:tc>
          <w:tcPr>
            <w:tcW w:w="540" w:type="pct"/>
            <w:shd w:val="clear" w:color="auto" w:fill="auto"/>
            <w:vAlign w:val="center"/>
          </w:tcPr>
          <w:p>
            <w:pPr>
              <w:widowControl/>
              <w:adjustRightInd w:val="0"/>
              <w:snapToGrid w:val="0"/>
              <w:jc w:val="center"/>
              <w:rPr>
                <w:kern w:val="0"/>
                <w:szCs w:val="21"/>
              </w:rPr>
            </w:pPr>
            <w:r>
              <w:rPr>
                <w:kern w:val="0"/>
                <w:szCs w:val="21"/>
              </w:rPr>
              <w:t>≤0.076</w:t>
            </w:r>
          </w:p>
        </w:tc>
        <w:tc>
          <w:tcPr>
            <w:tcW w:w="421" w:type="pct"/>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镉</w:t>
            </w:r>
          </w:p>
        </w:tc>
        <w:tc>
          <w:tcPr>
            <w:tcW w:w="448" w:type="pct"/>
            <w:shd w:val="clear" w:color="auto" w:fill="auto"/>
            <w:vAlign w:val="center"/>
          </w:tcPr>
          <w:p>
            <w:pPr>
              <w:widowControl/>
              <w:adjustRightInd w:val="0"/>
              <w:snapToGrid w:val="0"/>
              <w:jc w:val="right"/>
              <w:textAlignment w:val="center"/>
              <w:rPr>
                <w:kern w:val="0"/>
                <w:szCs w:val="21"/>
              </w:rPr>
            </w:pPr>
            <w:r>
              <w:rPr>
                <w:kern w:val="0"/>
                <w:szCs w:val="21"/>
                <w:lang w:bidi="ar"/>
              </w:rPr>
              <w:t>0.14</w:t>
            </w:r>
          </w:p>
        </w:tc>
        <w:tc>
          <w:tcPr>
            <w:tcW w:w="448" w:type="pct"/>
            <w:shd w:val="clear" w:color="auto" w:fill="auto"/>
            <w:vAlign w:val="center"/>
          </w:tcPr>
          <w:p>
            <w:pPr>
              <w:widowControl/>
              <w:adjustRightInd w:val="0"/>
              <w:snapToGrid w:val="0"/>
              <w:jc w:val="right"/>
              <w:textAlignment w:val="center"/>
              <w:rPr>
                <w:kern w:val="0"/>
                <w:szCs w:val="21"/>
              </w:rPr>
            </w:pPr>
            <w:r>
              <w:rPr>
                <w:kern w:val="0"/>
                <w:szCs w:val="21"/>
                <w:lang w:bidi="ar"/>
              </w:rPr>
              <w:t>0.12</w:t>
            </w:r>
          </w:p>
        </w:tc>
        <w:tc>
          <w:tcPr>
            <w:tcW w:w="444" w:type="pct"/>
            <w:shd w:val="clear" w:color="auto" w:fill="auto"/>
            <w:vAlign w:val="center"/>
          </w:tcPr>
          <w:p>
            <w:pPr>
              <w:widowControl/>
              <w:adjustRightInd w:val="0"/>
              <w:snapToGrid w:val="0"/>
              <w:jc w:val="right"/>
              <w:textAlignment w:val="center"/>
              <w:rPr>
                <w:rFonts w:eastAsia="等线"/>
                <w:kern w:val="0"/>
                <w:szCs w:val="21"/>
              </w:rPr>
            </w:pPr>
            <w:r>
              <w:rPr>
                <w:kern w:val="0"/>
                <w:szCs w:val="21"/>
                <w:lang w:bidi="ar"/>
              </w:rPr>
              <w:t xml:space="preserve">0.13 </w:t>
            </w:r>
          </w:p>
        </w:tc>
        <w:tc>
          <w:tcPr>
            <w:tcW w:w="494" w:type="pct"/>
            <w:shd w:val="clear" w:color="auto" w:fill="auto"/>
            <w:vAlign w:val="center"/>
          </w:tcPr>
          <w:p>
            <w:pPr>
              <w:widowControl/>
              <w:adjustRightInd w:val="0"/>
              <w:snapToGrid w:val="0"/>
              <w:jc w:val="center"/>
              <w:textAlignment w:val="center"/>
              <w:rPr>
                <w:kern w:val="0"/>
                <w:szCs w:val="21"/>
              </w:rPr>
            </w:pPr>
            <w:r>
              <w:rPr>
                <w:szCs w:val="21"/>
              </w:rPr>
              <w:t>65</w:t>
            </w:r>
          </w:p>
        </w:tc>
        <w:tc>
          <w:tcPr>
            <w:tcW w:w="540" w:type="pct"/>
            <w:shd w:val="clear" w:color="auto" w:fill="auto"/>
            <w:vAlign w:val="center"/>
          </w:tcPr>
          <w:p>
            <w:pPr>
              <w:widowControl/>
              <w:adjustRightInd w:val="0"/>
              <w:snapToGrid w:val="0"/>
              <w:jc w:val="center"/>
              <w:rPr>
                <w:kern w:val="0"/>
                <w:szCs w:val="21"/>
              </w:rPr>
            </w:pPr>
            <w:r>
              <w:rPr>
                <w:kern w:val="0"/>
                <w:szCs w:val="21"/>
              </w:rPr>
              <w:t>≤0.0022</w:t>
            </w:r>
          </w:p>
        </w:tc>
        <w:tc>
          <w:tcPr>
            <w:tcW w:w="421" w:type="pct"/>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铬（六价）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5.7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421" w:type="pct"/>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铜</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33</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21</w:t>
            </w:r>
          </w:p>
        </w:tc>
        <w:tc>
          <w:tcPr>
            <w:tcW w:w="444" w:type="pct"/>
            <w:shd w:val="clear" w:color="auto" w:fill="auto"/>
            <w:vAlign w:val="center"/>
          </w:tcPr>
          <w:p>
            <w:pPr>
              <w:widowControl/>
              <w:adjustRightInd w:val="0"/>
              <w:snapToGrid w:val="0"/>
              <w:jc w:val="center"/>
              <w:rPr>
                <w:rFonts w:eastAsia="等线"/>
                <w:kern w:val="0"/>
                <w:szCs w:val="21"/>
              </w:rPr>
            </w:pPr>
            <w:r>
              <w:rPr>
                <w:rFonts w:eastAsia="等线"/>
                <w:kern w:val="0"/>
                <w:szCs w:val="21"/>
              </w:rPr>
              <w:t>25</w:t>
            </w:r>
          </w:p>
        </w:tc>
        <w:tc>
          <w:tcPr>
            <w:tcW w:w="494" w:type="pct"/>
            <w:shd w:val="clear" w:color="auto" w:fill="auto"/>
            <w:vAlign w:val="center"/>
          </w:tcPr>
          <w:p>
            <w:pPr>
              <w:widowControl/>
              <w:adjustRightInd w:val="0"/>
              <w:snapToGrid w:val="0"/>
              <w:jc w:val="center"/>
              <w:textAlignment w:val="center"/>
              <w:rPr>
                <w:kern w:val="0"/>
                <w:szCs w:val="21"/>
              </w:rPr>
            </w:pPr>
            <w:r>
              <w:rPr>
                <w:szCs w:val="21"/>
              </w:rPr>
              <w:t>18000</w:t>
            </w:r>
          </w:p>
        </w:tc>
        <w:tc>
          <w:tcPr>
            <w:tcW w:w="540" w:type="pct"/>
            <w:shd w:val="clear" w:color="auto" w:fill="auto"/>
            <w:vAlign w:val="center"/>
          </w:tcPr>
          <w:p>
            <w:pPr>
              <w:widowControl/>
              <w:adjustRightInd w:val="0"/>
              <w:snapToGrid w:val="0"/>
              <w:jc w:val="center"/>
              <w:rPr>
                <w:kern w:val="0"/>
                <w:szCs w:val="21"/>
              </w:rPr>
            </w:pPr>
            <w:r>
              <w:rPr>
                <w:kern w:val="0"/>
                <w:szCs w:val="21"/>
              </w:rPr>
              <w:t>≤0.0018</w:t>
            </w:r>
          </w:p>
        </w:tc>
        <w:tc>
          <w:tcPr>
            <w:tcW w:w="421" w:type="pct"/>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铅</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31</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26</w:t>
            </w:r>
          </w:p>
        </w:tc>
        <w:tc>
          <w:tcPr>
            <w:tcW w:w="444" w:type="pct"/>
            <w:shd w:val="clear" w:color="auto" w:fill="auto"/>
            <w:vAlign w:val="center"/>
          </w:tcPr>
          <w:p>
            <w:pPr>
              <w:widowControl/>
              <w:adjustRightInd w:val="0"/>
              <w:snapToGrid w:val="0"/>
              <w:jc w:val="center"/>
              <w:rPr>
                <w:rFonts w:eastAsia="等线"/>
                <w:kern w:val="0"/>
                <w:szCs w:val="21"/>
              </w:rPr>
            </w:pPr>
            <w:r>
              <w:rPr>
                <w:rFonts w:eastAsia="等线"/>
                <w:kern w:val="0"/>
                <w:szCs w:val="21"/>
              </w:rPr>
              <w:t>28.67</w:t>
            </w:r>
          </w:p>
        </w:tc>
        <w:tc>
          <w:tcPr>
            <w:tcW w:w="494" w:type="pct"/>
            <w:shd w:val="clear" w:color="auto" w:fill="auto"/>
            <w:vAlign w:val="center"/>
          </w:tcPr>
          <w:p>
            <w:pPr>
              <w:widowControl/>
              <w:adjustRightInd w:val="0"/>
              <w:snapToGrid w:val="0"/>
              <w:jc w:val="center"/>
              <w:textAlignment w:val="center"/>
              <w:rPr>
                <w:kern w:val="0"/>
                <w:szCs w:val="21"/>
              </w:rPr>
            </w:pPr>
            <w:r>
              <w:rPr>
                <w:szCs w:val="21"/>
              </w:rPr>
              <w:t>800</w:t>
            </w:r>
          </w:p>
        </w:tc>
        <w:tc>
          <w:tcPr>
            <w:tcW w:w="540" w:type="pct"/>
            <w:shd w:val="clear" w:color="auto" w:fill="auto"/>
            <w:vAlign w:val="center"/>
          </w:tcPr>
          <w:p>
            <w:pPr>
              <w:widowControl/>
              <w:adjustRightInd w:val="0"/>
              <w:snapToGrid w:val="0"/>
              <w:jc w:val="center"/>
              <w:rPr>
                <w:kern w:val="0"/>
                <w:szCs w:val="21"/>
              </w:rPr>
            </w:pPr>
            <w:r>
              <w:rPr>
                <w:kern w:val="0"/>
                <w:szCs w:val="21"/>
              </w:rPr>
              <w:t>≤0.04</w:t>
            </w:r>
          </w:p>
        </w:tc>
        <w:tc>
          <w:tcPr>
            <w:tcW w:w="421" w:type="pct"/>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汞</w:t>
            </w:r>
          </w:p>
        </w:tc>
        <w:tc>
          <w:tcPr>
            <w:tcW w:w="765" w:type="dxa"/>
            <w:shd w:val="clear" w:color="auto" w:fill="auto"/>
            <w:vAlign w:val="center"/>
          </w:tcPr>
          <w:p>
            <w:pPr>
              <w:widowControl/>
              <w:adjustRightInd w:val="0"/>
              <w:snapToGrid w:val="0"/>
              <w:jc w:val="center"/>
              <w:textAlignment w:val="center"/>
              <w:rPr>
                <w:kern w:val="0"/>
                <w:szCs w:val="21"/>
              </w:rPr>
            </w:pPr>
            <w:r>
              <w:rPr>
                <w:kern w:val="0"/>
                <w:szCs w:val="21"/>
              </w:rPr>
              <w:t>0.179</w:t>
            </w:r>
          </w:p>
        </w:tc>
        <w:tc>
          <w:tcPr>
            <w:tcW w:w="765" w:type="dxa"/>
            <w:shd w:val="clear" w:color="auto" w:fill="auto"/>
            <w:vAlign w:val="center"/>
          </w:tcPr>
          <w:p>
            <w:pPr>
              <w:widowControl/>
              <w:adjustRightInd w:val="0"/>
              <w:snapToGrid w:val="0"/>
              <w:jc w:val="center"/>
              <w:textAlignment w:val="center"/>
              <w:rPr>
                <w:kern w:val="0"/>
                <w:szCs w:val="21"/>
              </w:rPr>
            </w:pPr>
            <w:r>
              <w:rPr>
                <w:kern w:val="0"/>
                <w:szCs w:val="21"/>
              </w:rPr>
              <w:t>0.132</w:t>
            </w:r>
          </w:p>
        </w:tc>
        <w:tc>
          <w:tcPr>
            <w:tcW w:w="758" w:type="dxa"/>
            <w:shd w:val="clear" w:color="auto" w:fill="auto"/>
            <w:vAlign w:val="center"/>
          </w:tcPr>
          <w:p>
            <w:pPr>
              <w:widowControl/>
              <w:adjustRightInd w:val="0"/>
              <w:snapToGrid w:val="0"/>
              <w:jc w:val="center"/>
              <w:textAlignment w:val="center"/>
              <w:rPr>
                <w:kern w:val="0"/>
                <w:szCs w:val="21"/>
              </w:rPr>
            </w:pPr>
            <w:r>
              <w:rPr>
                <w:kern w:val="0"/>
                <w:szCs w:val="21"/>
              </w:rPr>
              <w:t xml:space="preserve">0.16 </w:t>
            </w:r>
          </w:p>
        </w:tc>
        <w:tc>
          <w:tcPr>
            <w:tcW w:w="494" w:type="pct"/>
            <w:shd w:val="clear" w:color="auto" w:fill="auto"/>
            <w:vAlign w:val="center"/>
          </w:tcPr>
          <w:p>
            <w:pPr>
              <w:widowControl/>
              <w:adjustRightInd w:val="0"/>
              <w:snapToGrid w:val="0"/>
              <w:jc w:val="center"/>
              <w:textAlignment w:val="center"/>
              <w:rPr>
                <w:kern w:val="0"/>
                <w:szCs w:val="21"/>
              </w:rPr>
            </w:pPr>
            <w:r>
              <w:rPr>
                <w:szCs w:val="21"/>
              </w:rPr>
              <w:t>38</w:t>
            </w:r>
          </w:p>
        </w:tc>
        <w:tc>
          <w:tcPr>
            <w:tcW w:w="540" w:type="pct"/>
            <w:shd w:val="clear" w:color="auto" w:fill="auto"/>
            <w:vAlign w:val="center"/>
          </w:tcPr>
          <w:p>
            <w:pPr>
              <w:widowControl/>
              <w:adjustRightInd w:val="0"/>
              <w:snapToGrid w:val="0"/>
              <w:jc w:val="center"/>
              <w:rPr>
                <w:kern w:val="0"/>
                <w:szCs w:val="21"/>
              </w:rPr>
            </w:pPr>
            <w:r>
              <w:rPr>
                <w:kern w:val="0"/>
                <w:szCs w:val="21"/>
              </w:rPr>
              <w:t>≤0.005</w:t>
            </w:r>
          </w:p>
        </w:tc>
        <w:tc>
          <w:tcPr>
            <w:tcW w:w="421" w:type="pct"/>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镍</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34</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31</w:t>
            </w:r>
          </w:p>
        </w:tc>
        <w:tc>
          <w:tcPr>
            <w:tcW w:w="444" w:type="pct"/>
            <w:shd w:val="clear" w:color="auto" w:fill="auto"/>
            <w:vAlign w:val="center"/>
          </w:tcPr>
          <w:p>
            <w:pPr>
              <w:widowControl/>
              <w:adjustRightInd w:val="0"/>
              <w:snapToGrid w:val="0"/>
              <w:jc w:val="center"/>
              <w:rPr>
                <w:rFonts w:eastAsia="等线"/>
                <w:kern w:val="0"/>
                <w:szCs w:val="21"/>
              </w:rPr>
            </w:pPr>
            <w:r>
              <w:rPr>
                <w:rFonts w:eastAsia="等线"/>
                <w:kern w:val="0"/>
                <w:szCs w:val="21"/>
              </w:rPr>
              <w:t>32</w:t>
            </w:r>
          </w:p>
        </w:tc>
        <w:tc>
          <w:tcPr>
            <w:tcW w:w="494" w:type="pct"/>
            <w:shd w:val="clear" w:color="auto" w:fill="auto"/>
            <w:vAlign w:val="center"/>
          </w:tcPr>
          <w:p>
            <w:pPr>
              <w:widowControl/>
              <w:adjustRightInd w:val="0"/>
              <w:snapToGrid w:val="0"/>
              <w:jc w:val="center"/>
              <w:textAlignment w:val="center"/>
              <w:rPr>
                <w:kern w:val="0"/>
                <w:szCs w:val="21"/>
              </w:rPr>
            </w:pPr>
            <w:r>
              <w:rPr>
                <w:szCs w:val="21"/>
              </w:rPr>
              <w:t>900</w:t>
            </w:r>
          </w:p>
        </w:tc>
        <w:tc>
          <w:tcPr>
            <w:tcW w:w="540" w:type="pct"/>
            <w:shd w:val="clear" w:color="auto" w:fill="auto"/>
            <w:vAlign w:val="center"/>
          </w:tcPr>
          <w:p>
            <w:pPr>
              <w:widowControl/>
              <w:adjustRightInd w:val="0"/>
              <w:snapToGrid w:val="0"/>
              <w:jc w:val="center"/>
              <w:rPr>
                <w:kern w:val="0"/>
                <w:szCs w:val="21"/>
              </w:rPr>
            </w:pPr>
            <w:r>
              <w:rPr>
                <w:kern w:val="0"/>
                <w:szCs w:val="21"/>
              </w:rPr>
              <w:t>≤0.038</w:t>
            </w:r>
          </w:p>
        </w:tc>
        <w:tc>
          <w:tcPr>
            <w:tcW w:w="421" w:type="pct"/>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四氯化碳</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2.8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氯仿</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0.9</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氯甲烷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37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1,1-二氯乙烷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9</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1,2-二氯乙烷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1,1-二氯乙烯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66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spacing w:val="-4"/>
                <w:kern w:val="0"/>
                <w:szCs w:val="21"/>
              </w:rPr>
            </w:pPr>
            <w:r>
              <w:rPr>
                <w:spacing w:val="-4"/>
                <w:szCs w:val="21"/>
              </w:rPr>
              <w:t>顺-1,2-二氯乙烯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596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spacing w:val="-4"/>
                <w:kern w:val="0"/>
                <w:szCs w:val="21"/>
              </w:rPr>
            </w:pPr>
            <w:r>
              <w:rPr>
                <w:spacing w:val="-4"/>
                <w:szCs w:val="21"/>
              </w:rPr>
              <w:t>反-1,2-二氯乙烯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54</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二氯甲烷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616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kern w:val="0"/>
                <w:szCs w:val="21"/>
              </w:rPr>
            </w:pPr>
            <w:r>
              <w:rPr>
                <w:szCs w:val="21"/>
              </w:rPr>
              <w:t>1,2-二氯丙烷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spacing w:val="-4"/>
                <w:kern w:val="0"/>
                <w:szCs w:val="21"/>
              </w:rPr>
            </w:pPr>
            <w:r>
              <w:rPr>
                <w:spacing w:val="-4"/>
                <w:szCs w:val="21"/>
              </w:rPr>
              <w:t>1,1,1,2-四氯乙烷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990" w:type="pct"/>
            <w:shd w:val="clear" w:color="auto" w:fill="auto"/>
            <w:vAlign w:val="center"/>
          </w:tcPr>
          <w:p>
            <w:pPr>
              <w:adjustRightInd w:val="0"/>
              <w:snapToGrid w:val="0"/>
              <w:jc w:val="center"/>
              <w:rPr>
                <w:spacing w:val="-4"/>
                <w:kern w:val="0"/>
                <w:szCs w:val="21"/>
              </w:rPr>
            </w:pPr>
            <w:r>
              <w:rPr>
                <w:spacing w:val="-4"/>
                <w:szCs w:val="21"/>
              </w:rPr>
              <w:t>1,1,2,2-四氯乙烷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6.8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四氯乙烯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53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1,1,1-三氯乙烷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840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1,1,2-三氯乙烷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2.8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三氯乙烯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2.8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1,2,3-三氯丙烷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0.5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氯乙烯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0.43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4</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氯苯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270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1,2-二氯苯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560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1,4-二氯苯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20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乙苯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28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苯乙烯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1290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甲苯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bottom"/>
          </w:tcPr>
          <w:p>
            <w:pPr>
              <w:widowControl/>
              <w:adjustRightInd w:val="0"/>
              <w:snapToGrid w:val="0"/>
              <w:jc w:val="center"/>
              <w:textAlignment w:val="center"/>
              <w:rPr>
                <w:kern w:val="0"/>
                <w:szCs w:val="21"/>
              </w:rPr>
            </w:pPr>
            <w:r>
              <w:rPr>
                <w:szCs w:val="21"/>
              </w:rPr>
              <w:t>1200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间二甲苯+对二甲苯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570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邻二甲苯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640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硝基苯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76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苯胺</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260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2-氯酚</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2256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苯并[a]蒽</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kern w:val="0"/>
                <w:szCs w:val="21"/>
              </w:rPr>
            </w:pPr>
            <w:r>
              <w:rPr>
                <w:szCs w:val="21"/>
              </w:rPr>
              <w:t>15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苯并[a]芘</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苯并[b]荧蒽</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苯并[k]荧蒽</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151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䓛</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1293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二苯并[a,h]蒽</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茚并[l,2,3-cd]芘</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15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萘</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kern w:val="0"/>
                <w:szCs w:val="21"/>
              </w:rPr>
            </w:pPr>
            <w:r>
              <w:rPr>
                <w:szCs w:val="21"/>
              </w:rPr>
              <w:t>70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氨氮</w:t>
            </w:r>
          </w:p>
        </w:tc>
        <w:tc>
          <w:tcPr>
            <w:tcW w:w="765" w:type="dxa"/>
            <w:shd w:val="clear" w:color="auto" w:fill="auto"/>
            <w:vAlign w:val="center"/>
          </w:tcPr>
          <w:p>
            <w:pPr>
              <w:widowControl/>
              <w:adjustRightInd w:val="0"/>
              <w:snapToGrid w:val="0"/>
              <w:jc w:val="center"/>
              <w:rPr>
                <w:kern w:val="0"/>
                <w:szCs w:val="21"/>
              </w:rPr>
            </w:pPr>
            <w:r>
              <w:rPr>
                <w:kern w:val="0"/>
                <w:szCs w:val="21"/>
              </w:rPr>
              <w:t>86.9</w:t>
            </w:r>
          </w:p>
        </w:tc>
        <w:tc>
          <w:tcPr>
            <w:tcW w:w="765" w:type="dxa"/>
            <w:shd w:val="clear" w:color="auto" w:fill="auto"/>
            <w:vAlign w:val="center"/>
          </w:tcPr>
          <w:p>
            <w:pPr>
              <w:widowControl/>
              <w:adjustRightInd w:val="0"/>
              <w:snapToGrid w:val="0"/>
              <w:jc w:val="center"/>
              <w:rPr>
                <w:kern w:val="0"/>
                <w:szCs w:val="21"/>
              </w:rPr>
            </w:pPr>
            <w:r>
              <w:rPr>
                <w:kern w:val="0"/>
                <w:szCs w:val="21"/>
              </w:rPr>
              <w:t>83.7</w:t>
            </w:r>
          </w:p>
        </w:tc>
        <w:tc>
          <w:tcPr>
            <w:tcW w:w="758" w:type="dxa"/>
            <w:shd w:val="clear" w:color="auto" w:fill="auto"/>
            <w:vAlign w:val="center"/>
          </w:tcPr>
          <w:p>
            <w:pPr>
              <w:widowControl/>
              <w:adjustRightInd w:val="0"/>
              <w:snapToGrid w:val="0"/>
              <w:jc w:val="center"/>
              <w:rPr>
                <w:kern w:val="0"/>
                <w:szCs w:val="21"/>
              </w:rPr>
            </w:pPr>
            <w:r>
              <w:rPr>
                <w:kern w:val="0"/>
                <w:szCs w:val="21"/>
              </w:rPr>
              <w:t xml:space="preserve">84.97 </w:t>
            </w:r>
          </w:p>
        </w:tc>
        <w:tc>
          <w:tcPr>
            <w:tcW w:w="494" w:type="pct"/>
            <w:shd w:val="clear" w:color="auto" w:fill="auto"/>
            <w:vAlign w:val="center"/>
          </w:tcPr>
          <w:p>
            <w:pPr>
              <w:widowControl/>
              <w:adjustRightInd w:val="0"/>
              <w:snapToGrid w:val="0"/>
              <w:jc w:val="center"/>
              <w:rPr>
                <w:kern w:val="0"/>
                <w:szCs w:val="21"/>
              </w:rPr>
            </w:pPr>
            <w:r>
              <w:rPr>
                <w:szCs w:val="21"/>
              </w:rPr>
              <w:t>1200</w:t>
            </w:r>
          </w:p>
        </w:tc>
        <w:tc>
          <w:tcPr>
            <w:tcW w:w="540" w:type="pct"/>
            <w:shd w:val="clear" w:color="auto" w:fill="auto"/>
            <w:vAlign w:val="center"/>
          </w:tcPr>
          <w:p>
            <w:pPr>
              <w:widowControl/>
              <w:adjustRightInd w:val="0"/>
              <w:snapToGrid w:val="0"/>
              <w:jc w:val="center"/>
              <w:rPr>
                <w:kern w:val="0"/>
                <w:szCs w:val="21"/>
              </w:rPr>
            </w:pPr>
            <w:r>
              <w:rPr>
                <w:kern w:val="0"/>
                <w:szCs w:val="21"/>
              </w:rPr>
              <w:t>≤0.072</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二噁英类</w:t>
            </w:r>
          </w:p>
        </w:tc>
        <w:tc>
          <w:tcPr>
            <w:tcW w:w="448" w:type="pct"/>
            <w:shd w:val="clear" w:color="auto" w:fill="auto"/>
            <w:vAlign w:val="center"/>
          </w:tcPr>
          <w:p>
            <w:pPr>
              <w:widowControl/>
              <w:adjustRightInd w:val="0"/>
              <w:snapToGrid w:val="0"/>
              <w:jc w:val="center"/>
              <w:rPr>
                <w:szCs w:val="21"/>
              </w:rPr>
            </w:pPr>
            <w:r>
              <w:rPr>
                <w:rFonts w:eastAsia="等线"/>
                <w:szCs w:val="21"/>
              </w:rPr>
              <w:t>2.1</w:t>
            </w:r>
            <w:r>
              <w:rPr>
                <w:szCs w:val="21"/>
              </w:rPr>
              <w:t>×</w:t>
            </w:r>
          </w:p>
          <w:p>
            <w:pPr>
              <w:widowControl/>
              <w:adjustRightInd w:val="0"/>
              <w:snapToGrid w:val="0"/>
              <w:jc w:val="center"/>
              <w:rPr>
                <w:kern w:val="0"/>
                <w:szCs w:val="21"/>
              </w:rPr>
            </w:pPr>
            <w:r>
              <w:rPr>
                <w:szCs w:val="21"/>
              </w:rPr>
              <w:t>10</w:t>
            </w:r>
            <w:r>
              <w:rPr>
                <w:szCs w:val="21"/>
                <w:vertAlign w:val="superscript"/>
              </w:rPr>
              <w:t>-7</w:t>
            </w:r>
          </w:p>
        </w:tc>
        <w:tc>
          <w:tcPr>
            <w:tcW w:w="448" w:type="pct"/>
            <w:shd w:val="clear" w:color="auto" w:fill="auto"/>
            <w:vAlign w:val="center"/>
          </w:tcPr>
          <w:p>
            <w:pPr>
              <w:widowControl/>
              <w:adjustRightInd w:val="0"/>
              <w:snapToGrid w:val="0"/>
              <w:jc w:val="center"/>
              <w:rPr>
                <w:rFonts w:eastAsia="等线"/>
                <w:szCs w:val="21"/>
              </w:rPr>
            </w:pPr>
            <w:r>
              <w:rPr>
                <w:rFonts w:eastAsia="等线"/>
                <w:szCs w:val="21"/>
              </w:rPr>
              <w:t>1.6×</w:t>
            </w:r>
            <w:r>
              <w:rPr>
                <w:szCs w:val="21"/>
              </w:rPr>
              <w:t>10</w:t>
            </w:r>
            <w:r>
              <w:rPr>
                <w:szCs w:val="21"/>
                <w:vertAlign w:val="superscript"/>
              </w:rPr>
              <w:t>-7</w:t>
            </w:r>
          </w:p>
        </w:tc>
        <w:tc>
          <w:tcPr>
            <w:tcW w:w="444" w:type="pct"/>
            <w:shd w:val="clear" w:color="auto" w:fill="auto"/>
            <w:vAlign w:val="center"/>
          </w:tcPr>
          <w:p>
            <w:pPr>
              <w:widowControl/>
              <w:adjustRightInd w:val="0"/>
              <w:snapToGrid w:val="0"/>
              <w:jc w:val="center"/>
              <w:rPr>
                <w:rFonts w:eastAsia="等线"/>
                <w:szCs w:val="21"/>
              </w:rPr>
            </w:pPr>
            <w:r>
              <w:rPr>
                <w:rFonts w:eastAsia="等线"/>
                <w:szCs w:val="21"/>
              </w:rPr>
              <w:t>1.8×</w:t>
            </w:r>
            <w:r>
              <w:rPr>
                <w:szCs w:val="21"/>
              </w:rPr>
              <w:t>10</w:t>
            </w:r>
            <w:r>
              <w:rPr>
                <w:szCs w:val="21"/>
                <w:vertAlign w:val="superscript"/>
              </w:rPr>
              <w:t>-7</w:t>
            </w:r>
          </w:p>
        </w:tc>
        <w:tc>
          <w:tcPr>
            <w:tcW w:w="494" w:type="pct"/>
            <w:shd w:val="clear" w:color="auto" w:fill="auto"/>
            <w:vAlign w:val="center"/>
          </w:tcPr>
          <w:p>
            <w:pPr>
              <w:widowControl/>
              <w:adjustRightInd w:val="0"/>
              <w:snapToGrid w:val="0"/>
              <w:jc w:val="center"/>
              <w:rPr>
                <w:kern w:val="0"/>
                <w:szCs w:val="21"/>
              </w:rPr>
            </w:pPr>
            <w:r>
              <w:rPr>
                <w:szCs w:val="21"/>
              </w:rPr>
              <w:t>4×10</w:t>
            </w:r>
            <w:r>
              <w:rPr>
                <w:szCs w:val="21"/>
                <w:vertAlign w:val="superscript"/>
              </w:rPr>
              <w:t>-5</w:t>
            </w:r>
          </w:p>
        </w:tc>
        <w:tc>
          <w:tcPr>
            <w:tcW w:w="540" w:type="pct"/>
            <w:shd w:val="clear" w:color="auto" w:fill="auto"/>
            <w:vAlign w:val="center"/>
          </w:tcPr>
          <w:p>
            <w:pPr>
              <w:widowControl/>
              <w:adjustRightInd w:val="0"/>
              <w:snapToGrid w:val="0"/>
              <w:jc w:val="center"/>
              <w:rPr>
                <w:kern w:val="0"/>
                <w:szCs w:val="21"/>
              </w:rPr>
            </w:pPr>
            <w:r>
              <w:rPr>
                <w:kern w:val="0"/>
                <w:szCs w:val="21"/>
              </w:rPr>
              <w:t>≤0.0053</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锌</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63</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48</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 xml:space="preserve">55.00 </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10000</w:t>
            </w:r>
          </w:p>
        </w:tc>
        <w:tc>
          <w:tcPr>
            <w:tcW w:w="540" w:type="pct"/>
            <w:shd w:val="clear" w:color="auto" w:fill="auto"/>
            <w:vAlign w:val="center"/>
          </w:tcPr>
          <w:p>
            <w:pPr>
              <w:widowControl/>
              <w:adjustRightInd w:val="0"/>
              <w:snapToGrid w:val="0"/>
              <w:jc w:val="center"/>
              <w:rPr>
                <w:kern w:val="0"/>
                <w:szCs w:val="21"/>
              </w:rPr>
            </w:pPr>
            <w:r>
              <w:rPr>
                <w:kern w:val="0"/>
                <w:szCs w:val="21"/>
              </w:rPr>
              <w:t>≤0.063</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653" w:type="dxa"/>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钼</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2.9</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2.5</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 xml:space="preserve">2.70 </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2418</w:t>
            </w:r>
          </w:p>
        </w:tc>
        <w:tc>
          <w:tcPr>
            <w:tcW w:w="540" w:type="pct"/>
            <w:shd w:val="clear" w:color="auto" w:fill="auto"/>
            <w:vAlign w:val="center"/>
          </w:tcPr>
          <w:p>
            <w:pPr>
              <w:widowControl/>
              <w:adjustRightInd w:val="0"/>
              <w:snapToGrid w:val="0"/>
              <w:jc w:val="center"/>
              <w:rPr>
                <w:kern w:val="0"/>
                <w:szCs w:val="21"/>
              </w:rPr>
            </w:pPr>
            <w:r>
              <w:rPr>
                <w:kern w:val="0"/>
                <w:szCs w:val="21"/>
              </w:rPr>
              <w:t>≤0.0014</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653" w:type="dxa"/>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硒</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2.5</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2.4</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 xml:space="preserve">2.44 </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2393</w:t>
            </w:r>
          </w:p>
        </w:tc>
        <w:tc>
          <w:tcPr>
            <w:tcW w:w="540" w:type="pct"/>
            <w:shd w:val="clear" w:color="auto" w:fill="auto"/>
            <w:vAlign w:val="center"/>
          </w:tcPr>
          <w:p>
            <w:pPr>
              <w:widowControl/>
              <w:adjustRightInd w:val="0"/>
              <w:snapToGrid w:val="0"/>
              <w:jc w:val="center"/>
              <w:rPr>
                <w:kern w:val="0"/>
                <w:szCs w:val="21"/>
              </w:rPr>
            </w:pPr>
            <w:r>
              <w:rPr>
                <w:kern w:val="0"/>
                <w:szCs w:val="21"/>
              </w:rPr>
              <w:t>≤0.001</w:t>
            </w:r>
          </w:p>
        </w:tc>
        <w:tc>
          <w:tcPr>
            <w:tcW w:w="719" w:type="dxa"/>
            <w:shd w:val="clear" w:color="auto" w:fill="auto"/>
          </w:tcPr>
          <w:p>
            <w:pPr>
              <w:widowControl/>
              <w:adjustRightInd w:val="0"/>
              <w:snapToGrid w:val="0"/>
              <w:jc w:val="center"/>
              <w:rPr>
                <w:kern w:val="0"/>
                <w:szCs w:val="21"/>
              </w:rPr>
            </w:pPr>
            <w:r>
              <w:rPr>
                <w:kern w:val="0"/>
                <w:szCs w:val="21"/>
              </w:rPr>
              <w:t>3</w:t>
            </w:r>
          </w:p>
        </w:tc>
        <w:tc>
          <w:tcPr>
            <w:tcW w:w="653" w:type="dxa"/>
            <w:shd w:val="clear" w:color="auto" w:fill="auto"/>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铊</w:t>
            </w:r>
          </w:p>
        </w:tc>
        <w:tc>
          <w:tcPr>
            <w:tcW w:w="448" w:type="pct"/>
            <w:shd w:val="clear" w:color="auto" w:fill="auto"/>
            <w:vAlign w:val="center"/>
          </w:tcPr>
          <w:p>
            <w:pPr>
              <w:widowControl/>
              <w:adjustRightInd w:val="0"/>
              <w:snapToGrid w:val="0"/>
              <w:jc w:val="center"/>
              <w:textAlignment w:val="center"/>
              <w:rPr>
                <w:kern w:val="0"/>
                <w:szCs w:val="21"/>
                <w:lang w:bidi="ar"/>
              </w:rPr>
            </w:pPr>
            <w:r>
              <w:rPr>
                <w:kern w:val="0"/>
                <w:szCs w:val="21"/>
                <w:lang w:bidi="ar"/>
              </w:rPr>
              <w:t>ND</w:t>
            </w:r>
          </w:p>
        </w:tc>
        <w:tc>
          <w:tcPr>
            <w:tcW w:w="448" w:type="pct"/>
            <w:shd w:val="clear" w:color="auto" w:fill="auto"/>
            <w:vAlign w:val="center"/>
          </w:tcPr>
          <w:p>
            <w:pPr>
              <w:widowControl/>
              <w:adjustRightInd w:val="0"/>
              <w:snapToGrid w:val="0"/>
              <w:jc w:val="center"/>
              <w:textAlignment w:val="center"/>
              <w:rPr>
                <w:kern w:val="0"/>
                <w:szCs w:val="21"/>
                <w:lang w:bidi="ar"/>
              </w:rPr>
            </w:pPr>
            <w:r>
              <w:rPr>
                <w:kern w:val="0"/>
                <w:szCs w:val="21"/>
                <w:lang w:bidi="ar"/>
              </w:rPr>
              <w:t>ND</w:t>
            </w:r>
          </w:p>
        </w:tc>
        <w:tc>
          <w:tcPr>
            <w:tcW w:w="444" w:type="pct"/>
            <w:shd w:val="clear" w:color="auto" w:fill="auto"/>
            <w:vAlign w:val="center"/>
          </w:tcPr>
          <w:p>
            <w:pPr>
              <w:widowControl/>
              <w:adjustRightInd w:val="0"/>
              <w:snapToGrid w:val="0"/>
              <w:jc w:val="center"/>
              <w:textAlignment w:val="center"/>
              <w:rPr>
                <w:kern w:val="0"/>
                <w:szCs w:val="21"/>
                <w:lang w:bidi="ar"/>
              </w:rPr>
            </w:pPr>
            <w:r>
              <w:rPr>
                <w:kern w:val="0"/>
                <w:szCs w:val="21"/>
                <w:lang w:bidi="ar"/>
              </w:rPr>
              <w:t>ND</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4.8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钡</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486</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528</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495</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5460</w:t>
            </w:r>
          </w:p>
        </w:tc>
        <w:tc>
          <w:tcPr>
            <w:tcW w:w="540" w:type="pct"/>
            <w:shd w:val="clear" w:color="auto" w:fill="auto"/>
            <w:vAlign w:val="center"/>
          </w:tcPr>
          <w:p>
            <w:pPr>
              <w:widowControl/>
              <w:adjustRightInd w:val="0"/>
              <w:snapToGrid w:val="0"/>
              <w:jc w:val="center"/>
              <w:textAlignment w:val="center"/>
              <w:rPr>
                <w:kern w:val="0"/>
                <w:szCs w:val="21"/>
              </w:rPr>
            </w:pPr>
            <w:r>
              <w:rPr>
                <w:kern w:val="0"/>
                <w:szCs w:val="21"/>
              </w:rPr>
              <w:t>≤0.097</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653" w:type="dxa"/>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银</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12.5</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9.7</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 xml:space="preserve">11.17 </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2418</w:t>
            </w:r>
          </w:p>
        </w:tc>
        <w:tc>
          <w:tcPr>
            <w:tcW w:w="540" w:type="pct"/>
            <w:shd w:val="clear" w:color="auto" w:fill="auto"/>
            <w:vAlign w:val="center"/>
          </w:tcPr>
          <w:p>
            <w:pPr>
              <w:widowControl/>
              <w:adjustRightInd w:val="0"/>
              <w:snapToGrid w:val="0"/>
              <w:jc w:val="center"/>
              <w:rPr>
                <w:kern w:val="0"/>
                <w:szCs w:val="21"/>
              </w:rPr>
            </w:pPr>
            <w:r>
              <w:rPr>
                <w:kern w:val="0"/>
                <w:szCs w:val="21"/>
              </w:rPr>
              <w:t>≤0.005</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653" w:type="dxa"/>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锡</w:t>
            </w:r>
          </w:p>
        </w:tc>
        <w:tc>
          <w:tcPr>
            <w:tcW w:w="448" w:type="pct"/>
            <w:shd w:val="clear" w:color="auto" w:fill="auto"/>
            <w:vAlign w:val="center"/>
          </w:tcPr>
          <w:p>
            <w:pPr>
              <w:widowControl/>
              <w:adjustRightInd w:val="0"/>
              <w:snapToGrid w:val="0"/>
              <w:jc w:val="center"/>
              <w:textAlignment w:val="center"/>
              <w:rPr>
                <w:kern w:val="0"/>
                <w:szCs w:val="21"/>
                <w:lang w:bidi="ar"/>
              </w:rPr>
            </w:pPr>
            <w:r>
              <w:rPr>
                <w:kern w:val="0"/>
                <w:szCs w:val="21"/>
                <w:lang w:bidi="ar"/>
              </w:rPr>
              <w:t>ND</w:t>
            </w:r>
          </w:p>
        </w:tc>
        <w:tc>
          <w:tcPr>
            <w:tcW w:w="448" w:type="pct"/>
            <w:shd w:val="clear" w:color="auto" w:fill="auto"/>
            <w:vAlign w:val="center"/>
          </w:tcPr>
          <w:p>
            <w:pPr>
              <w:widowControl/>
              <w:adjustRightInd w:val="0"/>
              <w:snapToGrid w:val="0"/>
              <w:jc w:val="center"/>
              <w:textAlignment w:val="center"/>
              <w:rPr>
                <w:kern w:val="0"/>
                <w:szCs w:val="21"/>
                <w:lang w:bidi="ar"/>
              </w:rPr>
            </w:pPr>
            <w:r>
              <w:rPr>
                <w:kern w:val="0"/>
                <w:szCs w:val="21"/>
                <w:lang w:bidi="ar"/>
              </w:rPr>
              <w:t>ND</w:t>
            </w:r>
          </w:p>
        </w:tc>
        <w:tc>
          <w:tcPr>
            <w:tcW w:w="444" w:type="pct"/>
            <w:shd w:val="clear" w:color="auto" w:fill="auto"/>
            <w:vAlign w:val="center"/>
          </w:tcPr>
          <w:p>
            <w:pPr>
              <w:widowControl/>
              <w:adjustRightInd w:val="0"/>
              <w:snapToGrid w:val="0"/>
              <w:jc w:val="center"/>
              <w:textAlignment w:val="center"/>
              <w:rPr>
                <w:kern w:val="0"/>
                <w:szCs w:val="21"/>
                <w:lang w:bidi="ar"/>
              </w:rPr>
            </w:pPr>
            <w:r>
              <w:rPr>
                <w:kern w:val="0"/>
                <w:szCs w:val="21"/>
                <w:lang w:bidi="ar"/>
              </w:rPr>
              <w:t>ND</w:t>
            </w:r>
          </w:p>
        </w:tc>
        <w:tc>
          <w:tcPr>
            <w:tcW w:w="494" w:type="pct"/>
            <w:shd w:val="clear" w:color="auto" w:fill="auto"/>
          </w:tcPr>
          <w:p>
            <w:pPr>
              <w:widowControl/>
              <w:adjustRightInd w:val="0"/>
              <w:snapToGrid w:val="0"/>
              <w:jc w:val="center"/>
              <w:textAlignment w:val="center"/>
              <w:rPr>
                <w:kern w:val="0"/>
                <w:szCs w:val="21"/>
                <w:lang w:eastAsia="en-US" w:bidi="ar"/>
              </w:rPr>
            </w:pPr>
            <w:r>
              <w:rPr>
                <w:kern w:val="0"/>
                <w:szCs w:val="21"/>
                <w:lang w:bidi="ar"/>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锰</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616</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502</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 xml:space="preserve">541.7 </w:t>
            </w:r>
          </w:p>
        </w:tc>
        <w:tc>
          <w:tcPr>
            <w:tcW w:w="494" w:type="pct"/>
            <w:shd w:val="clear" w:color="auto" w:fill="auto"/>
          </w:tcPr>
          <w:p>
            <w:pPr>
              <w:widowControl/>
              <w:adjustRightInd w:val="0"/>
              <w:snapToGrid w:val="0"/>
              <w:jc w:val="center"/>
              <w:textAlignment w:val="center"/>
              <w:rPr>
                <w:kern w:val="0"/>
                <w:szCs w:val="21"/>
                <w:lang w:bidi="ar"/>
              </w:rPr>
            </w:pPr>
            <w:r>
              <w:rPr>
                <w:kern w:val="0"/>
                <w:szCs w:val="21"/>
              </w:rPr>
              <w:t>--</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653" w:type="dxa"/>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vAlign w:val="center"/>
          </w:tcPr>
          <w:p>
            <w:pPr>
              <w:adjustRightInd w:val="0"/>
              <w:snapToGrid w:val="0"/>
              <w:jc w:val="center"/>
              <w:rPr>
                <w:kern w:val="0"/>
                <w:szCs w:val="21"/>
              </w:rPr>
            </w:pPr>
            <w:r>
              <w:rPr>
                <w:kern w:val="0"/>
                <w:szCs w:val="21"/>
              </w:rPr>
              <w:t>氟化物</w:t>
            </w:r>
          </w:p>
          <w:p>
            <w:pPr>
              <w:adjustRightInd w:val="0"/>
              <w:snapToGrid w:val="0"/>
              <w:jc w:val="center"/>
              <w:rPr>
                <w:kern w:val="0"/>
                <w:szCs w:val="21"/>
              </w:rPr>
            </w:pPr>
            <w:r>
              <w:rPr>
                <w:kern w:val="0"/>
                <w:szCs w:val="21"/>
              </w:rPr>
              <w:t>（可溶性）</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1.9</w:t>
            </w:r>
          </w:p>
        </w:tc>
        <w:tc>
          <w:tcPr>
            <w:tcW w:w="765"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1.8</w:t>
            </w:r>
          </w:p>
        </w:tc>
        <w:tc>
          <w:tcPr>
            <w:tcW w:w="758" w:type="dxa"/>
            <w:shd w:val="clear" w:color="auto" w:fill="auto"/>
            <w:vAlign w:val="center"/>
          </w:tcPr>
          <w:p>
            <w:pPr>
              <w:widowControl/>
              <w:adjustRightInd w:val="0"/>
              <w:snapToGrid w:val="0"/>
              <w:jc w:val="center"/>
              <w:textAlignment w:val="center"/>
              <w:rPr>
                <w:kern w:val="0"/>
                <w:szCs w:val="21"/>
                <w:lang w:bidi="ar"/>
              </w:rPr>
            </w:pPr>
            <w:r>
              <w:rPr>
                <w:kern w:val="0"/>
                <w:szCs w:val="21"/>
                <w:lang w:bidi="ar"/>
              </w:rPr>
              <w:t xml:space="preserve">1.83 </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≤0.0019</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653" w:type="dxa"/>
            <w:shd w:val="clear" w:color="auto" w:fill="auto"/>
            <w:vAlign w:val="center"/>
          </w:tcPr>
          <w:p>
            <w:pPr>
              <w:widowControl/>
              <w:adjustRightInd w:val="0"/>
              <w:snapToGrid w:val="0"/>
              <w:jc w:val="center"/>
              <w:rPr>
                <w:kern w:val="0"/>
                <w:szCs w:val="21"/>
              </w:rPr>
            </w:pPr>
            <w:r>
              <w:rPr>
                <w:kern w:val="0"/>
                <w:szCs w:val="21"/>
              </w:rPr>
              <w:t>3</w:t>
            </w:r>
          </w:p>
        </w:tc>
        <w:tc>
          <w:tcPr>
            <w:tcW w:w="418" w:type="pct"/>
            <w:shd w:val="clear" w:color="auto" w:fill="auto"/>
            <w:vAlign w:val="center"/>
          </w:tcPr>
          <w:p>
            <w:pPr>
              <w:widowControl/>
              <w:adjustRightInd w:val="0"/>
              <w:snapToGrid w:val="0"/>
              <w:jc w:val="center"/>
              <w:rPr>
                <w:kern w:val="0"/>
                <w:szCs w:val="21"/>
              </w:rPr>
            </w:pPr>
            <w:r>
              <w:rPr>
                <w:kern w:val="0"/>
                <w:szCs w:val="21"/>
              </w:rPr>
              <w:t>100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丙酮</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textAlignment w:val="center"/>
              <w:rPr>
                <w:szCs w:val="21"/>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二硫化碳</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tcPr>
          <w:p>
            <w:pPr>
              <w:widowControl/>
              <w:adjustRightInd w:val="0"/>
              <w:snapToGrid w:val="0"/>
              <w:jc w:val="center"/>
              <w:textAlignment w:val="center"/>
              <w:rPr>
                <w:szCs w:val="21"/>
                <w:lang w:eastAsia="en-US"/>
              </w:rPr>
            </w:pPr>
            <w:r>
              <w:rPr>
                <w:szCs w:val="21"/>
              </w:rPr>
              <w:t>228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溴氯甲烷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tcPr>
          <w:p>
            <w:pPr>
              <w:widowControl/>
              <w:adjustRightInd w:val="0"/>
              <w:snapToGrid w:val="0"/>
              <w:jc w:val="center"/>
              <w:textAlignment w:val="center"/>
              <w:rPr>
                <w:szCs w:val="21"/>
                <w:lang w:eastAsia="en-US"/>
              </w:rPr>
            </w:pPr>
            <w:r>
              <w:rPr>
                <w:szCs w:val="21"/>
              </w:rPr>
              <w:t>140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2-氯甲苯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tcPr>
          <w:p>
            <w:pPr>
              <w:widowControl/>
              <w:adjustRightInd w:val="0"/>
              <w:snapToGrid w:val="0"/>
              <w:jc w:val="center"/>
              <w:textAlignment w:val="center"/>
              <w:rPr>
                <w:szCs w:val="21"/>
                <w:lang w:eastAsia="en-US"/>
              </w:rPr>
            </w:pPr>
            <w:r>
              <w:rPr>
                <w:szCs w:val="21"/>
              </w:rPr>
              <w:t>910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4-氯甲苯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250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1,2,4-三氯苯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101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1,2,3-三氯苯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387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1,3-二氯丙烷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21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1,1,2-三氯丙烷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1596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溴甲烷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2.5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rPr>
            </w:pPr>
            <w:r>
              <w:rPr>
                <w:kern w:val="0"/>
                <w:szCs w:val="21"/>
              </w:rPr>
              <w:t>氯乙烷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4165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三氯氟甲烷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1200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二溴甲烷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tcPr>
          <w:p>
            <w:pPr>
              <w:adjustRightInd w:val="0"/>
              <w:snapToGrid w:val="0"/>
              <w:jc w:val="center"/>
              <w:rPr>
                <w:szCs w:val="21"/>
                <w:lang w:eastAsia="en-US"/>
              </w:rPr>
            </w:pPr>
            <w:r>
              <w:rPr>
                <w:szCs w:val="21"/>
              </w:rPr>
              <w:t>33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1,2-二溴-3-氯丙烷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0.13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二氯二氟甲烷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丙烯腈</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溴苯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683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异丙基苯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270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正丙苯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260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叔丁基苯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180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仲丁基苯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150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正丁苯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110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1,3,5-三甲苯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180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1,2,4-三甲苯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220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2-丁酮</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4-甲基-2-戊酮</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3400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2-己酮</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920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甲醛</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30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六氯乙烷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2.6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N-亚硝基二丙胺</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0.08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N-亚硝基二甲胺</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0.08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六氯丁二烯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2</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4-甲基苯酚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3 841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2,4-二甲基苯酚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777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2,3,4,6-四氯苯酚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1 166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2-甲基苯酚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1 932</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2,6-二硝基甲苯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0.4</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异佛乐酮</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widowControl/>
              <w:adjustRightInd w:val="0"/>
              <w:snapToGrid w:val="0"/>
              <w:jc w:val="center"/>
              <w:rPr>
                <w:szCs w:val="21"/>
                <w:lang w:eastAsia="en-US"/>
              </w:rPr>
            </w:pPr>
            <w:r>
              <w:rPr>
                <w:szCs w:val="21"/>
              </w:rPr>
              <w:t>637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4-氯-3-甲基苯酚</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4,6-二硝基邻甲酚</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24</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偶氮苯</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苯酚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2,4,5-三氯酚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4-硝基苯胺</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90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4-氯苯胺</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9</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2-硝基苯胺</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48</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2-氯萘</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苊</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蒽</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荧蒽</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jc w:val="center"/>
        </w:trPr>
        <w:tc>
          <w:tcPr>
            <w:tcW w:w="990" w:type="pct"/>
            <w:shd w:val="clear" w:color="auto" w:fill="auto"/>
          </w:tcPr>
          <w:p>
            <w:pPr>
              <w:adjustRightInd w:val="0"/>
              <w:snapToGrid w:val="0"/>
              <w:jc w:val="center"/>
              <w:rPr>
                <w:kern w:val="0"/>
                <w:szCs w:val="21"/>
                <w:lang w:eastAsia="en-US"/>
              </w:rPr>
            </w:pPr>
            <w:r>
              <w:rPr>
                <w:kern w:val="0"/>
                <w:szCs w:val="21"/>
              </w:rPr>
              <w:t>芴</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芘</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7964</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菲</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7190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苯并[g,h,i]苝</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7190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2-甲基萘</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1062</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邻苯二甲酸二乙酯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双（2-氯乙氧基）甲烷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889</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二苯并呋喃</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407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adjustRightInd w:val="0"/>
              <w:snapToGrid w:val="0"/>
              <w:jc w:val="center"/>
              <w:rPr>
                <w:kern w:val="0"/>
                <w:szCs w:val="21"/>
                <w:lang w:eastAsia="en-US"/>
              </w:rPr>
            </w:pPr>
            <w:r>
              <w:rPr>
                <w:kern w:val="0"/>
                <w:szCs w:val="21"/>
              </w:rPr>
              <w:t>二氯乙醚</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1.5</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毒杀芬</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1.6</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艾氏剂</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0.1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狄氏剂</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0.1</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异狄氏剂</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89</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草甘膦</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10000</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甲拌磷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59</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乙拌磷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12</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甲基对硫磷</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8"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44" w:type="pct"/>
            <w:shd w:val="clear" w:color="auto" w:fill="auto"/>
            <w:vAlign w:val="center"/>
          </w:tcPr>
          <w:p>
            <w:pPr>
              <w:widowControl/>
              <w:adjustRightInd w:val="0"/>
              <w:snapToGrid w:val="0"/>
              <w:jc w:val="center"/>
              <w:textAlignment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74</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二嗪磷</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207</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990" w:type="pct"/>
            <w:shd w:val="clear" w:color="auto" w:fill="auto"/>
          </w:tcPr>
          <w:p>
            <w:pPr>
              <w:widowControl/>
              <w:adjustRightInd w:val="0"/>
              <w:snapToGrid w:val="0"/>
              <w:jc w:val="center"/>
              <w:rPr>
                <w:szCs w:val="21"/>
                <w:lang w:eastAsia="en-US"/>
              </w:rPr>
            </w:pPr>
            <w:r>
              <w:rPr>
                <w:szCs w:val="21"/>
              </w:rPr>
              <w:t>环氧七氯</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8" w:type="pct"/>
            <w:shd w:val="clear" w:color="auto" w:fill="auto"/>
            <w:vAlign w:val="center"/>
          </w:tcPr>
          <w:p>
            <w:pPr>
              <w:widowControl/>
              <w:adjustRightInd w:val="0"/>
              <w:snapToGrid w:val="0"/>
              <w:jc w:val="center"/>
              <w:rPr>
                <w:kern w:val="0"/>
                <w:szCs w:val="21"/>
              </w:rPr>
            </w:pPr>
            <w:r>
              <w:rPr>
                <w:kern w:val="0"/>
                <w:szCs w:val="21"/>
              </w:rPr>
              <w:t>ND</w:t>
            </w:r>
          </w:p>
        </w:tc>
        <w:tc>
          <w:tcPr>
            <w:tcW w:w="444" w:type="pct"/>
            <w:shd w:val="clear" w:color="auto" w:fill="auto"/>
            <w:vAlign w:val="center"/>
          </w:tcPr>
          <w:p>
            <w:pPr>
              <w:widowControl/>
              <w:adjustRightInd w:val="0"/>
              <w:snapToGrid w:val="0"/>
              <w:jc w:val="center"/>
              <w:rPr>
                <w:kern w:val="0"/>
                <w:szCs w:val="21"/>
              </w:rPr>
            </w:pPr>
            <w:r>
              <w:rPr>
                <w:kern w:val="0"/>
                <w:szCs w:val="21"/>
              </w:rPr>
              <w:t>ND</w:t>
            </w:r>
          </w:p>
        </w:tc>
        <w:tc>
          <w:tcPr>
            <w:tcW w:w="494" w:type="pct"/>
            <w:shd w:val="clear" w:color="auto" w:fill="auto"/>
            <w:vAlign w:val="center"/>
          </w:tcPr>
          <w:p>
            <w:pPr>
              <w:adjustRightInd w:val="0"/>
              <w:snapToGrid w:val="0"/>
              <w:jc w:val="center"/>
              <w:rPr>
                <w:szCs w:val="21"/>
                <w:lang w:eastAsia="en-US"/>
              </w:rPr>
            </w:pPr>
            <w:r>
              <w:rPr>
                <w:szCs w:val="21"/>
              </w:rPr>
              <w:t>0.3</w:t>
            </w:r>
          </w:p>
        </w:tc>
        <w:tc>
          <w:tcPr>
            <w:tcW w:w="540" w:type="pct"/>
            <w:shd w:val="clear" w:color="auto" w:fill="auto"/>
            <w:vAlign w:val="center"/>
          </w:tcPr>
          <w:p>
            <w:pPr>
              <w:widowControl/>
              <w:adjustRightInd w:val="0"/>
              <w:snapToGrid w:val="0"/>
              <w:jc w:val="center"/>
              <w:rPr>
                <w:kern w:val="0"/>
                <w:szCs w:val="21"/>
              </w:rPr>
            </w:pPr>
            <w:r>
              <w:rPr>
                <w:kern w:val="0"/>
                <w:szCs w:val="21"/>
              </w:rPr>
              <w:t>--</w:t>
            </w:r>
          </w:p>
        </w:tc>
        <w:tc>
          <w:tcPr>
            <w:tcW w:w="719" w:type="dxa"/>
            <w:shd w:val="clear" w:color="auto" w:fill="auto"/>
            <w:vAlign w:val="center"/>
          </w:tcPr>
          <w:p>
            <w:pPr>
              <w:widowControl/>
              <w:adjustRightInd w:val="0"/>
              <w:snapToGrid w:val="0"/>
              <w:jc w:val="center"/>
              <w:rPr>
                <w:kern w:val="0"/>
                <w:szCs w:val="21"/>
              </w:rPr>
            </w:pPr>
            <w:r>
              <w:rPr>
                <w:kern w:val="0"/>
                <w:szCs w:val="21"/>
              </w:rPr>
              <w:t>3</w:t>
            </w:r>
          </w:p>
        </w:tc>
        <w:tc>
          <w:tcPr>
            <w:tcW w:w="383" w:type="pct"/>
            <w:shd w:val="clear" w:color="auto" w:fill="auto"/>
            <w:vAlign w:val="center"/>
          </w:tcPr>
          <w:p>
            <w:pPr>
              <w:widowControl/>
              <w:adjustRightInd w:val="0"/>
              <w:snapToGrid w:val="0"/>
              <w:jc w:val="center"/>
              <w:rPr>
                <w:kern w:val="0"/>
                <w:szCs w:val="21"/>
              </w:rPr>
            </w:pPr>
            <w:r>
              <w:rPr>
                <w:kern w:val="0"/>
                <w:szCs w:val="21"/>
              </w:rPr>
              <w:t>0</w:t>
            </w:r>
          </w:p>
        </w:tc>
        <w:tc>
          <w:tcPr>
            <w:tcW w:w="418" w:type="pct"/>
            <w:shd w:val="clear" w:color="auto" w:fill="auto"/>
            <w:vAlign w:val="center"/>
          </w:tcPr>
          <w:p>
            <w:pPr>
              <w:widowControl/>
              <w:adjustRightInd w:val="0"/>
              <w:snapToGrid w:val="0"/>
              <w:jc w:val="center"/>
              <w:rPr>
                <w:kern w:val="0"/>
                <w:szCs w:val="21"/>
              </w:rPr>
            </w:pPr>
            <w:r>
              <w:rPr>
                <w:kern w:val="0"/>
                <w:szCs w:val="21"/>
              </w:rPr>
              <w:t>0</w:t>
            </w:r>
          </w:p>
        </w:tc>
        <w:tc>
          <w:tcPr>
            <w:tcW w:w="407" w:type="pct"/>
            <w:shd w:val="clear" w:color="auto" w:fill="auto"/>
            <w:vAlign w:val="center"/>
          </w:tcPr>
          <w:p>
            <w:pPr>
              <w:adjustRightInd w:val="0"/>
              <w:snapToGrid w:val="0"/>
              <w:jc w:val="center"/>
              <w:rPr>
                <w:kern w:val="0"/>
                <w:szCs w:val="21"/>
              </w:rPr>
            </w:pPr>
            <w:r>
              <w:rPr>
                <w:kern w:val="0"/>
                <w:szCs w:val="21"/>
              </w:rPr>
              <w:t>0</w:t>
            </w:r>
          </w:p>
        </w:tc>
      </w:tr>
    </w:tbl>
    <w:p>
      <w:pPr>
        <w:spacing w:line="480" w:lineRule="exact"/>
        <w:ind w:firstLine="480" w:firstLineChars="200"/>
        <w:rPr>
          <w:sz w:val="24"/>
          <w:szCs w:val="24"/>
        </w:rPr>
      </w:pPr>
      <w:r>
        <w:rPr>
          <w:sz w:val="24"/>
          <w:szCs w:val="24"/>
        </w:rPr>
        <w:t>由监测结果可知：1-</w:t>
      </w:r>
      <w:r>
        <w:rPr>
          <w:rFonts w:hint="eastAsia"/>
          <w:sz w:val="24"/>
          <w:szCs w:val="24"/>
        </w:rPr>
        <w:t>3</w:t>
      </w:r>
      <w:r>
        <w:rPr>
          <w:sz w:val="24"/>
          <w:szCs w:val="24"/>
        </w:rPr>
        <w:t>#监测点位土壤采样区各监测因子监测数据均满足《土壤环境质量 建设用地土壤污染风险管控标准（试行）》（GB36600-2018）表1和表2第二类建设用地土壤污染风险筛选值，</w:t>
      </w:r>
      <w:r>
        <w:rPr>
          <w:rFonts w:hint="eastAsia"/>
          <w:sz w:val="24"/>
          <w:szCs w:val="24"/>
        </w:rPr>
        <w:t>符合</w:t>
      </w:r>
      <w:r>
        <w:rPr>
          <w:bCs/>
          <w:kern w:val="0"/>
          <w:sz w:val="24"/>
          <w:szCs w:val="24"/>
        </w:rPr>
        <w:t>《</w:t>
      </w:r>
      <w:r>
        <w:rPr>
          <w:rFonts w:hint="eastAsia"/>
          <w:bCs/>
          <w:kern w:val="0"/>
          <w:sz w:val="24"/>
          <w:szCs w:val="24"/>
        </w:rPr>
        <w:t>河北省建设用地土壤污染风险筛选值</w:t>
      </w:r>
      <w:r>
        <w:rPr>
          <w:bCs/>
          <w:kern w:val="0"/>
          <w:sz w:val="24"/>
          <w:szCs w:val="24"/>
        </w:rPr>
        <w:t>》（</w:t>
      </w:r>
      <w:r>
        <w:rPr>
          <w:rFonts w:hint="eastAsia"/>
          <w:bCs/>
          <w:kern w:val="0"/>
          <w:sz w:val="24"/>
          <w:szCs w:val="24"/>
        </w:rPr>
        <w:t>DB</w:t>
      </w:r>
      <w:r>
        <w:rPr>
          <w:bCs/>
          <w:kern w:val="0"/>
          <w:sz w:val="24"/>
          <w:szCs w:val="24"/>
        </w:rPr>
        <w:t>13/</w:t>
      </w:r>
      <w:r>
        <w:rPr>
          <w:rFonts w:hint="eastAsia"/>
          <w:bCs/>
          <w:kern w:val="0"/>
          <w:sz w:val="24"/>
          <w:szCs w:val="24"/>
        </w:rPr>
        <w:t>T</w:t>
      </w:r>
      <w:r>
        <w:rPr>
          <w:bCs/>
          <w:kern w:val="0"/>
          <w:sz w:val="24"/>
          <w:szCs w:val="24"/>
        </w:rPr>
        <w:t>5216-2020）表1中第二类用地筛选值</w:t>
      </w:r>
      <w:r>
        <w:rPr>
          <w:rFonts w:hint="eastAsia"/>
          <w:bCs/>
          <w:kern w:val="0"/>
          <w:sz w:val="24"/>
          <w:szCs w:val="24"/>
        </w:rPr>
        <w:t>，</w:t>
      </w:r>
      <w:r>
        <w:rPr>
          <w:sz w:val="24"/>
          <w:szCs w:val="24"/>
        </w:rPr>
        <w:t>土壤环境质量整体良好。</w:t>
      </w:r>
    </w:p>
    <w:p>
      <w:pPr>
        <w:keepNext/>
        <w:keepLines/>
        <w:numPr>
          <w:ilvl w:val="1"/>
          <w:numId w:val="5"/>
        </w:numPr>
        <w:tabs>
          <w:tab w:val="left" w:pos="432"/>
          <w:tab w:val="left" w:pos="720"/>
          <w:tab w:val="clear" w:pos="862"/>
        </w:tabs>
        <w:adjustRightInd w:val="0"/>
        <w:snapToGrid w:val="0"/>
        <w:spacing w:after="156" w:afterLines="50" w:line="360" w:lineRule="auto"/>
        <w:ind w:left="569" w:hanging="569" w:hangingChars="189"/>
        <w:outlineLvl w:val="1"/>
        <w:rPr>
          <w:b/>
          <w:bCs/>
          <w:sz w:val="30"/>
          <w:szCs w:val="30"/>
        </w:rPr>
      </w:pPr>
      <w:bookmarkStart w:id="123" w:name="_Toc94101221"/>
      <w:bookmarkStart w:id="124" w:name="_Toc88472188"/>
      <w:r>
        <w:rPr>
          <w:b/>
          <w:bCs/>
          <w:sz w:val="30"/>
          <w:szCs w:val="30"/>
        </w:rPr>
        <w:t>小结</w:t>
      </w:r>
      <w:bookmarkEnd w:id="123"/>
      <w:bookmarkEnd w:id="124"/>
    </w:p>
    <w:p>
      <w:pPr>
        <w:adjustRightInd w:val="0"/>
        <w:snapToGrid w:val="0"/>
        <w:spacing w:line="360" w:lineRule="auto"/>
        <w:ind w:firstLine="480" w:firstLineChars="200"/>
        <w:rPr>
          <w:sz w:val="24"/>
          <w:szCs w:val="24"/>
        </w:rPr>
      </w:pPr>
      <w:r>
        <w:rPr>
          <w:sz w:val="24"/>
          <w:szCs w:val="24"/>
        </w:rPr>
        <w:t>根据环境空气</w:t>
      </w:r>
      <w:r>
        <w:rPr>
          <w:rFonts w:hint="eastAsia"/>
          <w:sz w:val="24"/>
          <w:szCs w:val="24"/>
        </w:rPr>
        <w:t>质量公报</w:t>
      </w:r>
      <w:r>
        <w:rPr>
          <w:sz w:val="24"/>
          <w:szCs w:val="24"/>
        </w:rPr>
        <w:t>监测结果，各监测点常规监测指标SO</w:t>
      </w:r>
      <w:r>
        <w:rPr>
          <w:sz w:val="24"/>
          <w:szCs w:val="24"/>
          <w:vertAlign w:val="subscript"/>
        </w:rPr>
        <w:t>2</w:t>
      </w:r>
      <w:r>
        <w:rPr>
          <w:sz w:val="24"/>
          <w:szCs w:val="24"/>
        </w:rPr>
        <w:t>、NO</w:t>
      </w:r>
      <w:r>
        <w:rPr>
          <w:sz w:val="24"/>
          <w:szCs w:val="24"/>
          <w:vertAlign w:val="subscript"/>
        </w:rPr>
        <w:t>2</w:t>
      </w:r>
      <w:r>
        <w:rPr>
          <w:sz w:val="24"/>
          <w:szCs w:val="24"/>
        </w:rPr>
        <w:t>、NOx、CO、O</w:t>
      </w:r>
      <w:r>
        <w:rPr>
          <w:sz w:val="24"/>
          <w:szCs w:val="24"/>
          <w:vertAlign w:val="subscript"/>
        </w:rPr>
        <w:t>3</w:t>
      </w:r>
      <w:r>
        <w:rPr>
          <w:sz w:val="24"/>
          <w:szCs w:val="24"/>
        </w:rPr>
        <w:t>均能满足《环境空气质量标准》（GB3095-2012）二级标准要求，</w:t>
      </w:r>
      <w:r>
        <w:rPr>
          <w:bCs/>
          <w:sz w:val="24"/>
          <w:szCs w:val="24"/>
        </w:rPr>
        <w:t>项目所在区域属于达标区。臭气浓度</w:t>
      </w:r>
      <w:r>
        <w:rPr>
          <w:rFonts w:hint="eastAsia"/>
          <w:bCs/>
          <w:sz w:val="24"/>
          <w:szCs w:val="24"/>
        </w:rPr>
        <w:t>满足</w:t>
      </w:r>
      <w:r>
        <w:rPr>
          <w:bCs/>
          <w:sz w:val="24"/>
          <w:szCs w:val="24"/>
        </w:rPr>
        <w:t>《恶臭污染物排放标准》（GB14554-93）</w:t>
      </w:r>
      <w:r>
        <w:rPr>
          <w:rFonts w:hint="eastAsia"/>
          <w:bCs/>
          <w:sz w:val="24"/>
          <w:szCs w:val="24"/>
        </w:rPr>
        <w:t>表1恶臭污染物厂界标准值（新扩改建）二级标准值，空气质量良好。</w:t>
      </w:r>
    </w:p>
    <w:p>
      <w:pPr>
        <w:adjustRightInd w:val="0"/>
        <w:snapToGrid w:val="0"/>
        <w:spacing w:line="360" w:lineRule="auto"/>
        <w:ind w:firstLine="480" w:firstLineChars="200"/>
        <w:rPr>
          <w:sz w:val="24"/>
        </w:rPr>
      </w:pPr>
      <w:r>
        <w:rPr>
          <w:rFonts w:hint="eastAsia"/>
          <w:bCs/>
          <w:sz w:val="24"/>
        </w:rPr>
        <w:t>根据承德市生态环境局《2</w:t>
      </w:r>
      <w:r>
        <w:rPr>
          <w:bCs/>
          <w:sz w:val="24"/>
        </w:rPr>
        <w:t>019</w:t>
      </w:r>
      <w:r>
        <w:rPr>
          <w:rFonts w:hint="eastAsia"/>
          <w:bCs/>
          <w:sz w:val="24"/>
        </w:rPr>
        <w:t>年承德市生态环境状况公报》，项目附近伊逊河水质达到《地表水环境质量标准》（GB3838-2002）Ⅱ类标准。</w:t>
      </w:r>
    </w:p>
    <w:p>
      <w:pPr>
        <w:adjustRightInd w:val="0"/>
        <w:snapToGrid w:val="0"/>
        <w:spacing w:line="360" w:lineRule="auto"/>
        <w:ind w:firstLine="480" w:firstLineChars="200"/>
        <w:rPr>
          <w:sz w:val="24"/>
        </w:rPr>
      </w:pPr>
      <w:r>
        <w:rPr>
          <w:sz w:val="24"/>
          <w:szCs w:val="24"/>
        </w:rPr>
        <w:t>根据地下水水质及水位监测结果，</w:t>
      </w:r>
      <w:r>
        <w:rPr>
          <w:sz w:val="24"/>
        </w:rPr>
        <w:t>各监测数据符合《地下水质量标准》(GB/T14848-2017)</w:t>
      </w:r>
      <w:r>
        <w:rPr>
          <w:rFonts w:hint="eastAsia" w:ascii="宋体" w:hAnsi="宋体" w:cs="宋体"/>
          <w:sz w:val="24"/>
        </w:rPr>
        <w:t>Ⅲ</w:t>
      </w:r>
      <w:r>
        <w:rPr>
          <w:sz w:val="24"/>
        </w:rPr>
        <w:t>类标准。</w:t>
      </w:r>
    </w:p>
    <w:p>
      <w:pPr>
        <w:widowControl/>
        <w:spacing w:line="360" w:lineRule="auto"/>
        <w:ind w:firstLine="480" w:firstLineChars="200"/>
        <w:jc w:val="left"/>
        <w:rPr>
          <w:sz w:val="24"/>
          <w:szCs w:val="24"/>
        </w:rPr>
      </w:pPr>
      <w:r>
        <w:rPr>
          <w:sz w:val="24"/>
          <w:szCs w:val="24"/>
        </w:rPr>
        <w:t>根据声环境现状监测，厂界噪声监测点位昼间监测结果均达到《工业企业厂界噪声 标准》（GB12348-2008）2类标准限值要求(昼间 60dB(A)，夜间 50 dB(A))。</w:t>
      </w:r>
    </w:p>
    <w:p>
      <w:pPr>
        <w:spacing w:line="360" w:lineRule="auto"/>
        <w:ind w:firstLine="480" w:firstLineChars="200"/>
        <w:rPr>
          <w:bCs/>
          <w:sz w:val="24"/>
          <w:szCs w:val="24"/>
        </w:rPr>
      </w:pPr>
      <w:r>
        <w:rPr>
          <w:sz w:val="24"/>
          <w:szCs w:val="24"/>
        </w:rPr>
        <w:t>根据土壤监测数据，</w:t>
      </w:r>
      <w:r>
        <w:rPr>
          <w:rFonts w:hint="eastAsia"/>
          <w:sz w:val="24"/>
          <w:szCs w:val="24"/>
        </w:rPr>
        <w:t>场址区域内</w:t>
      </w:r>
      <w:r>
        <w:rPr>
          <w:sz w:val="24"/>
          <w:szCs w:val="24"/>
        </w:rPr>
        <w:t>各监测点中监测因子均能满足</w:t>
      </w:r>
      <w:r>
        <w:rPr>
          <w:bCs/>
          <w:sz w:val="24"/>
          <w:szCs w:val="24"/>
        </w:rPr>
        <w:t>《</w:t>
      </w:r>
      <w:r>
        <w:rPr>
          <w:rFonts w:hint="eastAsia"/>
          <w:bCs/>
          <w:sz w:val="24"/>
          <w:szCs w:val="24"/>
        </w:rPr>
        <w:t>河北省建设用地土壤污染风险筛选值</w:t>
      </w:r>
      <w:r>
        <w:rPr>
          <w:bCs/>
          <w:sz w:val="24"/>
          <w:szCs w:val="24"/>
        </w:rPr>
        <w:t>》（</w:t>
      </w:r>
      <w:r>
        <w:rPr>
          <w:rFonts w:hint="eastAsia"/>
          <w:bCs/>
          <w:sz w:val="24"/>
          <w:szCs w:val="24"/>
        </w:rPr>
        <w:t>DB</w:t>
      </w:r>
      <w:r>
        <w:rPr>
          <w:bCs/>
          <w:sz w:val="24"/>
          <w:szCs w:val="24"/>
        </w:rPr>
        <w:t>13/</w:t>
      </w:r>
      <w:r>
        <w:rPr>
          <w:rFonts w:hint="eastAsia"/>
          <w:bCs/>
          <w:sz w:val="24"/>
          <w:szCs w:val="24"/>
        </w:rPr>
        <w:t>T</w:t>
      </w:r>
      <w:r>
        <w:rPr>
          <w:bCs/>
          <w:sz w:val="24"/>
          <w:szCs w:val="24"/>
        </w:rPr>
        <w:t>5216-2020）表1中第二类用地筛选值标准</w:t>
      </w:r>
      <w:r>
        <w:rPr>
          <w:rFonts w:hint="eastAsia"/>
          <w:bCs/>
          <w:sz w:val="24"/>
          <w:szCs w:val="24"/>
        </w:rPr>
        <w:t>、</w:t>
      </w:r>
      <w:r>
        <w:rPr>
          <w:sz w:val="24"/>
          <w:szCs w:val="24"/>
        </w:rPr>
        <w:t>《土壤环境质量 建设用地土壤污染风险管控标准（试行）》（GB36600-2018）表1和表2第二类建设用地土壤污染风险筛选值</w:t>
      </w:r>
      <w:r>
        <w:rPr>
          <w:bCs/>
          <w:sz w:val="24"/>
          <w:szCs w:val="24"/>
        </w:rPr>
        <w:t>要求</w:t>
      </w:r>
      <w:r>
        <w:rPr>
          <w:rFonts w:hint="eastAsia"/>
          <w:bCs/>
          <w:sz w:val="24"/>
          <w:szCs w:val="24"/>
        </w:rPr>
        <w:t>，</w:t>
      </w:r>
      <w:r>
        <w:rPr>
          <w:sz w:val="24"/>
          <w:szCs w:val="24"/>
        </w:rPr>
        <w:t>土壤环境质量整体良好。</w:t>
      </w:r>
    </w:p>
    <w:p>
      <w:pPr>
        <w:adjustRightInd w:val="0"/>
        <w:snapToGrid w:val="0"/>
        <w:spacing w:line="360" w:lineRule="auto"/>
        <w:ind w:firstLine="480" w:firstLineChars="200"/>
        <w:rPr>
          <w:sz w:val="24"/>
          <w:szCs w:val="24"/>
        </w:rPr>
        <w:sectPr>
          <w:headerReference r:id="rId16" w:type="default"/>
          <w:footerReference r:id="rId17" w:type="default"/>
          <w:footerReference r:id="rId18" w:type="even"/>
          <w:pgSz w:w="11906" w:h="16838"/>
          <w:pgMar w:top="1440" w:right="1800" w:bottom="1440" w:left="1800" w:header="851" w:footer="992" w:gutter="0"/>
          <w:cols w:space="425" w:num="1"/>
          <w:docGrid w:type="lines" w:linePitch="312" w:charSpace="0"/>
        </w:sectPr>
      </w:pPr>
    </w:p>
    <w:p>
      <w:pPr>
        <w:keepNext/>
        <w:keepLines/>
        <w:numPr>
          <w:ilvl w:val="0"/>
          <w:numId w:val="5"/>
        </w:numPr>
        <w:snapToGrid w:val="0"/>
        <w:spacing w:before="50" w:after="50" w:line="360" w:lineRule="auto"/>
        <w:jc w:val="center"/>
        <w:outlineLvl w:val="0"/>
        <w:rPr>
          <w:b/>
          <w:bCs/>
          <w:kern w:val="44"/>
          <w:sz w:val="32"/>
          <w:szCs w:val="32"/>
        </w:rPr>
      </w:pPr>
      <w:bookmarkStart w:id="125" w:name="_Toc94101222"/>
      <w:r>
        <w:rPr>
          <w:b/>
          <w:bCs/>
          <w:kern w:val="44"/>
          <w:sz w:val="32"/>
          <w:szCs w:val="32"/>
        </w:rPr>
        <w:t>环境影响预测与评价</w:t>
      </w:r>
      <w:bookmarkEnd w:id="125"/>
    </w:p>
    <w:p>
      <w:pPr>
        <w:keepNext/>
        <w:keepLines/>
        <w:numPr>
          <w:ilvl w:val="1"/>
          <w:numId w:val="5"/>
        </w:numPr>
        <w:tabs>
          <w:tab w:val="left" w:pos="432"/>
          <w:tab w:val="left" w:pos="720"/>
        </w:tabs>
        <w:adjustRightInd w:val="0"/>
        <w:snapToGrid w:val="0"/>
        <w:spacing w:before="156" w:beforeLines="50" w:line="360" w:lineRule="auto"/>
        <w:ind w:left="0" w:firstLine="0"/>
        <w:outlineLvl w:val="1"/>
        <w:rPr>
          <w:b/>
          <w:bCs/>
          <w:sz w:val="30"/>
          <w:szCs w:val="30"/>
        </w:rPr>
      </w:pPr>
      <w:bookmarkStart w:id="126" w:name="_Toc94101223"/>
      <w:r>
        <w:rPr>
          <w:b/>
          <w:bCs/>
          <w:sz w:val="30"/>
          <w:szCs w:val="30"/>
        </w:rPr>
        <w:t>施工期环境影响分析</w:t>
      </w:r>
      <w:bookmarkEnd w:id="126"/>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大气环境影响分析</w:t>
      </w:r>
    </w:p>
    <w:p>
      <w:pPr>
        <w:adjustRightInd w:val="0"/>
        <w:snapToGrid w:val="0"/>
        <w:spacing w:line="360" w:lineRule="auto"/>
        <w:ind w:firstLine="482" w:firstLineChars="200"/>
        <w:rPr>
          <w:sz w:val="24"/>
        </w:rPr>
      </w:pPr>
      <w:r>
        <w:rPr>
          <w:rFonts w:hint="eastAsia"/>
          <w:b/>
          <w:bCs/>
          <w:sz w:val="24"/>
        </w:rPr>
        <w:t>（1）</w:t>
      </w:r>
      <w:r>
        <w:rPr>
          <w:rFonts w:hint="eastAsia"/>
          <w:sz w:val="24"/>
        </w:rPr>
        <w:t>施工扬尘影响分析</w:t>
      </w:r>
    </w:p>
    <w:p>
      <w:pPr>
        <w:adjustRightInd w:val="0"/>
        <w:snapToGrid w:val="0"/>
        <w:spacing w:line="360" w:lineRule="auto"/>
        <w:ind w:firstLine="480" w:firstLineChars="200"/>
        <w:rPr>
          <w:sz w:val="24"/>
        </w:rPr>
      </w:pPr>
      <w:r>
        <w:rPr>
          <w:sz w:val="24"/>
        </w:rPr>
        <w:t>施工期对环境空气的影响主要是施工扬尘。施工期扬尘主要产生于土石方开挖、平整土地、弃土、建材装卸、车辆行驶等作业。据有关资料显示，施工工场扬尘的主要来源是运输车辆行驶而形成，约占扬尘总量的60%。扬尘量的大小与天气干燥程度、道路路况、车辆行驶速度、风速大小有关。一般情况下，在自然风作用下，道路扬尘影响范围在100m以内。在大风天气，扬尘量及影响范围将有所扩大。施工中的弃土、砂料、石灰等，若堆放时摆放不当或装卸运输时散落，都能造成施工扬尘，影响范围在150m左右。采取场地抑尘措施后，可以明显地降低施工场地周围环境空气的粉尘浓度，满足《施工场地扬尘排放标准》（DB13/2934-2019）中表1排放限值。本项目区域附近无特殊敏感点，施工扬尘影响较小。</w:t>
      </w:r>
    </w:p>
    <w:p>
      <w:pPr>
        <w:adjustRightInd w:val="0"/>
        <w:snapToGrid w:val="0"/>
        <w:spacing w:line="360" w:lineRule="auto"/>
        <w:ind w:firstLine="480" w:firstLineChars="200"/>
        <w:rPr>
          <w:sz w:val="24"/>
        </w:rPr>
      </w:pPr>
      <w:r>
        <w:rPr>
          <w:rFonts w:hint="eastAsia"/>
          <w:sz w:val="24"/>
        </w:rPr>
        <w:t>（2）燃油废气</w:t>
      </w:r>
    </w:p>
    <w:p>
      <w:pPr>
        <w:adjustRightInd w:val="0"/>
        <w:snapToGrid w:val="0"/>
        <w:spacing w:line="360" w:lineRule="auto"/>
        <w:ind w:firstLine="480" w:firstLineChars="200"/>
        <w:rPr>
          <w:sz w:val="24"/>
        </w:rPr>
      </w:pPr>
      <w:r>
        <w:rPr>
          <w:sz w:val="24"/>
        </w:rPr>
        <w:t>运输车辆和施工机械动力源为柴油，主要污染物为NO</w:t>
      </w:r>
      <w:r>
        <w:rPr>
          <w:sz w:val="24"/>
          <w:vertAlign w:val="subscript"/>
        </w:rPr>
        <w:t>2</w:t>
      </w:r>
      <w:r>
        <w:rPr>
          <w:sz w:val="24"/>
        </w:rPr>
        <w:t>、CO和THC等。一般来说，由运输车辆、施工机械产生的污染物排放量并不大，主要对作业点周围和运输路线两侧局部范围产生一定影响，排放量不大，影响也相对小。</w:t>
      </w:r>
    </w:p>
    <w:p>
      <w:pPr>
        <w:adjustRightInd w:val="0"/>
        <w:snapToGrid w:val="0"/>
        <w:spacing w:line="360" w:lineRule="auto"/>
        <w:ind w:firstLine="480" w:firstLineChars="200"/>
        <w:rPr>
          <w:sz w:val="24"/>
        </w:rPr>
      </w:pPr>
      <w:r>
        <w:rPr>
          <w:sz w:val="24"/>
        </w:rPr>
        <w:t>综上所述，工程施工期环境空气污染具有随时间变化程度大，漂移距离近、影响距离和范围小等特点，其影响只限于施工期，随建设期的结束而停止，不会产生累积的污染影响。在采取上述相应防治措施情况下，施工期废气对周围环境空气影响较小。</w:t>
      </w:r>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水环境影响分析</w:t>
      </w:r>
    </w:p>
    <w:p>
      <w:pPr>
        <w:adjustRightInd w:val="0"/>
        <w:snapToGrid w:val="0"/>
        <w:spacing w:line="360" w:lineRule="auto"/>
        <w:ind w:firstLine="480" w:firstLineChars="200"/>
        <w:rPr>
          <w:sz w:val="24"/>
        </w:rPr>
      </w:pPr>
      <w:r>
        <w:rPr>
          <w:rFonts w:hint="eastAsia"/>
          <w:sz w:val="24"/>
        </w:rPr>
        <w:t>本项目施工期的污水主要来源于施工人员排放的生活污水和施工生产废水。</w:t>
      </w:r>
    </w:p>
    <w:p>
      <w:pPr>
        <w:adjustRightInd w:val="0"/>
        <w:snapToGrid w:val="0"/>
        <w:spacing w:line="360" w:lineRule="auto"/>
        <w:ind w:firstLine="480" w:firstLineChars="200"/>
        <w:rPr>
          <w:sz w:val="24"/>
        </w:rPr>
      </w:pPr>
      <w:r>
        <w:rPr>
          <w:rFonts w:hint="eastAsia"/>
          <w:sz w:val="24"/>
        </w:rPr>
        <w:t>1、施工人员生活污水</w:t>
      </w:r>
    </w:p>
    <w:p>
      <w:pPr>
        <w:adjustRightInd w:val="0"/>
        <w:snapToGrid w:val="0"/>
        <w:spacing w:line="360" w:lineRule="auto"/>
        <w:ind w:firstLine="480" w:firstLineChars="200"/>
        <w:rPr>
          <w:sz w:val="24"/>
          <w:szCs w:val="24"/>
        </w:rPr>
      </w:pPr>
      <w:r>
        <w:rPr>
          <w:sz w:val="24"/>
          <w:szCs w:val="24"/>
        </w:rPr>
        <w:t>施工高峰期的施工人员约40人，每人每天按 0.1t/d计，则生活污水量约 4.0t/d，主要污染物为COD、BOD</w:t>
      </w:r>
      <w:r>
        <w:rPr>
          <w:sz w:val="24"/>
          <w:szCs w:val="24"/>
          <w:vertAlign w:val="subscript"/>
        </w:rPr>
        <w:t>5</w:t>
      </w:r>
      <w:r>
        <w:rPr>
          <w:rFonts w:hint="eastAsia"/>
          <w:sz w:val="24"/>
          <w:szCs w:val="24"/>
        </w:rPr>
        <w:t>、</w:t>
      </w:r>
      <w:r>
        <w:rPr>
          <w:sz w:val="24"/>
          <w:szCs w:val="24"/>
        </w:rPr>
        <w:t>NH</w:t>
      </w:r>
      <w:r>
        <w:rPr>
          <w:sz w:val="24"/>
          <w:szCs w:val="24"/>
          <w:vertAlign w:val="subscript"/>
        </w:rPr>
        <w:t>3</w:t>
      </w:r>
      <w:r>
        <w:rPr>
          <w:sz w:val="24"/>
          <w:szCs w:val="24"/>
        </w:rPr>
        <w:t>-N、SS。施工人员的生活污水依托</w:t>
      </w:r>
      <w:r>
        <w:rPr>
          <w:rFonts w:hint="eastAsia"/>
          <w:sz w:val="24"/>
          <w:szCs w:val="24"/>
        </w:rPr>
        <w:t>采用移动式厕所，环卫部门定期清掏</w:t>
      </w:r>
      <w:r>
        <w:rPr>
          <w:sz w:val="24"/>
          <w:szCs w:val="24"/>
        </w:rPr>
        <w:t>。</w:t>
      </w:r>
    </w:p>
    <w:p>
      <w:pPr>
        <w:adjustRightInd w:val="0"/>
        <w:snapToGrid w:val="0"/>
        <w:spacing w:line="360" w:lineRule="auto"/>
        <w:ind w:firstLine="480" w:firstLineChars="200"/>
        <w:rPr>
          <w:sz w:val="24"/>
          <w:szCs w:val="24"/>
        </w:rPr>
      </w:pPr>
      <w:r>
        <w:rPr>
          <w:rFonts w:hint="eastAsia"/>
          <w:sz w:val="24"/>
          <w:szCs w:val="24"/>
        </w:rPr>
        <w:t>（2）</w:t>
      </w:r>
      <w:r>
        <w:rPr>
          <w:sz w:val="24"/>
          <w:szCs w:val="24"/>
        </w:rPr>
        <w:t>施工机械清洗废水</w:t>
      </w:r>
    </w:p>
    <w:p>
      <w:pPr>
        <w:adjustRightInd w:val="0"/>
        <w:snapToGrid w:val="0"/>
        <w:spacing w:line="360" w:lineRule="auto"/>
        <w:ind w:firstLine="480" w:firstLineChars="200"/>
        <w:rPr>
          <w:sz w:val="24"/>
          <w:szCs w:val="24"/>
        </w:rPr>
      </w:pPr>
      <w:r>
        <w:rPr>
          <w:sz w:val="24"/>
          <w:szCs w:val="24"/>
        </w:rPr>
        <w:t>本项目施工高峰期各类车辆设备共约有 10 辆(台)，</w:t>
      </w:r>
      <w:bookmarkStart w:id="127" w:name="_Hlk89272835"/>
      <w:r>
        <w:rPr>
          <w:sz w:val="24"/>
          <w:szCs w:val="24"/>
        </w:rPr>
        <w:t>施工运输车辆和机械设备冲洗废水量约为 4.0t/d。该股废水主要污染因子为 CODcr、SS、石油类。施工机械清洗废水经隔油和沉淀后回用于施工区的日常洒水或汽车冲洗，不外排。</w:t>
      </w:r>
      <w:bookmarkEnd w:id="127"/>
    </w:p>
    <w:p>
      <w:pPr>
        <w:adjustRightInd w:val="0"/>
        <w:snapToGrid w:val="0"/>
        <w:spacing w:line="360" w:lineRule="auto"/>
        <w:ind w:firstLine="480" w:firstLineChars="200"/>
        <w:rPr>
          <w:sz w:val="24"/>
          <w:szCs w:val="24"/>
        </w:rPr>
      </w:pPr>
      <w:r>
        <w:rPr>
          <w:rFonts w:hint="eastAsia"/>
          <w:sz w:val="24"/>
          <w:szCs w:val="24"/>
        </w:rPr>
        <w:t>（3）</w:t>
      </w:r>
      <w:r>
        <w:rPr>
          <w:sz w:val="24"/>
          <w:szCs w:val="24"/>
        </w:rPr>
        <w:t>场地及</w:t>
      </w:r>
      <w:r>
        <w:rPr>
          <w:rFonts w:hint="eastAsia"/>
          <w:sz w:val="24"/>
          <w:szCs w:val="24"/>
        </w:rPr>
        <w:t>设备</w:t>
      </w:r>
      <w:r>
        <w:rPr>
          <w:sz w:val="24"/>
          <w:szCs w:val="24"/>
        </w:rPr>
        <w:t xml:space="preserve">冲洗废水 </w:t>
      </w:r>
    </w:p>
    <w:p>
      <w:pPr>
        <w:adjustRightInd w:val="0"/>
        <w:snapToGrid w:val="0"/>
        <w:spacing w:line="360" w:lineRule="auto"/>
        <w:ind w:firstLine="480" w:firstLineChars="200"/>
        <w:rPr>
          <w:rFonts w:eastAsia="等线"/>
          <w:kern w:val="0"/>
          <w:sz w:val="13"/>
          <w:szCs w:val="13"/>
        </w:rPr>
      </w:pPr>
      <w:r>
        <w:rPr>
          <w:sz w:val="24"/>
          <w:szCs w:val="24"/>
        </w:rPr>
        <w:t>场地和</w:t>
      </w:r>
      <w:r>
        <w:rPr>
          <w:rFonts w:hint="eastAsia"/>
          <w:sz w:val="24"/>
          <w:szCs w:val="24"/>
        </w:rPr>
        <w:t>设备</w:t>
      </w:r>
      <w:r>
        <w:rPr>
          <w:sz w:val="24"/>
          <w:szCs w:val="24"/>
        </w:rPr>
        <w:t>冲洗等产生的废水设沉砂池沉淀处理后</w:t>
      </w:r>
      <w:r>
        <w:rPr>
          <w:rFonts w:hint="eastAsia"/>
          <w:sz w:val="24"/>
          <w:szCs w:val="24"/>
        </w:rPr>
        <w:t>全部</w:t>
      </w:r>
      <w:r>
        <w:rPr>
          <w:sz w:val="24"/>
          <w:szCs w:val="24"/>
        </w:rPr>
        <w:t>回用，不外排。</w:t>
      </w:r>
    </w:p>
    <w:p>
      <w:pPr>
        <w:adjustRightInd w:val="0"/>
        <w:snapToGrid w:val="0"/>
        <w:spacing w:line="360" w:lineRule="auto"/>
        <w:ind w:firstLine="480" w:firstLineChars="200"/>
        <w:rPr>
          <w:b/>
          <w:bCs/>
          <w:sz w:val="24"/>
        </w:rPr>
      </w:pPr>
      <w:r>
        <w:rPr>
          <w:rFonts w:hint="eastAsia"/>
          <w:sz w:val="24"/>
          <w:szCs w:val="24"/>
        </w:rPr>
        <w:t>综上所述，本项目周边5</w:t>
      </w:r>
      <w:r>
        <w:rPr>
          <w:sz w:val="24"/>
          <w:szCs w:val="24"/>
        </w:rPr>
        <w:t>00</w:t>
      </w:r>
      <w:r>
        <w:rPr>
          <w:rFonts w:hint="eastAsia"/>
          <w:sz w:val="24"/>
          <w:szCs w:val="24"/>
        </w:rPr>
        <w:t>m范围内无地表水，施工废水均不外排，对周边环境影响较小。</w:t>
      </w:r>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声环境影响分析</w:t>
      </w:r>
    </w:p>
    <w:p>
      <w:pPr>
        <w:adjustRightInd w:val="0"/>
        <w:snapToGrid w:val="0"/>
        <w:spacing w:line="360" w:lineRule="auto"/>
        <w:ind w:firstLine="480" w:firstLineChars="200"/>
        <w:rPr>
          <w:b/>
          <w:sz w:val="24"/>
        </w:rPr>
      </w:pPr>
      <w:r>
        <w:rPr>
          <w:sz w:val="24"/>
        </w:rPr>
        <w:t>本项目不同施工阶段典型建筑施工机械的噪声源强见表5.1-3。将施工中使用较频繁的几种主要机械设备的噪声值分别进行计算，预测机械设备的噪声值，具体见表5.1-4。</w:t>
      </w:r>
      <w:r>
        <w:rPr>
          <w:rFonts w:hint="eastAsia"/>
          <w:sz w:val="24"/>
        </w:rPr>
        <w:t>由表可知</w:t>
      </w:r>
      <w:r>
        <w:rPr>
          <w:sz w:val="24"/>
        </w:rPr>
        <w:t>，昼间施工噪声50m外</w:t>
      </w:r>
      <w:r>
        <w:rPr>
          <w:rFonts w:hint="eastAsia"/>
          <w:sz w:val="24"/>
        </w:rPr>
        <w:t>可</w:t>
      </w:r>
      <w:r>
        <w:rPr>
          <w:sz w:val="24"/>
        </w:rPr>
        <w:t>达标，夜间200m外</w:t>
      </w:r>
      <w:r>
        <w:rPr>
          <w:rFonts w:hint="eastAsia"/>
          <w:sz w:val="24"/>
        </w:rPr>
        <w:t>可</w:t>
      </w:r>
      <w:r>
        <w:rPr>
          <w:sz w:val="24"/>
        </w:rPr>
        <w:t>达标，本项目最近的敏感点距离</w:t>
      </w:r>
      <w:r>
        <w:rPr>
          <w:rFonts w:hint="eastAsia"/>
          <w:sz w:val="24"/>
        </w:rPr>
        <w:t>大于5</w:t>
      </w:r>
      <w:r>
        <w:rPr>
          <w:sz w:val="24"/>
        </w:rPr>
        <w:t>00m，距离较远，施工期噪声对其基本无影响。</w:t>
      </w:r>
    </w:p>
    <w:p>
      <w:pPr>
        <w:adjustRightInd w:val="0"/>
        <w:snapToGrid w:val="0"/>
        <w:jc w:val="center"/>
        <w:rPr>
          <w:szCs w:val="21"/>
        </w:rPr>
      </w:pPr>
      <w:r>
        <w:rPr>
          <w:b/>
          <w:sz w:val="24"/>
        </w:rPr>
        <w:t xml:space="preserve">      表5.1-3  不同施工阶段施工机械声级</w:t>
      </w:r>
      <w:r>
        <w:rPr>
          <w:sz w:val="24"/>
        </w:rPr>
        <w:t xml:space="preserve"> </w:t>
      </w:r>
      <w:r>
        <w:rPr>
          <w:szCs w:val="21"/>
        </w:rPr>
        <w:t xml:space="preserve"> 单位：dB（A）</w:t>
      </w:r>
    </w:p>
    <w:tbl>
      <w:tblPr>
        <w:tblStyle w:val="39"/>
        <w:tblW w:w="5022"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05"/>
        <w:gridCol w:w="2258"/>
        <w:gridCol w:w="1601"/>
        <w:gridCol w:w="1559"/>
        <w:gridCol w:w="16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79" w:type="pct"/>
            <w:vAlign w:val="center"/>
          </w:tcPr>
          <w:p>
            <w:pPr>
              <w:autoSpaceDE w:val="0"/>
              <w:autoSpaceDN w:val="0"/>
              <w:adjustRightInd w:val="0"/>
              <w:jc w:val="center"/>
              <w:rPr>
                <w:szCs w:val="21"/>
              </w:rPr>
            </w:pPr>
            <w:r>
              <w:rPr>
                <w:szCs w:val="21"/>
              </w:rPr>
              <w:t>施工阶段</w:t>
            </w:r>
          </w:p>
        </w:tc>
        <w:tc>
          <w:tcPr>
            <w:tcW w:w="1319" w:type="pct"/>
            <w:vAlign w:val="center"/>
          </w:tcPr>
          <w:p>
            <w:pPr>
              <w:autoSpaceDE w:val="0"/>
              <w:autoSpaceDN w:val="0"/>
              <w:adjustRightInd w:val="0"/>
              <w:jc w:val="center"/>
              <w:rPr>
                <w:szCs w:val="21"/>
              </w:rPr>
            </w:pPr>
            <w:r>
              <w:rPr>
                <w:szCs w:val="21"/>
              </w:rPr>
              <w:t>噪声源</w:t>
            </w:r>
          </w:p>
        </w:tc>
        <w:tc>
          <w:tcPr>
            <w:tcW w:w="935" w:type="pct"/>
            <w:vAlign w:val="center"/>
          </w:tcPr>
          <w:p>
            <w:pPr>
              <w:autoSpaceDE w:val="0"/>
              <w:autoSpaceDN w:val="0"/>
              <w:adjustRightInd w:val="0"/>
              <w:jc w:val="center"/>
              <w:rPr>
                <w:szCs w:val="21"/>
              </w:rPr>
            </w:pPr>
            <w:r>
              <w:rPr>
                <w:szCs w:val="21"/>
              </w:rPr>
              <w:t>声功率级</w:t>
            </w:r>
          </w:p>
        </w:tc>
        <w:tc>
          <w:tcPr>
            <w:tcW w:w="911" w:type="pct"/>
            <w:vAlign w:val="center"/>
          </w:tcPr>
          <w:p>
            <w:pPr>
              <w:autoSpaceDE w:val="0"/>
              <w:autoSpaceDN w:val="0"/>
              <w:adjustRightInd w:val="0"/>
              <w:jc w:val="center"/>
              <w:rPr>
                <w:szCs w:val="21"/>
              </w:rPr>
            </w:pPr>
            <w:r>
              <w:rPr>
                <w:szCs w:val="21"/>
              </w:rPr>
              <w:t>测量声级</w:t>
            </w:r>
          </w:p>
        </w:tc>
        <w:tc>
          <w:tcPr>
            <w:tcW w:w="956" w:type="pct"/>
            <w:vAlign w:val="center"/>
          </w:tcPr>
          <w:p>
            <w:pPr>
              <w:autoSpaceDE w:val="0"/>
              <w:autoSpaceDN w:val="0"/>
              <w:adjustRightInd w:val="0"/>
              <w:jc w:val="center"/>
              <w:rPr>
                <w:szCs w:val="21"/>
              </w:rPr>
            </w:pPr>
            <w:r>
              <w:rPr>
                <w:szCs w:val="21"/>
              </w:rPr>
              <w:t>测量距离，m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79" w:type="pct"/>
            <w:vMerge w:val="restart"/>
            <w:vAlign w:val="center"/>
          </w:tcPr>
          <w:p>
            <w:pPr>
              <w:autoSpaceDE w:val="0"/>
              <w:autoSpaceDN w:val="0"/>
              <w:adjustRightInd w:val="0"/>
              <w:jc w:val="center"/>
              <w:rPr>
                <w:szCs w:val="21"/>
              </w:rPr>
            </w:pPr>
            <w:r>
              <w:rPr>
                <w:rFonts w:hint="eastAsia"/>
                <w:szCs w:val="21"/>
              </w:rPr>
              <w:t>土石方</w:t>
            </w:r>
          </w:p>
        </w:tc>
        <w:tc>
          <w:tcPr>
            <w:tcW w:w="1319" w:type="pct"/>
            <w:vAlign w:val="center"/>
          </w:tcPr>
          <w:p>
            <w:pPr>
              <w:pStyle w:val="5"/>
              <w:jc w:val="center"/>
              <w:rPr>
                <w:color w:val="auto"/>
                <w:sz w:val="21"/>
                <w:szCs w:val="21"/>
              </w:rPr>
            </w:pPr>
            <w:r>
              <w:rPr>
                <w:rFonts w:hint="eastAsia"/>
                <w:color w:val="auto"/>
                <w:sz w:val="21"/>
                <w:szCs w:val="21"/>
              </w:rPr>
              <w:t>挖掘机</w:t>
            </w:r>
          </w:p>
        </w:tc>
        <w:tc>
          <w:tcPr>
            <w:tcW w:w="935" w:type="pct"/>
            <w:vAlign w:val="center"/>
          </w:tcPr>
          <w:p>
            <w:pPr>
              <w:pStyle w:val="5"/>
              <w:jc w:val="center"/>
              <w:rPr>
                <w:rFonts w:ascii="Times New Roman" w:cs="Times New Roman"/>
                <w:color w:val="auto"/>
                <w:sz w:val="21"/>
                <w:szCs w:val="21"/>
              </w:rPr>
            </w:pPr>
            <w:r>
              <w:rPr>
                <w:rFonts w:ascii="Times New Roman" w:cs="Times New Roman"/>
                <w:color w:val="auto"/>
                <w:sz w:val="21"/>
                <w:szCs w:val="21"/>
              </w:rPr>
              <w:t xml:space="preserve">114 </w:t>
            </w:r>
          </w:p>
        </w:tc>
        <w:tc>
          <w:tcPr>
            <w:tcW w:w="911" w:type="pct"/>
            <w:vAlign w:val="center"/>
          </w:tcPr>
          <w:p>
            <w:pPr>
              <w:pStyle w:val="5"/>
              <w:jc w:val="center"/>
              <w:rPr>
                <w:rFonts w:ascii="Times New Roman" w:cs="Times New Roman"/>
                <w:color w:val="auto"/>
                <w:sz w:val="21"/>
                <w:szCs w:val="21"/>
              </w:rPr>
            </w:pPr>
            <w:r>
              <w:rPr>
                <w:rFonts w:ascii="Times New Roman" w:cs="Times New Roman"/>
                <w:color w:val="auto"/>
                <w:sz w:val="21"/>
                <w:szCs w:val="21"/>
              </w:rPr>
              <w:t xml:space="preserve">79 </w:t>
            </w:r>
          </w:p>
        </w:tc>
        <w:tc>
          <w:tcPr>
            <w:tcW w:w="956" w:type="pct"/>
            <w:vAlign w:val="center"/>
          </w:tcPr>
          <w:p>
            <w:pPr>
              <w:pStyle w:val="5"/>
              <w:jc w:val="center"/>
              <w:rPr>
                <w:rFonts w:ascii="Times New Roman" w:cs="Times New Roman"/>
                <w:color w:val="auto"/>
                <w:sz w:val="21"/>
                <w:szCs w:val="21"/>
              </w:rPr>
            </w:pPr>
            <w:r>
              <w:rPr>
                <w:rFonts w:ascii="Times New Roman" w:cs="Times New Roman"/>
                <w:color w:val="auto"/>
                <w:sz w:val="21"/>
                <w:szCs w:val="21"/>
              </w:rPr>
              <w:t xml:space="preserve">15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79" w:type="pct"/>
            <w:vMerge w:val="continue"/>
            <w:vAlign w:val="center"/>
          </w:tcPr>
          <w:p>
            <w:pPr>
              <w:autoSpaceDE w:val="0"/>
              <w:autoSpaceDN w:val="0"/>
              <w:adjustRightInd w:val="0"/>
              <w:jc w:val="center"/>
              <w:rPr>
                <w:szCs w:val="21"/>
              </w:rPr>
            </w:pPr>
          </w:p>
        </w:tc>
        <w:tc>
          <w:tcPr>
            <w:tcW w:w="1319" w:type="pct"/>
            <w:vAlign w:val="center"/>
          </w:tcPr>
          <w:p>
            <w:pPr>
              <w:pStyle w:val="5"/>
              <w:jc w:val="center"/>
              <w:rPr>
                <w:color w:val="auto"/>
                <w:sz w:val="21"/>
                <w:szCs w:val="21"/>
              </w:rPr>
            </w:pPr>
            <w:r>
              <w:rPr>
                <w:rFonts w:hint="eastAsia"/>
                <w:color w:val="auto"/>
                <w:sz w:val="21"/>
                <w:szCs w:val="21"/>
              </w:rPr>
              <w:t>铲土机</w:t>
            </w:r>
          </w:p>
        </w:tc>
        <w:tc>
          <w:tcPr>
            <w:tcW w:w="935" w:type="pct"/>
            <w:vAlign w:val="center"/>
          </w:tcPr>
          <w:p>
            <w:pPr>
              <w:pStyle w:val="5"/>
              <w:jc w:val="center"/>
              <w:rPr>
                <w:rFonts w:ascii="Times New Roman" w:cs="Times New Roman"/>
                <w:color w:val="auto"/>
                <w:sz w:val="21"/>
                <w:szCs w:val="21"/>
              </w:rPr>
            </w:pPr>
            <w:r>
              <w:rPr>
                <w:rFonts w:ascii="Times New Roman" w:cs="Times New Roman"/>
                <w:color w:val="auto"/>
                <w:sz w:val="21"/>
                <w:szCs w:val="21"/>
              </w:rPr>
              <w:t xml:space="preserve">110 </w:t>
            </w:r>
          </w:p>
        </w:tc>
        <w:tc>
          <w:tcPr>
            <w:tcW w:w="911" w:type="pct"/>
            <w:vAlign w:val="center"/>
          </w:tcPr>
          <w:p>
            <w:pPr>
              <w:pStyle w:val="5"/>
              <w:jc w:val="center"/>
              <w:rPr>
                <w:rFonts w:ascii="Times New Roman" w:cs="Times New Roman"/>
                <w:color w:val="auto"/>
                <w:sz w:val="21"/>
                <w:szCs w:val="21"/>
              </w:rPr>
            </w:pPr>
            <w:r>
              <w:rPr>
                <w:rFonts w:ascii="Times New Roman" w:cs="Times New Roman"/>
                <w:color w:val="auto"/>
                <w:sz w:val="21"/>
                <w:szCs w:val="21"/>
              </w:rPr>
              <w:t xml:space="preserve">75 </w:t>
            </w:r>
          </w:p>
        </w:tc>
        <w:tc>
          <w:tcPr>
            <w:tcW w:w="956" w:type="pct"/>
            <w:vAlign w:val="center"/>
          </w:tcPr>
          <w:p>
            <w:pPr>
              <w:pStyle w:val="5"/>
              <w:jc w:val="center"/>
              <w:rPr>
                <w:rFonts w:ascii="Times New Roman" w:cs="Times New Roman"/>
                <w:color w:val="auto"/>
                <w:sz w:val="21"/>
                <w:szCs w:val="21"/>
              </w:rPr>
            </w:pPr>
            <w:r>
              <w:rPr>
                <w:rFonts w:ascii="Times New Roman" w:cs="Times New Roman"/>
                <w:color w:val="auto"/>
                <w:sz w:val="21"/>
                <w:szCs w:val="21"/>
              </w:rPr>
              <w:t xml:space="preserve">15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79" w:type="pct"/>
            <w:vMerge w:val="continue"/>
            <w:vAlign w:val="center"/>
          </w:tcPr>
          <w:p>
            <w:pPr>
              <w:autoSpaceDE w:val="0"/>
              <w:autoSpaceDN w:val="0"/>
              <w:adjustRightInd w:val="0"/>
              <w:jc w:val="center"/>
              <w:rPr>
                <w:szCs w:val="21"/>
              </w:rPr>
            </w:pPr>
          </w:p>
        </w:tc>
        <w:tc>
          <w:tcPr>
            <w:tcW w:w="1319" w:type="pct"/>
            <w:vAlign w:val="center"/>
          </w:tcPr>
          <w:p>
            <w:pPr>
              <w:pStyle w:val="5"/>
              <w:jc w:val="center"/>
              <w:rPr>
                <w:color w:val="auto"/>
                <w:sz w:val="21"/>
                <w:szCs w:val="21"/>
              </w:rPr>
            </w:pPr>
            <w:r>
              <w:rPr>
                <w:rFonts w:hint="eastAsia"/>
                <w:color w:val="auto"/>
                <w:sz w:val="21"/>
                <w:szCs w:val="21"/>
              </w:rPr>
              <w:t>翻斗车</w:t>
            </w:r>
          </w:p>
        </w:tc>
        <w:tc>
          <w:tcPr>
            <w:tcW w:w="935" w:type="pct"/>
            <w:vAlign w:val="center"/>
          </w:tcPr>
          <w:p>
            <w:pPr>
              <w:pStyle w:val="5"/>
              <w:jc w:val="center"/>
              <w:rPr>
                <w:rFonts w:ascii="Times New Roman" w:cs="Times New Roman"/>
                <w:color w:val="auto"/>
                <w:sz w:val="21"/>
                <w:szCs w:val="21"/>
              </w:rPr>
            </w:pPr>
            <w:r>
              <w:rPr>
                <w:rFonts w:hint="eastAsia" w:ascii="Times New Roman" w:cs="Times New Roman"/>
                <w:color w:val="auto"/>
                <w:sz w:val="21"/>
                <w:szCs w:val="21"/>
              </w:rPr>
              <w:t>1</w:t>
            </w:r>
            <w:r>
              <w:rPr>
                <w:rFonts w:ascii="Times New Roman" w:cs="Times New Roman"/>
                <w:color w:val="auto"/>
                <w:sz w:val="21"/>
                <w:szCs w:val="21"/>
              </w:rPr>
              <w:t>00</w:t>
            </w:r>
          </w:p>
        </w:tc>
        <w:tc>
          <w:tcPr>
            <w:tcW w:w="911" w:type="pct"/>
            <w:vAlign w:val="center"/>
          </w:tcPr>
          <w:p>
            <w:pPr>
              <w:pStyle w:val="5"/>
              <w:jc w:val="center"/>
              <w:rPr>
                <w:rFonts w:ascii="Times New Roman" w:cs="Times New Roman"/>
                <w:color w:val="auto"/>
                <w:sz w:val="21"/>
                <w:szCs w:val="21"/>
              </w:rPr>
            </w:pPr>
            <w:r>
              <w:rPr>
                <w:rFonts w:hint="eastAsia" w:ascii="Times New Roman" w:cs="Times New Roman"/>
                <w:color w:val="auto"/>
                <w:sz w:val="21"/>
                <w:szCs w:val="21"/>
              </w:rPr>
              <w:t>7</w:t>
            </w:r>
            <w:r>
              <w:rPr>
                <w:rFonts w:ascii="Times New Roman" w:cs="Times New Roman"/>
                <w:color w:val="auto"/>
                <w:sz w:val="21"/>
                <w:szCs w:val="21"/>
              </w:rPr>
              <w:t>0</w:t>
            </w:r>
          </w:p>
        </w:tc>
        <w:tc>
          <w:tcPr>
            <w:tcW w:w="956" w:type="pct"/>
            <w:vAlign w:val="center"/>
          </w:tcPr>
          <w:p>
            <w:pPr>
              <w:pStyle w:val="5"/>
              <w:jc w:val="center"/>
              <w:rPr>
                <w:rFonts w:ascii="Times New Roman" w:cs="Times New Roman"/>
                <w:color w:val="auto"/>
                <w:sz w:val="21"/>
                <w:szCs w:val="21"/>
              </w:rPr>
            </w:pPr>
            <w:r>
              <w:rPr>
                <w:rFonts w:hint="eastAsia" w:ascii="Times New Roman" w:cs="Times New Roman"/>
                <w:color w:val="auto"/>
                <w:sz w:val="21"/>
                <w:szCs w:val="21"/>
              </w:rPr>
              <w:t>1</w:t>
            </w:r>
            <w:r>
              <w:rPr>
                <w:rFonts w:ascii="Times New Roman" w:cs="Times New Roman"/>
                <w:color w:val="auto"/>
                <w:sz w:val="21"/>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79" w:type="pct"/>
            <w:vMerge w:val="continue"/>
            <w:vAlign w:val="center"/>
          </w:tcPr>
          <w:p>
            <w:pPr>
              <w:autoSpaceDE w:val="0"/>
              <w:autoSpaceDN w:val="0"/>
              <w:adjustRightInd w:val="0"/>
              <w:jc w:val="center"/>
              <w:rPr>
                <w:szCs w:val="21"/>
              </w:rPr>
            </w:pPr>
          </w:p>
        </w:tc>
        <w:tc>
          <w:tcPr>
            <w:tcW w:w="1319" w:type="pct"/>
            <w:vAlign w:val="center"/>
          </w:tcPr>
          <w:p>
            <w:pPr>
              <w:pStyle w:val="5"/>
              <w:jc w:val="center"/>
              <w:rPr>
                <w:color w:val="auto"/>
                <w:sz w:val="21"/>
                <w:szCs w:val="21"/>
              </w:rPr>
            </w:pPr>
            <w:r>
              <w:rPr>
                <w:rFonts w:hint="eastAsia"/>
                <w:color w:val="auto"/>
                <w:sz w:val="21"/>
                <w:szCs w:val="21"/>
              </w:rPr>
              <w:t>自卸车</w:t>
            </w:r>
          </w:p>
        </w:tc>
        <w:tc>
          <w:tcPr>
            <w:tcW w:w="935" w:type="pct"/>
            <w:vAlign w:val="center"/>
          </w:tcPr>
          <w:p>
            <w:pPr>
              <w:pStyle w:val="5"/>
              <w:jc w:val="center"/>
              <w:rPr>
                <w:rFonts w:ascii="Times New Roman" w:cs="Times New Roman"/>
                <w:color w:val="auto"/>
                <w:sz w:val="21"/>
                <w:szCs w:val="21"/>
              </w:rPr>
            </w:pPr>
            <w:r>
              <w:rPr>
                <w:rFonts w:hint="eastAsia" w:ascii="Times New Roman" w:cs="Times New Roman"/>
                <w:color w:val="auto"/>
                <w:sz w:val="21"/>
                <w:szCs w:val="21"/>
              </w:rPr>
              <w:t>1</w:t>
            </w:r>
            <w:r>
              <w:rPr>
                <w:rFonts w:ascii="Times New Roman" w:cs="Times New Roman"/>
                <w:color w:val="auto"/>
                <w:sz w:val="21"/>
                <w:szCs w:val="21"/>
              </w:rPr>
              <w:t>00</w:t>
            </w:r>
          </w:p>
        </w:tc>
        <w:tc>
          <w:tcPr>
            <w:tcW w:w="911" w:type="pct"/>
            <w:vAlign w:val="center"/>
          </w:tcPr>
          <w:p>
            <w:pPr>
              <w:pStyle w:val="5"/>
              <w:jc w:val="center"/>
              <w:rPr>
                <w:rFonts w:ascii="Times New Roman" w:cs="Times New Roman"/>
                <w:color w:val="auto"/>
                <w:sz w:val="21"/>
                <w:szCs w:val="21"/>
              </w:rPr>
            </w:pPr>
            <w:r>
              <w:rPr>
                <w:rFonts w:hint="eastAsia" w:ascii="Times New Roman" w:cs="Times New Roman"/>
                <w:color w:val="auto"/>
                <w:sz w:val="21"/>
                <w:szCs w:val="21"/>
              </w:rPr>
              <w:t>7</w:t>
            </w:r>
            <w:r>
              <w:rPr>
                <w:rFonts w:ascii="Times New Roman" w:cs="Times New Roman"/>
                <w:color w:val="auto"/>
                <w:sz w:val="21"/>
                <w:szCs w:val="21"/>
              </w:rPr>
              <w:t>0</w:t>
            </w:r>
          </w:p>
        </w:tc>
        <w:tc>
          <w:tcPr>
            <w:tcW w:w="956" w:type="pct"/>
            <w:vAlign w:val="center"/>
          </w:tcPr>
          <w:p>
            <w:pPr>
              <w:pStyle w:val="5"/>
              <w:jc w:val="center"/>
              <w:rPr>
                <w:rFonts w:ascii="Times New Roman" w:cs="Times New Roman"/>
                <w:color w:val="auto"/>
                <w:sz w:val="21"/>
                <w:szCs w:val="21"/>
              </w:rPr>
            </w:pPr>
            <w:r>
              <w:rPr>
                <w:rFonts w:hint="eastAsia" w:ascii="Times New Roman" w:cs="Times New Roman"/>
                <w:color w:val="auto"/>
                <w:sz w:val="21"/>
                <w:szCs w:val="21"/>
              </w:rPr>
              <w:t>1</w:t>
            </w:r>
            <w:r>
              <w:rPr>
                <w:rFonts w:ascii="Times New Roman" w:cs="Times New Roman"/>
                <w:color w:val="auto"/>
                <w:sz w:val="21"/>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79" w:type="pct"/>
            <w:vMerge w:val="restart"/>
            <w:vAlign w:val="center"/>
          </w:tcPr>
          <w:p>
            <w:pPr>
              <w:autoSpaceDE w:val="0"/>
              <w:autoSpaceDN w:val="0"/>
              <w:adjustRightInd w:val="0"/>
              <w:jc w:val="center"/>
              <w:rPr>
                <w:szCs w:val="21"/>
              </w:rPr>
            </w:pPr>
            <w:r>
              <w:rPr>
                <w:szCs w:val="21"/>
              </w:rPr>
              <w:t>结构</w:t>
            </w:r>
          </w:p>
        </w:tc>
        <w:tc>
          <w:tcPr>
            <w:tcW w:w="1319" w:type="pct"/>
            <w:vAlign w:val="center"/>
          </w:tcPr>
          <w:p>
            <w:pPr>
              <w:autoSpaceDE w:val="0"/>
              <w:autoSpaceDN w:val="0"/>
              <w:adjustRightInd w:val="0"/>
              <w:jc w:val="center"/>
              <w:rPr>
                <w:szCs w:val="21"/>
              </w:rPr>
            </w:pPr>
            <w:r>
              <w:rPr>
                <w:szCs w:val="21"/>
              </w:rPr>
              <w:t>混凝土振捣棒</w:t>
            </w:r>
          </w:p>
        </w:tc>
        <w:tc>
          <w:tcPr>
            <w:tcW w:w="935" w:type="pct"/>
            <w:vAlign w:val="center"/>
          </w:tcPr>
          <w:p>
            <w:pPr>
              <w:autoSpaceDE w:val="0"/>
              <w:autoSpaceDN w:val="0"/>
              <w:adjustRightInd w:val="0"/>
              <w:jc w:val="center"/>
              <w:rPr>
                <w:szCs w:val="21"/>
              </w:rPr>
            </w:pPr>
            <w:r>
              <w:rPr>
                <w:szCs w:val="21"/>
              </w:rPr>
              <w:t>112</w:t>
            </w:r>
          </w:p>
        </w:tc>
        <w:tc>
          <w:tcPr>
            <w:tcW w:w="911" w:type="pct"/>
            <w:vAlign w:val="center"/>
          </w:tcPr>
          <w:p>
            <w:pPr>
              <w:autoSpaceDE w:val="0"/>
              <w:autoSpaceDN w:val="0"/>
              <w:adjustRightInd w:val="0"/>
              <w:jc w:val="center"/>
              <w:rPr>
                <w:szCs w:val="21"/>
              </w:rPr>
            </w:pPr>
            <w:r>
              <w:rPr>
                <w:szCs w:val="21"/>
              </w:rPr>
              <w:t>80</w:t>
            </w:r>
          </w:p>
        </w:tc>
        <w:tc>
          <w:tcPr>
            <w:tcW w:w="956" w:type="pct"/>
            <w:vAlign w:val="center"/>
          </w:tcPr>
          <w:p>
            <w:pPr>
              <w:autoSpaceDE w:val="0"/>
              <w:autoSpaceDN w:val="0"/>
              <w:adjustRightInd w:val="0"/>
              <w:jc w:val="center"/>
              <w:rPr>
                <w:szCs w:val="21"/>
              </w:rPr>
            </w:pPr>
            <w:r>
              <w:rPr>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trPr>
        <w:tc>
          <w:tcPr>
            <w:tcW w:w="879" w:type="pct"/>
            <w:vMerge w:val="continue"/>
            <w:vAlign w:val="center"/>
          </w:tcPr>
          <w:p>
            <w:pPr>
              <w:widowControl/>
              <w:jc w:val="center"/>
              <w:rPr>
                <w:szCs w:val="21"/>
              </w:rPr>
            </w:pPr>
          </w:p>
        </w:tc>
        <w:tc>
          <w:tcPr>
            <w:tcW w:w="1319" w:type="pct"/>
            <w:vAlign w:val="center"/>
          </w:tcPr>
          <w:p>
            <w:pPr>
              <w:autoSpaceDE w:val="0"/>
              <w:autoSpaceDN w:val="0"/>
              <w:adjustRightInd w:val="0"/>
              <w:jc w:val="center"/>
              <w:rPr>
                <w:szCs w:val="21"/>
              </w:rPr>
            </w:pPr>
            <w:r>
              <w:rPr>
                <w:szCs w:val="21"/>
              </w:rPr>
              <w:t>混凝土搅拌机</w:t>
            </w:r>
          </w:p>
        </w:tc>
        <w:tc>
          <w:tcPr>
            <w:tcW w:w="935" w:type="pct"/>
            <w:vAlign w:val="center"/>
          </w:tcPr>
          <w:p>
            <w:pPr>
              <w:autoSpaceDE w:val="0"/>
              <w:autoSpaceDN w:val="0"/>
              <w:adjustRightInd w:val="0"/>
              <w:jc w:val="center"/>
              <w:rPr>
                <w:szCs w:val="21"/>
              </w:rPr>
            </w:pPr>
            <w:r>
              <w:rPr>
                <w:szCs w:val="21"/>
              </w:rPr>
              <w:t>114</w:t>
            </w:r>
          </w:p>
        </w:tc>
        <w:tc>
          <w:tcPr>
            <w:tcW w:w="911" w:type="pct"/>
            <w:vAlign w:val="center"/>
          </w:tcPr>
          <w:p>
            <w:pPr>
              <w:autoSpaceDE w:val="0"/>
              <w:autoSpaceDN w:val="0"/>
              <w:adjustRightInd w:val="0"/>
              <w:jc w:val="center"/>
              <w:rPr>
                <w:szCs w:val="21"/>
              </w:rPr>
            </w:pPr>
            <w:r>
              <w:rPr>
                <w:szCs w:val="21"/>
              </w:rPr>
              <w:t>79</w:t>
            </w:r>
          </w:p>
        </w:tc>
        <w:tc>
          <w:tcPr>
            <w:tcW w:w="956" w:type="pct"/>
            <w:vAlign w:val="center"/>
          </w:tcPr>
          <w:p>
            <w:pPr>
              <w:autoSpaceDE w:val="0"/>
              <w:autoSpaceDN w:val="0"/>
              <w:adjustRightInd w:val="0"/>
              <w:jc w:val="center"/>
              <w:rPr>
                <w:szCs w:val="21"/>
              </w:rPr>
            </w:pPr>
            <w:r>
              <w:rPr>
                <w:szCs w:val="21"/>
              </w:rPr>
              <w:t>15</w:t>
            </w:r>
          </w:p>
        </w:tc>
      </w:tr>
    </w:tbl>
    <w:p>
      <w:pPr>
        <w:adjustRightInd w:val="0"/>
        <w:snapToGrid w:val="0"/>
        <w:spacing w:line="360" w:lineRule="auto"/>
        <w:jc w:val="center"/>
        <w:rPr>
          <w:b/>
          <w:sz w:val="24"/>
        </w:rPr>
      </w:pPr>
      <w:r>
        <w:rPr>
          <w:b/>
          <w:sz w:val="24"/>
        </w:rPr>
        <w:t>表5.1-4  机械设备的噪声预测值</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5"/>
        <w:gridCol w:w="1732"/>
        <w:gridCol w:w="796"/>
        <w:gridCol w:w="796"/>
        <w:gridCol w:w="774"/>
        <w:gridCol w:w="823"/>
        <w:gridCol w:w="825"/>
        <w:gridCol w:w="823"/>
        <w:gridCol w:w="8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trPr>
        <w:tc>
          <w:tcPr>
            <w:tcW w:w="660" w:type="pct"/>
            <w:vMerge w:val="restart"/>
            <w:vAlign w:val="center"/>
          </w:tcPr>
          <w:p>
            <w:pPr>
              <w:autoSpaceDE w:val="0"/>
              <w:autoSpaceDN w:val="0"/>
              <w:adjustRightInd w:val="0"/>
              <w:jc w:val="center"/>
              <w:rPr>
                <w:szCs w:val="21"/>
              </w:rPr>
            </w:pPr>
            <w:r>
              <w:rPr>
                <w:szCs w:val="21"/>
              </w:rPr>
              <w:t>施工阶段</w:t>
            </w:r>
          </w:p>
        </w:tc>
        <w:tc>
          <w:tcPr>
            <w:tcW w:w="1016" w:type="pct"/>
            <w:vMerge w:val="restart"/>
            <w:vAlign w:val="center"/>
          </w:tcPr>
          <w:p>
            <w:pPr>
              <w:autoSpaceDE w:val="0"/>
              <w:autoSpaceDN w:val="0"/>
              <w:adjustRightInd w:val="0"/>
              <w:jc w:val="center"/>
              <w:rPr>
                <w:szCs w:val="21"/>
              </w:rPr>
            </w:pPr>
            <w:r>
              <w:rPr>
                <w:szCs w:val="21"/>
              </w:rPr>
              <w:t>机械设备</w:t>
            </w:r>
          </w:p>
        </w:tc>
        <w:tc>
          <w:tcPr>
            <w:tcW w:w="3324" w:type="pct"/>
            <w:gridSpan w:val="7"/>
            <w:vAlign w:val="center"/>
          </w:tcPr>
          <w:p>
            <w:pPr>
              <w:autoSpaceDE w:val="0"/>
              <w:autoSpaceDN w:val="0"/>
              <w:adjustRightInd w:val="0"/>
              <w:jc w:val="center"/>
              <w:rPr>
                <w:szCs w:val="21"/>
              </w:rPr>
            </w:pPr>
            <w:r>
              <w:rPr>
                <w:szCs w:val="21"/>
              </w:rPr>
              <w:t>噪声预测值(dB)</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60" w:type="pct"/>
            <w:vMerge w:val="continue"/>
            <w:vAlign w:val="center"/>
          </w:tcPr>
          <w:p>
            <w:pPr>
              <w:widowControl/>
              <w:jc w:val="left"/>
              <w:rPr>
                <w:szCs w:val="21"/>
              </w:rPr>
            </w:pPr>
          </w:p>
        </w:tc>
        <w:tc>
          <w:tcPr>
            <w:tcW w:w="1016" w:type="pct"/>
            <w:vMerge w:val="continue"/>
            <w:vAlign w:val="center"/>
          </w:tcPr>
          <w:p>
            <w:pPr>
              <w:widowControl/>
              <w:jc w:val="left"/>
              <w:rPr>
                <w:szCs w:val="21"/>
              </w:rPr>
            </w:pPr>
          </w:p>
        </w:tc>
        <w:tc>
          <w:tcPr>
            <w:tcW w:w="467" w:type="pct"/>
            <w:vAlign w:val="center"/>
          </w:tcPr>
          <w:p>
            <w:pPr>
              <w:autoSpaceDE w:val="0"/>
              <w:autoSpaceDN w:val="0"/>
              <w:adjustRightInd w:val="0"/>
              <w:jc w:val="center"/>
              <w:rPr>
                <w:szCs w:val="21"/>
              </w:rPr>
            </w:pPr>
            <w:r>
              <w:rPr>
                <w:szCs w:val="21"/>
              </w:rPr>
              <w:t xml:space="preserve">10m </w:t>
            </w:r>
          </w:p>
        </w:tc>
        <w:tc>
          <w:tcPr>
            <w:tcW w:w="467" w:type="pct"/>
            <w:vAlign w:val="center"/>
          </w:tcPr>
          <w:p>
            <w:pPr>
              <w:autoSpaceDE w:val="0"/>
              <w:autoSpaceDN w:val="0"/>
              <w:adjustRightInd w:val="0"/>
              <w:jc w:val="center"/>
              <w:rPr>
                <w:szCs w:val="21"/>
              </w:rPr>
            </w:pPr>
            <w:r>
              <w:rPr>
                <w:szCs w:val="21"/>
              </w:rPr>
              <w:t xml:space="preserve">20m </w:t>
            </w:r>
          </w:p>
        </w:tc>
        <w:tc>
          <w:tcPr>
            <w:tcW w:w="454" w:type="pct"/>
            <w:vAlign w:val="center"/>
          </w:tcPr>
          <w:p>
            <w:pPr>
              <w:autoSpaceDE w:val="0"/>
              <w:autoSpaceDN w:val="0"/>
              <w:adjustRightInd w:val="0"/>
              <w:jc w:val="center"/>
              <w:rPr>
                <w:szCs w:val="21"/>
              </w:rPr>
            </w:pPr>
            <w:r>
              <w:rPr>
                <w:szCs w:val="21"/>
              </w:rPr>
              <w:t xml:space="preserve">40m </w:t>
            </w:r>
          </w:p>
        </w:tc>
        <w:tc>
          <w:tcPr>
            <w:tcW w:w="483" w:type="pct"/>
            <w:vAlign w:val="center"/>
          </w:tcPr>
          <w:p>
            <w:pPr>
              <w:autoSpaceDE w:val="0"/>
              <w:autoSpaceDN w:val="0"/>
              <w:adjustRightInd w:val="0"/>
              <w:jc w:val="center"/>
              <w:rPr>
                <w:szCs w:val="21"/>
              </w:rPr>
            </w:pPr>
            <w:r>
              <w:rPr>
                <w:szCs w:val="21"/>
              </w:rPr>
              <w:t xml:space="preserve">50m </w:t>
            </w:r>
          </w:p>
        </w:tc>
        <w:tc>
          <w:tcPr>
            <w:tcW w:w="484" w:type="pct"/>
            <w:vAlign w:val="center"/>
          </w:tcPr>
          <w:p>
            <w:pPr>
              <w:autoSpaceDE w:val="0"/>
              <w:autoSpaceDN w:val="0"/>
              <w:adjustRightInd w:val="0"/>
              <w:jc w:val="center"/>
              <w:rPr>
                <w:szCs w:val="21"/>
              </w:rPr>
            </w:pPr>
            <w:r>
              <w:rPr>
                <w:szCs w:val="21"/>
              </w:rPr>
              <w:t xml:space="preserve">100m </w:t>
            </w:r>
          </w:p>
        </w:tc>
        <w:tc>
          <w:tcPr>
            <w:tcW w:w="483" w:type="pct"/>
            <w:vAlign w:val="center"/>
          </w:tcPr>
          <w:p>
            <w:pPr>
              <w:autoSpaceDE w:val="0"/>
              <w:autoSpaceDN w:val="0"/>
              <w:adjustRightInd w:val="0"/>
              <w:jc w:val="center"/>
              <w:rPr>
                <w:szCs w:val="21"/>
              </w:rPr>
            </w:pPr>
            <w:r>
              <w:rPr>
                <w:szCs w:val="21"/>
              </w:rPr>
              <w:t xml:space="preserve">200m </w:t>
            </w:r>
          </w:p>
        </w:tc>
        <w:tc>
          <w:tcPr>
            <w:tcW w:w="486" w:type="pct"/>
            <w:vAlign w:val="center"/>
          </w:tcPr>
          <w:p>
            <w:pPr>
              <w:autoSpaceDE w:val="0"/>
              <w:autoSpaceDN w:val="0"/>
              <w:adjustRightInd w:val="0"/>
              <w:jc w:val="center"/>
              <w:rPr>
                <w:szCs w:val="21"/>
              </w:rPr>
            </w:pPr>
            <w:r>
              <w:rPr>
                <w:szCs w:val="21"/>
              </w:rPr>
              <w:t xml:space="preserve">300m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60" w:type="pct"/>
            <w:vMerge w:val="restart"/>
            <w:vAlign w:val="center"/>
          </w:tcPr>
          <w:p>
            <w:pPr>
              <w:autoSpaceDE w:val="0"/>
              <w:autoSpaceDN w:val="0"/>
              <w:adjustRightInd w:val="0"/>
              <w:jc w:val="center"/>
              <w:rPr>
                <w:szCs w:val="21"/>
              </w:rPr>
            </w:pPr>
            <w:r>
              <w:rPr>
                <w:szCs w:val="21"/>
              </w:rPr>
              <w:t>土石方</w:t>
            </w:r>
          </w:p>
        </w:tc>
        <w:tc>
          <w:tcPr>
            <w:tcW w:w="1016" w:type="pct"/>
            <w:vAlign w:val="center"/>
          </w:tcPr>
          <w:p>
            <w:pPr>
              <w:autoSpaceDE w:val="0"/>
              <w:autoSpaceDN w:val="0"/>
              <w:adjustRightInd w:val="0"/>
              <w:jc w:val="center"/>
              <w:rPr>
                <w:szCs w:val="21"/>
              </w:rPr>
            </w:pPr>
            <w:r>
              <w:rPr>
                <w:szCs w:val="21"/>
              </w:rPr>
              <w:t>挖掘机</w:t>
            </w:r>
          </w:p>
        </w:tc>
        <w:tc>
          <w:tcPr>
            <w:tcW w:w="467" w:type="pct"/>
            <w:vAlign w:val="center"/>
          </w:tcPr>
          <w:p>
            <w:pPr>
              <w:autoSpaceDE w:val="0"/>
              <w:autoSpaceDN w:val="0"/>
              <w:adjustRightInd w:val="0"/>
              <w:jc w:val="center"/>
              <w:rPr>
                <w:szCs w:val="21"/>
              </w:rPr>
            </w:pPr>
            <w:r>
              <w:rPr>
                <w:szCs w:val="21"/>
              </w:rPr>
              <w:t>82</w:t>
            </w:r>
          </w:p>
        </w:tc>
        <w:tc>
          <w:tcPr>
            <w:tcW w:w="467" w:type="pct"/>
            <w:vAlign w:val="center"/>
          </w:tcPr>
          <w:p>
            <w:pPr>
              <w:autoSpaceDE w:val="0"/>
              <w:autoSpaceDN w:val="0"/>
              <w:adjustRightInd w:val="0"/>
              <w:jc w:val="center"/>
              <w:rPr>
                <w:szCs w:val="21"/>
              </w:rPr>
            </w:pPr>
            <w:r>
              <w:rPr>
                <w:szCs w:val="21"/>
              </w:rPr>
              <w:t xml:space="preserve">76 </w:t>
            </w:r>
          </w:p>
        </w:tc>
        <w:tc>
          <w:tcPr>
            <w:tcW w:w="454" w:type="pct"/>
            <w:vAlign w:val="center"/>
          </w:tcPr>
          <w:p>
            <w:pPr>
              <w:autoSpaceDE w:val="0"/>
              <w:autoSpaceDN w:val="0"/>
              <w:adjustRightInd w:val="0"/>
              <w:jc w:val="center"/>
              <w:rPr>
                <w:szCs w:val="21"/>
              </w:rPr>
            </w:pPr>
            <w:r>
              <w:rPr>
                <w:szCs w:val="21"/>
              </w:rPr>
              <w:t xml:space="preserve">70 </w:t>
            </w:r>
          </w:p>
        </w:tc>
        <w:tc>
          <w:tcPr>
            <w:tcW w:w="483" w:type="pct"/>
            <w:vAlign w:val="center"/>
          </w:tcPr>
          <w:p>
            <w:pPr>
              <w:autoSpaceDE w:val="0"/>
              <w:autoSpaceDN w:val="0"/>
              <w:adjustRightInd w:val="0"/>
              <w:jc w:val="center"/>
              <w:rPr>
                <w:szCs w:val="21"/>
              </w:rPr>
            </w:pPr>
            <w:r>
              <w:rPr>
                <w:szCs w:val="21"/>
              </w:rPr>
              <w:t xml:space="preserve">68 </w:t>
            </w:r>
          </w:p>
        </w:tc>
        <w:tc>
          <w:tcPr>
            <w:tcW w:w="484" w:type="pct"/>
            <w:vAlign w:val="center"/>
          </w:tcPr>
          <w:p>
            <w:pPr>
              <w:autoSpaceDE w:val="0"/>
              <w:autoSpaceDN w:val="0"/>
              <w:adjustRightInd w:val="0"/>
              <w:jc w:val="center"/>
              <w:rPr>
                <w:szCs w:val="21"/>
              </w:rPr>
            </w:pPr>
            <w:r>
              <w:rPr>
                <w:szCs w:val="21"/>
              </w:rPr>
              <w:t xml:space="preserve">62 </w:t>
            </w:r>
          </w:p>
        </w:tc>
        <w:tc>
          <w:tcPr>
            <w:tcW w:w="483" w:type="pct"/>
            <w:vAlign w:val="center"/>
          </w:tcPr>
          <w:p>
            <w:pPr>
              <w:autoSpaceDE w:val="0"/>
              <w:autoSpaceDN w:val="0"/>
              <w:adjustRightInd w:val="0"/>
              <w:jc w:val="center"/>
              <w:rPr>
                <w:szCs w:val="21"/>
              </w:rPr>
            </w:pPr>
            <w:r>
              <w:rPr>
                <w:szCs w:val="21"/>
              </w:rPr>
              <w:t xml:space="preserve">56 </w:t>
            </w:r>
          </w:p>
        </w:tc>
        <w:tc>
          <w:tcPr>
            <w:tcW w:w="486" w:type="pct"/>
            <w:vAlign w:val="center"/>
          </w:tcPr>
          <w:p>
            <w:pPr>
              <w:autoSpaceDE w:val="0"/>
              <w:autoSpaceDN w:val="0"/>
              <w:adjustRightInd w:val="0"/>
              <w:jc w:val="center"/>
              <w:rPr>
                <w:szCs w:val="21"/>
              </w:rPr>
            </w:pPr>
            <w:r>
              <w:rPr>
                <w:szCs w:val="21"/>
              </w:rPr>
              <w:t xml:space="preserve">52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60" w:type="pct"/>
            <w:vMerge w:val="continue"/>
            <w:vAlign w:val="center"/>
          </w:tcPr>
          <w:p>
            <w:pPr>
              <w:autoSpaceDE w:val="0"/>
              <w:autoSpaceDN w:val="0"/>
              <w:adjustRightInd w:val="0"/>
              <w:jc w:val="center"/>
              <w:rPr>
                <w:szCs w:val="21"/>
              </w:rPr>
            </w:pPr>
          </w:p>
        </w:tc>
        <w:tc>
          <w:tcPr>
            <w:tcW w:w="1016" w:type="pct"/>
            <w:vAlign w:val="center"/>
          </w:tcPr>
          <w:p>
            <w:pPr>
              <w:autoSpaceDE w:val="0"/>
              <w:autoSpaceDN w:val="0"/>
              <w:adjustRightInd w:val="0"/>
              <w:jc w:val="center"/>
              <w:rPr>
                <w:szCs w:val="21"/>
              </w:rPr>
            </w:pPr>
            <w:r>
              <w:rPr>
                <w:szCs w:val="21"/>
              </w:rPr>
              <w:t>铲土机</w:t>
            </w:r>
          </w:p>
        </w:tc>
        <w:tc>
          <w:tcPr>
            <w:tcW w:w="467" w:type="pct"/>
            <w:vAlign w:val="center"/>
          </w:tcPr>
          <w:p>
            <w:pPr>
              <w:autoSpaceDE w:val="0"/>
              <w:autoSpaceDN w:val="0"/>
              <w:adjustRightInd w:val="0"/>
              <w:jc w:val="center"/>
              <w:rPr>
                <w:szCs w:val="21"/>
              </w:rPr>
            </w:pPr>
            <w:r>
              <w:rPr>
                <w:szCs w:val="21"/>
              </w:rPr>
              <w:t xml:space="preserve">78 </w:t>
            </w:r>
          </w:p>
        </w:tc>
        <w:tc>
          <w:tcPr>
            <w:tcW w:w="467" w:type="pct"/>
            <w:vAlign w:val="center"/>
          </w:tcPr>
          <w:p>
            <w:pPr>
              <w:autoSpaceDE w:val="0"/>
              <w:autoSpaceDN w:val="0"/>
              <w:adjustRightInd w:val="0"/>
              <w:jc w:val="center"/>
              <w:rPr>
                <w:szCs w:val="21"/>
              </w:rPr>
            </w:pPr>
            <w:r>
              <w:rPr>
                <w:szCs w:val="21"/>
              </w:rPr>
              <w:t xml:space="preserve">72 </w:t>
            </w:r>
          </w:p>
        </w:tc>
        <w:tc>
          <w:tcPr>
            <w:tcW w:w="454" w:type="pct"/>
            <w:vAlign w:val="center"/>
          </w:tcPr>
          <w:p>
            <w:pPr>
              <w:autoSpaceDE w:val="0"/>
              <w:autoSpaceDN w:val="0"/>
              <w:adjustRightInd w:val="0"/>
              <w:jc w:val="center"/>
              <w:rPr>
                <w:szCs w:val="21"/>
              </w:rPr>
            </w:pPr>
            <w:r>
              <w:rPr>
                <w:szCs w:val="21"/>
              </w:rPr>
              <w:t xml:space="preserve">66 </w:t>
            </w:r>
          </w:p>
        </w:tc>
        <w:tc>
          <w:tcPr>
            <w:tcW w:w="483" w:type="pct"/>
            <w:vAlign w:val="center"/>
          </w:tcPr>
          <w:p>
            <w:pPr>
              <w:autoSpaceDE w:val="0"/>
              <w:autoSpaceDN w:val="0"/>
              <w:adjustRightInd w:val="0"/>
              <w:jc w:val="center"/>
              <w:rPr>
                <w:szCs w:val="21"/>
              </w:rPr>
            </w:pPr>
            <w:r>
              <w:rPr>
                <w:szCs w:val="21"/>
              </w:rPr>
              <w:t xml:space="preserve">64 </w:t>
            </w:r>
          </w:p>
        </w:tc>
        <w:tc>
          <w:tcPr>
            <w:tcW w:w="484" w:type="pct"/>
            <w:vAlign w:val="center"/>
          </w:tcPr>
          <w:p>
            <w:pPr>
              <w:autoSpaceDE w:val="0"/>
              <w:autoSpaceDN w:val="0"/>
              <w:adjustRightInd w:val="0"/>
              <w:jc w:val="center"/>
              <w:rPr>
                <w:szCs w:val="21"/>
              </w:rPr>
            </w:pPr>
            <w:r>
              <w:rPr>
                <w:szCs w:val="21"/>
              </w:rPr>
              <w:t xml:space="preserve">56 </w:t>
            </w:r>
          </w:p>
        </w:tc>
        <w:tc>
          <w:tcPr>
            <w:tcW w:w="483" w:type="pct"/>
            <w:vAlign w:val="center"/>
          </w:tcPr>
          <w:p>
            <w:pPr>
              <w:autoSpaceDE w:val="0"/>
              <w:autoSpaceDN w:val="0"/>
              <w:adjustRightInd w:val="0"/>
              <w:jc w:val="center"/>
              <w:rPr>
                <w:szCs w:val="21"/>
              </w:rPr>
            </w:pPr>
            <w:r>
              <w:rPr>
                <w:szCs w:val="21"/>
              </w:rPr>
              <w:t xml:space="preserve">50 </w:t>
            </w:r>
          </w:p>
        </w:tc>
        <w:tc>
          <w:tcPr>
            <w:tcW w:w="486" w:type="pct"/>
            <w:vAlign w:val="center"/>
          </w:tcPr>
          <w:p>
            <w:pPr>
              <w:autoSpaceDE w:val="0"/>
              <w:autoSpaceDN w:val="0"/>
              <w:adjustRightInd w:val="0"/>
              <w:jc w:val="center"/>
              <w:rPr>
                <w:szCs w:val="21"/>
              </w:rPr>
            </w:pPr>
            <w:r>
              <w:rPr>
                <w:szCs w:val="21"/>
              </w:rPr>
              <w:t xml:space="preserve">48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60" w:type="pct"/>
            <w:vMerge w:val="continue"/>
            <w:vAlign w:val="center"/>
          </w:tcPr>
          <w:p>
            <w:pPr>
              <w:autoSpaceDE w:val="0"/>
              <w:autoSpaceDN w:val="0"/>
              <w:adjustRightInd w:val="0"/>
              <w:jc w:val="center"/>
              <w:rPr>
                <w:szCs w:val="21"/>
              </w:rPr>
            </w:pPr>
          </w:p>
        </w:tc>
        <w:tc>
          <w:tcPr>
            <w:tcW w:w="1016" w:type="pct"/>
            <w:vAlign w:val="center"/>
          </w:tcPr>
          <w:p>
            <w:pPr>
              <w:autoSpaceDE w:val="0"/>
              <w:autoSpaceDN w:val="0"/>
              <w:adjustRightInd w:val="0"/>
              <w:jc w:val="center"/>
              <w:rPr>
                <w:szCs w:val="21"/>
              </w:rPr>
            </w:pPr>
            <w:r>
              <w:rPr>
                <w:rFonts w:hint="eastAsia"/>
                <w:szCs w:val="21"/>
              </w:rPr>
              <w:t>翻斗车</w:t>
            </w:r>
          </w:p>
        </w:tc>
        <w:tc>
          <w:tcPr>
            <w:tcW w:w="467" w:type="pct"/>
            <w:shd w:val="clear" w:color="auto" w:fill="auto"/>
            <w:vAlign w:val="center"/>
          </w:tcPr>
          <w:p>
            <w:pPr>
              <w:autoSpaceDE w:val="0"/>
              <w:autoSpaceDN w:val="0"/>
              <w:adjustRightInd w:val="0"/>
              <w:jc w:val="center"/>
              <w:rPr>
                <w:szCs w:val="21"/>
              </w:rPr>
            </w:pPr>
            <w:r>
              <w:rPr>
                <w:rFonts w:hint="eastAsia"/>
                <w:szCs w:val="21"/>
              </w:rPr>
              <w:t>73</w:t>
            </w:r>
          </w:p>
        </w:tc>
        <w:tc>
          <w:tcPr>
            <w:tcW w:w="467" w:type="pct"/>
            <w:shd w:val="clear" w:color="auto" w:fill="auto"/>
            <w:vAlign w:val="center"/>
          </w:tcPr>
          <w:p>
            <w:pPr>
              <w:autoSpaceDE w:val="0"/>
              <w:autoSpaceDN w:val="0"/>
              <w:adjustRightInd w:val="0"/>
              <w:jc w:val="center"/>
              <w:rPr>
                <w:szCs w:val="21"/>
              </w:rPr>
            </w:pPr>
            <w:r>
              <w:rPr>
                <w:rFonts w:hint="eastAsia"/>
                <w:szCs w:val="21"/>
              </w:rPr>
              <w:t>67</w:t>
            </w:r>
          </w:p>
        </w:tc>
        <w:tc>
          <w:tcPr>
            <w:tcW w:w="454" w:type="pct"/>
            <w:shd w:val="clear" w:color="auto" w:fill="auto"/>
            <w:vAlign w:val="center"/>
          </w:tcPr>
          <w:p>
            <w:pPr>
              <w:autoSpaceDE w:val="0"/>
              <w:autoSpaceDN w:val="0"/>
              <w:adjustRightInd w:val="0"/>
              <w:jc w:val="center"/>
              <w:rPr>
                <w:szCs w:val="21"/>
              </w:rPr>
            </w:pPr>
            <w:r>
              <w:rPr>
                <w:rFonts w:hint="eastAsia"/>
                <w:szCs w:val="21"/>
              </w:rPr>
              <w:t>61</w:t>
            </w:r>
          </w:p>
        </w:tc>
        <w:tc>
          <w:tcPr>
            <w:tcW w:w="483" w:type="pct"/>
            <w:shd w:val="clear" w:color="auto" w:fill="auto"/>
            <w:vAlign w:val="center"/>
          </w:tcPr>
          <w:p>
            <w:pPr>
              <w:autoSpaceDE w:val="0"/>
              <w:autoSpaceDN w:val="0"/>
              <w:adjustRightInd w:val="0"/>
              <w:jc w:val="center"/>
              <w:rPr>
                <w:szCs w:val="21"/>
              </w:rPr>
            </w:pPr>
            <w:r>
              <w:rPr>
                <w:rFonts w:hint="eastAsia"/>
                <w:szCs w:val="21"/>
              </w:rPr>
              <w:t>59</w:t>
            </w:r>
          </w:p>
        </w:tc>
        <w:tc>
          <w:tcPr>
            <w:tcW w:w="484" w:type="pct"/>
            <w:shd w:val="clear" w:color="auto" w:fill="auto"/>
            <w:vAlign w:val="center"/>
          </w:tcPr>
          <w:p>
            <w:pPr>
              <w:autoSpaceDE w:val="0"/>
              <w:autoSpaceDN w:val="0"/>
              <w:adjustRightInd w:val="0"/>
              <w:jc w:val="center"/>
              <w:rPr>
                <w:szCs w:val="21"/>
              </w:rPr>
            </w:pPr>
            <w:r>
              <w:rPr>
                <w:rFonts w:hint="eastAsia"/>
                <w:szCs w:val="21"/>
              </w:rPr>
              <w:t>51</w:t>
            </w:r>
          </w:p>
        </w:tc>
        <w:tc>
          <w:tcPr>
            <w:tcW w:w="483" w:type="pct"/>
            <w:shd w:val="clear" w:color="auto" w:fill="auto"/>
            <w:vAlign w:val="center"/>
          </w:tcPr>
          <w:p>
            <w:pPr>
              <w:autoSpaceDE w:val="0"/>
              <w:autoSpaceDN w:val="0"/>
              <w:adjustRightInd w:val="0"/>
              <w:jc w:val="center"/>
              <w:rPr>
                <w:szCs w:val="21"/>
              </w:rPr>
            </w:pPr>
            <w:r>
              <w:rPr>
                <w:rFonts w:hint="eastAsia"/>
                <w:szCs w:val="21"/>
              </w:rPr>
              <w:t>45</w:t>
            </w:r>
          </w:p>
        </w:tc>
        <w:tc>
          <w:tcPr>
            <w:tcW w:w="486" w:type="pct"/>
            <w:shd w:val="clear" w:color="auto" w:fill="auto"/>
            <w:vAlign w:val="center"/>
          </w:tcPr>
          <w:p>
            <w:pPr>
              <w:autoSpaceDE w:val="0"/>
              <w:autoSpaceDN w:val="0"/>
              <w:adjustRightInd w:val="0"/>
              <w:jc w:val="center"/>
              <w:rPr>
                <w:szCs w:val="21"/>
              </w:rPr>
            </w:pPr>
            <w:r>
              <w:rPr>
                <w:rFonts w:hint="eastAsia"/>
                <w:szCs w:val="21"/>
              </w:rPr>
              <w:t>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60" w:type="pct"/>
            <w:vMerge w:val="continue"/>
            <w:vAlign w:val="center"/>
          </w:tcPr>
          <w:p>
            <w:pPr>
              <w:widowControl/>
              <w:jc w:val="left"/>
              <w:rPr>
                <w:szCs w:val="21"/>
              </w:rPr>
            </w:pPr>
          </w:p>
        </w:tc>
        <w:tc>
          <w:tcPr>
            <w:tcW w:w="1016" w:type="pct"/>
            <w:vAlign w:val="center"/>
          </w:tcPr>
          <w:p>
            <w:pPr>
              <w:autoSpaceDE w:val="0"/>
              <w:autoSpaceDN w:val="0"/>
              <w:adjustRightInd w:val="0"/>
              <w:jc w:val="center"/>
              <w:rPr>
                <w:szCs w:val="21"/>
              </w:rPr>
            </w:pPr>
            <w:r>
              <w:rPr>
                <w:rFonts w:hint="eastAsia"/>
                <w:szCs w:val="21"/>
              </w:rPr>
              <w:t>自卸车</w:t>
            </w:r>
          </w:p>
        </w:tc>
        <w:tc>
          <w:tcPr>
            <w:tcW w:w="467" w:type="pct"/>
            <w:shd w:val="clear" w:color="auto" w:fill="auto"/>
            <w:vAlign w:val="center"/>
          </w:tcPr>
          <w:p>
            <w:pPr>
              <w:autoSpaceDE w:val="0"/>
              <w:autoSpaceDN w:val="0"/>
              <w:adjustRightInd w:val="0"/>
              <w:jc w:val="center"/>
              <w:rPr>
                <w:szCs w:val="21"/>
              </w:rPr>
            </w:pPr>
            <w:r>
              <w:rPr>
                <w:rFonts w:hint="eastAsia"/>
                <w:szCs w:val="21"/>
              </w:rPr>
              <w:t>73</w:t>
            </w:r>
          </w:p>
        </w:tc>
        <w:tc>
          <w:tcPr>
            <w:tcW w:w="467" w:type="pct"/>
            <w:shd w:val="clear" w:color="auto" w:fill="auto"/>
            <w:vAlign w:val="center"/>
          </w:tcPr>
          <w:p>
            <w:pPr>
              <w:autoSpaceDE w:val="0"/>
              <w:autoSpaceDN w:val="0"/>
              <w:adjustRightInd w:val="0"/>
              <w:jc w:val="center"/>
              <w:rPr>
                <w:szCs w:val="21"/>
              </w:rPr>
            </w:pPr>
            <w:r>
              <w:rPr>
                <w:rFonts w:hint="eastAsia"/>
                <w:szCs w:val="21"/>
              </w:rPr>
              <w:t>67</w:t>
            </w:r>
          </w:p>
        </w:tc>
        <w:tc>
          <w:tcPr>
            <w:tcW w:w="454" w:type="pct"/>
            <w:shd w:val="clear" w:color="auto" w:fill="auto"/>
            <w:vAlign w:val="center"/>
          </w:tcPr>
          <w:p>
            <w:pPr>
              <w:autoSpaceDE w:val="0"/>
              <w:autoSpaceDN w:val="0"/>
              <w:adjustRightInd w:val="0"/>
              <w:jc w:val="center"/>
              <w:rPr>
                <w:szCs w:val="21"/>
              </w:rPr>
            </w:pPr>
            <w:r>
              <w:rPr>
                <w:rFonts w:hint="eastAsia"/>
                <w:szCs w:val="21"/>
              </w:rPr>
              <w:t>61</w:t>
            </w:r>
          </w:p>
        </w:tc>
        <w:tc>
          <w:tcPr>
            <w:tcW w:w="483" w:type="pct"/>
            <w:shd w:val="clear" w:color="auto" w:fill="auto"/>
            <w:vAlign w:val="center"/>
          </w:tcPr>
          <w:p>
            <w:pPr>
              <w:autoSpaceDE w:val="0"/>
              <w:autoSpaceDN w:val="0"/>
              <w:adjustRightInd w:val="0"/>
              <w:jc w:val="center"/>
              <w:rPr>
                <w:szCs w:val="21"/>
              </w:rPr>
            </w:pPr>
            <w:r>
              <w:rPr>
                <w:rFonts w:hint="eastAsia"/>
                <w:szCs w:val="21"/>
              </w:rPr>
              <w:t>59</w:t>
            </w:r>
          </w:p>
        </w:tc>
        <w:tc>
          <w:tcPr>
            <w:tcW w:w="484" w:type="pct"/>
            <w:shd w:val="clear" w:color="auto" w:fill="auto"/>
            <w:vAlign w:val="center"/>
          </w:tcPr>
          <w:p>
            <w:pPr>
              <w:autoSpaceDE w:val="0"/>
              <w:autoSpaceDN w:val="0"/>
              <w:adjustRightInd w:val="0"/>
              <w:jc w:val="center"/>
              <w:rPr>
                <w:szCs w:val="21"/>
              </w:rPr>
            </w:pPr>
            <w:r>
              <w:rPr>
                <w:rFonts w:hint="eastAsia"/>
                <w:szCs w:val="21"/>
              </w:rPr>
              <w:t>51</w:t>
            </w:r>
          </w:p>
        </w:tc>
        <w:tc>
          <w:tcPr>
            <w:tcW w:w="483" w:type="pct"/>
            <w:shd w:val="clear" w:color="auto" w:fill="auto"/>
            <w:vAlign w:val="center"/>
          </w:tcPr>
          <w:p>
            <w:pPr>
              <w:autoSpaceDE w:val="0"/>
              <w:autoSpaceDN w:val="0"/>
              <w:adjustRightInd w:val="0"/>
              <w:jc w:val="center"/>
              <w:rPr>
                <w:szCs w:val="21"/>
              </w:rPr>
            </w:pPr>
            <w:r>
              <w:rPr>
                <w:rFonts w:hint="eastAsia"/>
                <w:szCs w:val="21"/>
              </w:rPr>
              <w:t>45</w:t>
            </w:r>
          </w:p>
        </w:tc>
        <w:tc>
          <w:tcPr>
            <w:tcW w:w="486" w:type="pct"/>
            <w:shd w:val="clear" w:color="auto" w:fill="auto"/>
            <w:vAlign w:val="center"/>
          </w:tcPr>
          <w:p>
            <w:pPr>
              <w:autoSpaceDE w:val="0"/>
              <w:autoSpaceDN w:val="0"/>
              <w:adjustRightInd w:val="0"/>
              <w:jc w:val="center"/>
              <w:rPr>
                <w:szCs w:val="21"/>
              </w:rPr>
            </w:pPr>
            <w:r>
              <w:rPr>
                <w:rFonts w:hint="eastAsia"/>
                <w:szCs w:val="21"/>
              </w:rPr>
              <w:t>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60" w:type="pct"/>
            <w:vAlign w:val="center"/>
          </w:tcPr>
          <w:p>
            <w:pPr>
              <w:autoSpaceDE w:val="0"/>
              <w:autoSpaceDN w:val="0"/>
              <w:adjustRightInd w:val="0"/>
              <w:jc w:val="center"/>
              <w:rPr>
                <w:szCs w:val="21"/>
              </w:rPr>
            </w:pPr>
            <w:r>
              <w:rPr>
                <w:szCs w:val="21"/>
              </w:rPr>
              <w:t>结构</w:t>
            </w:r>
          </w:p>
        </w:tc>
        <w:tc>
          <w:tcPr>
            <w:tcW w:w="1016" w:type="pct"/>
            <w:vAlign w:val="center"/>
          </w:tcPr>
          <w:p>
            <w:pPr>
              <w:autoSpaceDE w:val="0"/>
              <w:autoSpaceDN w:val="0"/>
              <w:adjustRightInd w:val="0"/>
              <w:jc w:val="center"/>
              <w:rPr>
                <w:szCs w:val="21"/>
              </w:rPr>
            </w:pPr>
            <w:r>
              <w:rPr>
                <w:szCs w:val="21"/>
              </w:rPr>
              <w:t>混凝土振捣棒</w:t>
            </w:r>
          </w:p>
        </w:tc>
        <w:tc>
          <w:tcPr>
            <w:tcW w:w="467" w:type="pct"/>
            <w:vAlign w:val="center"/>
          </w:tcPr>
          <w:p>
            <w:pPr>
              <w:autoSpaceDE w:val="0"/>
              <w:autoSpaceDN w:val="0"/>
              <w:adjustRightInd w:val="0"/>
              <w:jc w:val="center"/>
              <w:rPr>
                <w:szCs w:val="21"/>
              </w:rPr>
            </w:pPr>
            <w:r>
              <w:rPr>
                <w:szCs w:val="21"/>
              </w:rPr>
              <w:t xml:space="preserve">82 </w:t>
            </w:r>
          </w:p>
        </w:tc>
        <w:tc>
          <w:tcPr>
            <w:tcW w:w="467" w:type="pct"/>
            <w:vAlign w:val="center"/>
          </w:tcPr>
          <w:p>
            <w:pPr>
              <w:autoSpaceDE w:val="0"/>
              <w:autoSpaceDN w:val="0"/>
              <w:adjustRightInd w:val="0"/>
              <w:jc w:val="center"/>
              <w:rPr>
                <w:szCs w:val="21"/>
              </w:rPr>
            </w:pPr>
            <w:r>
              <w:rPr>
                <w:szCs w:val="21"/>
              </w:rPr>
              <w:t xml:space="preserve">76 </w:t>
            </w:r>
          </w:p>
        </w:tc>
        <w:tc>
          <w:tcPr>
            <w:tcW w:w="454" w:type="pct"/>
            <w:vAlign w:val="center"/>
          </w:tcPr>
          <w:p>
            <w:pPr>
              <w:autoSpaceDE w:val="0"/>
              <w:autoSpaceDN w:val="0"/>
              <w:adjustRightInd w:val="0"/>
              <w:jc w:val="center"/>
              <w:rPr>
                <w:szCs w:val="21"/>
              </w:rPr>
            </w:pPr>
            <w:r>
              <w:rPr>
                <w:szCs w:val="21"/>
              </w:rPr>
              <w:t xml:space="preserve">70 </w:t>
            </w:r>
          </w:p>
        </w:tc>
        <w:tc>
          <w:tcPr>
            <w:tcW w:w="483" w:type="pct"/>
            <w:vAlign w:val="center"/>
          </w:tcPr>
          <w:p>
            <w:pPr>
              <w:autoSpaceDE w:val="0"/>
              <w:autoSpaceDN w:val="0"/>
              <w:adjustRightInd w:val="0"/>
              <w:jc w:val="center"/>
              <w:rPr>
                <w:szCs w:val="21"/>
              </w:rPr>
            </w:pPr>
            <w:r>
              <w:rPr>
                <w:szCs w:val="21"/>
              </w:rPr>
              <w:t xml:space="preserve">68 </w:t>
            </w:r>
          </w:p>
        </w:tc>
        <w:tc>
          <w:tcPr>
            <w:tcW w:w="484" w:type="pct"/>
            <w:vAlign w:val="center"/>
          </w:tcPr>
          <w:p>
            <w:pPr>
              <w:autoSpaceDE w:val="0"/>
              <w:autoSpaceDN w:val="0"/>
              <w:adjustRightInd w:val="0"/>
              <w:jc w:val="center"/>
              <w:rPr>
                <w:szCs w:val="21"/>
              </w:rPr>
            </w:pPr>
            <w:r>
              <w:rPr>
                <w:szCs w:val="21"/>
              </w:rPr>
              <w:t xml:space="preserve">62 </w:t>
            </w:r>
          </w:p>
        </w:tc>
        <w:tc>
          <w:tcPr>
            <w:tcW w:w="483" w:type="pct"/>
            <w:vAlign w:val="center"/>
          </w:tcPr>
          <w:p>
            <w:pPr>
              <w:autoSpaceDE w:val="0"/>
              <w:autoSpaceDN w:val="0"/>
              <w:adjustRightInd w:val="0"/>
              <w:jc w:val="center"/>
              <w:rPr>
                <w:szCs w:val="21"/>
              </w:rPr>
            </w:pPr>
            <w:r>
              <w:rPr>
                <w:szCs w:val="21"/>
              </w:rPr>
              <w:t xml:space="preserve">56 </w:t>
            </w:r>
          </w:p>
        </w:tc>
        <w:tc>
          <w:tcPr>
            <w:tcW w:w="486" w:type="pct"/>
            <w:vAlign w:val="center"/>
          </w:tcPr>
          <w:p>
            <w:pPr>
              <w:autoSpaceDE w:val="0"/>
              <w:autoSpaceDN w:val="0"/>
              <w:adjustRightInd w:val="0"/>
              <w:jc w:val="center"/>
              <w:rPr>
                <w:szCs w:val="21"/>
              </w:rPr>
            </w:pPr>
            <w:r>
              <w:rPr>
                <w:szCs w:val="21"/>
              </w:rPr>
              <w:t xml:space="preserve">52 </w:t>
            </w:r>
          </w:p>
        </w:tc>
      </w:tr>
    </w:tbl>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固体废弃物影响分析</w:t>
      </w:r>
    </w:p>
    <w:p>
      <w:pPr>
        <w:adjustRightInd w:val="0"/>
        <w:snapToGrid w:val="0"/>
        <w:spacing w:line="360" w:lineRule="auto"/>
        <w:ind w:firstLine="480" w:firstLineChars="200"/>
        <w:rPr>
          <w:sz w:val="24"/>
        </w:rPr>
      </w:pPr>
      <w:r>
        <w:rPr>
          <w:sz w:val="24"/>
        </w:rPr>
        <w:t>本项目施工期产生的固体废物主要为废石、混凝土块等建筑垃圾和施工人员产生的生活垃圾。根据《固体废物鉴别标准通则》（GB34330-2017）、《国家危险废物名录（2021年版）》（部令第15号）及《危险废物鉴别标准》(GB5085.1～7-2007)，施工过程中产生的固体废物均属Ⅰ类一般固体废物，不属于危险废物，其中废石、混凝土块等建筑垃圾集中收集后送当地环卫部门指定地点消纳，在外运过程中用苫布覆盖，避免沿途遗洒，并按相应部门指定路线行驶。</w:t>
      </w:r>
    </w:p>
    <w:p>
      <w:pPr>
        <w:adjustRightInd w:val="0"/>
        <w:snapToGrid w:val="0"/>
        <w:spacing w:line="360" w:lineRule="auto"/>
        <w:ind w:firstLine="480" w:firstLineChars="200"/>
        <w:rPr>
          <w:sz w:val="24"/>
        </w:rPr>
      </w:pPr>
      <w:r>
        <w:rPr>
          <w:sz w:val="24"/>
        </w:rPr>
        <w:t>生活垃圾：施工场地将有各类施工人员4</w:t>
      </w:r>
      <w:r>
        <w:rPr>
          <w:rFonts w:hint="eastAsia"/>
          <w:sz w:val="24"/>
        </w:rPr>
        <w:t>0</w:t>
      </w:r>
      <w:r>
        <w:rPr>
          <w:sz w:val="24"/>
        </w:rPr>
        <w:t>人，按每人每天产生1kg 垃圾估算，则建设期生活垃圾产生量为</w:t>
      </w:r>
      <w:r>
        <w:rPr>
          <w:rFonts w:hint="eastAsia"/>
          <w:sz w:val="24"/>
        </w:rPr>
        <w:t>0.</w:t>
      </w:r>
      <w:r>
        <w:rPr>
          <w:sz w:val="24"/>
        </w:rPr>
        <w:t>04t/d，</w:t>
      </w:r>
      <w:r>
        <w:rPr>
          <w:rFonts w:hint="eastAsia"/>
          <w:sz w:val="24"/>
        </w:rPr>
        <w:t>生活垃圾产生量较小，收集后统一送生活垃圾焚烧发电项目焚烧处理。日产日清，对周边环境影响较小。</w:t>
      </w:r>
    </w:p>
    <w:p>
      <w:pPr>
        <w:keepNext/>
        <w:keepLines/>
        <w:numPr>
          <w:ilvl w:val="1"/>
          <w:numId w:val="5"/>
        </w:numPr>
        <w:tabs>
          <w:tab w:val="left" w:pos="432"/>
          <w:tab w:val="left" w:pos="720"/>
          <w:tab w:val="clear" w:pos="862"/>
        </w:tabs>
        <w:adjustRightInd w:val="0"/>
        <w:snapToGrid w:val="0"/>
        <w:spacing w:before="156" w:beforeLines="50" w:line="360" w:lineRule="auto"/>
        <w:ind w:left="0" w:firstLine="0"/>
        <w:outlineLvl w:val="1"/>
        <w:rPr>
          <w:b/>
          <w:bCs/>
          <w:sz w:val="30"/>
          <w:szCs w:val="30"/>
        </w:rPr>
      </w:pPr>
      <w:bookmarkStart w:id="128" w:name="_Toc94101224"/>
      <w:bookmarkStart w:id="129" w:name="_Toc88231309"/>
      <w:bookmarkStart w:id="130" w:name="_Hlk88233679"/>
      <w:r>
        <w:rPr>
          <w:b/>
          <w:bCs/>
          <w:sz w:val="30"/>
          <w:szCs w:val="30"/>
        </w:rPr>
        <w:t>运营期大气环境影响预测与评价</w:t>
      </w:r>
      <w:bookmarkEnd w:id="128"/>
      <w:bookmarkEnd w:id="129"/>
    </w:p>
    <w:p>
      <w:pPr>
        <w:pStyle w:val="62"/>
        <w:numPr>
          <w:ilvl w:val="2"/>
          <w:numId w:val="5"/>
        </w:numPr>
        <w:tabs>
          <w:tab w:val="left" w:pos="567"/>
          <w:tab w:val="left" w:pos="1304"/>
        </w:tabs>
        <w:spacing w:before="156" w:after="156"/>
        <w:ind w:left="0" w:firstLine="0"/>
        <w:rPr>
          <w:rFonts w:ascii="Times New Roman" w:hAnsi="Times New Roman"/>
        </w:rPr>
      </w:pPr>
      <w:r>
        <w:rPr>
          <w:rFonts w:ascii="Times New Roman" w:hAnsi="Times New Roman"/>
        </w:rPr>
        <w:t>气象资料分析</w:t>
      </w:r>
    </w:p>
    <w:p>
      <w:pPr>
        <w:pStyle w:val="62"/>
        <w:numPr>
          <w:ilvl w:val="3"/>
          <w:numId w:val="5"/>
        </w:numPr>
        <w:tabs>
          <w:tab w:val="left" w:pos="851"/>
          <w:tab w:val="clear" w:pos="1021"/>
        </w:tabs>
        <w:spacing w:before="156" w:after="156"/>
        <w:outlineLvl w:val="3"/>
        <w:rPr>
          <w:rFonts w:ascii="Times New Roman" w:hAnsi="Times New Roman"/>
        </w:rPr>
      </w:pPr>
      <w:r>
        <w:rPr>
          <w:rFonts w:ascii="Times New Roman" w:hAnsi="Times New Roman"/>
        </w:rPr>
        <w:t>地面气象资料选取</w:t>
      </w:r>
    </w:p>
    <w:p>
      <w:pPr>
        <w:spacing w:line="360" w:lineRule="auto"/>
        <w:ind w:firstLine="480" w:firstLineChars="200"/>
        <w:rPr>
          <w:bCs/>
          <w:sz w:val="24"/>
          <w:szCs w:val="24"/>
        </w:rPr>
      </w:pPr>
      <w:r>
        <w:rPr>
          <w:bCs/>
          <w:sz w:val="24"/>
          <w:szCs w:val="24"/>
        </w:rPr>
        <w:t>项目位于承德市围场县，距离项目最近的气象站为围场县气象站，与项目相距约10km，且与评价范围内的地理特征一致，故本环评气候资料选取围场县气象站资料。</w:t>
      </w:r>
    </w:p>
    <w:p>
      <w:pPr>
        <w:spacing w:line="360" w:lineRule="auto"/>
        <w:ind w:firstLine="480" w:firstLineChars="200"/>
        <w:rPr>
          <w:bCs/>
          <w:sz w:val="24"/>
          <w:szCs w:val="24"/>
        </w:rPr>
      </w:pPr>
      <w:r>
        <w:rPr>
          <w:sz w:val="24"/>
          <w:szCs w:val="24"/>
        </w:rPr>
        <w:t>气象站点名称为</w:t>
      </w:r>
      <w:r>
        <w:rPr>
          <w:rFonts w:hint="eastAsia"/>
          <w:sz w:val="24"/>
          <w:szCs w:val="24"/>
        </w:rPr>
        <w:t>围场</w:t>
      </w:r>
      <w:r>
        <w:rPr>
          <w:sz w:val="24"/>
          <w:szCs w:val="24"/>
        </w:rPr>
        <w:t>站，站点编号54311，站点类型为一般站，站点坐标为经度117.766°，纬度41.961°，距场址距离约7.1km。</w:t>
      </w:r>
    </w:p>
    <w:p>
      <w:pPr>
        <w:pStyle w:val="62"/>
        <w:numPr>
          <w:ilvl w:val="3"/>
          <w:numId w:val="5"/>
        </w:numPr>
        <w:tabs>
          <w:tab w:val="left" w:pos="851"/>
          <w:tab w:val="clear" w:pos="1021"/>
        </w:tabs>
        <w:spacing w:before="156" w:after="156"/>
        <w:outlineLvl w:val="3"/>
        <w:rPr>
          <w:rFonts w:ascii="Times New Roman" w:hAnsi="Times New Roman"/>
        </w:rPr>
      </w:pPr>
      <w:r>
        <w:rPr>
          <w:rFonts w:ascii="Times New Roman" w:hAnsi="Times New Roman"/>
        </w:rPr>
        <w:t>多年气候统计资料分析</w:t>
      </w:r>
    </w:p>
    <w:p>
      <w:pPr>
        <w:spacing w:line="440" w:lineRule="exact"/>
        <w:ind w:firstLine="480" w:firstLineChars="200"/>
        <w:rPr>
          <w:sz w:val="24"/>
          <w:szCs w:val="24"/>
        </w:rPr>
      </w:pPr>
      <w:r>
        <w:rPr>
          <w:sz w:val="24"/>
          <w:szCs w:val="24"/>
        </w:rPr>
        <w:t>根据围场县气象台站近20年气候资料统计，区域气候特征见表5.2-1。</w:t>
      </w:r>
    </w:p>
    <w:p>
      <w:pPr>
        <w:spacing w:line="440" w:lineRule="exact"/>
        <w:jc w:val="center"/>
        <w:rPr>
          <w:b/>
          <w:sz w:val="24"/>
        </w:rPr>
      </w:pPr>
      <w:r>
        <w:rPr>
          <w:b/>
          <w:sz w:val="24"/>
        </w:rPr>
        <w:t>表5.2-1    区域气象特征值</w:t>
      </w:r>
    </w:p>
    <w:tbl>
      <w:tblPr>
        <w:tblStyle w:val="4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27"/>
        <w:gridCol w:w="1417"/>
        <w:gridCol w:w="2977"/>
        <w:gridCol w:w="15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noWrap/>
            <w:vAlign w:val="center"/>
          </w:tcPr>
          <w:p>
            <w:pPr>
              <w:adjustRightInd w:val="0"/>
              <w:snapToGrid w:val="0"/>
              <w:spacing w:line="240" w:lineRule="auto"/>
              <w:jc w:val="center"/>
              <w:rPr>
                <w:szCs w:val="22"/>
              </w:rPr>
            </w:pPr>
            <w:r>
              <w:rPr>
                <w:szCs w:val="22"/>
              </w:rPr>
              <w:t>要素</w:t>
            </w:r>
          </w:p>
        </w:tc>
        <w:tc>
          <w:tcPr>
            <w:tcW w:w="1417" w:type="dxa"/>
            <w:noWrap/>
            <w:vAlign w:val="center"/>
          </w:tcPr>
          <w:p>
            <w:pPr>
              <w:adjustRightInd w:val="0"/>
              <w:snapToGrid w:val="0"/>
              <w:spacing w:line="240" w:lineRule="auto"/>
              <w:jc w:val="center"/>
              <w:rPr>
                <w:szCs w:val="22"/>
              </w:rPr>
            </w:pPr>
            <w:r>
              <w:rPr>
                <w:szCs w:val="22"/>
              </w:rPr>
              <w:t>累年年值</w:t>
            </w:r>
          </w:p>
        </w:tc>
        <w:tc>
          <w:tcPr>
            <w:tcW w:w="2977" w:type="dxa"/>
            <w:vAlign w:val="center"/>
          </w:tcPr>
          <w:p>
            <w:pPr>
              <w:adjustRightInd w:val="0"/>
              <w:snapToGrid w:val="0"/>
              <w:spacing w:line="240" w:lineRule="auto"/>
              <w:jc w:val="center"/>
              <w:rPr>
                <w:szCs w:val="22"/>
              </w:rPr>
            </w:pPr>
            <w:r>
              <w:rPr>
                <w:szCs w:val="22"/>
              </w:rPr>
              <w:t>要素</w:t>
            </w:r>
          </w:p>
        </w:tc>
        <w:tc>
          <w:tcPr>
            <w:tcW w:w="1567" w:type="dxa"/>
            <w:vAlign w:val="center"/>
          </w:tcPr>
          <w:p>
            <w:pPr>
              <w:adjustRightInd w:val="0"/>
              <w:snapToGrid w:val="0"/>
              <w:spacing w:line="240" w:lineRule="auto"/>
              <w:jc w:val="center"/>
              <w:rPr>
                <w:szCs w:val="22"/>
              </w:rPr>
            </w:pPr>
            <w:r>
              <w:rPr>
                <w:szCs w:val="22"/>
              </w:rPr>
              <w:t>累年年值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平均风速（m/s）</w:t>
            </w:r>
          </w:p>
        </w:tc>
        <w:tc>
          <w:tcPr>
            <w:tcW w:w="1417" w:type="dxa"/>
            <w:noWrap/>
            <w:vAlign w:val="center"/>
          </w:tcPr>
          <w:p>
            <w:pPr>
              <w:adjustRightInd w:val="0"/>
              <w:snapToGrid w:val="0"/>
              <w:spacing w:line="240" w:lineRule="auto"/>
              <w:jc w:val="center"/>
              <w:rPr>
                <w:szCs w:val="22"/>
              </w:rPr>
            </w:pPr>
            <w:r>
              <w:rPr>
                <w:szCs w:val="22"/>
              </w:rPr>
              <w:t>2.17</w:t>
            </w:r>
          </w:p>
        </w:tc>
        <w:tc>
          <w:tcPr>
            <w:tcW w:w="2977" w:type="dxa"/>
            <w:vAlign w:val="center"/>
          </w:tcPr>
          <w:p>
            <w:pPr>
              <w:adjustRightInd w:val="0"/>
              <w:snapToGrid w:val="0"/>
              <w:spacing w:line="240" w:lineRule="auto"/>
              <w:jc w:val="center"/>
              <w:rPr>
                <w:szCs w:val="22"/>
              </w:rPr>
            </w:pPr>
            <w:r>
              <w:rPr>
                <w:szCs w:val="22"/>
              </w:rPr>
              <w:t>平均降水量（mm）</w:t>
            </w:r>
          </w:p>
        </w:tc>
        <w:tc>
          <w:tcPr>
            <w:tcW w:w="1567" w:type="dxa"/>
            <w:vAlign w:val="center"/>
          </w:tcPr>
          <w:p>
            <w:pPr>
              <w:adjustRightInd w:val="0"/>
              <w:snapToGrid w:val="0"/>
              <w:spacing w:line="240" w:lineRule="auto"/>
              <w:jc w:val="center"/>
              <w:rPr>
                <w:szCs w:val="22"/>
              </w:rPr>
            </w:pPr>
            <w:r>
              <w:rPr>
                <w:szCs w:val="22"/>
              </w:rPr>
              <w:t>448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最大风速（m/s）</w:t>
            </w:r>
          </w:p>
        </w:tc>
        <w:tc>
          <w:tcPr>
            <w:tcW w:w="1417" w:type="dxa"/>
            <w:noWrap/>
            <w:vAlign w:val="center"/>
          </w:tcPr>
          <w:p>
            <w:pPr>
              <w:adjustRightInd w:val="0"/>
              <w:snapToGrid w:val="0"/>
              <w:spacing w:line="240" w:lineRule="auto"/>
              <w:jc w:val="center"/>
              <w:rPr>
                <w:szCs w:val="22"/>
              </w:rPr>
            </w:pPr>
            <w:r>
              <w:rPr>
                <w:szCs w:val="22"/>
              </w:rPr>
              <w:t>14</w:t>
            </w:r>
          </w:p>
        </w:tc>
        <w:tc>
          <w:tcPr>
            <w:tcW w:w="2977" w:type="dxa"/>
            <w:vAlign w:val="center"/>
          </w:tcPr>
          <w:p>
            <w:pPr>
              <w:adjustRightInd w:val="0"/>
              <w:snapToGrid w:val="0"/>
              <w:spacing w:line="240" w:lineRule="auto"/>
              <w:jc w:val="center"/>
              <w:rPr>
                <w:szCs w:val="22"/>
              </w:rPr>
            </w:pPr>
            <w:r>
              <w:rPr>
                <w:szCs w:val="22"/>
              </w:rPr>
              <w:t>日降水量最大值（mm）</w:t>
            </w:r>
          </w:p>
        </w:tc>
        <w:tc>
          <w:tcPr>
            <w:tcW w:w="1567" w:type="dxa"/>
            <w:vAlign w:val="center"/>
          </w:tcPr>
          <w:p>
            <w:pPr>
              <w:adjustRightInd w:val="0"/>
              <w:snapToGrid w:val="0"/>
              <w:spacing w:line="240" w:lineRule="auto"/>
              <w:jc w:val="center"/>
              <w:rPr>
                <w:szCs w:val="22"/>
              </w:rPr>
            </w:pPr>
            <w:r>
              <w:rPr>
                <w:szCs w:val="22"/>
              </w:rPr>
              <w:t>74.4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平均气温（℃）</w:t>
            </w:r>
          </w:p>
        </w:tc>
        <w:tc>
          <w:tcPr>
            <w:tcW w:w="1417" w:type="dxa"/>
            <w:noWrap/>
            <w:vAlign w:val="center"/>
          </w:tcPr>
          <w:p>
            <w:pPr>
              <w:adjustRightInd w:val="0"/>
              <w:snapToGrid w:val="0"/>
              <w:spacing w:line="240" w:lineRule="auto"/>
              <w:jc w:val="center"/>
              <w:rPr>
                <w:szCs w:val="22"/>
              </w:rPr>
            </w:pPr>
            <w:r>
              <w:rPr>
                <w:szCs w:val="22"/>
              </w:rPr>
              <w:t>6.5</w:t>
            </w:r>
          </w:p>
        </w:tc>
        <w:tc>
          <w:tcPr>
            <w:tcW w:w="2977" w:type="dxa"/>
            <w:vAlign w:val="center"/>
          </w:tcPr>
          <w:p>
            <w:pPr>
              <w:adjustRightInd w:val="0"/>
              <w:snapToGrid w:val="0"/>
              <w:spacing w:line="240" w:lineRule="auto"/>
              <w:jc w:val="center"/>
              <w:rPr>
                <w:szCs w:val="22"/>
              </w:rPr>
            </w:pPr>
            <w:r>
              <w:rPr>
                <w:szCs w:val="22"/>
              </w:rPr>
              <w:t>日降水量最小值（mm）</w:t>
            </w:r>
          </w:p>
        </w:tc>
        <w:tc>
          <w:tcPr>
            <w:tcW w:w="1567" w:type="dxa"/>
            <w:vAlign w:val="center"/>
          </w:tcPr>
          <w:p>
            <w:pPr>
              <w:adjustRightInd w:val="0"/>
              <w:snapToGrid w:val="0"/>
              <w:spacing w:line="240" w:lineRule="auto"/>
              <w:jc w:val="center"/>
              <w:rPr>
                <w:szCs w:val="22"/>
              </w:rPr>
            </w:pPr>
            <w:r>
              <w:rPr>
                <w:szCs w:val="22"/>
              </w:rPr>
              <w:t>26.8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极端最高气温（℃）</w:t>
            </w:r>
          </w:p>
        </w:tc>
        <w:tc>
          <w:tcPr>
            <w:tcW w:w="1417" w:type="dxa"/>
            <w:noWrap/>
            <w:vAlign w:val="center"/>
          </w:tcPr>
          <w:p>
            <w:pPr>
              <w:adjustRightInd w:val="0"/>
              <w:snapToGrid w:val="0"/>
              <w:spacing w:line="240" w:lineRule="auto"/>
              <w:jc w:val="center"/>
              <w:rPr>
                <w:szCs w:val="22"/>
              </w:rPr>
            </w:pPr>
            <w:r>
              <w:rPr>
                <w:szCs w:val="22"/>
              </w:rPr>
              <w:t>39.4</w:t>
            </w:r>
          </w:p>
        </w:tc>
        <w:tc>
          <w:tcPr>
            <w:tcW w:w="2977" w:type="dxa"/>
            <w:vAlign w:val="center"/>
          </w:tcPr>
          <w:p>
            <w:pPr>
              <w:adjustRightInd w:val="0"/>
              <w:snapToGrid w:val="0"/>
              <w:spacing w:line="240" w:lineRule="auto"/>
              <w:jc w:val="center"/>
              <w:rPr>
                <w:szCs w:val="22"/>
              </w:rPr>
            </w:pPr>
            <w:r>
              <w:rPr>
                <w:szCs w:val="22"/>
              </w:rPr>
              <w:t>日照时数（小时）</w:t>
            </w:r>
          </w:p>
        </w:tc>
        <w:tc>
          <w:tcPr>
            <w:tcW w:w="1567" w:type="dxa"/>
            <w:vAlign w:val="center"/>
          </w:tcPr>
          <w:p>
            <w:pPr>
              <w:adjustRightInd w:val="0"/>
              <w:snapToGrid w:val="0"/>
              <w:spacing w:line="240" w:lineRule="auto"/>
              <w:jc w:val="center"/>
              <w:rPr>
                <w:szCs w:val="22"/>
              </w:rPr>
            </w:pPr>
            <w:r>
              <w:rPr>
                <w:szCs w:val="22"/>
              </w:rPr>
              <w:t>2632.5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极端最低气温（℃）</w:t>
            </w:r>
          </w:p>
        </w:tc>
        <w:tc>
          <w:tcPr>
            <w:tcW w:w="1417" w:type="dxa"/>
            <w:noWrap/>
            <w:vAlign w:val="center"/>
          </w:tcPr>
          <w:p>
            <w:pPr>
              <w:adjustRightInd w:val="0"/>
              <w:snapToGrid w:val="0"/>
              <w:spacing w:line="240" w:lineRule="auto"/>
              <w:jc w:val="center"/>
              <w:rPr>
                <w:szCs w:val="22"/>
              </w:rPr>
            </w:pPr>
            <w:r>
              <w:rPr>
                <w:szCs w:val="22"/>
              </w:rPr>
              <w:t>-29.7</w:t>
            </w:r>
          </w:p>
        </w:tc>
        <w:tc>
          <w:tcPr>
            <w:tcW w:w="2977" w:type="dxa"/>
            <w:vAlign w:val="center"/>
          </w:tcPr>
          <w:p>
            <w:pPr>
              <w:adjustRightInd w:val="0"/>
              <w:snapToGrid w:val="0"/>
              <w:spacing w:line="240" w:lineRule="auto"/>
              <w:jc w:val="center"/>
              <w:rPr>
                <w:szCs w:val="22"/>
              </w:rPr>
            </w:pPr>
            <w:r>
              <w:rPr>
                <w:szCs w:val="22"/>
              </w:rPr>
              <w:t>平均气压（hPa）</w:t>
            </w:r>
          </w:p>
        </w:tc>
        <w:tc>
          <w:tcPr>
            <w:tcW w:w="1567" w:type="dxa"/>
            <w:vAlign w:val="center"/>
          </w:tcPr>
          <w:p>
            <w:pPr>
              <w:adjustRightInd w:val="0"/>
              <w:snapToGrid w:val="0"/>
              <w:spacing w:line="240" w:lineRule="auto"/>
              <w:jc w:val="center"/>
              <w:rPr>
                <w:szCs w:val="22"/>
              </w:rPr>
            </w:pPr>
            <w:r>
              <w:rPr>
                <w:szCs w:val="22"/>
              </w:rPr>
              <w:t>915.6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平均相对湿度（%）</w:t>
            </w:r>
          </w:p>
        </w:tc>
        <w:tc>
          <w:tcPr>
            <w:tcW w:w="1417" w:type="dxa"/>
            <w:noWrap/>
            <w:vAlign w:val="center"/>
          </w:tcPr>
          <w:p>
            <w:pPr>
              <w:adjustRightInd w:val="0"/>
              <w:snapToGrid w:val="0"/>
              <w:spacing w:line="240" w:lineRule="auto"/>
              <w:jc w:val="center"/>
              <w:rPr>
                <w:szCs w:val="22"/>
              </w:rPr>
            </w:pPr>
            <w:r>
              <w:rPr>
                <w:szCs w:val="22"/>
              </w:rPr>
              <w:t>56</w:t>
            </w:r>
          </w:p>
        </w:tc>
        <w:tc>
          <w:tcPr>
            <w:tcW w:w="2977" w:type="dxa"/>
            <w:vAlign w:val="center"/>
          </w:tcPr>
          <w:p>
            <w:pPr>
              <w:adjustRightInd w:val="0"/>
              <w:snapToGrid w:val="0"/>
              <w:spacing w:line="240" w:lineRule="auto"/>
              <w:jc w:val="center"/>
              <w:rPr>
                <w:szCs w:val="22"/>
              </w:rPr>
            </w:pPr>
            <w:r>
              <w:rPr>
                <w:szCs w:val="22"/>
              </w:rPr>
              <w:t>多年主导风向、风向频率(%)</w:t>
            </w:r>
          </w:p>
        </w:tc>
        <w:tc>
          <w:tcPr>
            <w:tcW w:w="1567" w:type="dxa"/>
            <w:vAlign w:val="center"/>
          </w:tcPr>
          <w:p>
            <w:pPr>
              <w:adjustRightInd w:val="0"/>
              <w:snapToGrid w:val="0"/>
              <w:spacing w:line="240" w:lineRule="auto"/>
              <w:jc w:val="center"/>
              <w:rPr>
                <w:szCs w:val="22"/>
              </w:rPr>
            </w:pPr>
            <w:r>
              <w:rPr>
                <w:szCs w:val="22"/>
              </w:rPr>
              <w:t>WNW  14.3%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2127" w:type="dxa"/>
            <w:vAlign w:val="center"/>
          </w:tcPr>
          <w:p>
            <w:pPr>
              <w:adjustRightInd w:val="0"/>
              <w:snapToGrid w:val="0"/>
              <w:spacing w:line="240" w:lineRule="auto"/>
              <w:jc w:val="center"/>
              <w:rPr>
                <w:szCs w:val="22"/>
              </w:rPr>
            </w:pPr>
            <w:r>
              <w:rPr>
                <w:szCs w:val="22"/>
              </w:rPr>
              <w:t>全年静风频率</w:t>
            </w:r>
          </w:p>
        </w:tc>
        <w:tc>
          <w:tcPr>
            <w:tcW w:w="1417" w:type="dxa"/>
            <w:noWrap/>
            <w:vAlign w:val="center"/>
          </w:tcPr>
          <w:p>
            <w:pPr>
              <w:adjustRightInd w:val="0"/>
              <w:snapToGrid w:val="0"/>
              <w:spacing w:line="240" w:lineRule="auto"/>
              <w:jc w:val="center"/>
              <w:rPr>
                <w:szCs w:val="22"/>
              </w:rPr>
            </w:pPr>
            <w:r>
              <w:rPr>
                <w:szCs w:val="22"/>
              </w:rPr>
              <w:t>7.3%</w:t>
            </w:r>
          </w:p>
        </w:tc>
        <w:tc>
          <w:tcPr>
            <w:tcW w:w="2977" w:type="dxa"/>
            <w:vAlign w:val="center"/>
          </w:tcPr>
          <w:p>
            <w:pPr>
              <w:adjustRightInd w:val="0"/>
              <w:snapToGrid w:val="0"/>
              <w:spacing w:line="240" w:lineRule="auto"/>
              <w:jc w:val="center"/>
              <w:rPr>
                <w:szCs w:val="22"/>
              </w:rPr>
            </w:pPr>
          </w:p>
        </w:tc>
        <w:tc>
          <w:tcPr>
            <w:tcW w:w="1567" w:type="dxa"/>
            <w:vAlign w:val="center"/>
          </w:tcPr>
          <w:p>
            <w:pPr>
              <w:adjustRightInd w:val="0"/>
              <w:snapToGrid w:val="0"/>
              <w:spacing w:line="240" w:lineRule="auto"/>
              <w:jc w:val="center"/>
              <w:rPr>
                <w:szCs w:val="22"/>
              </w:rPr>
            </w:pPr>
          </w:p>
        </w:tc>
      </w:tr>
    </w:tbl>
    <w:p>
      <w:pPr>
        <w:spacing w:line="440" w:lineRule="exact"/>
        <w:ind w:firstLine="482" w:firstLineChars="200"/>
        <w:rPr>
          <w:b/>
          <w:sz w:val="24"/>
          <w:szCs w:val="24"/>
        </w:rPr>
      </w:pPr>
      <w:r>
        <w:rPr>
          <w:b/>
          <w:sz w:val="24"/>
          <w:szCs w:val="24"/>
        </w:rPr>
        <w:t>（1）温度</w:t>
      </w:r>
    </w:p>
    <w:p>
      <w:pPr>
        <w:spacing w:line="440" w:lineRule="exact"/>
        <w:ind w:firstLine="480" w:firstLineChars="200"/>
        <w:rPr>
          <w:sz w:val="24"/>
          <w:szCs w:val="24"/>
        </w:rPr>
      </w:pPr>
      <w:r>
        <w:rPr>
          <w:sz w:val="24"/>
          <w:szCs w:val="24"/>
        </w:rPr>
        <w:t>围场县近20年各月平均气温月变化情况见表5.2-2和图5.2-1。</w:t>
      </w:r>
    </w:p>
    <w:p>
      <w:pPr>
        <w:spacing w:line="440" w:lineRule="exact"/>
        <w:ind w:firstLine="480" w:firstLineChars="200"/>
        <w:rPr>
          <w:sz w:val="24"/>
          <w:szCs w:val="24"/>
        </w:rPr>
      </w:pPr>
    </w:p>
    <w:p>
      <w:pPr>
        <w:spacing w:line="440" w:lineRule="exact"/>
        <w:jc w:val="center"/>
        <w:rPr>
          <w:b/>
          <w:sz w:val="24"/>
        </w:rPr>
      </w:pPr>
      <w:r>
        <w:rPr>
          <w:b/>
          <w:sz w:val="24"/>
        </w:rPr>
        <w:t>表5.2-2   年平均温度的月变化</w:t>
      </w:r>
    </w:p>
    <w:tbl>
      <w:tblPr>
        <w:tblStyle w:val="39"/>
        <w:tblW w:w="514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603"/>
        <w:gridCol w:w="603"/>
        <w:gridCol w:w="520"/>
        <w:gridCol w:w="610"/>
        <w:gridCol w:w="611"/>
        <w:gridCol w:w="611"/>
        <w:gridCol w:w="611"/>
        <w:gridCol w:w="611"/>
        <w:gridCol w:w="611"/>
        <w:gridCol w:w="611"/>
        <w:gridCol w:w="604"/>
        <w:gridCol w:w="611"/>
        <w:gridCol w:w="6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1" w:hRule="atLeast"/>
          <w:jc w:val="center"/>
        </w:trPr>
        <w:tc>
          <w:tcPr>
            <w:tcW w:w="539" w:type="pct"/>
            <w:vAlign w:val="center"/>
          </w:tcPr>
          <w:p>
            <w:pPr>
              <w:adjustRightInd w:val="0"/>
              <w:snapToGrid w:val="0"/>
              <w:jc w:val="center"/>
              <w:rPr>
                <w:sz w:val="18"/>
                <w:szCs w:val="18"/>
              </w:rPr>
            </w:pPr>
            <w:r>
              <w:rPr>
                <w:sz w:val="18"/>
                <w:szCs w:val="18"/>
              </w:rPr>
              <w:t>月份</w:t>
            </w:r>
          </w:p>
        </w:tc>
        <w:tc>
          <w:tcPr>
            <w:tcW w:w="344" w:type="pct"/>
            <w:vAlign w:val="center"/>
          </w:tcPr>
          <w:p>
            <w:pPr>
              <w:adjustRightInd w:val="0"/>
              <w:snapToGrid w:val="0"/>
              <w:jc w:val="center"/>
              <w:rPr>
                <w:sz w:val="18"/>
                <w:szCs w:val="18"/>
              </w:rPr>
            </w:pPr>
            <w:r>
              <w:rPr>
                <w:sz w:val="18"/>
                <w:szCs w:val="18"/>
              </w:rPr>
              <w:t>1</w:t>
            </w:r>
          </w:p>
        </w:tc>
        <w:tc>
          <w:tcPr>
            <w:tcW w:w="344" w:type="pct"/>
            <w:vAlign w:val="center"/>
          </w:tcPr>
          <w:p>
            <w:pPr>
              <w:adjustRightInd w:val="0"/>
              <w:snapToGrid w:val="0"/>
              <w:jc w:val="center"/>
              <w:rPr>
                <w:sz w:val="18"/>
                <w:szCs w:val="18"/>
              </w:rPr>
            </w:pPr>
            <w:r>
              <w:rPr>
                <w:sz w:val="18"/>
                <w:szCs w:val="18"/>
              </w:rPr>
              <w:t>2</w:t>
            </w:r>
          </w:p>
        </w:tc>
        <w:tc>
          <w:tcPr>
            <w:tcW w:w="297" w:type="pct"/>
            <w:vAlign w:val="center"/>
          </w:tcPr>
          <w:p>
            <w:pPr>
              <w:adjustRightInd w:val="0"/>
              <w:snapToGrid w:val="0"/>
              <w:jc w:val="center"/>
              <w:rPr>
                <w:sz w:val="18"/>
                <w:szCs w:val="18"/>
              </w:rPr>
            </w:pPr>
            <w:r>
              <w:rPr>
                <w:sz w:val="18"/>
                <w:szCs w:val="18"/>
              </w:rPr>
              <w:t>3</w:t>
            </w:r>
          </w:p>
        </w:tc>
        <w:tc>
          <w:tcPr>
            <w:tcW w:w="348" w:type="pct"/>
            <w:vAlign w:val="center"/>
          </w:tcPr>
          <w:p>
            <w:pPr>
              <w:adjustRightInd w:val="0"/>
              <w:snapToGrid w:val="0"/>
              <w:jc w:val="center"/>
              <w:rPr>
                <w:sz w:val="18"/>
                <w:szCs w:val="18"/>
              </w:rPr>
            </w:pPr>
            <w:r>
              <w:rPr>
                <w:sz w:val="18"/>
                <w:szCs w:val="18"/>
              </w:rPr>
              <w:t>4</w:t>
            </w:r>
          </w:p>
        </w:tc>
        <w:tc>
          <w:tcPr>
            <w:tcW w:w="348" w:type="pct"/>
            <w:vAlign w:val="center"/>
          </w:tcPr>
          <w:p>
            <w:pPr>
              <w:adjustRightInd w:val="0"/>
              <w:snapToGrid w:val="0"/>
              <w:jc w:val="center"/>
              <w:rPr>
                <w:sz w:val="18"/>
                <w:szCs w:val="18"/>
              </w:rPr>
            </w:pPr>
            <w:r>
              <w:rPr>
                <w:sz w:val="18"/>
                <w:szCs w:val="18"/>
              </w:rPr>
              <w:t>5</w:t>
            </w:r>
          </w:p>
        </w:tc>
        <w:tc>
          <w:tcPr>
            <w:tcW w:w="348" w:type="pct"/>
            <w:vAlign w:val="center"/>
          </w:tcPr>
          <w:p>
            <w:pPr>
              <w:adjustRightInd w:val="0"/>
              <w:snapToGrid w:val="0"/>
              <w:jc w:val="center"/>
              <w:rPr>
                <w:sz w:val="18"/>
                <w:szCs w:val="18"/>
              </w:rPr>
            </w:pPr>
            <w:r>
              <w:rPr>
                <w:sz w:val="18"/>
                <w:szCs w:val="18"/>
              </w:rPr>
              <w:t>6</w:t>
            </w:r>
          </w:p>
        </w:tc>
        <w:tc>
          <w:tcPr>
            <w:tcW w:w="348" w:type="pct"/>
            <w:vAlign w:val="center"/>
          </w:tcPr>
          <w:p>
            <w:pPr>
              <w:adjustRightInd w:val="0"/>
              <w:snapToGrid w:val="0"/>
              <w:jc w:val="center"/>
              <w:rPr>
                <w:sz w:val="18"/>
                <w:szCs w:val="18"/>
              </w:rPr>
            </w:pPr>
            <w:r>
              <w:rPr>
                <w:sz w:val="18"/>
                <w:szCs w:val="18"/>
              </w:rPr>
              <w:t>7</w:t>
            </w:r>
          </w:p>
        </w:tc>
        <w:tc>
          <w:tcPr>
            <w:tcW w:w="348" w:type="pct"/>
            <w:vAlign w:val="center"/>
          </w:tcPr>
          <w:p>
            <w:pPr>
              <w:adjustRightInd w:val="0"/>
              <w:snapToGrid w:val="0"/>
              <w:jc w:val="center"/>
              <w:rPr>
                <w:sz w:val="18"/>
                <w:szCs w:val="18"/>
              </w:rPr>
            </w:pPr>
            <w:r>
              <w:rPr>
                <w:sz w:val="18"/>
                <w:szCs w:val="18"/>
              </w:rPr>
              <w:t>8</w:t>
            </w:r>
          </w:p>
        </w:tc>
        <w:tc>
          <w:tcPr>
            <w:tcW w:w="348" w:type="pct"/>
            <w:vAlign w:val="center"/>
          </w:tcPr>
          <w:p>
            <w:pPr>
              <w:adjustRightInd w:val="0"/>
              <w:snapToGrid w:val="0"/>
              <w:jc w:val="center"/>
              <w:rPr>
                <w:sz w:val="18"/>
                <w:szCs w:val="18"/>
              </w:rPr>
            </w:pPr>
            <w:r>
              <w:rPr>
                <w:sz w:val="18"/>
                <w:szCs w:val="18"/>
              </w:rPr>
              <w:t>9</w:t>
            </w:r>
          </w:p>
        </w:tc>
        <w:tc>
          <w:tcPr>
            <w:tcW w:w="348" w:type="pct"/>
            <w:vAlign w:val="center"/>
          </w:tcPr>
          <w:p>
            <w:pPr>
              <w:adjustRightInd w:val="0"/>
              <w:snapToGrid w:val="0"/>
              <w:jc w:val="center"/>
              <w:rPr>
                <w:sz w:val="18"/>
                <w:szCs w:val="18"/>
              </w:rPr>
            </w:pPr>
            <w:r>
              <w:rPr>
                <w:sz w:val="18"/>
                <w:szCs w:val="18"/>
              </w:rPr>
              <w:t>10</w:t>
            </w:r>
          </w:p>
        </w:tc>
        <w:tc>
          <w:tcPr>
            <w:tcW w:w="344" w:type="pct"/>
            <w:vAlign w:val="center"/>
          </w:tcPr>
          <w:p>
            <w:pPr>
              <w:adjustRightInd w:val="0"/>
              <w:snapToGrid w:val="0"/>
              <w:jc w:val="center"/>
              <w:rPr>
                <w:sz w:val="18"/>
                <w:szCs w:val="18"/>
              </w:rPr>
            </w:pPr>
            <w:r>
              <w:rPr>
                <w:sz w:val="18"/>
                <w:szCs w:val="18"/>
              </w:rPr>
              <w:t>11</w:t>
            </w:r>
          </w:p>
        </w:tc>
        <w:tc>
          <w:tcPr>
            <w:tcW w:w="348" w:type="pct"/>
            <w:vAlign w:val="center"/>
          </w:tcPr>
          <w:p>
            <w:pPr>
              <w:adjustRightInd w:val="0"/>
              <w:snapToGrid w:val="0"/>
              <w:jc w:val="center"/>
              <w:rPr>
                <w:sz w:val="18"/>
                <w:szCs w:val="18"/>
              </w:rPr>
            </w:pPr>
            <w:r>
              <w:rPr>
                <w:sz w:val="18"/>
                <w:szCs w:val="18"/>
              </w:rPr>
              <w:t>12</w:t>
            </w:r>
          </w:p>
        </w:tc>
        <w:tc>
          <w:tcPr>
            <w:tcW w:w="345" w:type="pct"/>
            <w:vAlign w:val="center"/>
          </w:tcPr>
          <w:p>
            <w:pPr>
              <w:adjustRightInd w:val="0"/>
              <w:snapToGrid w:val="0"/>
              <w:jc w:val="center"/>
              <w:rPr>
                <w:sz w:val="18"/>
                <w:szCs w:val="18"/>
              </w:rPr>
            </w:pPr>
            <w:r>
              <w:rPr>
                <w:sz w:val="18"/>
                <w:szCs w:val="18"/>
              </w:rPr>
              <w:t>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1" w:hRule="atLeast"/>
          <w:jc w:val="center"/>
        </w:trPr>
        <w:tc>
          <w:tcPr>
            <w:tcW w:w="539" w:type="pct"/>
            <w:vAlign w:val="center"/>
          </w:tcPr>
          <w:p>
            <w:pPr>
              <w:adjustRightInd w:val="0"/>
              <w:snapToGrid w:val="0"/>
              <w:jc w:val="center"/>
              <w:rPr>
                <w:sz w:val="18"/>
                <w:szCs w:val="18"/>
              </w:rPr>
            </w:pPr>
            <w:r>
              <w:rPr>
                <w:sz w:val="18"/>
                <w:szCs w:val="18"/>
              </w:rPr>
              <w:t>温度(</w:t>
            </w:r>
            <w:r>
              <w:rPr>
                <w:rFonts w:hint="eastAsia" w:ascii="宋体" w:hAnsi="宋体" w:cs="宋体"/>
                <w:sz w:val="18"/>
                <w:szCs w:val="18"/>
              </w:rPr>
              <w:t>℃</w:t>
            </w:r>
            <w:r>
              <w:rPr>
                <w:sz w:val="18"/>
                <w:szCs w:val="18"/>
              </w:rPr>
              <w:t>)</w:t>
            </w:r>
          </w:p>
        </w:tc>
        <w:tc>
          <w:tcPr>
            <w:tcW w:w="344" w:type="pct"/>
            <w:vAlign w:val="center"/>
          </w:tcPr>
          <w:p>
            <w:pPr>
              <w:adjustRightInd w:val="0"/>
              <w:snapToGrid w:val="0"/>
              <w:jc w:val="center"/>
              <w:rPr>
                <w:sz w:val="18"/>
                <w:szCs w:val="18"/>
              </w:rPr>
            </w:pPr>
            <w:r>
              <w:rPr>
                <w:rFonts w:hint="eastAsia"/>
                <w:sz w:val="18"/>
                <w:szCs w:val="18"/>
              </w:rPr>
              <w:t>-10.6</w:t>
            </w:r>
          </w:p>
        </w:tc>
        <w:tc>
          <w:tcPr>
            <w:tcW w:w="344" w:type="pct"/>
            <w:vAlign w:val="center"/>
          </w:tcPr>
          <w:p>
            <w:pPr>
              <w:adjustRightInd w:val="0"/>
              <w:snapToGrid w:val="0"/>
              <w:jc w:val="center"/>
              <w:rPr>
                <w:sz w:val="18"/>
                <w:szCs w:val="18"/>
              </w:rPr>
            </w:pPr>
            <w:r>
              <w:rPr>
                <w:rFonts w:hint="eastAsia"/>
                <w:sz w:val="18"/>
                <w:szCs w:val="18"/>
              </w:rPr>
              <w:t>-10.0</w:t>
            </w:r>
          </w:p>
        </w:tc>
        <w:tc>
          <w:tcPr>
            <w:tcW w:w="297" w:type="pct"/>
            <w:vAlign w:val="center"/>
          </w:tcPr>
          <w:p>
            <w:pPr>
              <w:adjustRightInd w:val="0"/>
              <w:snapToGrid w:val="0"/>
              <w:jc w:val="center"/>
              <w:rPr>
                <w:sz w:val="18"/>
                <w:szCs w:val="18"/>
              </w:rPr>
            </w:pPr>
            <w:r>
              <w:rPr>
                <w:rFonts w:hint="eastAsia"/>
                <w:sz w:val="18"/>
                <w:szCs w:val="18"/>
              </w:rPr>
              <w:t>-0.7</w:t>
            </w:r>
          </w:p>
        </w:tc>
        <w:tc>
          <w:tcPr>
            <w:tcW w:w="348" w:type="pct"/>
            <w:vAlign w:val="center"/>
          </w:tcPr>
          <w:p>
            <w:pPr>
              <w:adjustRightInd w:val="0"/>
              <w:snapToGrid w:val="0"/>
              <w:jc w:val="center"/>
              <w:rPr>
                <w:sz w:val="18"/>
                <w:szCs w:val="18"/>
              </w:rPr>
            </w:pPr>
            <w:r>
              <w:rPr>
                <w:rFonts w:hint="eastAsia"/>
                <w:sz w:val="18"/>
                <w:szCs w:val="18"/>
              </w:rPr>
              <w:t>6.9</w:t>
            </w:r>
          </w:p>
        </w:tc>
        <w:tc>
          <w:tcPr>
            <w:tcW w:w="348" w:type="pct"/>
            <w:vAlign w:val="center"/>
          </w:tcPr>
          <w:p>
            <w:pPr>
              <w:adjustRightInd w:val="0"/>
              <w:snapToGrid w:val="0"/>
              <w:jc w:val="center"/>
              <w:rPr>
                <w:sz w:val="18"/>
                <w:szCs w:val="18"/>
              </w:rPr>
            </w:pPr>
            <w:r>
              <w:rPr>
                <w:rFonts w:hint="eastAsia"/>
                <w:sz w:val="18"/>
                <w:szCs w:val="18"/>
              </w:rPr>
              <w:t>13.7</w:t>
            </w:r>
          </w:p>
        </w:tc>
        <w:tc>
          <w:tcPr>
            <w:tcW w:w="348" w:type="pct"/>
            <w:vAlign w:val="center"/>
          </w:tcPr>
          <w:p>
            <w:pPr>
              <w:adjustRightInd w:val="0"/>
              <w:snapToGrid w:val="0"/>
              <w:jc w:val="center"/>
              <w:rPr>
                <w:sz w:val="18"/>
                <w:szCs w:val="18"/>
              </w:rPr>
            </w:pPr>
            <w:r>
              <w:rPr>
                <w:rFonts w:hint="eastAsia"/>
                <w:sz w:val="18"/>
                <w:szCs w:val="18"/>
              </w:rPr>
              <w:t>18.3</w:t>
            </w:r>
          </w:p>
        </w:tc>
        <w:tc>
          <w:tcPr>
            <w:tcW w:w="348" w:type="pct"/>
            <w:vAlign w:val="center"/>
          </w:tcPr>
          <w:p>
            <w:pPr>
              <w:adjustRightInd w:val="0"/>
              <w:snapToGrid w:val="0"/>
              <w:jc w:val="center"/>
              <w:rPr>
                <w:sz w:val="18"/>
                <w:szCs w:val="18"/>
              </w:rPr>
            </w:pPr>
            <w:r>
              <w:rPr>
                <w:rFonts w:hint="eastAsia"/>
                <w:sz w:val="18"/>
                <w:szCs w:val="18"/>
              </w:rPr>
              <w:t>20.8</w:t>
            </w:r>
          </w:p>
        </w:tc>
        <w:tc>
          <w:tcPr>
            <w:tcW w:w="348" w:type="pct"/>
            <w:vAlign w:val="center"/>
          </w:tcPr>
          <w:p>
            <w:pPr>
              <w:adjustRightInd w:val="0"/>
              <w:snapToGrid w:val="0"/>
              <w:jc w:val="center"/>
              <w:rPr>
                <w:sz w:val="18"/>
                <w:szCs w:val="18"/>
              </w:rPr>
            </w:pPr>
            <w:r>
              <w:rPr>
                <w:rFonts w:hint="eastAsia"/>
                <w:sz w:val="18"/>
                <w:szCs w:val="18"/>
              </w:rPr>
              <w:t>18.2</w:t>
            </w:r>
          </w:p>
        </w:tc>
        <w:tc>
          <w:tcPr>
            <w:tcW w:w="348" w:type="pct"/>
            <w:vAlign w:val="center"/>
          </w:tcPr>
          <w:p>
            <w:pPr>
              <w:adjustRightInd w:val="0"/>
              <w:snapToGrid w:val="0"/>
              <w:jc w:val="center"/>
              <w:rPr>
                <w:sz w:val="18"/>
                <w:szCs w:val="18"/>
              </w:rPr>
            </w:pPr>
            <w:r>
              <w:rPr>
                <w:rFonts w:hint="eastAsia"/>
                <w:sz w:val="18"/>
                <w:szCs w:val="18"/>
              </w:rPr>
              <w:t>15.2</w:t>
            </w:r>
          </w:p>
        </w:tc>
        <w:tc>
          <w:tcPr>
            <w:tcW w:w="348" w:type="pct"/>
            <w:vAlign w:val="center"/>
          </w:tcPr>
          <w:p>
            <w:pPr>
              <w:adjustRightInd w:val="0"/>
              <w:snapToGrid w:val="0"/>
              <w:jc w:val="center"/>
              <w:rPr>
                <w:sz w:val="18"/>
                <w:szCs w:val="18"/>
              </w:rPr>
            </w:pPr>
            <w:r>
              <w:rPr>
                <w:rFonts w:hint="eastAsia"/>
                <w:sz w:val="18"/>
                <w:szCs w:val="18"/>
              </w:rPr>
              <w:t>5.9</w:t>
            </w:r>
          </w:p>
        </w:tc>
        <w:tc>
          <w:tcPr>
            <w:tcW w:w="344" w:type="pct"/>
            <w:vAlign w:val="center"/>
          </w:tcPr>
          <w:p>
            <w:pPr>
              <w:adjustRightInd w:val="0"/>
              <w:snapToGrid w:val="0"/>
              <w:jc w:val="center"/>
              <w:rPr>
                <w:sz w:val="18"/>
                <w:szCs w:val="18"/>
              </w:rPr>
            </w:pPr>
            <w:r>
              <w:rPr>
                <w:rFonts w:hint="eastAsia"/>
                <w:sz w:val="18"/>
                <w:szCs w:val="18"/>
              </w:rPr>
              <w:t>-3.1</w:t>
            </w:r>
          </w:p>
        </w:tc>
        <w:tc>
          <w:tcPr>
            <w:tcW w:w="348" w:type="pct"/>
            <w:vAlign w:val="center"/>
          </w:tcPr>
          <w:p>
            <w:pPr>
              <w:adjustRightInd w:val="0"/>
              <w:snapToGrid w:val="0"/>
              <w:jc w:val="center"/>
              <w:rPr>
                <w:sz w:val="18"/>
                <w:szCs w:val="18"/>
              </w:rPr>
            </w:pPr>
            <w:r>
              <w:rPr>
                <w:rFonts w:hint="eastAsia"/>
                <w:sz w:val="18"/>
                <w:szCs w:val="18"/>
              </w:rPr>
              <w:t>-11.7</w:t>
            </w:r>
          </w:p>
        </w:tc>
        <w:tc>
          <w:tcPr>
            <w:tcW w:w="345" w:type="pct"/>
            <w:vAlign w:val="center"/>
          </w:tcPr>
          <w:p>
            <w:pPr>
              <w:adjustRightInd w:val="0"/>
              <w:snapToGrid w:val="0"/>
              <w:jc w:val="center"/>
              <w:rPr>
                <w:sz w:val="18"/>
                <w:szCs w:val="18"/>
              </w:rPr>
            </w:pPr>
            <w:r>
              <w:rPr>
                <w:rFonts w:hint="eastAsia"/>
                <w:sz w:val="18"/>
                <w:szCs w:val="18"/>
              </w:rPr>
              <w:t>-10.6</w:t>
            </w:r>
          </w:p>
        </w:tc>
      </w:tr>
    </w:tbl>
    <w:p>
      <w:pPr>
        <w:spacing w:line="440" w:lineRule="exact"/>
        <w:jc w:val="center"/>
        <w:rPr>
          <w:b/>
          <w:sz w:val="24"/>
        </w:rPr>
      </w:pPr>
    </w:p>
    <w:p>
      <w:r>
        <w:drawing>
          <wp:inline distT="0" distB="0" distL="0" distR="0">
            <wp:extent cx="4840605" cy="207962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846984" cy="2082597"/>
                    </a:xfrm>
                    <a:prstGeom prst="rect">
                      <a:avLst/>
                    </a:prstGeom>
                    <a:noFill/>
                  </pic:spPr>
                </pic:pic>
              </a:graphicData>
            </a:graphic>
          </wp:inline>
        </w:drawing>
      </w:r>
    </w:p>
    <w:p>
      <w:pPr>
        <w:spacing w:line="440" w:lineRule="exact"/>
        <w:ind w:firstLine="482"/>
        <w:jc w:val="center"/>
        <w:rPr>
          <w:b/>
          <w:sz w:val="24"/>
          <w:szCs w:val="24"/>
        </w:rPr>
      </w:pPr>
      <w:r>
        <w:rPr>
          <w:b/>
          <w:sz w:val="24"/>
          <w:szCs w:val="24"/>
        </w:rPr>
        <w:t>图5.2-1   多年平均温度月变化曲线图</w:t>
      </w:r>
    </w:p>
    <w:p>
      <w:pPr>
        <w:spacing w:line="440" w:lineRule="exact"/>
        <w:ind w:firstLine="482" w:firstLineChars="200"/>
        <w:rPr>
          <w:b/>
          <w:sz w:val="24"/>
          <w:szCs w:val="24"/>
        </w:rPr>
      </w:pPr>
      <w:r>
        <w:rPr>
          <w:b/>
          <w:sz w:val="24"/>
          <w:szCs w:val="24"/>
        </w:rPr>
        <w:t>（2）风速</w:t>
      </w:r>
    </w:p>
    <w:p>
      <w:pPr>
        <w:spacing w:line="440" w:lineRule="exact"/>
        <w:ind w:firstLine="480" w:firstLineChars="200"/>
        <w:rPr>
          <w:sz w:val="24"/>
        </w:rPr>
      </w:pPr>
      <w:r>
        <w:rPr>
          <w:sz w:val="24"/>
        </w:rPr>
        <w:t>围场县20年各月平均风速变化情况见表5.2-3和图5.2-2。</w:t>
      </w:r>
    </w:p>
    <w:p>
      <w:pPr>
        <w:spacing w:line="440" w:lineRule="exact"/>
        <w:jc w:val="center"/>
        <w:rPr>
          <w:b/>
          <w:sz w:val="24"/>
        </w:rPr>
      </w:pPr>
      <w:r>
        <w:rPr>
          <w:b/>
          <w:sz w:val="24"/>
        </w:rPr>
        <w:t>表5.2-3   20年平均风速的月变化  单位：m/s</w:t>
      </w:r>
    </w:p>
    <w:tbl>
      <w:tblPr>
        <w:tblStyle w:val="39"/>
        <w:tblW w:w="514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5"/>
        <w:gridCol w:w="565"/>
        <w:gridCol w:w="563"/>
        <w:gridCol w:w="563"/>
        <w:gridCol w:w="563"/>
        <w:gridCol w:w="563"/>
        <w:gridCol w:w="563"/>
        <w:gridCol w:w="563"/>
        <w:gridCol w:w="563"/>
        <w:gridCol w:w="563"/>
        <w:gridCol w:w="563"/>
        <w:gridCol w:w="563"/>
        <w:gridCol w:w="563"/>
        <w:gridCol w:w="7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3" w:hRule="atLeast"/>
          <w:jc w:val="center"/>
        </w:trPr>
        <w:tc>
          <w:tcPr>
            <w:tcW w:w="722" w:type="pct"/>
            <w:vAlign w:val="center"/>
          </w:tcPr>
          <w:p>
            <w:pPr>
              <w:spacing w:line="360" w:lineRule="exact"/>
              <w:jc w:val="center"/>
              <w:rPr>
                <w:szCs w:val="21"/>
              </w:rPr>
            </w:pPr>
            <w:r>
              <w:rPr>
                <w:szCs w:val="21"/>
              </w:rPr>
              <w:t>月份</w:t>
            </w:r>
          </w:p>
        </w:tc>
        <w:tc>
          <w:tcPr>
            <w:tcW w:w="322" w:type="pct"/>
            <w:vAlign w:val="center"/>
          </w:tcPr>
          <w:p>
            <w:pPr>
              <w:spacing w:line="360" w:lineRule="exact"/>
              <w:jc w:val="center"/>
              <w:rPr>
                <w:szCs w:val="21"/>
              </w:rPr>
            </w:pPr>
            <w:r>
              <w:rPr>
                <w:szCs w:val="21"/>
              </w:rPr>
              <w:t>1</w:t>
            </w:r>
          </w:p>
        </w:tc>
        <w:tc>
          <w:tcPr>
            <w:tcW w:w="321" w:type="pct"/>
            <w:vAlign w:val="center"/>
          </w:tcPr>
          <w:p>
            <w:pPr>
              <w:spacing w:line="360" w:lineRule="exact"/>
              <w:jc w:val="center"/>
              <w:rPr>
                <w:szCs w:val="21"/>
              </w:rPr>
            </w:pPr>
            <w:r>
              <w:rPr>
                <w:szCs w:val="21"/>
              </w:rPr>
              <w:t>2</w:t>
            </w:r>
          </w:p>
        </w:tc>
        <w:tc>
          <w:tcPr>
            <w:tcW w:w="321" w:type="pct"/>
            <w:vAlign w:val="center"/>
          </w:tcPr>
          <w:p>
            <w:pPr>
              <w:spacing w:line="360" w:lineRule="exact"/>
              <w:jc w:val="center"/>
              <w:rPr>
                <w:szCs w:val="21"/>
              </w:rPr>
            </w:pPr>
            <w:r>
              <w:rPr>
                <w:szCs w:val="21"/>
              </w:rPr>
              <w:t>3</w:t>
            </w:r>
          </w:p>
        </w:tc>
        <w:tc>
          <w:tcPr>
            <w:tcW w:w="321" w:type="pct"/>
            <w:vAlign w:val="center"/>
          </w:tcPr>
          <w:p>
            <w:pPr>
              <w:spacing w:line="360" w:lineRule="exact"/>
              <w:jc w:val="center"/>
              <w:rPr>
                <w:szCs w:val="21"/>
              </w:rPr>
            </w:pPr>
            <w:r>
              <w:rPr>
                <w:szCs w:val="21"/>
              </w:rPr>
              <w:t>4</w:t>
            </w:r>
          </w:p>
        </w:tc>
        <w:tc>
          <w:tcPr>
            <w:tcW w:w="321" w:type="pct"/>
            <w:vAlign w:val="center"/>
          </w:tcPr>
          <w:p>
            <w:pPr>
              <w:spacing w:line="360" w:lineRule="exact"/>
              <w:jc w:val="center"/>
              <w:rPr>
                <w:szCs w:val="21"/>
              </w:rPr>
            </w:pPr>
            <w:r>
              <w:rPr>
                <w:szCs w:val="21"/>
              </w:rPr>
              <w:t>5</w:t>
            </w:r>
          </w:p>
        </w:tc>
        <w:tc>
          <w:tcPr>
            <w:tcW w:w="321" w:type="pct"/>
            <w:vAlign w:val="center"/>
          </w:tcPr>
          <w:p>
            <w:pPr>
              <w:spacing w:line="360" w:lineRule="exact"/>
              <w:jc w:val="center"/>
              <w:rPr>
                <w:szCs w:val="21"/>
              </w:rPr>
            </w:pPr>
            <w:r>
              <w:rPr>
                <w:szCs w:val="21"/>
              </w:rPr>
              <w:t>6</w:t>
            </w:r>
          </w:p>
        </w:tc>
        <w:tc>
          <w:tcPr>
            <w:tcW w:w="321" w:type="pct"/>
            <w:vAlign w:val="center"/>
          </w:tcPr>
          <w:p>
            <w:pPr>
              <w:spacing w:line="360" w:lineRule="exact"/>
              <w:jc w:val="center"/>
              <w:rPr>
                <w:szCs w:val="21"/>
              </w:rPr>
            </w:pPr>
            <w:r>
              <w:rPr>
                <w:szCs w:val="21"/>
              </w:rPr>
              <w:t>7</w:t>
            </w:r>
          </w:p>
        </w:tc>
        <w:tc>
          <w:tcPr>
            <w:tcW w:w="321" w:type="pct"/>
            <w:vAlign w:val="center"/>
          </w:tcPr>
          <w:p>
            <w:pPr>
              <w:spacing w:line="360" w:lineRule="exact"/>
              <w:jc w:val="center"/>
              <w:rPr>
                <w:szCs w:val="21"/>
              </w:rPr>
            </w:pPr>
            <w:r>
              <w:rPr>
                <w:szCs w:val="21"/>
              </w:rPr>
              <w:t>8</w:t>
            </w:r>
          </w:p>
        </w:tc>
        <w:tc>
          <w:tcPr>
            <w:tcW w:w="321" w:type="pct"/>
            <w:vAlign w:val="center"/>
          </w:tcPr>
          <w:p>
            <w:pPr>
              <w:spacing w:line="360" w:lineRule="exact"/>
              <w:jc w:val="center"/>
              <w:rPr>
                <w:szCs w:val="21"/>
              </w:rPr>
            </w:pPr>
            <w:r>
              <w:rPr>
                <w:szCs w:val="21"/>
              </w:rPr>
              <w:t>9</w:t>
            </w:r>
          </w:p>
        </w:tc>
        <w:tc>
          <w:tcPr>
            <w:tcW w:w="321" w:type="pct"/>
            <w:vAlign w:val="center"/>
          </w:tcPr>
          <w:p>
            <w:pPr>
              <w:spacing w:line="360" w:lineRule="exact"/>
              <w:jc w:val="center"/>
              <w:rPr>
                <w:szCs w:val="21"/>
              </w:rPr>
            </w:pPr>
            <w:r>
              <w:rPr>
                <w:szCs w:val="21"/>
              </w:rPr>
              <w:t>10</w:t>
            </w:r>
          </w:p>
        </w:tc>
        <w:tc>
          <w:tcPr>
            <w:tcW w:w="321" w:type="pct"/>
            <w:vAlign w:val="center"/>
          </w:tcPr>
          <w:p>
            <w:pPr>
              <w:spacing w:line="360" w:lineRule="exact"/>
              <w:jc w:val="center"/>
              <w:rPr>
                <w:szCs w:val="21"/>
              </w:rPr>
            </w:pPr>
            <w:r>
              <w:rPr>
                <w:szCs w:val="21"/>
              </w:rPr>
              <w:t>11</w:t>
            </w:r>
          </w:p>
        </w:tc>
        <w:tc>
          <w:tcPr>
            <w:tcW w:w="321" w:type="pct"/>
            <w:vAlign w:val="center"/>
          </w:tcPr>
          <w:p>
            <w:pPr>
              <w:spacing w:line="360" w:lineRule="exact"/>
              <w:jc w:val="center"/>
              <w:rPr>
                <w:szCs w:val="21"/>
              </w:rPr>
            </w:pPr>
            <w:r>
              <w:rPr>
                <w:szCs w:val="21"/>
              </w:rPr>
              <w:t>12</w:t>
            </w:r>
          </w:p>
        </w:tc>
        <w:tc>
          <w:tcPr>
            <w:tcW w:w="424" w:type="pct"/>
            <w:vAlign w:val="center"/>
          </w:tcPr>
          <w:p>
            <w:pPr>
              <w:spacing w:line="360" w:lineRule="exact"/>
              <w:jc w:val="center"/>
              <w:rPr>
                <w:szCs w:val="21"/>
              </w:rPr>
            </w:pPr>
            <w:r>
              <w:rPr>
                <w:szCs w:val="21"/>
              </w:rPr>
              <w:t>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3" w:hRule="atLeast"/>
          <w:jc w:val="center"/>
        </w:trPr>
        <w:tc>
          <w:tcPr>
            <w:tcW w:w="722" w:type="pct"/>
            <w:vAlign w:val="center"/>
          </w:tcPr>
          <w:p>
            <w:pPr>
              <w:spacing w:line="360" w:lineRule="exact"/>
              <w:jc w:val="center"/>
              <w:rPr>
                <w:szCs w:val="21"/>
              </w:rPr>
            </w:pPr>
            <w:r>
              <w:rPr>
                <w:szCs w:val="21"/>
              </w:rPr>
              <w:t>风速(m/s)</w:t>
            </w:r>
          </w:p>
        </w:tc>
        <w:tc>
          <w:tcPr>
            <w:tcW w:w="322" w:type="pct"/>
            <w:vAlign w:val="center"/>
          </w:tcPr>
          <w:p>
            <w:pPr>
              <w:spacing w:line="360" w:lineRule="exact"/>
              <w:jc w:val="center"/>
              <w:rPr>
                <w:szCs w:val="21"/>
              </w:rPr>
            </w:pPr>
            <w:r>
              <w:rPr>
                <w:rFonts w:hint="eastAsia"/>
                <w:sz w:val="22"/>
                <w:szCs w:val="22"/>
              </w:rPr>
              <w:t>2.4</w:t>
            </w:r>
          </w:p>
        </w:tc>
        <w:tc>
          <w:tcPr>
            <w:tcW w:w="321" w:type="pct"/>
            <w:vAlign w:val="center"/>
          </w:tcPr>
          <w:p>
            <w:pPr>
              <w:spacing w:line="360" w:lineRule="exact"/>
              <w:jc w:val="center"/>
              <w:rPr>
                <w:szCs w:val="21"/>
              </w:rPr>
            </w:pPr>
            <w:r>
              <w:rPr>
                <w:rFonts w:hint="eastAsia"/>
                <w:sz w:val="22"/>
                <w:szCs w:val="22"/>
              </w:rPr>
              <w:t>2.3</w:t>
            </w:r>
          </w:p>
        </w:tc>
        <w:tc>
          <w:tcPr>
            <w:tcW w:w="321" w:type="pct"/>
            <w:vAlign w:val="center"/>
          </w:tcPr>
          <w:p>
            <w:pPr>
              <w:spacing w:line="360" w:lineRule="exact"/>
              <w:jc w:val="center"/>
              <w:rPr>
                <w:szCs w:val="21"/>
              </w:rPr>
            </w:pPr>
            <w:r>
              <w:rPr>
                <w:rFonts w:hint="eastAsia"/>
                <w:sz w:val="22"/>
                <w:szCs w:val="22"/>
              </w:rPr>
              <w:t>2.5</w:t>
            </w:r>
          </w:p>
        </w:tc>
        <w:tc>
          <w:tcPr>
            <w:tcW w:w="321" w:type="pct"/>
            <w:vAlign w:val="center"/>
          </w:tcPr>
          <w:p>
            <w:pPr>
              <w:spacing w:line="360" w:lineRule="exact"/>
              <w:jc w:val="center"/>
              <w:rPr>
                <w:szCs w:val="21"/>
              </w:rPr>
            </w:pPr>
            <w:r>
              <w:rPr>
                <w:rFonts w:hint="eastAsia"/>
                <w:sz w:val="22"/>
                <w:szCs w:val="22"/>
              </w:rPr>
              <w:t>2.5</w:t>
            </w:r>
          </w:p>
        </w:tc>
        <w:tc>
          <w:tcPr>
            <w:tcW w:w="321" w:type="pct"/>
            <w:vAlign w:val="center"/>
          </w:tcPr>
          <w:p>
            <w:pPr>
              <w:spacing w:line="360" w:lineRule="exact"/>
              <w:jc w:val="center"/>
              <w:rPr>
                <w:szCs w:val="21"/>
              </w:rPr>
            </w:pPr>
            <w:r>
              <w:rPr>
                <w:rFonts w:hint="eastAsia"/>
                <w:sz w:val="22"/>
                <w:szCs w:val="22"/>
              </w:rPr>
              <w:t>2.4</w:t>
            </w:r>
          </w:p>
        </w:tc>
        <w:tc>
          <w:tcPr>
            <w:tcW w:w="321" w:type="pct"/>
            <w:vAlign w:val="center"/>
          </w:tcPr>
          <w:p>
            <w:pPr>
              <w:spacing w:line="360" w:lineRule="exact"/>
              <w:jc w:val="center"/>
              <w:rPr>
                <w:szCs w:val="21"/>
              </w:rPr>
            </w:pPr>
            <w:r>
              <w:rPr>
                <w:rFonts w:hint="eastAsia"/>
                <w:sz w:val="22"/>
                <w:szCs w:val="22"/>
              </w:rPr>
              <w:t>1.9</w:t>
            </w:r>
          </w:p>
        </w:tc>
        <w:tc>
          <w:tcPr>
            <w:tcW w:w="321" w:type="pct"/>
            <w:vAlign w:val="center"/>
          </w:tcPr>
          <w:p>
            <w:pPr>
              <w:spacing w:line="360" w:lineRule="exact"/>
              <w:jc w:val="center"/>
              <w:rPr>
                <w:szCs w:val="21"/>
              </w:rPr>
            </w:pPr>
            <w:r>
              <w:rPr>
                <w:rFonts w:hint="eastAsia"/>
                <w:sz w:val="22"/>
                <w:szCs w:val="22"/>
              </w:rPr>
              <w:t>1.8</w:t>
            </w:r>
          </w:p>
        </w:tc>
        <w:tc>
          <w:tcPr>
            <w:tcW w:w="321" w:type="pct"/>
            <w:vAlign w:val="center"/>
          </w:tcPr>
          <w:p>
            <w:pPr>
              <w:spacing w:line="360" w:lineRule="exact"/>
              <w:jc w:val="center"/>
              <w:rPr>
                <w:szCs w:val="21"/>
              </w:rPr>
            </w:pPr>
            <w:r>
              <w:rPr>
                <w:rFonts w:hint="eastAsia"/>
                <w:sz w:val="22"/>
                <w:szCs w:val="22"/>
              </w:rPr>
              <w:t>1.8</w:t>
            </w:r>
          </w:p>
        </w:tc>
        <w:tc>
          <w:tcPr>
            <w:tcW w:w="321" w:type="pct"/>
            <w:vAlign w:val="center"/>
          </w:tcPr>
          <w:p>
            <w:pPr>
              <w:spacing w:line="360" w:lineRule="exact"/>
              <w:jc w:val="center"/>
              <w:rPr>
                <w:szCs w:val="21"/>
              </w:rPr>
            </w:pPr>
            <w:r>
              <w:rPr>
                <w:rFonts w:hint="eastAsia"/>
                <w:sz w:val="22"/>
                <w:szCs w:val="22"/>
              </w:rPr>
              <w:t>1.9</w:t>
            </w:r>
          </w:p>
        </w:tc>
        <w:tc>
          <w:tcPr>
            <w:tcW w:w="321" w:type="pct"/>
            <w:vAlign w:val="center"/>
          </w:tcPr>
          <w:p>
            <w:pPr>
              <w:spacing w:line="360" w:lineRule="exact"/>
              <w:jc w:val="center"/>
              <w:rPr>
                <w:szCs w:val="21"/>
              </w:rPr>
            </w:pPr>
            <w:r>
              <w:rPr>
                <w:rFonts w:hint="eastAsia"/>
                <w:sz w:val="22"/>
                <w:szCs w:val="22"/>
              </w:rPr>
              <w:t>2.0</w:t>
            </w:r>
          </w:p>
        </w:tc>
        <w:tc>
          <w:tcPr>
            <w:tcW w:w="321" w:type="pct"/>
            <w:vAlign w:val="center"/>
          </w:tcPr>
          <w:p>
            <w:pPr>
              <w:spacing w:line="360" w:lineRule="exact"/>
              <w:jc w:val="center"/>
              <w:rPr>
                <w:szCs w:val="21"/>
              </w:rPr>
            </w:pPr>
            <w:r>
              <w:rPr>
                <w:rFonts w:hint="eastAsia"/>
                <w:sz w:val="22"/>
                <w:szCs w:val="22"/>
              </w:rPr>
              <w:t>2.1</w:t>
            </w:r>
          </w:p>
        </w:tc>
        <w:tc>
          <w:tcPr>
            <w:tcW w:w="321" w:type="pct"/>
            <w:vAlign w:val="center"/>
          </w:tcPr>
          <w:p>
            <w:pPr>
              <w:spacing w:line="360" w:lineRule="exact"/>
              <w:jc w:val="center"/>
              <w:rPr>
                <w:szCs w:val="21"/>
              </w:rPr>
            </w:pPr>
            <w:r>
              <w:rPr>
                <w:rFonts w:hint="eastAsia"/>
                <w:sz w:val="22"/>
                <w:szCs w:val="22"/>
              </w:rPr>
              <w:t>2.4</w:t>
            </w:r>
          </w:p>
        </w:tc>
        <w:tc>
          <w:tcPr>
            <w:tcW w:w="424" w:type="pct"/>
            <w:vAlign w:val="center"/>
          </w:tcPr>
          <w:p>
            <w:pPr>
              <w:spacing w:line="360" w:lineRule="exact"/>
              <w:jc w:val="center"/>
              <w:rPr>
                <w:szCs w:val="21"/>
              </w:rPr>
            </w:pPr>
            <w:r>
              <w:rPr>
                <w:rFonts w:hint="eastAsia"/>
                <w:sz w:val="22"/>
                <w:szCs w:val="22"/>
              </w:rPr>
              <w:t>2.4</w:t>
            </w:r>
          </w:p>
        </w:tc>
      </w:tr>
    </w:tbl>
    <w:p>
      <w:pPr>
        <w:pStyle w:val="76"/>
        <w:adjustRightInd w:val="0"/>
        <w:snapToGrid w:val="0"/>
        <w:spacing w:line="360" w:lineRule="auto"/>
        <w:ind w:firstLine="0" w:firstLineChars="0"/>
        <w:rPr>
          <w:b/>
          <w:sz w:val="24"/>
          <w:szCs w:val="24"/>
        </w:rPr>
      </w:pPr>
    </w:p>
    <w:p>
      <w:pPr>
        <w:pStyle w:val="76"/>
        <w:adjustRightInd w:val="0"/>
        <w:snapToGrid w:val="0"/>
        <w:spacing w:line="360" w:lineRule="auto"/>
        <w:ind w:firstLine="0" w:firstLineChars="0"/>
        <w:rPr>
          <w:b/>
          <w:sz w:val="24"/>
          <w:szCs w:val="24"/>
        </w:rPr>
      </w:pPr>
      <w:r>
        <w:rPr>
          <w:b/>
          <w:sz w:val="24"/>
          <w:szCs w:val="24"/>
        </w:rPr>
        <w:drawing>
          <wp:inline distT="0" distB="0" distL="0" distR="0">
            <wp:extent cx="5228590" cy="2244725"/>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44377" cy="2251758"/>
                    </a:xfrm>
                    <a:prstGeom prst="rect">
                      <a:avLst/>
                    </a:prstGeom>
                    <a:noFill/>
                  </pic:spPr>
                </pic:pic>
              </a:graphicData>
            </a:graphic>
          </wp:inline>
        </w:drawing>
      </w:r>
    </w:p>
    <w:p>
      <w:pPr>
        <w:spacing w:line="440" w:lineRule="exact"/>
        <w:ind w:firstLine="482"/>
        <w:jc w:val="center"/>
        <w:rPr>
          <w:b/>
          <w:sz w:val="24"/>
          <w:szCs w:val="24"/>
        </w:rPr>
      </w:pPr>
      <w:r>
        <w:rPr>
          <w:b/>
          <w:sz w:val="24"/>
          <w:szCs w:val="24"/>
        </w:rPr>
        <w:t>图5.2-2    多年平均风速月变化曲线图</w:t>
      </w:r>
    </w:p>
    <w:p>
      <w:pPr>
        <w:pStyle w:val="76"/>
        <w:adjustRightInd w:val="0"/>
        <w:snapToGrid w:val="0"/>
        <w:spacing w:line="360" w:lineRule="auto"/>
        <w:ind w:firstLine="482"/>
        <w:rPr>
          <w:b/>
          <w:sz w:val="24"/>
          <w:szCs w:val="24"/>
        </w:rPr>
      </w:pPr>
      <w:r>
        <w:rPr>
          <w:b/>
          <w:sz w:val="24"/>
          <w:szCs w:val="24"/>
        </w:rPr>
        <w:t>（3）风速风频</w:t>
      </w:r>
    </w:p>
    <w:p>
      <w:pPr>
        <w:adjustRightInd w:val="0"/>
        <w:snapToGrid w:val="0"/>
        <w:spacing w:line="360" w:lineRule="auto"/>
        <w:ind w:firstLine="480" w:firstLineChars="200"/>
        <w:rPr>
          <w:sz w:val="24"/>
          <w:szCs w:val="24"/>
        </w:rPr>
      </w:pPr>
      <w:r>
        <w:rPr>
          <w:sz w:val="24"/>
          <w:szCs w:val="24"/>
        </w:rPr>
        <w:t>围场县20年平均各风向风频变化情况见表5.2-4和风玫瑰图见图5.2-3。由图可知，评价区域主导风向为</w:t>
      </w:r>
      <w:r>
        <w:rPr>
          <w:rFonts w:hint="eastAsia"/>
          <w:sz w:val="24"/>
          <w:szCs w:val="24"/>
        </w:rPr>
        <w:t>N-NE</w:t>
      </w:r>
      <w:r>
        <w:rPr>
          <w:sz w:val="24"/>
          <w:szCs w:val="24"/>
        </w:rPr>
        <w:t>。</w:t>
      </w:r>
    </w:p>
    <w:p>
      <w:pPr>
        <w:spacing w:line="440" w:lineRule="exact"/>
        <w:jc w:val="center"/>
        <w:rPr>
          <w:b/>
          <w:sz w:val="24"/>
        </w:rPr>
      </w:pPr>
      <w:r>
        <w:rPr>
          <w:b/>
          <w:sz w:val="24"/>
        </w:rPr>
        <w:t>表5.2-4   年均风频的季变化及年均风频  单位：%</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509"/>
        <w:gridCol w:w="429"/>
        <w:gridCol w:w="519"/>
        <w:gridCol w:w="379"/>
        <w:gridCol w:w="498"/>
        <w:gridCol w:w="362"/>
        <w:gridCol w:w="466"/>
        <w:gridCol w:w="362"/>
        <w:gridCol w:w="461"/>
        <w:gridCol w:w="461"/>
        <w:gridCol w:w="522"/>
        <w:gridCol w:w="411"/>
        <w:gridCol w:w="596"/>
        <w:gridCol w:w="423"/>
        <w:gridCol w:w="630"/>
        <w:gridCol w:w="444"/>
        <w:gridCol w:w="586"/>
        <w:gridCol w:w="3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37" w:hRule="atLeast"/>
          <w:jc w:val="center"/>
        </w:trPr>
        <w:tc>
          <w:tcPr>
            <w:tcW w:w="307" w:type="pct"/>
            <w:vAlign w:val="center"/>
          </w:tcPr>
          <w:p>
            <w:pPr>
              <w:widowControl/>
              <w:snapToGrid w:val="0"/>
              <w:contextualSpacing/>
              <w:jc w:val="center"/>
              <w:rPr>
                <w:sz w:val="18"/>
                <w:szCs w:val="18"/>
              </w:rPr>
            </w:pPr>
            <w:r>
              <w:rPr>
                <w:sz w:val="18"/>
                <w:szCs w:val="18"/>
              </w:rPr>
              <w:t>风向</w:t>
            </w:r>
          </w:p>
        </w:tc>
        <w:tc>
          <w:tcPr>
            <w:tcW w:w="219" w:type="pct"/>
            <w:vAlign w:val="center"/>
          </w:tcPr>
          <w:p>
            <w:pPr>
              <w:snapToGrid w:val="0"/>
              <w:contextualSpacing/>
              <w:jc w:val="center"/>
              <w:rPr>
                <w:sz w:val="18"/>
                <w:szCs w:val="18"/>
              </w:rPr>
            </w:pPr>
            <w:r>
              <w:rPr>
                <w:sz w:val="18"/>
                <w:szCs w:val="18"/>
              </w:rPr>
              <w:t>N</w:t>
            </w:r>
          </w:p>
        </w:tc>
        <w:tc>
          <w:tcPr>
            <w:tcW w:w="313" w:type="pct"/>
            <w:vAlign w:val="center"/>
          </w:tcPr>
          <w:p>
            <w:pPr>
              <w:snapToGrid w:val="0"/>
              <w:contextualSpacing/>
              <w:jc w:val="center"/>
              <w:rPr>
                <w:sz w:val="18"/>
                <w:szCs w:val="18"/>
              </w:rPr>
            </w:pPr>
            <w:r>
              <w:rPr>
                <w:sz w:val="18"/>
                <w:szCs w:val="18"/>
              </w:rPr>
              <w:t>NNE</w:t>
            </w:r>
          </w:p>
        </w:tc>
        <w:tc>
          <w:tcPr>
            <w:tcW w:w="229" w:type="pct"/>
            <w:vAlign w:val="center"/>
          </w:tcPr>
          <w:p>
            <w:pPr>
              <w:snapToGrid w:val="0"/>
              <w:contextualSpacing/>
              <w:jc w:val="center"/>
              <w:rPr>
                <w:sz w:val="18"/>
                <w:szCs w:val="18"/>
              </w:rPr>
            </w:pPr>
            <w:r>
              <w:rPr>
                <w:sz w:val="18"/>
                <w:szCs w:val="18"/>
              </w:rPr>
              <w:t>NE</w:t>
            </w:r>
          </w:p>
        </w:tc>
        <w:tc>
          <w:tcPr>
            <w:tcW w:w="300" w:type="pct"/>
            <w:vAlign w:val="center"/>
          </w:tcPr>
          <w:p>
            <w:pPr>
              <w:snapToGrid w:val="0"/>
              <w:contextualSpacing/>
              <w:jc w:val="center"/>
              <w:rPr>
                <w:sz w:val="18"/>
                <w:szCs w:val="18"/>
              </w:rPr>
            </w:pPr>
            <w:r>
              <w:rPr>
                <w:sz w:val="18"/>
                <w:szCs w:val="18"/>
              </w:rPr>
              <w:t>ENE</w:t>
            </w:r>
          </w:p>
        </w:tc>
        <w:tc>
          <w:tcPr>
            <w:tcW w:w="219" w:type="pct"/>
            <w:vAlign w:val="center"/>
          </w:tcPr>
          <w:p>
            <w:pPr>
              <w:snapToGrid w:val="0"/>
              <w:contextualSpacing/>
              <w:jc w:val="center"/>
              <w:rPr>
                <w:sz w:val="18"/>
                <w:szCs w:val="18"/>
              </w:rPr>
            </w:pPr>
            <w:r>
              <w:rPr>
                <w:sz w:val="18"/>
                <w:szCs w:val="18"/>
              </w:rPr>
              <w:t>E</w:t>
            </w:r>
          </w:p>
        </w:tc>
        <w:tc>
          <w:tcPr>
            <w:tcW w:w="281" w:type="pct"/>
            <w:vAlign w:val="center"/>
          </w:tcPr>
          <w:p>
            <w:pPr>
              <w:snapToGrid w:val="0"/>
              <w:contextualSpacing/>
              <w:jc w:val="center"/>
              <w:rPr>
                <w:sz w:val="18"/>
                <w:szCs w:val="18"/>
              </w:rPr>
            </w:pPr>
            <w:r>
              <w:rPr>
                <w:sz w:val="18"/>
                <w:szCs w:val="18"/>
              </w:rPr>
              <w:t>ESE</w:t>
            </w:r>
          </w:p>
        </w:tc>
        <w:tc>
          <w:tcPr>
            <w:tcW w:w="219" w:type="pct"/>
            <w:vAlign w:val="center"/>
          </w:tcPr>
          <w:p>
            <w:pPr>
              <w:snapToGrid w:val="0"/>
              <w:contextualSpacing/>
              <w:jc w:val="center"/>
              <w:rPr>
                <w:sz w:val="18"/>
                <w:szCs w:val="18"/>
              </w:rPr>
            </w:pPr>
            <w:r>
              <w:rPr>
                <w:sz w:val="18"/>
                <w:szCs w:val="18"/>
              </w:rPr>
              <w:t>SE</w:t>
            </w:r>
          </w:p>
        </w:tc>
        <w:tc>
          <w:tcPr>
            <w:tcW w:w="278" w:type="pct"/>
            <w:vAlign w:val="center"/>
          </w:tcPr>
          <w:p>
            <w:pPr>
              <w:snapToGrid w:val="0"/>
              <w:contextualSpacing/>
              <w:jc w:val="center"/>
              <w:rPr>
                <w:sz w:val="18"/>
                <w:szCs w:val="18"/>
              </w:rPr>
            </w:pPr>
            <w:r>
              <w:rPr>
                <w:sz w:val="18"/>
                <w:szCs w:val="18"/>
              </w:rPr>
              <w:t>SSE</w:t>
            </w:r>
          </w:p>
        </w:tc>
        <w:tc>
          <w:tcPr>
            <w:tcW w:w="278" w:type="pct"/>
            <w:vAlign w:val="center"/>
          </w:tcPr>
          <w:p>
            <w:pPr>
              <w:snapToGrid w:val="0"/>
              <w:contextualSpacing/>
              <w:jc w:val="center"/>
              <w:rPr>
                <w:sz w:val="18"/>
                <w:szCs w:val="18"/>
              </w:rPr>
            </w:pPr>
            <w:r>
              <w:rPr>
                <w:sz w:val="18"/>
                <w:szCs w:val="18"/>
              </w:rPr>
              <w:t>S</w:t>
            </w:r>
          </w:p>
        </w:tc>
        <w:tc>
          <w:tcPr>
            <w:tcW w:w="314" w:type="pct"/>
            <w:vAlign w:val="center"/>
          </w:tcPr>
          <w:p>
            <w:pPr>
              <w:snapToGrid w:val="0"/>
              <w:contextualSpacing/>
              <w:jc w:val="center"/>
              <w:rPr>
                <w:sz w:val="18"/>
                <w:szCs w:val="18"/>
              </w:rPr>
            </w:pPr>
            <w:r>
              <w:rPr>
                <w:sz w:val="18"/>
                <w:szCs w:val="18"/>
              </w:rPr>
              <w:t>SSW</w:t>
            </w:r>
          </w:p>
        </w:tc>
        <w:tc>
          <w:tcPr>
            <w:tcW w:w="248" w:type="pct"/>
            <w:vAlign w:val="center"/>
          </w:tcPr>
          <w:p>
            <w:pPr>
              <w:snapToGrid w:val="0"/>
              <w:contextualSpacing/>
              <w:jc w:val="center"/>
              <w:rPr>
                <w:sz w:val="18"/>
                <w:szCs w:val="18"/>
              </w:rPr>
            </w:pPr>
            <w:r>
              <w:rPr>
                <w:sz w:val="18"/>
                <w:szCs w:val="18"/>
              </w:rPr>
              <w:t>SW</w:t>
            </w:r>
          </w:p>
        </w:tc>
        <w:tc>
          <w:tcPr>
            <w:tcW w:w="358" w:type="pct"/>
            <w:vAlign w:val="center"/>
          </w:tcPr>
          <w:p>
            <w:pPr>
              <w:snapToGrid w:val="0"/>
              <w:contextualSpacing/>
              <w:jc w:val="center"/>
              <w:rPr>
                <w:sz w:val="18"/>
                <w:szCs w:val="18"/>
              </w:rPr>
            </w:pPr>
            <w:r>
              <w:rPr>
                <w:sz w:val="18"/>
                <w:szCs w:val="18"/>
              </w:rPr>
              <w:t>WSW</w:t>
            </w:r>
          </w:p>
        </w:tc>
        <w:tc>
          <w:tcPr>
            <w:tcW w:w="219" w:type="pct"/>
            <w:vAlign w:val="center"/>
          </w:tcPr>
          <w:p>
            <w:pPr>
              <w:snapToGrid w:val="0"/>
              <w:contextualSpacing/>
              <w:jc w:val="center"/>
              <w:rPr>
                <w:sz w:val="18"/>
                <w:szCs w:val="18"/>
              </w:rPr>
            </w:pPr>
            <w:r>
              <w:rPr>
                <w:sz w:val="18"/>
                <w:szCs w:val="18"/>
              </w:rPr>
              <w:t>W</w:t>
            </w:r>
          </w:p>
        </w:tc>
        <w:tc>
          <w:tcPr>
            <w:tcW w:w="378" w:type="pct"/>
            <w:vAlign w:val="center"/>
          </w:tcPr>
          <w:p>
            <w:pPr>
              <w:snapToGrid w:val="0"/>
              <w:contextualSpacing/>
              <w:jc w:val="center"/>
              <w:rPr>
                <w:sz w:val="18"/>
                <w:szCs w:val="18"/>
              </w:rPr>
            </w:pPr>
            <w:r>
              <w:rPr>
                <w:sz w:val="18"/>
                <w:szCs w:val="18"/>
              </w:rPr>
              <w:t>WNW</w:t>
            </w:r>
          </w:p>
        </w:tc>
        <w:tc>
          <w:tcPr>
            <w:tcW w:w="268" w:type="pct"/>
            <w:vAlign w:val="center"/>
          </w:tcPr>
          <w:p>
            <w:pPr>
              <w:snapToGrid w:val="0"/>
              <w:contextualSpacing/>
              <w:jc w:val="center"/>
              <w:rPr>
                <w:sz w:val="18"/>
                <w:szCs w:val="18"/>
              </w:rPr>
            </w:pPr>
            <w:r>
              <w:rPr>
                <w:sz w:val="18"/>
                <w:szCs w:val="18"/>
              </w:rPr>
              <w:t>NW</w:t>
            </w:r>
          </w:p>
        </w:tc>
        <w:tc>
          <w:tcPr>
            <w:tcW w:w="352" w:type="pct"/>
            <w:vAlign w:val="center"/>
          </w:tcPr>
          <w:p>
            <w:pPr>
              <w:snapToGrid w:val="0"/>
              <w:contextualSpacing/>
              <w:jc w:val="center"/>
              <w:rPr>
                <w:sz w:val="18"/>
                <w:szCs w:val="18"/>
              </w:rPr>
            </w:pPr>
            <w:r>
              <w:rPr>
                <w:sz w:val="18"/>
                <w:szCs w:val="18"/>
              </w:rPr>
              <w:t>NNW</w:t>
            </w:r>
          </w:p>
        </w:tc>
        <w:tc>
          <w:tcPr>
            <w:tcW w:w="219" w:type="pct"/>
            <w:vAlign w:val="center"/>
          </w:tcPr>
          <w:p>
            <w:pPr>
              <w:snapToGrid w:val="0"/>
              <w:contextualSpacing/>
              <w:jc w:val="center"/>
              <w:rPr>
                <w:sz w:val="18"/>
                <w:szCs w:val="18"/>
              </w:rPr>
            </w:pPr>
            <w:r>
              <w:rPr>
                <w:sz w:val="18"/>
                <w:szCs w:val="18"/>
              </w:rPr>
              <w:t>C</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37" w:hRule="atLeast"/>
          <w:jc w:val="center"/>
        </w:trPr>
        <w:tc>
          <w:tcPr>
            <w:tcW w:w="307" w:type="pct"/>
            <w:vAlign w:val="center"/>
          </w:tcPr>
          <w:p>
            <w:pPr>
              <w:snapToGrid w:val="0"/>
              <w:contextualSpacing/>
              <w:jc w:val="center"/>
              <w:rPr>
                <w:sz w:val="18"/>
                <w:szCs w:val="18"/>
              </w:rPr>
            </w:pPr>
            <w:r>
              <w:rPr>
                <w:sz w:val="18"/>
                <w:szCs w:val="18"/>
              </w:rPr>
              <w:t>频率</w:t>
            </w:r>
          </w:p>
        </w:tc>
        <w:tc>
          <w:tcPr>
            <w:tcW w:w="219" w:type="pct"/>
            <w:vAlign w:val="center"/>
          </w:tcPr>
          <w:p>
            <w:pPr>
              <w:snapToGrid w:val="0"/>
              <w:contextualSpacing/>
              <w:jc w:val="center"/>
              <w:rPr>
                <w:sz w:val="18"/>
                <w:szCs w:val="18"/>
              </w:rPr>
            </w:pPr>
            <w:r>
              <w:rPr>
                <w:sz w:val="18"/>
                <w:szCs w:val="18"/>
              </w:rPr>
              <w:t xml:space="preserve">16.7 </w:t>
            </w:r>
          </w:p>
        </w:tc>
        <w:tc>
          <w:tcPr>
            <w:tcW w:w="313" w:type="pct"/>
            <w:vAlign w:val="center"/>
          </w:tcPr>
          <w:p>
            <w:pPr>
              <w:snapToGrid w:val="0"/>
              <w:contextualSpacing/>
              <w:jc w:val="center"/>
              <w:rPr>
                <w:sz w:val="18"/>
                <w:szCs w:val="18"/>
              </w:rPr>
            </w:pPr>
            <w:r>
              <w:rPr>
                <w:sz w:val="18"/>
                <w:szCs w:val="18"/>
              </w:rPr>
              <w:t xml:space="preserve">17.4 </w:t>
            </w:r>
          </w:p>
        </w:tc>
        <w:tc>
          <w:tcPr>
            <w:tcW w:w="229" w:type="pct"/>
            <w:vAlign w:val="center"/>
          </w:tcPr>
          <w:p>
            <w:pPr>
              <w:snapToGrid w:val="0"/>
              <w:contextualSpacing/>
              <w:jc w:val="center"/>
              <w:rPr>
                <w:sz w:val="18"/>
                <w:szCs w:val="18"/>
              </w:rPr>
            </w:pPr>
            <w:r>
              <w:rPr>
                <w:sz w:val="18"/>
                <w:szCs w:val="18"/>
              </w:rPr>
              <w:t xml:space="preserve">8.0 </w:t>
            </w:r>
          </w:p>
        </w:tc>
        <w:tc>
          <w:tcPr>
            <w:tcW w:w="300" w:type="pct"/>
            <w:vAlign w:val="center"/>
          </w:tcPr>
          <w:p>
            <w:pPr>
              <w:snapToGrid w:val="0"/>
              <w:contextualSpacing/>
              <w:jc w:val="center"/>
              <w:rPr>
                <w:sz w:val="18"/>
                <w:szCs w:val="18"/>
              </w:rPr>
            </w:pPr>
            <w:r>
              <w:rPr>
                <w:sz w:val="18"/>
                <w:szCs w:val="18"/>
              </w:rPr>
              <w:t xml:space="preserve">3.3 </w:t>
            </w:r>
          </w:p>
        </w:tc>
        <w:tc>
          <w:tcPr>
            <w:tcW w:w="219" w:type="pct"/>
            <w:vAlign w:val="center"/>
          </w:tcPr>
          <w:p>
            <w:pPr>
              <w:snapToGrid w:val="0"/>
              <w:contextualSpacing/>
              <w:jc w:val="center"/>
              <w:rPr>
                <w:sz w:val="18"/>
                <w:szCs w:val="18"/>
              </w:rPr>
            </w:pPr>
            <w:r>
              <w:rPr>
                <w:sz w:val="18"/>
                <w:szCs w:val="18"/>
              </w:rPr>
              <w:t xml:space="preserve">3.2 </w:t>
            </w:r>
          </w:p>
        </w:tc>
        <w:tc>
          <w:tcPr>
            <w:tcW w:w="281" w:type="pct"/>
            <w:vAlign w:val="center"/>
          </w:tcPr>
          <w:p>
            <w:pPr>
              <w:snapToGrid w:val="0"/>
              <w:contextualSpacing/>
              <w:jc w:val="center"/>
              <w:rPr>
                <w:sz w:val="18"/>
                <w:szCs w:val="18"/>
              </w:rPr>
            </w:pPr>
            <w:r>
              <w:rPr>
                <w:sz w:val="18"/>
                <w:szCs w:val="18"/>
              </w:rPr>
              <w:t xml:space="preserve">1.0 </w:t>
            </w:r>
          </w:p>
        </w:tc>
        <w:tc>
          <w:tcPr>
            <w:tcW w:w="219" w:type="pct"/>
            <w:vAlign w:val="center"/>
          </w:tcPr>
          <w:p>
            <w:pPr>
              <w:snapToGrid w:val="0"/>
              <w:contextualSpacing/>
              <w:jc w:val="center"/>
              <w:rPr>
                <w:sz w:val="18"/>
                <w:szCs w:val="18"/>
              </w:rPr>
            </w:pPr>
            <w:r>
              <w:rPr>
                <w:sz w:val="18"/>
                <w:szCs w:val="18"/>
              </w:rPr>
              <w:t xml:space="preserve">0.8 </w:t>
            </w:r>
          </w:p>
        </w:tc>
        <w:tc>
          <w:tcPr>
            <w:tcW w:w="278" w:type="pct"/>
            <w:vAlign w:val="center"/>
          </w:tcPr>
          <w:p>
            <w:pPr>
              <w:snapToGrid w:val="0"/>
              <w:contextualSpacing/>
              <w:jc w:val="center"/>
              <w:rPr>
                <w:sz w:val="18"/>
                <w:szCs w:val="18"/>
              </w:rPr>
            </w:pPr>
            <w:r>
              <w:rPr>
                <w:sz w:val="18"/>
                <w:szCs w:val="18"/>
              </w:rPr>
              <w:t xml:space="preserve">0.9 </w:t>
            </w:r>
          </w:p>
        </w:tc>
        <w:tc>
          <w:tcPr>
            <w:tcW w:w="278" w:type="pct"/>
            <w:vAlign w:val="center"/>
          </w:tcPr>
          <w:p>
            <w:pPr>
              <w:snapToGrid w:val="0"/>
              <w:contextualSpacing/>
              <w:jc w:val="center"/>
              <w:rPr>
                <w:sz w:val="18"/>
                <w:szCs w:val="18"/>
              </w:rPr>
            </w:pPr>
            <w:r>
              <w:rPr>
                <w:sz w:val="18"/>
                <w:szCs w:val="18"/>
              </w:rPr>
              <w:t xml:space="preserve">3.5 </w:t>
            </w:r>
          </w:p>
        </w:tc>
        <w:tc>
          <w:tcPr>
            <w:tcW w:w="314" w:type="pct"/>
            <w:vAlign w:val="center"/>
          </w:tcPr>
          <w:p>
            <w:pPr>
              <w:snapToGrid w:val="0"/>
              <w:contextualSpacing/>
              <w:jc w:val="center"/>
              <w:rPr>
                <w:sz w:val="18"/>
                <w:szCs w:val="18"/>
              </w:rPr>
            </w:pPr>
            <w:r>
              <w:rPr>
                <w:sz w:val="18"/>
                <w:szCs w:val="18"/>
              </w:rPr>
              <w:t xml:space="preserve">2.9 </w:t>
            </w:r>
          </w:p>
        </w:tc>
        <w:tc>
          <w:tcPr>
            <w:tcW w:w="248" w:type="pct"/>
            <w:vAlign w:val="center"/>
          </w:tcPr>
          <w:p>
            <w:pPr>
              <w:snapToGrid w:val="0"/>
              <w:contextualSpacing/>
              <w:jc w:val="center"/>
              <w:rPr>
                <w:sz w:val="18"/>
                <w:szCs w:val="18"/>
              </w:rPr>
            </w:pPr>
            <w:r>
              <w:rPr>
                <w:sz w:val="18"/>
                <w:szCs w:val="18"/>
              </w:rPr>
              <w:t xml:space="preserve">1.8 </w:t>
            </w:r>
          </w:p>
        </w:tc>
        <w:tc>
          <w:tcPr>
            <w:tcW w:w="358" w:type="pct"/>
            <w:vAlign w:val="center"/>
          </w:tcPr>
          <w:p>
            <w:pPr>
              <w:snapToGrid w:val="0"/>
              <w:contextualSpacing/>
              <w:jc w:val="center"/>
              <w:rPr>
                <w:sz w:val="18"/>
                <w:szCs w:val="18"/>
              </w:rPr>
            </w:pPr>
            <w:r>
              <w:rPr>
                <w:sz w:val="18"/>
                <w:szCs w:val="18"/>
              </w:rPr>
              <w:t xml:space="preserve">2.5 </w:t>
            </w:r>
          </w:p>
        </w:tc>
        <w:tc>
          <w:tcPr>
            <w:tcW w:w="219" w:type="pct"/>
            <w:vAlign w:val="center"/>
          </w:tcPr>
          <w:p>
            <w:pPr>
              <w:snapToGrid w:val="0"/>
              <w:contextualSpacing/>
              <w:jc w:val="center"/>
              <w:rPr>
                <w:sz w:val="18"/>
                <w:szCs w:val="18"/>
              </w:rPr>
            </w:pPr>
            <w:r>
              <w:rPr>
                <w:sz w:val="18"/>
                <w:szCs w:val="18"/>
              </w:rPr>
              <w:t xml:space="preserve">11.0 </w:t>
            </w:r>
          </w:p>
        </w:tc>
        <w:tc>
          <w:tcPr>
            <w:tcW w:w="378" w:type="pct"/>
            <w:vAlign w:val="center"/>
          </w:tcPr>
          <w:p>
            <w:pPr>
              <w:snapToGrid w:val="0"/>
              <w:contextualSpacing/>
              <w:jc w:val="center"/>
              <w:rPr>
                <w:sz w:val="18"/>
                <w:szCs w:val="18"/>
              </w:rPr>
            </w:pPr>
            <w:r>
              <w:rPr>
                <w:sz w:val="18"/>
                <w:szCs w:val="18"/>
              </w:rPr>
              <w:t xml:space="preserve">8.2 </w:t>
            </w:r>
          </w:p>
        </w:tc>
        <w:tc>
          <w:tcPr>
            <w:tcW w:w="268" w:type="pct"/>
            <w:vAlign w:val="center"/>
          </w:tcPr>
          <w:p>
            <w:pPr>
              <w:snapToGrid w:val="0"/>
              <w:contextualSpacing/>
              <w:jc w:val="center"/>
              <w:rPr>
                <w:sz w:val="18"/>
                <w:szCs w:val="18"/>
              </w:rPr>
            </w:pPr>
            <w:r>
              <w:rPr>
                <w:sz w:val="18"/>
                <w:szCs w:val="18"/>
              </w:rPr>
              <w:t xml:space="preserve">9.3 </w:t>
            </w:r>
          </w:p>
        </w:tc>
        <w:tc>
          <w:tcPr>
            <w:tcW w:w="352" w:type="pct"/>
            <w:vAlign w:val="center"/>
          </w:tcPr>
          <w:p>
            <w:pPr>
              <w:snapToGrid w:val="0"/>
              <w:contextualSpacing/>
              <w:jc w:val="center"/>
              <w:rPr>
                <w:sz w:val="18"/>
                <w:szCs w:val="18"/>
              </w:rPr>
            </w:pPr>
            <w:r>
              <w:rPr>
                <w:sz w:val="18"/>
                <w:szCs w:val="18"/>
              </w:rPr>
              <w:t xml:space="preserve">6.5 </w:t>
            </w:r>
          </w:p>
        </w:tc>
        <w:tc>
          <w:tcPr>
            <w:tcW w:w="219" w:type="pct"/>
            <w:vAlign w:val="center"/>
          </w:tcPr>
          <w:p>
            <w:pPr>
              <w:snapToGrid w:val="0"/>
              <w:contextualSpacing/>
              <w:jc w:val="center"/>
              <w:rPr>
                <w:sz w:val="18"/>
                <w:szCs w:val="18"/>
              </w:rPr>
            </w:pPr>
            <w:r>
              <w:rPr>
                <w:sz w:val="18"/>
                <w:szCs w:val="18"/>
              </w:rPr>
              <w:t xml:space="preserve">2.9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37" w:hRule="atLeast"/>
          <w:jc w:val="center"/>
        </w:trPr>
        <w:tc>
          <w:tcPr>
            <w:tcW w:w="307" w:type="pct"/>
            <w:vAlign w:val="center"/>
          </w:tcPr>
          <w:p>
            <w:pPr>
              <w:snapToGrid w:val="0"/>
              <w:contextualSpacing/>
              <w:jc w:val="center"/>
              <w:rPr>
                <w:sz w:val="18"/>
                <w:szCs w:val="18"/>
              </w:rPr>
            </w:pPr>
            <w:r>
              <w:rPr>
                <w:sz w:val="18"/>
                <w:szCs w:val="18"/>
              </w:rPr>
              <w:t>风速</w:t>
            </w:r>
          </w:p>
        </w:tc>
        <w:tc>
          <w:tcPr>
            <w:tcW w:w="219" w:type="pct"/>
            <w:vAlign w:val="center"/>
          </w:tcPr>
          <w:p>
            <w:pPr>
              <w:snapToGrid w:val="0"/>
              <w:contextualSpacing/>
              <w:jc w:val="center"/>
              <w:rPr>
                <w:sz w:val="18"/>
                <w:szCs w:val="18"/>
              </w:rPr>
            </w:pPr>
            <w:r>
              <w:rPr>
                <w:sz w:val="18"/>
                <w:szCs w:val="18"/>
              </w:rPr>
              <w:t>2.6</w:t>
            </w:r>
          </w:p>
        </w:tc>
        <w:tc>
          <w:tcPr>
            <w:tcW w:w="313" w:type="pct"/>
            <w:vAlign w:val="center"/>
          </w:tcPr>
          <w:p>
            <w:pPr>
              <w:snapToGrid w:val="0"/>
              <w:contextualSpacing/>
              <w:jc w:val="center"/>
              <w:rPr>
                <w:sz w:val="18"/>
                <w:szCs w:val="18"/>
              </w:rPr>
            </w:pPr>
            <w:r>
              <w:rPr>
                <w:sz w:val="18"/>
                <w:szCs w:val="18"/>
              </w:rPr>
              <w:t>2.5</w:t>
            </w:r>
          </w:p>
        </w:tc>
        <w:tc>
          <w:tcPr>
            <w:tcW w:w="229" w:type="pct"/>
            <w:vAlign w:val="center"/>
          </w:tcPr>
          <w:p>
            <w:pPr>
              <w:snapToGrid w:val="0"/>
              <w:contextualSpacing/>
              <w:jc w:val="center"/>
              <w:rPr>
                <w:sz w:val="18"/>
                <w:szCs w:val="18"/>
              </w:rPr>
            </w:pPr>
            <w:r>
              <w:rPr>
                <w:sz w:val="18"/>
                <w:szCs w:val="18"/>
              </w:rPr>
              <w:t>2.5</w:t>
            </w:r>
          </w:p>
        </w:tc>
        <w:tc>
          <w:tcPr>
            <w:tcW w:w="300" w:type="pct"/>
            <w:vAlign w:val="center"/>
          </w:tcPr>
          <w:p>
            <w:pPr>
              <w:snapToGrid w:val="0"/>
              <w:contextualSpacing/>
              <w:jc w:val="center"/>
              <w:rPr>
                <w:sz w:val="18"/>
                <w:szCs w:val="18"/>
              </w:rPr>
            </w:pPr>
            <w:r>
              <w:rPr>
                <w:sz w:val="18"/>
                <w:szCs w:val="18"/>
              </w:rPr>
              <w:t>2.3</w:t>
            </w:r>
          </w:p>
        </w:tc>
        <w:tc>
          <w:tcPr>
            <w:tcW w:w="219" w:type="pct"/>
            <w:vAlign w:val="center"/>
          </w:tcPr>
          <w:p>
            <w:pPr>
              <w:snapToGrid w:val="0"/>
              <w:contextualSpacing/>
              <w:jc w:val="center"/>
              <w:rPr>
                <w:sz w:val="18"/>
                <w:szCs w:val="18"/>
              </w:rPr>
            </w:pPr>
            <w:r>
              <w:rPr>
                <w:sz w:val="18"/>
                <w:szCs w:val="18"/>
              </w:rPr>
              <w:t>2.0</w:t>
            </w:r>
          </w:p>
        </w:tc>
        <w:tc>
          <w:tcPr>
            <w:tcW w:w="281" w:type="pct"/>
            <w:vAlign w:val="center"/>
          </w:tcPr>
          <w:p>
            <w:pPr>
              <w:snapToGrid w:val="0"/>
              <w:contextualSpacing/>
              <w:jc w:val="center"/>
              <w:rPr>
                <w:sz w:val="18"/>
                <w:szCs w:val="18"/>
              </w:rPr>
            </w:pPr>
            <w:r>
              <w:rPr>
                <w:sz w:val="18"/>
                <w:szCs w:val="18"/>
              </w:rPr>
              <w:t>1.9</w:t>
            </w:r>
          </w:p>
        </w:tc>
        <w:tc>
          <w:tcPr>
            <w:tcW w:w="219" w:type="pct"/>
            <w:vAlign w:val="center"/>
          </w:tcPr>
          <w:p>
            <w:pPr>
              <w:snapToGrid w:val="0"/>
              <w:contextualSpacing/>
              <w:jc w:val="center"/>
              <w:rPr>
                <w:sz w:val="18"/>
                <w:szCs w:val="18"/>
              </w:rPr>
            </w:pPr>
            <w:r>
              <w:rPr>
                <w:sz w:val="18"/>
                <w:szCs w:val="18"/>
              </w:rPr>
              <w:t>2.0</w:t>
            </w:r>
          </w:p>
        </w:tc>
        <w:tc>
          <w:tcPr>
            <w:tcW w:w="278" w:type="pct"/>
            <w:vAlign w:val="center"/>
          </w:tcPr>
          <w:p>
            <w:pPr>
              <w:snapToGrid w:val="0"/>
              <w:contextualSpacing/>
              <w:jc w:val="center"/>
              <w:rPr>
                <w:sz w:val="18"/>
                <w:szCs w:val="18"/>
              </w:rPr>
            </w:pPr>
            <w:r>
              <w:rPr>
                <w:sz w:val="18"/>
                <w:szCs w:val="18"/>
              </w:rPr>
              <w:t>2.6</w:t>
            </w:r>
          </w:p>
        </w:tc>
        <w:tc>
          <w:tcPr>
            <w:tcW w:w="278" w:type="pct"/>
            <w:vAlign w:val="center"/>
          </w:tcPr>
          <w:p>
            <w:pPr>
              <w:snapToGrid w:val="0"/>
              <w:contextualSpacing/>
              <w:jc w:val="center"/>
              <w:rPr>
                <w:sz w:val="18"/>
                <w:szCs w:val="18"/>
              </w:rPr>
            </w:pPr>
            <w:r>
              <w:rPr>
                <w:sz w:val="18"/>
                <w:szCs w:val="18"/>
              </w:rPr>
              <w:t>3.4</w:t>
            </w:r>
          </w:p>
        </w:tc>
        <w:tc>
          <w:tcPr>
            <w:tcW w:w="314" w:type="pct"/>
            <w:vAlign w:val="center"/>
          </w:tcPr>
          <w:p>
            <w:pPr>
              <w:snapToGrid w:val="0"/>
              <w:contextualSpacing/>
              <w:jc w:val="center"/>
              <w:rPr>
                <w:sz w:val="18"/>
                <w:szCs w:val="18"/>
              </w:rPr>
            </w:pPr>
            <w:r>
              <w:rPr>
                <w:sz w:val="18"/>
                <w:szCs w:val="18"/>
              </w:rPr>
              <w:t>3.1</w:t>
            </w:r>
          </w:p>
        </w:tc>
        <w:tc>
          <w:tcPr>
            <w:tcW w:w="248" w:type="pct"/>
            <w:vAlign w:val="center"/>
          </w:tcPr>
          <w:p>
            <w:pPr>
              <w:snapToGrid w:val="0"/>
              <w:contextualSpacing/>
              <w:jc w:val="center"/>
              <w:rPr>
                <w:sz w:val="18"/>
                <w:szCs w:val="18"/>
              </w:rPr>
            </w:pPr>
            <w:r>
              <w:rPr>
                <w:sz w:val="18"/>
                <w:szCs w:val="18"/>
              </w:rPr>
              <w:t>2.1</w:t>
            </w:r>
          </w:p>
        </w:tc>
        <w:tc>
          <w:tcPr>
            <w:tcW w:w="358" w:type="pct"/>
            <w:vAlign w:val="center"/>
          </w:tcPr>
          <w:p>
            <w:pPr>
              <w:snapToGrid w:val="0"/>
              <w:contextualSpacing/>
              <w:jc w:val="center"/>
              <w:rPr>
                <w:sz w:val="18"/>
                <w:szCs w:val="18"/>
              </w:rPr>
            </w:pPr>
            <w:r>
              <w:rPr>
                <w:sz w:val="18"/>
                <w:szCs w:val="18"/>
              </w:rPr>
              <w:t>1.6</w:t>
            </w:r>
          </w:p>
        </w:tc>
        <w:tc>
          <w:tcPr>
            <w:tcW w:w="219" w:type="pct"/>
            <w:vAlign w:val="center"/>
          </w:tcPr>
          <w:p>
            <w:pPr>
              <w:snapToGrid w:val="0"/>
              <w:contextualSpacing/>
              <w:jc w:val="center"/>
              <w:rPr>
                <w:sz w:val="18"/>
                <w:szCs w:val="18"/>
              </w:rPr>
            </w:pPr>
            <w:r>
              <w:rPr>
                <w:sz w:val="18"/>
                <w:szCs w:val="18"/>
              </w:rPr>
              <w:t>1.5</w:t>
            </w:r>
          </w:p>
        </w:tc>
        <w:tc>
          <w:tcPr>
            <w:tcW w:w="378" w:type="pct"/>
            <w:vAlign w:val="center"/>
          </w:tcPr>
          <w:p>
            <w:pPr>
              <w:snapToGrid w:val="0"/>
              <w:contextualSpacing/>
              <w:jc w:val="center"/>
              <w:rPr>
                <w:sz w:val="18"/>
                <w:szCs w:val="18"/>
              </w:rPr>
            </w:pPr>
            <w:r>
              <w:rPr>
                <w:sz w:val="18"/>
                <w:szCs w:val="18"/>
              </w:rPr>
              <w:t>1.7</w:t>
            </w:r>
          </w:p>
        </w:tc>
        <w:tc>
          <w:tcPr>
            <w:tcW w:w="268" w:type="pct"/>
            <w:vAlign w:val="center"/>
          </w:tcPr>
          <w:p>
            <w:pPr>
              <w:snapToGrid w:val="0"/>
              <w:contextualSpacing/>
              <w:jc w:val="center"/>
              <w:rPr>
                <w:sz w:val="18"/>
                <w:szCs w:val="18"/>
              </w:rPr>
            </w:pPr>
            <w:r>
              <w:rPr>
                <w:sz w:val="18"/>
                <w:szCs w:val="18"/>
              </w:rPr>
              <w:t>2.0</w:t>
            </w:r>
          </w:p>
        </w:tc>
        <w:tc>
          <w:tcPr>
            <w:tcW w:w="352" w:type="pct"/>
            <w:vAlign w:val="center"/>
          </w:tcPr>
          <w:p>
            <w:pPr>
              <w:snapToGrid w:val="0"/>
              <w:contextualSpacing/>
              <w:jc w:val="center"/>
              <w:rPr>
                <w:sz w:val="18"/>
                <w:szCs w:val="18"/>
              </w:rPr>
            </w:pPr>
            <w:r>
              <w:rPr>
                <w:sz w:val="18"/>
                <w:szCs w:val="18"/>
              </w:rPr>
              <w:t>2.5</w:t>
            </w:r>
          </w:p>
        </w:tc>
        <w:tc>
          <w:tcPr>
            <w:tcW w:w="219" w:type="pct"/>
            <w:vAlign w:val="center"/>
          </w:tcPr>
          <w:p>
            <w:pPr>
              <w:snapToGrid w:val="0"/>
              <w:contextualSpacing/>
              <w:jc w:val="center"/>
              <w:rPr>
                <w:sz w:val="18"/>
                <w:szCs w:val="18"/>
              </w:rPr>
            </w:pPr>
            <w:r>
              <w:rPr>
                <w:sz w:val="18"/>
                <w:szCs w:val="18"/>
              </w:rPr>
              <w:t>-</w:t>
            </w:r>
          </w:p>
        </w:tc>
      </w:tr>
    </w:tbl>
    <w:p/>
    <w:p>
      <w:pPr>
        <w:widowControl/>
        <w:jc w:val="center"/>
      </w:pPr>
      <w:r>
        <w:drawing>
          <wp:inline distT="0" distB="0" distL="0" distR="0">
            <wp:extent cx="3765550" cy="195135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5">
                      <a:extLst>
                        <a:ext uri="{28A0092B-C50C-407E-A947-70E740481C1C}">
                          <a14:useLocalDpi xmlns:a14="http://schemas.microsoft.com/office/drawing/2010/main" val="0"/>
                        </a:ext>
                      </a:extLst>
                    </a:blip>
                    <a:srcRect l="13718" t="3397" r="14841" b="50321"/>
                    <a:stretch>
                      <a:fillRect/>
                    </a:stretch>
                  </pic:blipFill>
                  <pic:spPr>
                    <a:xfrm>
                      <a:off x="0" y="0"/>
                      <a:ext cx="3768017" cy="1952893"/>
                    </a:xfrm>
                    <a:prstGeom prst="rect">
                      <a:avLst/>
                    </a:prstGeom>
                    <a:noFill/>
                    <a:ln>
                      <a:noFill/>
                    </a:ln>
                  </pic:spPr>
                </pic:pic>
              </a:graphicData>
            </a:graphic>
          </wp:inline>
        </w:drawing>
      </w:r>
    </w:p>
    <w:p>
      <w:pPr>
        <w:spacing w:line="440" w:lineRule="exact"/>
        <w:jc w:val="center"/>
        <w:rPr>
          <w:b/>
          <w:sz w:val="24"/>
          <w:szCs w:val="24"/>
        </w:rPr>
      </w:pPr>
      <w:r>
        <w:rPr>
          <w:b/>
          <w:sz w:val="24"/>
          <w:szCs w:val="24"/>
        </w:rPr>
        <w:t>图5.2-3   多年均风频图</w:t>
      </w:r>
    </w:p>
    <w:p>
      <w:pPr>
        <w:pStyle w:val="62"/>
        <w:numPr>
          <w:ilvl w:val="3"/>
          <w:numId w:val="5"/>
        </w:numPr>
        <w:tabs>
          <w:tab w:val="left" w:pos="851"/>
          <w:tab w:val="clear" w:pos="1021"/>
        </w:tabs>
        <w:spacing w:before="156" w:after="156"/>
        <w:outlineLvl w:val="3"/>
        <w:rPr>
          <w:rFonts w:ascii="Times New Roman" w:hAnsi="Times New Roman"/>
        </w:rPr>
      </w:pPr>
      <w:r>
        <w:rPr>
          <w:rFonts w:ascii="Times New Roman" w:hAnsi="Times New Roman"/>
        </w:rPr>
        <w:t>2019年常规地面气象参数统计分析</w:t>
      </w:r>
    </w:p>
    <w:p>
      <w:pPr>
        <w:spacing w:line="360" w:lineRule="auto"/>
        <w:ind w:firstLine="480" w:firstLineChars="200"/>
        <w:rPr>
          <w:sz w:val="24"/>
          <w:szCs w:val="24"/>
        </w:rPr>
      </w:pPr>
      <w:r>
        <w:rPr>
          <w:sz w:val="24"/>
          <w:szCs w:val="24"/>
        </w:rPr>
        <w:t>本次评价所用地面逐日逐时气象数据和高空模拟气象数据均来源于生态环境部环境工程评估中心、国家环境保护环境影响评价数值模拟重点实验室的环境空气质量模型技术支持服务系统提供的2019年统计数据。气象站点位围场站，站点编号54311，坐标为经度117.766°，纬度41.961°。</w:t>
      </w:r>
    </w:p>
    <w:p>
      <w:pPr>
        <w:spacing w:line="360" w:lineRule="auto"/>
        <w:ind w:firstLine="482" w:firstLineChars="200"/>
        <w:rPr>
          <w:b/>
          <w:sz w:val="24"/>
          <w:szCs w:val="24"/>
        </w:rPr>
      </w:pPr>
      <w:r>
        <w:rPr>
          <w:b/>
          <w:sz w:val="24"/>
          <w:szCs w:val="24"/>
        </w:rPr>
        <w:t>（1）温度</w:t>
      </w:r>
    </w:p>
    <w:p>
      <w:pPr>
        <w:spacing w:before="78" w:beforeLines="25" w:after="78" w:afterLines="25" w:line="360" w:lineRule="auto"/>
        <w:ind w:firstLine="480"/>
        <w:rPr>
          <w:sz w:val="24"/>
          <w:szCs w:val="24"/>
        </w:rPr>
      </w:pPr>
      <w:r>
        <w:rPr>
          <w:sz w:val="24"/>
          <w:szCs w:val="24"/>
        </w:rPr>
        <w:t>围场县2019年各月平均气温变化情况见表5.2-5，各月平均气温变化曲线图 见图5.2-4。由表可知，2019</w:t>
      </w:r>
      <w:r>
        <w:rPr>
          <w:rFonts w:hint="eastAsia"/>
          <w:sz w:val="24"/>
          <w:szCs w:val="24"/>
        </w:rPr>
        <w:t>年</w:t>
      </w:r>
      <w:r>
        <w:rPr>
          <w:sz w:val="24"/>
          <w:szCs w:val="24"/>
        </w:rPr>
        <w:t>全年平均气温为5.6</w:t>
      </w:r>
      <w:r>
        <w:rPr>
          <w:rFonts w:hint="eastAsia"/>
          <w:sz w:val="24"/>
          <w:szCs w:val="24"/>
        </w:rPr>
        <w:t>℃</w:t>
      </w:r>
      <w:r>
        <w:rPr>
          <w:sz w:val="24"/>
          <w:szCs w:val="24"/>
        </w:rPr>
        <w:t>，全年气温变化不大，其中7月温度最高，平均为21.1</w:t>
      </w:r>
      <w:r>
        <w:rPr>
          <w:rFonts w:hint="eastAsia"/>
          <w:sz w:val="24"/>
          <w:szCs w:val="24"/>
        </w:rPr>
        <w:t>℃</w:t>
      </w:r>
      <w:r>
        <w:rPr>
          <w:sz w:val="24"/>
          <w:szCs w:val="24"/>
        </w:rPr>
        <w:t>，12月温度最低，平均为-11.5</w:t>
      </w:r>
      <w:r>
        <w:rPr>
          <w:rFonts w:hint="eastAsia"/>
          <w:sz w:val="24"/>
          <w:szCs w:val="24"/>
        </w:rPr>
        <w:t>℃</w:t>
      </w:r>
      <w:r>
        <w:rPr>
          <w:sz w:val="24"/>
          <w:szCs w:val="24"/>
        </w:rPr>
        <w:t>。</w:t>
      </w:r>
    </w:p>
    <w:p>
      <w:pPr>
        <w:jc w:val="center"/>
        <w:rPr>
          <w:b/>
          <w:bCs/>
          <w:sz w:val="24"/>
          <w:szCs w:val="24"/>
        </w:rPr>
      </w:pPr>
      <w:r>
        <w:rPr>
          <w:b/>
          <w:bCs/>
          <w:sz w:val="24"/>
          <w:szCs w:val="24"/>
        </w:rPr>
        <w:t>表5.2-5  围场县年平均温度的月变化统计表单位：</w:t>
      </w:r>
      <w:r>
        <w:rPr>
          <w:rFonts w:hint="eastAsia" w:ascii="宋体" w:hAnsi="宋体" w:cs="宋体"/>
          <w:b/>
          <w:bCs/>
          <w:sz w:val="24"/>
          <w:szCs w:val="24"/>
        </w:rPr>
        <w:t>℃</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13"/>
        <w:gridCol w:w="666"/>
        <w:gridCol w:w="576"/>
        <w:gridCol w:w="601"/>
        <w:gridCol w:w="602"/>
        <w:gridCol w:w="602"/>
        <w:gridCol w:w="602"/>
        <w:gridCol w:w="593"/>
        <w:gridCol w:w="602"/>
        <w:gridCol w:w="602"/>
        <w:gridCol w:w="602"/>
        <w:gridCol w:w="595"/>
        <w:gridCol w:w="666"/>
        <w:gridCol w:w="6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360" w:type="pct"/>
            <w:vAlign w:val="center"/>
          </w:tcPr>
          <w:p>
            <w:pPr>
              <w:jc w:val="center"/>
              <w:rPr>
                <w:sz w:val="18"/>
                <w:szCs w:val="18"/>
              </w:rPr>
            </w:pPr>
            <w:r>
              <w:rPr>
                <w:sz w:val="18"/>
                <w:szCs w:val="18"/>
              </w:rPr>
              <w:t>月份</w:t>
            </w:r>
          </w:p>
        </w:tc>
        <w:tc>
          <w:tcPr>
            <w:tcW w:w="390" w:type="pct"/>
            <w:vAlign w:val="center"/>
          </w:tcPr>
          <w:p>
            <w:pPr>
              <w:jc w:val="center"/>
              <w:rPr>
                <w:sz w:val="18"/>
                <w:szCs w:val="18"/>
              </w:rPr>
            </w:pPr>
            <w:r>
              <w:rPr>
                <w:sz w:val="18"/>
                <w:szCs w:val="18"/>
              </w:rPr>
              <w:t>1月</w:t>
            </w:r>
          </w:p>
        </w:tc>
        <w:tc>
          <w:tcPr>
            <w:tcW w:w="337" w:type="pct"/>
            <w:vAlign w:val="center"/>
          </w:tcPr>
          <w:p>
            <w:pPr>
              <w:jc w:val="center"/>
              <w:rPr>
                <w:sz w:val="18"/>
                <w:szCs w:val="18"/>
              </w:rPr>
            </w:pPr>
            <w:r>
              <w:rPr>
                <w:sz w:val="18"/>
                <w:szCs w:val="18"/>
              </w:rPr>
              <w:t>2月</w:t>
            </w:r>
          </w:p>
        </w:tc>
        <w:tc>
          <w:tcPr>
            <w:tcW w:w="353" w:type="pct"/>
            <w:vAlign w:val="center"/>
          </w:tcPr>
          <w:p>
            <w:pPr>
              <w:jc w:val="center"/>
              <w:rPr>
                <w:sz w:val="18"/>
                <w:szCs w:val="18"/>
              </w:rPr>
            </w:pPr>
            <w:r>
              <w:rPr>
                <w:sz w:val="18"/>
                <w:szCs w:val="18"/>
              </w:rPr>
              <w:t>3月</w:t>
            </w:r>
          </w:p>
        </w:tc>
        <w:tc>
          <w:tcPr>
            <w:tcW w:w="353" w:type="pct"/>
            <w:vAlign w:val="center"/>
          </w:tcPr>
          <w:p>
            <w:pPr>
              <w:jc w:val="center"/>
              <w:rPr>
                <w:sz w:val="18"/>
                <w:szCs w:val="18"/>
              </w:rPr>
            </w:pPr>
            <w:r>
              <w:rPr>
                <w:sz w:val="18"/>
                <w:szCs w:val="18"/>
              </w:rPr>
              <w:t>4月</w:t>
            </w:r>
          </w:p>
        </w:tc>
        <w:tc>
          <w:tcPr>
            <w:tcW w:w="353" w:type="pct"/>
            <w:vAlign w:val="center"/>
          </w:tcPr>
          <w:p>
            <w:pPr>
              <w:jc w:val="center"/>
              <w:rPr>
                <w:sz w:val="18"/>
                <w:szCs w:val="18"/>
              </w:rPr>
            </w:pPr>
            <w:r>
              <w:rPr>
                <w:sz w:val="18"/>
                <w:szCs w:val="18"/>
              </w:rPr>
              <w:t>5月</w:t>
            </w:r>
          </w:p>
        </w:tc>
        <w:tc>
          <w:tcPr>
            <w:tcW w:w="353" w:type="pct"/>
            <w:vAlign w:val="center"/>
          </w:tcPr>
          <w:p>
            <w:pPr>
              <w:jc w:val="center"/>
              <w:rPr>
                <w:sz w:val="18"/>
                <w:szCs w:val="18"/>
              </w:rPr>
            </w:pPr>
            <w:r>
              <w:rPr>
                <w:sz w:val="18"/>
                <w:szCs w:val="18"/>
              </w:rPr>
              <w:t>6月</w:t>
            </w:r>
          </w:p>
        </w:tc>
        <w:tc>
          <w:tcPr>
            <w:tcW w:w="348" w:type="pct"/>
            <w:vAlign w:val="center"/>
          </w:tcPr>
          <w:p>
            <w:pPr>
              <w:jc w:val="center"/>
              <w:rPr>
                <w:sz w:val="18"/>
                <w:szCs w:val="18"/>
              </w:rPr>
            </w:pPr>
            <w:r>
              <w:rPr>
                <w:sz w:val="18"/>
                <w:szCs w:val="18"/>
              </w:rPr>
              <w:t>7月</w:t>
            </w:r>
          </w:p>
        </w:tc>
        <w:tc>
          <w:tcPr>
            <w:tcW w:w="353" w:type="pct"/>
            <w:vAlign w:val="center"/>
          </w:tcPr>
          <w:p>
            <w:pPr>
              <w:jc w:val="center"/>
              <w:rPr>
                <w:sz w:val="18"/>
                <w:szCs w:val="18"/>
              </w:rPr>
            </w:pPr>
            <w:r>
              <w:rPr>
                <w:sz w:val="18"/>
                <w:szCs w:val="18"/>
              </w:rPr>
              <w:t>8月</w:t>
            </w:r>
          </w:p>
        </w:tc>
        <w:tc>
          <w:tcPr>
            <w:tcW w:w="353" w:type="pct"/>
            <w:vAlign w:val="center"/>
          </w:tcPr>
          <w:p>
            <w:pPr>
              <w:jc w:val="center"/>
              <w:rPr>
                <w:sz w:val="18"/>
                <w:szCs w:val="18"/>
              </w:rPr>
            </w:pPr>
            <w:r>
              <w:rPr>
                <w:sz w:val="18"/>
                <w:szCs w:val="18"/>
              </w:rPr>
              <w:t>9月</w:t>
            </w:r>
          </w:p>
        </w:tc>
        <w:tc>
          <w:tcPr>
            <w:tcW w:w="353" w:type="pct"/>
            <w:vAlign w:val="center"/>
          </w:tcPr>
          <w:p>
            <w:pPr>
              <w:jc w:val="center"/>
              <w:rPr>
                <w:sz w:val="18"/>
                <w:szCs w:val="18"/>
              </w:rPr>
            </w:pPr>
            <w:r>
              <w:rPr>
                <w:sz w:val="18"/>
                <w:szCs w:val="18"/>
              </w:rPr>
              <w:t>10月</w:t>
            </w:r>
          </w:p>
        </w:tc>
        <w:tc>
          <w:tcPr>
            <w:tcW w:w="349" w:type="pct"/>
            <w:vAlign w:val="center"/>
          </w:tcPr>
          <w:p>
            <w:pPr>
              <w:jc w:val="center"/>
              <w:rPr>
                <w:sz w:val="18"/>
                <w:szCs w:val="18"/>
              </w:rPr>
            </w:pPr>
            <w:r>
              <w:rPr>
                <w:sz w:val="18"/>
                <w:szCs w:val="18"/>
              </w:rPr>
              <w:t>11月</w:t>
            </w:r>
          </w:p>
        </w:tc>
        <w:tc>
          <w:tcPr>
            <w:tcW w:w="390" w:type="pct"/>
            <w:vAlign w:val="center"/>
          </w:tcPr>
          <w:p>
            <w:pPr>
              <w:jc w:val="center"/>
              <w:rPr>
                <w:sz w:val="18"/>
                <w:szCs w:val="18"/>
              </w:rPr>
            </w:pPr>
            <w:r>
              <w:rPr>
                <w:sz w:val="18"/>
                <w:szCs w:val="18"/>
              </w:rPr>
              <w:t>12月</w:t>
            </w:r>
          </w:p>
        </w:tc>
        <w:tc>
          <w:tcPr>
            <w:tcW w:w="352" w:type="pct"/>
            <w:vAlign w:val="center"/>
          </w:tcPr>
          <w:p>
            <w:pPr>
              <w:jc w:val="center"/>
              <w:rPr>
                <w:sz w:val="18"/>
                <w:szCs w:val="18"/>
              </w:rPr>
            </w:pPr>
            <w:r>
              <w:rPr>
                <w:sz w:val="18"/>
                <w:szCs w:val="18"/>
              </w:rPr>
              <w:t>全年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360" w:type="pct"/>
            <w:vAlign w:val="center"/>
          </w:tcPr>
          <w:p>
            <w:pPr>
              <w:jc w:val="center"/>
              <w:rPr>
                <w:sz w:val="18"/>
                <w:szCs w:val="18"/>
              </w:rPr>
            </w:pPr>
            <w:r>
              <w:rPr>
                <w:sz w:val="18"/>
                <w:szCs w:val="18"/>
              </w:rPr>
              <w:t>温度</w:t>
            </w:r>
          </w:p>
          <w:p>
            <w:pPr>
              <w:jc w:val="center"/>
              <w:rPr>
                <w:sz w:val="18"/>
                <w:szCs w:val="18"/>
              </w:rPr>
            </w:pPr>
            <w:r>
              <w:rPr>
                <w:sz w:val="18"/>
                <w:szCs w:val="18"/>
              </w:rPr>
              <w:t>(°C)</w:t>
            </w:r>
          </w:p>
        </w:tc>
        <w:tc>
          <w:tcPr>
            <w:tcW w:w="390" w:type="pct"/>
            <w:vAlign w:val="center"/>
          </w:tcPr>
          <w:p>
            <w:pPr>
              <w:rPr>
                <w:sz w:val="18"/>
                <w:szCs w:val="18"/>
              </w:rPr>
            </w:pPr>
            <w:r>
              <w:rPr>
                <w:rFonts w:hint="eastAsia" w:ascii="宋体" w:hAnsi="宋体" w:cs="宋体"/>
                <w:sz w:val="18"/>
              </w:rPr>
              <w:t>-10.3</w:t>
            </w:r>
          </w:p>
        </w:tc>
        <w:tc>
          <w:tcPr>
            <w:tcW w:w="337" w:type="pct"/>
            <w:vAlign w:val="center"/>
          </w:tcPr>
          <w:p>
            <w:pPr>
              <w:rPr>
                <w:sz w:val="18"/>
                <w:szCs w:val="18"/>
              </w:rPr>
            </w:pPr>
            <w:r>
              <w:rPr>
                <w:rFonts w:hint="eastAsia" w:ascii="宋体" w:hAnsi="宋体" w:cs="宋体"/>
                <w:sz w:val="18"/>
              </w:rPr>
              <w:t>-9.6</w:t>
            </w:r>
          </w:p>
        </w:tc>
        <w:tc>
          <w:tcPr>
            <w:tcW w:w="353" w:type="pct"/>
            <w:vAlign w:val="center"/>
          </w:tcPr>
          <w:p>
            <w:pPr>
              <w:rPr>
                <w:sz w:val="18"/>
                <w:szCs w:val="18"/>
              </w:rPr>
            </w:pPr>
            <w:r>
              <w:rPr>
                <w:rFonts w:hint="eastAsia" w:ascii="宋体" w:hAnsi="宋体" w:cs="宋体"/>
                <w:sz w:val="18"/>
              </w:rPr>
              <w:t>-0.2</w:t>
            </w:r>
          </w:p>
        </w:tc>
        <w:tc>
          <w:tcPr>
            <w:tcW w:w="353" w:type="pct"/>
            <w:vAlign w:val="center"/>
          </w:tcPr>
          <w:p>
            <w:pPr>
              <w:rPr>
                <w:sz w:val="18"/>
                <w:szCs w:val="18"/>
              </w:rPr>
            </w:pPr>
            <w:r>
              <w:rPr>
                <w:rFonts w:hint="eastAsia" w:ascii="宋体" w:hAnsi="宋体" w:cs="宋体"/>
                <w:sz w:val="18"/>
              </w:rPr>
              <w:t>7.2</w:t>
            </w:r>
          </w:p>
        </w:tc>
        <w:tc>
          <w:tcPr>
            <w:tcW w:w="353" w:type="pct"/>
            <w:vAlign w:val="center"/>
          </w:tcPr>
          <w:p>
            <w:pPr>
              <w:rPr>
                <w:sz w:val="18"/>
                <w:szCs w:val="18"/>
              </w:rPr>
            </w:pPr>
            <w:r>
              <w:rPr>
                <w:rFonts w:hint="eastAsia" w:ascii="宋体" w:hAnsi="宋体" w:cs="宋体"/>
                <w:sz w:val="18"/>
              </w:rPr>
              <w:t>13.9</w:t>
            </w:r>
          </w:p>
        </w:tc>
        <w:tc>
          <w:tcPr>
            <w:tcW w:w="353" w:type="pct"/>
            <w:vAlign w:val="center"/>
          </w:tcPr>
          <w:p>
            <w:pPr>
              <w:rPr>
                <w:sz w:val="18"/>
                <w:szCs w:val="18"/>
              </w:rPr>
            </w:pPr>
            <w:r>
              <w:rPr>
                <w:rFonts w:hint="eastAsia" w:ascii="宋体" w:hAnsi="宋体" w:cs="宋体"/>
                <w:sz w:val="18"/>
              </w:rPr>
              <w:t>18.5</w:t>
            </w:r>
          </w:p>
        </w:tc>
        <w:tc>
          <w:tcPr>
            <w:tcW w:w="348" w:type="pct"/>
            <w:vAlign w:val="center"/>
          </w:tcPr>
          <w:p>
            <w:pPr>
              <w:rPr>
                <w:sz w:val="18"/>
                <w:szCs w:val="18"/>
              </w:rPr>
            </w:pPr>
            <w:r>
              <w:rPr>
                <w:rFonts w:hint="eastAsia" w:ascii="宋体" w:hAnsi="宋体" w:cs="宋体"/>
                <w:sz w:val="18"/>
              </w:rPr>
              <w:t>21.1</w:t>
            </w:r>
          </w:p>
        </w:tc>
        <w:tc>
          <w:tcPr>
            <w:tcW w:w="353" w:type="pct"/>
            <w:vAlign w:val="center"/>
          </w:tcPr>
          <w:p>
            <w:pPr>
              <w:rPr>
                <w:sz w:val="18"/>
                <w:szCs w:val="18"/>
              </w:rPr>
            </w:pPr>
            <w:r>
              <w:rPr>
                <w:rFonts w:hint="eastAsia" w:ascii="宋体" w:hAnsi="宋体" w:cs="宋体"/>
                <w:sz w:val="18"/>
              </w:rPr>
              <w:t>18.4</w:t>
            </w:r>
          </w:p>
        </w:tc>
        <w:tc>
          <w:tcPr>
            <w:tcW w:w="353" w:type="pct"/>
            <w:vAlign w:val="center"/>
          </w:tcPr>
          <w:p>
            <w:pPr>
              <w:rPr>
                <w:sz w:val="18"/>
                <w:szCs w:val="18"/>
              </w:rPr>
            </w:pPr>
            <w:r>
              <w:rPr>
                <w:rFonts w:hint="eastAsia" w:ascii="宋体" w:hAnsi="宋体" w:cs="宋体"/>
                <w:sz w:val="18"/>
              </w:rPr>
              <w:t>15.6</w:t>
            </w:r>
          </w:p>
        </w:tc>
        <w:tc>
          <w:tcPr>
            <w:tcW w:w="353" w:type="pct"/>
            <w:vAlign w:val="center"/>
          </w:tcPr>
          <w:p>
            <w:pPr>
              <w:rPr>
                <w:sz w:val="18"/>
                <w:szCs w:val="18"/>
              </w:rPr>
            </w:pPr>
            <w:r>
              <w:rPr>
                <w:rFonts w:hint="eastAsia" w:ascii="宋体" w:hAnsi="宋体" w:cs="宋体"/>
                <w:sz w:val="18"/>
              </w:rPr>
              <w:t>6.2</w:t>
            </w:r>
          </w:p>
        </w:tc>
        <w:tc>
          <w:tcPr>
            <w:tcW w:w="349" w:type="pct"/>
            <w:vAlign w:val="center"/>
          </w:tcPr>
          <w:p>
            <w:pPr>
              <w:rPr>
                <w:sz w:val="18"/>
                <w:szCs w:val="18"/>
              </w:rPr>
            </w:pPr>
            <w:r>
              <w:rPr>
                <w:rFonts w:hint="eastAsia" w:ascii="宋体" w:hAnsi="宋体" w:cs="宋体"/>
                <w:sz w:val="18"/>
              </w:rPr>
              <w:t>-2.8</w:t>
            </w:r>
          </w:p>
        </w:tc>
        <w:tc>
          <w:tcPr>
            <w:tcW w:w="390" w:type="pct"/>
            <w:vAlign w:val="center"/>
          </w:tcPr>
          <w:p>
            <w:pPr>
              <w:rPr>
                <w:sz w:val="18"/>
                <w:szCs w:val="18"/>
              </w:rPr>
            </w:pPr>
            <w:r>
              <w:rPr>
                <w:rFonts w:hint="eastAsia" w:ascii="宋体" w:hAnsi="宋体" w:cs="宋体"/>
                <w:sz w:val="18"/>
              </w:rPr>
              <w:t>-11.5</w:t>
            </w:r>
          </w:p>
        </w:tc>
        <w:tc>
          <w:tcPr>
            <w:tcW w:w="352" w:type="pct"/>
            <w:vAlign w:val="center"/>
          </w:tcPr>
          <w:p>
            <w:pPr>
              <w:rPr>
                <w:sz w:val="18"/>
                <w:szCs w:val="18"/>
              </w:rPr>
            </w:pPr>
            <w:r>
              <w:rPr>
                <w:sz w:val="18"/>
                <w:szCs w:val="18"/>
              </w:rPr>
              <w:t>5.54</w:t>
            </w:r>
          </w:p>
        </w:tc>
      </w:tr>
    </w:tbl>
    <w:p>
      <w:pPr>
        <w:spacing w:before="78" w:beforeLines="25" w:after="78" w:afterLines="25" w:line="360" w:lineRule="auto"/>
        <w:jc w:val="center"/>
        <w:rPr>
          <w:sz w:val="24"/>
          <w:szCs w:val="24"/>
        </w:rPr>
      </w:pPr>
      <w:r>
        <w:rPr>
          <w:sz w:val="24"/>
          <w:szCs w:val="24"/>
        </w:rPr>
        <w:drawing>
          <wp:inline distT="0" distB="0" distL="0" distR="0">
            <wp:extent cx="5274310" cy="202628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4310" cy="2026356"/>
                    </a:xfrm>
                    <a:prstGeom prst="rect">
                      <a:avLst/>
                    </a:prstGeom>
                    <a:noFill/>
                  </pic:spPr>
                </pic:pic>
              </a:graphicData>
            </a:graphic>
          </wp:inline>
        </w:drawing>
      </w:r>
    </w:p>
    <w:p>
      <w:pPr>
        <w:spacing w:before="78" w:beforeLines="25" w:after="78" w:afterLines="25" w:line="360" w:lineRule="auto"/>
        <w:jc w:val="center"/>
        <w:rPr>
          <w:b/>
          <w:sz w:val="24"/>
          <w:szCs w:val="24"/>
        </w:rPr>
      </w:pPr>
      <w:r>
        <w:rPr>
          <w:b/>
          <w:sz w:val="24"/>
          <w:szCs w:val="24"/>
        </w:rPr>
        <w:t xml:space="preserve">图5.2-4  </w:t>
      </w:r>
      <w:r>
        <w:rPr>
          <w:b/>
          <w:bCs/>
          <w:sz w:val="24"/>
          <w:szCs w:val="24"/>
        </w:rPr>
        <w:t>围场县2019年温度变化图</w:t>
      </w:r>
    </w:p>
    <w:p>
      <w:pPr>
        <w:spacing w:line="360" w:lineRule="auto"/>
        <w:ind w:firstLine="482" w:firstLineChars="200"/>
        <w:rPr>
          <w:b/>
          <w:sz w:val="24"/>
          <w:szCs w:val="24"/>
        </w:rPr>
      </w:pPr>
      <w:r>
        <w:rPr>
          <w:b/>
          <w:sz w:val="24"/>
          <w:szCs w:val="24"/>
        </w:rPr>
        <w:t>（2）风向、风频</w:t>
      </w:r>
    </w:p>
    <w:p>
      <w:pPr>
        <w:spacing w:line="360" w:lineRule="auto"/>
        <w:ind w:firstLine="480" w:firstLineChars="200"/>
        <w:rPr>
          <w:sz w:val="24"/>
          <w:szCs w:val="24"/>
        </w:rPr>
      </w:pPr>
      <w:r>
        <w:rPr>
          <w:sz w:val="24"/>
          <w:szCs w:val="24"/>
        </w:rPr>
        <w:t>根据统计资料，评价区域2019年最大频率风向为NNE，频率18.48%，次最大频率风向为</w:t>
      </w:r>
      <w:r>
        <w:rPr>
          <w:rFonts w:hint="eastAsia"/>
          <w:sz w:val="24"/>
          <w:szCs w:val="24"/>
        </w:rPr>
        <w:t>N</w:t>
      </w:r>
      <w:r>
        <w:rPr>
          <w:sz w:val="24"/>
          <w:szCs w:val="24"/>
        </w:rPr>
        <w:t>，出现频率为14.34%。ESE风出现频率最低，频率为1.76%。各季最大频率风向均为S。连续三个风向角（N-NNE-NE）风频之和为42.02%，大于30%，该区域主导风向明显为N-NNE-NE。项目所在区域年及各月风向频率表见表5.2-6。各月、季度及年风玫瑰图见图5.2-5。</w:t>
      </w:r>
    </w:p>
    <w:p>
      <w:pPr>
        <w:spacing w:line="360" w:lineRule="auto"/>
        <w:rPr>
          <w:sz w:val="24"/>
          <w:szCs w:val="24"/>
        </w:rPr>
        <w:sectPr>
          <w:headerReference r:id="rId19" w:type="default"/>
          <w:pgSz w:w="11906" w:h="16838"/>
          <w:pgMar w:top="1440" w:right="1800" w:bottom="1440" w:left="1800" w:header="851" w:footer="992" w:gutter="0"/>
          <w:cols w:space="720" w:num="1"/>
          <w:docGrid w:type="lines" w:linePitch="312" w:charSpace="0"/>
        </w:sectPr>
      </w:pPr>
    </w:p>
    <w:p>
      <w:pPr>
        <w:spacing w:line="360" w:lineRule="auto"/>
        <w:jc w:val="center"/>
        <w:rPr>
          <w:b/>
          <w:sz w:val="24"/>
          <w:szCs w:val="24"/>
        </w:rPr>
      </w:pPr>
      <w:r>
        <w:rPr>
          <w:b/>
          <w:sz w:val="24"/>
          <w:szCs w:val="24"/>
        </w:rPr>
        <w:t>表5.2-6    围场县2019年全年及四季风向频率表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96"/>
        <w:gridCol w:w="856"/>
        <w:gridCol w:w="856"/>
        <w:gridCol w:w="856"/>
        <w:gridCol w:w="740"/>
        <w:gridCol w:w="856"/>
        <w:gridCol w:w="740"/>
        <w:gridCol w:w="740"/>
        <w:gridCol w:w="740"/>
        <w:gridCol w:w="856"/>
        <w:gridCol w:w="856"/>
        <w:gridCol w:w="740"/>
        <w:gridCol w:w="740"/>
        <w:gridCol w:w="740"/>
        <w:gridCol w:w="740"/>
        <w:gridCol w:w="740"/>
        <w:gridCol w:w="740"/>
        <w:gridCol w:w="8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月份</w:t>
            </w:r>
          </w:p>
        </w:tc>
        <w:tc>
          <w:tcPr>
            <w:tcW w:w="302" w:type="pct"/>
            <w:shd w:val="clear" w:color="auto" w:fill="auto"/>
            <w:noWrap/>
            <w:vAlign w:val="center"/>
          </w:tcPr>
          <w:p>
            <w:pPr>
              <w:widowControl/>
              <w:jc w:val="center"/>
              <w:rPr>
                <w:kern w:val="0"/>
                <w:sz w:val="18"/>
                <w:szCs w:val="18"/>
              </w:rPr>
            </w:pPr>
            <w:r>
              <w:rPr>
                <w:kern w:val="0"/>
                <w:sz w:val="18"/>
                <w:szCs w:val="18"/>
              </w:rPr>
              <w:t>N</w:t>
            </w:r>
          </w:p>
        </w:tc>
        <w:tc>
          <w:tcPr>
            <w:tcW w:w="302" w:type="pct"/>
            <w:shd w:val="clear" w:color="auto" w:fill="auto"/>
            <w:noWrap/>
            <w:vAlign w:val="center"/>
          </w:tcPr>
          <w:p>
            <w:pPr>
              <w:widowControl/>
              <w:jc w:val="center"/>
              <w:rPr>
                <w:kern w:val="0"/>
                <w:sz w:val="18"/>
                <w:szCs w:val="18"/>
              </w:rPr>
            </w:pPr>
            <w:r>
              <w:rPr>
                <w:kern w:val="0"/>
                <w:sz w:val="18"/>
                <w:szCs w:val="18"/>
              </w:rPr>
              <w:t>NNE</w:t>
            </w:r>
          </w:p>
        </w:tc>
        <w:tc>
          <w:tcPr>
            <w:tcW w:w="302" w:type="pct"/>
            <w:shd w:val="clear" w:color="auto" w:fill="auto"/>
            <w:noWrap/>
            <w:vAlign w:val="center"/>
          </w:tcPr>
          <w:p>
            <w:pPr>
              <w:widowControl/>
              <w:jc w:val="center"/>
              <w:rPr>
                <w:kern w:val="0"/>
                <w:sz w:val="18"/>
                <w:szCs w:val="18"/>
              </w:rPr>
            </w:pPr>
            <w:r>
              <w:rPr>
                <w:kern w:val="0"/>
                <w:sz w:val="18"/>
                <w:szCs w:val="18"/>
              </w:rPr>
              <w:t>NE</w:t>
            </w:r>
          </w:p>
        </w:tc>
        <w:tc>
          <w:tcPr>
            <w:tcW w:w="261" w:type="pct"/>
            <w:shd w:val="clear" w:color="auto" w:fill="auto"/>
            <w:noWrap/>
            <w:vAlign w:val="center"/>
          </w:tcPr>
          <w:p>
            <w:pPr>
              <w:widowControl/>
              <w:jc w:val="center"/>
              <w:rPr>
                <w:kern w:val="0"/>
                <w:sz w:val="18"/>
                <w:szCs w:val="18"/>
              </w:rPr>
            </w:pPr>
            <w:r>
              <w:rPr>
                <w:kern w:val="0"/>
                <w:sz w:val="18"/>
                <w:szCs w:val="18"/>
              </w:rPr>
              <w:t>ENE</w:t>
            </w:r>
          </w:p>
        </w:tc>
        <w:tc>
          <w:tcPr>
            <w:tcW w:w="302" w:type="pct"/>
            <w:shd w:val="clear" w:color="auto" w:fill="auto"/>
            <w:noWrap/>
            <w:vAlign w:val="center"/>
          </w:tcPr>
          <w:p>
            <w:pPr>
              <w:widowControl/>
              <w:jc w:val="center"/>
              <w:rPr>
                <w:kern w:val="0"/>
                <w:sz w:val="18"/>
                <w:szCs w:val="18"/>
              </w:rPr>
            </w:pPr>
            <w:r>
              <w:rPr>
                <w:kern w:val="0"/>
                <w:sz w:val="18"/>
                <w:szCs w:val="18"/>
              </w:rPr>
              <w:t>E</w:t>
            </w:r>
          </w:p>
        </w:tc>
        <w:tc>
          <w:tcPr>
            <w:tcW w:w="261" w:type="pct"/>
            <w:shd w:val="clear" w:color="auto" w:fill="auto"/>
            <w:noWrap/>
            <w:vAlign w:val="center"/>
          </w:tcPr>
          <w:p>
            <w:pPr>
              <w:widowControl/>
              <w:jc w:val="center"/>
              <w:rPr>
                <w:kern w:val="0"/>
                <w:sz w:val="18"/>
                <w:szCs w:val="18"/>
              </w:rPr>
            </w:pPr>
            <w:r>
              <w:rPr>
                <w:kern w:val="0"/>
                <w:sz w:val="18"/>
                <w:szCs w:val="18"/>
              </w:rPr>
              <w:t>ESE</w:t>
            </w:r>
          </w:p>
        </w:tc>
        <w:tc>
          <w:tcPr>
            <w:tcW w:w="261" w:type="pct"/>
            <w:shd w:val="clear" w:color="auto" w:fill="auto"/>
            <w:noWrap/>
            <w:vAlign w:val="center"/>
          </w:tcPr>
          <w:p>
            <w:pPr>
              <w:widowControl/>
              <w:jc w:val="center"/>
              <w:rPr>
                <w:kern w:val="0"/>
                <w:sz w:val="18"/>
                <w:szCs w:val="18"/>
              </w:rPr>
            </w:pPr>
            <w:r>
              <w:rPr>
                <w:kern w:val="0"/>
                <w:sz w:val="18"/>
                <w:szCs w:val="18"/>
              </w:rPr>
              <w:t>SE</w:t>
            </w:r>
          </w:p>
        </w:tc>
        <w:tc>
          <w:tcPr>
            <w:tcW w:w="261" w:type="pct"/>
            <w:shd w:val="clear" w:color="auto" w:fill="auto"/>
            <w:noWrap/>
            <w:vAlign w:val="center"/>
          </w:tcPr>
          <w:p>
            <w:pPr>
              <w:widowControl/>
              <w:jc w:val="center"/>
              <w:rPr>
                <w:kern w:val="0"/>
                <w:sz w:val="18"/>
                <w:szCs w:val="18"/>
              </w:rPr>
            </w:pPr>
            <w:r>
              <w:rPr>
                <w:kern w:val="0"/>
                <w:sz w:val="18"/>
                <w:szCs w:val="18"/>
              </w:rPr>
              <w:t>SSE</w:t>
            </w:r>
          </w:p>
        </w:tc>
        <w:tc>
          <w:tcPr>
            <w:tcW w:w="302" w:type="pct"/>
            <w:shd w:val="clear" w:color="auto" w:fill="auto"/>
            <w:noWrap/>
            <w:vAlign w:val="center"/>
          </w:tcPr>
          <w:p>
            <w:pPr>
              <w:widowControl/>
              <w:jc w:val="center"/>
              <w:rPr>
                <w:kern w:val="0"/>
                <w:sz w:val="18"/>
                <w:szCs w:val="18"/>
              </w:rPr>
            </w:pPr>
            <w:r>
              <w:rPr>
                <w:kern w:val="0"/>
                <w:sz w:val="18"/>
                <w:szCs w:val="18"/>
              </w:rPr>
              <w:t>S</w:t>
            </w:r>
          </w:p>
        </w:tc>
        <w:tc>
          <w:tcPr>
            <w:tcW w:w="302" w:type="pct"/>
            <w:shd w:val="clear" w:color="auto" w:fill="auto"/>
            <w:noWrap/>
            <w:vAlign w:val="center"/>
          </w:tcPr>
          <w:p>
            <w:pPr>
              <w:widowControl/>
              <w:jc w:val="center"/>
              <w:rPr>
                <w:kern w:val="0"/>
                <w:sz w:val="18"/>
                <w:szCs w:val="18"/>
              </w:rPr>
            </w:pPr>
            <w:r>
              <w:rPr>
                <w:kern w:val="0"/>
                <w:sz w:val="18"/>
                <w:szCs w:val="18"/>
              </w:rPr>
              <w:t>SSW</w:t>
            </w:r>
          </w:p>
        </w:tc>
        <w:tc>
          <w:tcPr>
            <w:tcW w:w="261" w:type="pct"/>
            <w:shd w:val="clear" w:color="auto" w:fill="auto"/>
            <w:noWrap/>
            <w:vAlign w:val="center"/>
          </w:tcPr>
          <w:p>
            <w:pPr>
              <w:widowControl/>
              <w:jc w:val="center"/>
              <w:rPr>
                <w:kern w:val="0"/>
                <w:sz w:val="18"/>
                <w:szCs w:val="18"/>
              </w:rPr>
            </w:pPr>
            <w:r>
              <w:rPr>
                <w:kern w:val="0"/>
                <w:sz w:val="18"/>
                <w:szCs w:val="18"/>
              </w:rPr>
              <w:t>SW</w:t>
            </w:r>
          </w:p>
        </w:tc>
        <w:tc>
          <w:tcPr>
            <w:tcW w:w="261" w:type="pct"/>
            <w:shd w:val="clear" w:color="auto" w:fill="auto"/>
            <w:noWrap/>
            <w:vAlign w:val="center"/>
          </w:tcPr>
          <w:p>
            <w:pPr>
              <w:widowControl/>
              <w:jc w:val="center"/>
              <w:rPr>
                <w:kern w:val="0"/>
                <w:sz w:val="18"/>
                <w:szCs w:val="18"/>
              </w:rPr>
            </w:pPr>
            <w:r>
              <w:rPr>
                <w:kern w:val="0"/>
                <w:sz w:val="18"/>
                <w:szCs w:val="18"/>
              </w:rPr>
              <w:t>WSW</w:t>
            </w:r>
          </w:p>
        </w:tc>
        <w:tc>
          <w:tcPr>
            <w:tcW w:w="261" w:type="pct"/>
            <w:shd w:val="clear" w:color="auto" w:fill="auto"/>
            <w:noWrap/>
            <w:vAlign w:val="center"/>
          </w:tcPr>
          <w:p>
            <w:pPr>
              <w:widowControl/>
              <w:jc w:val="center"/>
              <w:rPr>
                <w:kern w:val="0"/>
                <w:sz w:val="18"/>
                <w:szCs w:val="18"/>
              </w:rPr>
            </w:pPr>
            <w:r>
              <w:rPr>
                <w:kern w:val="0"/>
                <w:sz w:val="18"/>
                <w:szCs w:val="18"/>
              </w:rPr>
              <w:t>W</w:t>
            </w:r>
          </w:p>
        </w:tc>
        <w:tc>
          <w:tcPr>
            <w:tcW w:w="261" w:type="pct"/>
            <w:shd w:val="clear" w:color="auto" w:fill="auto"/>
            <w:noWrap/>
            <w:vAlign w:val="center"/>
          </w:tcPr>
          <w:p>
            <w:pPr>
              <w:widowControl/>
              <w:jc w:val="center"/>
              <w:rPr>
                <w:kern w:val="0"/>
                <w:sz w:val="18"/>
                <w:szCs w:val="18"/>
              </w:rPr>
            </w:pPr>
            <w:r>
              <w:rPr>
                <w:kern w:val="0"/>
                <w:sz w:val="18"/>
                <w:szCs w:val="18"/>
              </w:rPr>
              <w:t>WNW</w:t>
            </w:r>
          </w:p>
        </w:tc>
        <w:tc>
          <w:tcPr>
            <w:tcW w:w="261" w:type="pct"/>
            <w:shd w:val="clear" w:color="auto" w:fill="auto"/>
            <w:noWrap/>
            <w:vAlign w:val="center"/>
          </w:tcPr>
          <w:p>
            <w:pPr>
              <w:widowControl/>
              <w:jc w:val="center"/>
              <w:rPr>
                <w:kern w:val="0"/>
                <w:sz w:val="18"/>
                <w:szCs w:val="18"/>
              </w:rPr>
            </w:pPr>
            <w:r>
              <w:rPr>
                <w:kern w:val="0"/>
                <w:sz w:val="18"/>
                <w:szCs w:val="18"/>
              </w:rPr>
              <w:t>NW</w:t>
            </w:r>
          </w:p>
        </w:tc>
        <w:tc>
          <w:tcPr>
            <w:tcW w:w="261" w:type="pct"/>
            <w:shd w:val="clear" w:color="auto" w:fill="auto"/>
            <w:noWrap/>
            <w:vAlign w:val="center"/>
          </w:tcPr>
          <w:p>
            <w:pPr>
              <w:widowControl/>
              <w:jc w:val="center"/>
              <w:rPr>
                <w:kern w:val="0"/>
                <w:sz w:val="18"/>
                <w:szCs w:val="18"/>
              </w:rPr>
            </w:pPr>
            <w:r>
              <w:rPr>
                <w:kern w:val="0"/>
                <w:sz w:val="18"/>
                <w:szCs w:val="18"/>
              </w:rPr>
              <w:t>NNW</w:t>
            </w:r>
          </w:p>
        </w:tc>
        <w:tc>
          <w:tcPr>
            <w:tcW w:w="297" w:type="pct"/>
            <w:shd w:val="clear" w:color="auto" w:fill="auto"/>
            <w:noWrap/>
            <w:vAlign w:val="center"/>
          </w:tcPr>
          <w:p>
            <w:pPr>
              <w:widowControl/>
              <w:jc w:val="center"/>
              <w:rPr>
                <w:kern w:val="0"/>
                <w:sz w:val="18"/>
                <w:szCs w:val="18"/>
              </w:rPr>
            </w:pPr>
            <w:r>
              <w:rPr>
                <w:kern w:val="0"/>
                <w:sz w:val="18"/>
                <w:szCs w:val="18"/>
              </w:rPr>
              <w:t>静风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1月</w:t>
            </w:r>
          </w:p>
        </w:tc>
        <w:tc>
          <w:tcPr>
            <w:tcW w:w="302" w:type="pct"/>
            <w:shd w:val="clear" w:color="auto" w:fill="auto"/>
            <w:noWrap/>
            <w:vAlign w:val="center"/>
          </w:tcPr>
          <w:p>
            <w:pPr>
              <w:widowControl/>
              <w:jc w:val="center"/>
              <w:rPr>
                <w:kern w:val="0"/>
                <w:sz w:val="18"/>
                <w:szCs w:val="18"/>
              </w:rPr>
            </w:pPr>
            <w:r>
              <w:rPr>
                <w:rFonts w:hint="eastAsia"/>
                <w:sz w:val="18"/>
              </w:rPr>
              <w:t xml:space="preserve">15.14 </w:t>
            </w:r>
          </w:p>
        </w:tc>
        <w:tc>
          <w:tcPr>
            <w:tcW w:w="302" w:type="pct"/>
            <w:shd w:val="clear" w:color="auto" w:fill="auto"/>
            <w:noWrap/>
            <w:vAlign w:val="center"/>
          </w:tcPr>
          <w:p>
            <w:pPr>
              <w:widowControl/>
              <w:jc w:val="center"/>
              <w:rPr>
                <w:kern w:val="0"/>
                <w:sz w:val="18"/>
                <w:szCs w:val="18"/>
              </w:rPr>
            </w:pPr>
            <w:r>
              <w:rPr>
                <w:rFonts w:hint="eastAsia"/>
                <w:sz w:val="18"/>
              </w:rPr>
              <w:t xml:space="preserve">17.87 </w:t>
            </w:r>
          </w:p>
        </w:tc>
        <w:tc>
          <w:tcPr>
            <w:tcW w:w="302" w:type="pct"/>
            <w:shd w:val="clear" w:color="auto" w:fill="auto"/>
            <w:noWrap/>
            <w:vAlign w:val="center"/>
          </w:tcPr>
          <w:p>
            <w:pPr>
              <w:widowControl/>
              <w:jc w:val="center"/>
              <w:rPr>
                <w:kern w:val="0"/>
                <w:sz w:val="18"/>
                <w:szCs w:val="18"/>
              </w:rPr>
            </w:pPr>
            <w:r>
              <w:rPr>
                <w:rFonts w:hint="eastAsia"/>
                <w:sz w:val="18"/>
              </w:rPr>
              <w:t xml:space="preserve">8.46 </w:t>
            </w:r>
          </w:p>
        </w:tc>
        <w:tc>
          <w:tcPr>
            <w:tcW w:w="261" w:type="pct"/>
            <w:shd w:val="clear" w:color="auto" w:fill="auto"/>
            <w:noWrap/>
            <w:vAlign w:val="center"/>
          </w:tcPr>
          <w:p>
            <w:pPr>
              <w:widowControl/>
              <w:jc w:val="center"/>
              <w:rPr>
                <w:kern w:val="0"/>
                <w:sz w:val="18"/>
                <w:szCs w:val="18"/>
              </w:rPr>
            </w:pPr>
            <w:r>
              <w:rPr>
                <w:rFonts w:hint="eastAsia"/>
                <w:sz w:val="18"/>
              </w:rPr>
              <w:t xml:space="preserve">2.59 </w:t>
            </w:r>
          </w:p>
        </w:tc>
        <w:tc>
          <w:tcPr>
            <w:tcW w:w="302" w:type="pct"/>
            <w:shd w:val="clear" w:color="auto" w:fill="auto"/>
            <w:noWrap/>
            <w:vAlign w:val="center"/>
          </w:tcPr>
          <w:p>
            <w:pPr>
              <w:widowControl/>
              <w:jc w:val="center"/>
              <w:rPr>
                <w:kern w:val="0"/>
                <w:sz w:val="18"/>
                <w:szCs w:val="18"/>
              </w:rPr>
            </w:pPr>
            <w:r>
              <w:rPr>
                <w:rFonts w:hint="eastAsia"/>
                <w:sz w:val="18"/>
              </w:rPr>
              <w:t xml:space="preserve">2.46 </w:t>
            </w:r>
          </w:p>
        </w:tc>
        <w:tc>
          <w:tcPr>
            <w:tcW w:w="261" w:type="pct"/>
            <w:shd w:val="clear" w:color="auto" w:fill="auto"/>
            <w:noWrap/>
            <w:vAlign w:val="center"/>
          </w:tcPr>
          <w:p>
            <w:pPr>
              <w:widowControl/>
              <w:jc w:val="center"/>
              <w:rPr>
                <w:kern w:val="0"/>
                <w:sz w:val="18"/>
                <w:szCs w:val="18"/>
              </w:rPr>
            </w:pPr>
            <w:r>
              <w:rPr>
                <w:rFonts w:hint="eastAsia"/>
                <w:sz w:val="18"/>
              </w:rPr>
              <w:t xml:space="preserve">0.82 </w:t>
            </w:r>
          </w:p>
        </w:tc>
        <w:tc>
          <w:tcPr>
            <w:tcW w:w="261" w:type="pct"/>
            <w:shd w:val="clear" w:color="auto" w:fill="auto"/>
            <w:noWrap/>
            <w:vAlign w:val="center"/>
          </w:tcPr>
          <w:p>
            <w:pPr>
              <w:widowControl/>
              <w:jc w:val="center"/>
              <w:rPr>
                <w:kern w:val="0"/>
                <w:sz w:val="18"/>
                <w:szCs w:val="18"/>
              </w:rPr>
            </w:pPr>
            <w:r>
              <w:rPr>
                <w:rFonts w:hint="eastAsia"/>
                <w:sz w:val="18"/>
              </w:rPr>
              <w:t xml:space="preserve">0.41 </w:t>
            </w:r>
          </w:p>
        </w:tc>
        <w:tc>
          <w:tcPr>
            <w:tcW w:w="261" w:type="pct"/>
            <w:shd w:val="clear" w:color="auto" w:fill="auto"/>
            <w:noWrap/>
            <w:vAlign w:val="center"/>
          </w:tcPr>
          <w:p>
            <w:pPr>
              <w:widowControl/>
              <w:jc w:val="center"/>
              <w:rPr>
                <w:kern w:val="0"/>
                <w:sz w:val="18"/>
                <w:szCs w:val="18"/>
              </w:rPr>
            </w:pPr>
            <w:r>
              <w:rPr>
                <w:rFonts w:hint="eastAsia"/>
                <w:sz w:val="18"/>
              </w:rPr>
              <w:t xml:space="preserve">0.00 </w:t>
            </w:r>
          </w:p>
        </w:tc>
        <w:tc>
          <w:tcPr>
            <w:tcW w:w="302" w:type="pct"/>
            <w:shd w:val="clear" w:color="auto" w:fill="auto"/>
            <w:noWrap/>
            <w:vAlign w:val="center"/>
          </w:tcPr>
          <w:p>
            <w:pPr>
              <w:widowControl/>
              <w:jc w:val="center"/>
              <w:rPr>
                <w:kern w:val="0"/>
                <w:sz w:val="18"/>
                <w:szCs w:val="18"/>
              </w:rPr>
            </w:pPr>
            <w:r>
              <w:rPr>
                <w:rFonts w:hint="eastAsia"/>
                <w:sz w:val="18"/>
              </w:rPr>
              <w:t xml:space="preserve">2.46 </w:t>
            </w:r>
          </w:p>
        </w:tc>
        <w:tc>
          <w:tcPr>
            <w:tcW w:w="302" w:type="pct"/>
            <w:shd w:val="clear" w:color="auto" w:fill="auto"/>
            <w:noWrap/>
            <w:vAlign w:val="center"/>
          </w:tcPr>
          <w:p>
            <w:pPr>
              <w:widowControl/>
              <w:jc w:val="center"/>
              <w:rPr>
                <w:kern w:val="0"/>
                <w:sz w:val="18"/>
                <w:szCs w:val="18"/>
              </w:rPr>
            </w:pPr>
            <w:r>
              <w:rPr>
                <w:rFonts w:hint="eastAsia"/>
                <w:sz w:val="18"/>
              </w:rPr>
              <w:t xml:space="preserve">2.46 </w:t>
            </w:r>
          </w:p>
        </w:tc>
        <w:tc>
          <w:tcPr>
            <w:tcW w:w="261" w:type="pct"/>
            <w:shd w:val="clear" w:color="auto" w:fill="auto"/>
            <w:noWrap/>
            <w:vAlign w:val="center"/>
          </w:tcPr>
          <w:p>
            <w:pPr>
              <w:widowControl/>
              <w:jc w:val="center"/>
              <w:rPr>
                <w:kern w:val="0"/>
                <w:sz w:val="18"/>
                <w:szCs w:val="18"/>
              </w:rPr>
            </w:pPr>
            <w:r>
              <w:rPr>
                <w:rFonts w:hint="eastAsia"/>
                <w:sz w:val="18"/>
              </w:rPr>
              <w:t xml:space="preserve">1.91 </w:t>
            </w:r>
          </w:p>
        </w:tc>
        <w:tc>
          <w:tcPr>
            <w:tcW w:w="261" w:type="pct"/>
            <w:shd w:val="clear" w:color="auto" w:fill="auto"/>
            <w:noWrap/>
            <w:vAlign w:val="center"/>
          </w:tcPr>
          <w:p>
            <w:pPr>
              <w:widowControl/>
              <w:jc w:val="center"/>
              <w:rPr>
                <w:kern w:val="0"/>
                <w:sz w:val="18"/>
                <w:szCs w:val="18"/>
              </w:rPr>
            </w:pPr>
            <w:r>
              <w:rPr>
                <w:rFonts w:hint="eastAsia"/>
                <w:sz w:val="18"/>
              </w:rPr>
              <w:t xml:space="preserve">1.50 </w:t>
            </w:r>
          </w:p>
        </w:tc>
        <w:tc>
          <w:tcPr>
            <w:tcW w:w="261" w:type="pct"/>
            <w:shd w:val="clear" w:color="auto" w:fill="auto"/>
            <w:noWrap/>
            <w:vAlign w:val="center"/>
          </w:tcPr>
          <w:p>
            <w:pPr>
              <w:widowControl/>
              <w:jc w:val="center"/>
              <w:rPr>
                <w:kern w:val="0"/>
                <w:sz w:val="18"/>
                <w:szCs w:val="18"/>
              </w:rPr>
            </w:pPr>
            <w:r>
              <w:rPr>
                <w:rFonts w:hint="eastAsia"/>
                <w:sz w:val="18"/>
              </w:rPr>
              <w:t xml:space="preserve">11.46 </w:t>
            </w:r>
          </w:p>
        </w:tc>
        <w:tc>
          <w:tcPr>
            <w:tcW w:w="261" w:type="pct"/>
            <w:shd w:val="clear" w:color="auto" w:fill="auto"/>
            <w:noWrap/>
            <w:vAlign w:val="center"/>
          </w:tcPr>
          <w:p>
            <w:pPr>
              <w:widowControl/>
              <w:jc w:val="center"/>
              <w:rPr>
                <w:kern w:val="0"/>
                <w:sz w:val="18"/>
                <w:szCs w:val="18"/>
              </w:rPr>
            </w:pPr>
            <w:r>
              <w:rPr>
                <w:rFonts w:hint="eastAsia"/>
                <w:sz w:val="18"/>
              </w:rPr>
              <w:t xml:space="preserve">10.10 </w:t>
            </w:r>
          </w:p>
        </w:tc>
        <w:tc>
          <w:tcPr>
            <w:tcW w:w="261" w:type="pct"/>
            <w:shd w:val="clear" w:color="auto" w:fill="auto"/>
            <w:noWrap/>
            <w:vAlign w:val="center"/>
          </w:tcPr>
          <w:p>
            <w:pPr>
              <w:widowControl/>
              <w:jc w:val="center"/>
              <w:rPr>
                <w:kern w:val="0"/>
                <w:sz w:val="18"/>
                <w:szCs w:val="18"/>
              </w:rPr>
            </w:pPr>
            <w:r>
              <w:rPr>
                <w:rFonts w:hint="eastAsia"/>
                <w:sz w:val="18"/>
              </w:rPr>
              <w:t xml:space="preserve">12.96 </w:t>
            </w:r>
          </w:p>
        </w:tc>
        <w:tc>
          <w:tcPr>
            <w:tcW w:w="261" w:type="pct"/>
            <w:shd w:val="clear" w:color="auto" w:fill="auto"/>
            <w:noWrap/>
            <w:vAlign w:val="center"/>
          </w:tcPr>
          <w:p>
            <w:pPr>
              <w:widowControl/>
              <w:jc w:val="center"/>
              <w:rPr>
                <w:kern w:val="0"/>
                <w:sz w:val="18"/>
                <w:szCs w:val="18"/>
              </w:rPr>
            </w:pPr>
            <w:r>
              <w:rPr>
                <w:rFonts w:hint="eastAsia"/>
                <w:sz w:val="18"/>
              </w:rPr>
              <w:t xml:space="preserve">7.23 </w:t>
            </w:r>
          </w:p>
        </w:tc>
        <w:tc>
          <w:tcPr>
            <w:tcW w:w="297" w:type="pct"/>
            <w:shd w:val="clear" w:color="auto" w:fill="auto"/>
            <w:noWrap/>
            <w:vAlign w:val="center"/>
          </w:tcPr>
          <w:p>
            <w:pPr>
              <w:widowControl/>
              <w:jc w:val="center"/>
              <w:rPr>
                <w:kern w:val="0"/>
                <w:sz w:val="18"/>
                <w:szCs w:val="18"/>
              </w:rPr>
            </w:pPr>
            <w:r>
              <w:rPr>
                <w:rFonts w:hint="eastAsia"/>
                <w:sz w:val="18"/>
              </w:rPr>
              <w:t xml:space="preserve">2.18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2月</w:t>
            </w:r>
          </w:p>
        </w:tc>
        <w:tc>
          <w:tcPr>
            <w:tcW w:w="302" w:type="pct"/>
            <w:shd w:val="clear" w:color="auto" w:fill="auto"/>
            <w:noWrap/>
            <w:vAlign w:val="center"/>
          </w:tcPr>
          <w:p>
            <w:pPr>
              <w:widowControl/>
              <w:jc w:val="center"/>
              <w:rPr>
                <w:kern w:val="0"/>
                <w:sz w:val="18"/>
                <w:szCs w:val="18"/>
              </w:rPr>
            </w:pPr>
            <w:r>
              <w:rPr>
                <w:rFonts w:hint="eastAsia"/>
                <w:sz w:val="18"/>
              </w:rPr>
              <w:t xml:space="preserve">18.15 </w:t>
            </w:r>
          </w:p>
        </w:tc>
        <w:tc>
          <w:tcPr>
            <w:tcW w:w="302" w:type="pct"/>
            <w:shd w:val="clear" w:color="auto" w:fill="auto"/>
            <w:noWrap/>
            <w:vAlign w:val="center"/>
          </w:tcPr>
          <w:p>
            <w:pPr>
              <w:widowControl/>
              <w:jc w:val="center"/>
              <w:rPr>
                <w:kern w:val="0"/>
                <w:sz w:val="18"/>
                <w:szCs w:val="18"/>
              </w:rPr>
            </w:pPr>
            <w:r>
              <w:rPr>
                <w:rFonts w:hint="eastAsia"/>
                <w:sz w:val="18"/>
              </w:rPr>
              <w:t xml:space="preserve">18.76 </w:t>
            </w:r>
          </w:p>
        </w:tc>
        <w:tc>
          <w:tcPr>
            <w:tcW w:w="302" w:type="pct"/>
            <w:shd w:val="clear" w:color="auto" w:fill="auto"/>
            <w:noWrap/>
            <w:vAlign w:val="center"/>
          </w:tcPr>
          <w:p>
            <w:pPr>
              <w:widowControl/>
              <w:jc w:val="center"/>
              <w:rPr>
                <w:kern w:val="0"/>
                <w:sz w:val="18"/>
                <w:szCs w:val="18"/>
              </w:rPr>
            </w:pPr>
            <w:r>
              <w:rPr>
                <w:rFonts w:hint="eastAsia"/>
                <w:sz w:val="18"/>
              </w:rPr>
              <w:t xml:space="preserve">7.41 </w:t>
            </w:r>
          </w:p>
        </w:tc>
        <w:tc>
          <w:tcPr>
            <w:tcW w:w="261" w:type="pct"/>
            <w:shd w:val="clear" w:color="auto" w:fill="auto"/>
            <w:noWrap/>
            <w:vAlign w:val="center"/>
          </w:tcPr>
          <w:p>
            <w:pPr>
              <w:widowControl/>
              <w:jc w:val="center"/>
              <w:rPr>
                <w:kern w:val="0"/>
                <w:sz w:val="18"/>
                <w:szCs w:val="18"/>
              </w:rPr>
            </w:pPr>
            <w:r>
              <w:rPr>
                <w:rFonts w:hint="eastAsia"/>
                <w:sz w:val="18"/>
              </w:rPr>
              <w:t xml:space="preserve">3.18 </w:t>
            </w:r>
          </w:p>
        </w:tc>
        <w:tc>
          <w:tcPr>
            <w:tcW w:w="302" w:type="pct"/>
            <w:shd w:val="clear" w:color="auto" w:fill="auto"/>
            <w:noWrap/>
            <w:vAlign w:val="center"/>
          </w:tcPr>
          <w:p>
            <w:pPr>
              <w:widowControl/>
              <w:jc w:val="center"/>
              <w:rPr>
                <w:kern w:val="0"/>
                <w:sz w:val="18"/>
                <w:szCs w:val="18"/>
              </w:rPr>
            </w:pPr>
            <w:r>
              <w:rPr>
                <w:rFonts w:hint="eastAsia"/>
                <w:sz w:val="18"/>
              </w:rPr>
              <w:t xml:space="preserve">2.87 </w:t>
            </w:r>
          </w:p>
        </w:tc>
        <w:tc>
          <w:tcPr>
            <w:tcW w:w="261" w:type="pct"/>
            <w:shd w:val="clear" w:color="auto" w:fill="auto"/>
            <w:noWrap/>
            <w:vAlign w:val="center"/>
          </w:tcPr>
          <w:p>
            <w:pPr>
              <w:widowControl/>
              <w:jc w:val="center"/>
              <w:rPr>
                <w:kern w:val="0"/>
                <w:sz w:val="18"/>
                <w:szCs w:val="18"/>
              </w:rPr>
            </w:pPr>
            <w:r>
              <w:rPr>
                <w:rFonts w:hint="eastAsia"/>
                <w:sz w:val="18"/>
              </w:rPr>
              <w:t xml:space="preserve">0.61 </w:t>
            </w:r>
          </w:p>
        </w:tc>
        <w:tc>
          <w:tcPr>
            <w:tcW w:w="261" w:type="pct"/>
            <w:shd w:val="clear" w:color="auto" w:fill="auto"/>
            <w:noWrap/>
            <w:vAlign w:val="center"/>
          </w:tcPr>
          <w:p>
            <w:pPr>
              <w:widowControl/>
              <w:jc w:val="center"/>
              <w:rPr>
                <w:kern w:val="0"/>
                <w:sz w:val="18"/>
                <w:szCs w:val="18"/>
              </w:rPr>
            </w:pPr>
            <w:r>
              <w:rPr>
                <w:rFonts w:hint="eastAsia"/>
                <w:sz w:val="18"/>
              </w:rPr>
              <w:t xml:space="preserve">0.76 </w:t>
            </w:r>
          </w:p>
        </w:tc>
        <w:tc>
          <w:tcPr>
            <w:tcW w:w="261" w:type="pct"/>
            <w:shd w:val="clear" w:color="auto" w:fill="auto"/>
            <w:noWrap/>
            <w:vAlign w:val="center"/>
          </w:tcPr>
          <w:p>
            <w:pPr>
              <w:widowControl/>
              <w:jc w:val="center"/>
              <w:rPr>
                <w:kern w:val="0"/>
                <w:sz w:val="18"/>
                <w:szCs w:val="18"/>
              </w:rPr>
            </w:pPr>
            <w:r>
              <w:rPr>
                <w:rFonts w:hint="eastAsia"/>
                <w:sz w:val="18"/>
              </w:rPr>
              <w:t xml:space="preserve">0.91 </w:t>
            </w:r>
          </w:p>
        </w:tc>
        <w:tc>
          <w:tcPr>
            <w:tcW w:w="302" w:type="pct"/>
            <w:shd w:val="clear" w:color="auto" w:fill="auto"/>
            <w:noWrap/>
            <w:vAlign w:val="center"/>
          </w:tcPr>
          <w:p>
            <w:pPr>
              <w:widowControl/>
              <w:jc w:val="center"/>
              <w:rPr>
                <w:kern w:val="0"/>
                <w:sz w:val="18"/>
                <w:szCs w:val="18"/>
              </w:rPr>
            </w:pPr>
            <w:r>
              <w:rPr>
                <w:rFonts w:hint="eastAsia"/>
                <w:sz w:val="18"/>
              </w:rPr>
              <w:t xml:space="preserve">5.14 </w:t>
            </w:r>
          </w:p>
        </w:tc>
        <w:tc>
          <w:tcPr>
            <w:tcW w:w="302" w:type="pct"/>
            <w:shd w:val="clear" w:color="auto" w:fill="auto"/>
            <w:noWrap/>
            <w:vAlign w:val="center"/>
          </w:tcPr>
          <w:p>
            <w:pPr>
              <w:widowControl/>
              <w:jc w:val="center"/>
              <w:rPr>
                <w:kern w:val="0"/>
                <w:sz w:val="18"/>
                <w:szCs w:val="18"/>
              </w:rPr>
            </w:pPr>
            <w:r>
              <w:rPr>
                <w:rFonts w:hint="eastAsia"/>
                <w:sz w:val="18"/>
              </w:rPr>
              <w:t xml:space="preserve">3.03 </w:t>
            </w:r>
          </w:p>
        </w:tc>
        <w:tc>
          <w:tcPr>
            <w:tcW w:w="261" w:type="pct"/>
            <w:shd w:val="clear" w:color="auto" w:fill="auto"/>
            <w:noWrap/>
            <w:vAlign w:val="center"/>
          </w:tcPr>
          <w:p>
            <w:pPr>
              <w:widowControl/>
              <w:jc w:val="center"/>
              <w:rPr>
                <w:kern w:val="0"/>
                <w:sz w:val="18"/>
                <w:szCs w:val="18"/>
              </w:rPr>
            </w:pPr>
            <w:r>
              <w:rPr>
                <w:rFonts w:hint="eastAsia"/>
                <w:sz w:val="18"/>
              </w:rPr>
              <w:t xml:space="preserve">2.27 </w:t>
            </w:r>
          </w:p>
        </w:tc>
        <w:tc>
          <w:tcPr>
            <w:tcW w:w="261" w:type="pct"/>
            <w:shd w:val="clear" w:color="auto" w:fill="auto"/>
            <w:noWrap/>
            <w:vAlign w:val="center"/>
          </w:tcPr>
          <w:p>
            <w:pPr>
              <w:widowControl/>
              <w:jc w:val="center"/>
              <w:rPr>
                <w:kern w:val="0"/>
                <w:sz w:val="18"/>
                <w:szCs w:val="18"/>
              </w:rPr>
            </w:pPr>
            <w:r>
              <w:rPr>
                <w:rFonts w:hint="eastAsia"/>
                <w:sz w:val="18"/>
              </w:rPr>
              <w:t xml:space="preserve">3.63 </w:t>
            </w:r>
          </w:p>
        </w:tc>
        <w:tc>
          <w:tcPr>
            <w:tcW w:w="261" w:type="pct"/>
            <w:shd w:val="clear" w:color="auto" w:fill="auto"/>
            <w:noWrap/>
            <w:vAlign w:val="center"/>
          </w:tcPr>
          <w:p>
            <w:pPr>
              <w:widowControl/>
              <w:jc w:val="center"/>
              <w:rPr>
                <w:kern w:val="0"/>
                <w:sz w:val="18"/>
                <w:szCs w:val="18"/>
              </w:rPr>
            </w:pPr>
            <w:r>
              <w:rPr>
                <w:rFonts w:hint="eastAsia"/>
                <w:sz w:val="18"/>
              </w:rPr>
              <w:t xml:space="preserve">9.68 </w:t>
            </w:r>
          </w:p>
        </w:tc>
        <w:tc>
          <w:tcPr>
            <w:tcW w:w="261" w:type="pct"/>
            <w:shd w:val="clear" w:color="auto" w:fill="auto"/>
            <w:noWrap/>
            <w:vAlign w:val="center"/>
          </w:tcPr>
          <w:p>
            <w:pPr>
              <w:widowControl/>
              <w:jc w:val="center"/>
              <w:rPr>
                <w:kern w:val="0"/>
                <w:sz w:val="18"/>
                <w:szCs w:val="18"/>
              </w:rPr>
            </w:pPr>
            <w:r>
              <w:rPr>
                <w:rFonts w:hint="eastAsia"/>
                <w:sz w:val="18"/>
              </w:rPr>
              <w:t xml:space="preserve">6.51 </w:t>
            </w:r>
          </w:p>
        </w:tc>
        <w:tc>
          <w:tcPr>
            <w:tcW w:w="261" w:type="pct"/>
            <w:shd w:val="clear" w:color="auto" w:fill="auto"/>
            <w:noWrap/>
            <w:vAlign w:val="center"/>
          </w:tcPr>
          <w:p>
            <w:pPr>
              <w:widowControl/>
              <w:jc w:val="center"/>
              <w:rPr>
                <w:kern w:val="0"/>
                <w:sz w:val="18"/>
                <w:szCs w:val="18"/>
              </w:rPr>
            </w:pPr>
            <w:r>
              <w:rPr>
                <w:rFonts w:hint="eastAsia"/>
                <w:sz w:val="18"/>
              </w:rPr>
              <w:t xml:space="preserve">6.96 </w:t>
            </w:r>
          </w:p>
        </w:tc>
        <w:tc>
          <w:tcPr>
            <w:tcW w:w="261" w:type="pct"/>
            <w:shd w:val="clear" w:color="auto" w:fill="auto"/>
            <w:noWrap/>
            <w:vAlign w:val="center"/>
          </w:tcPr>
          <w:p>
            <w:pPr>
              <w:widowControl/>
              <w:jc w:val="center"/>
              <w:rPr>
                <w:kern w:val="0"/>
                <w:sz w:val="18"/>
                <w:szCs w:val="18"/>
              </w:rPr>
            </w:pPr>
            <w:r>
              <w:rPr>
                <w:rFonts w:hint="eastAsia"/>
                <w:sz w:val="18"/>
              </w:rPr>
              <w:t xml:space="preserve">8.02 </w:t>
            </w:r>
          </w:p>
        </w:tc>
        <w:tc>
          <w:tcPr>
            <w:tcW w:w="297" w:type="pct"/>
            <w:shd w:val="clear" w:color="auto" w:fill="auto"/>
            <w:noWrap/>
            <w:vAlign w:val="center"/>
          </w:tcPr>
          <w:p>
            <w:pPr>
              <w:widowControl/>
              <w:jc w:val="center"/>
              <w:rPr>
                <w:kern w:val="0"/>
                <w:sz w:val="18"/>
                <w:szCs w:val="18"/>
              </w:rPr>
            </w:pPr>
            <w:r>
              <w:rPr>
                <w:rFonts w:hint="eastAsia"/>
                <w:sz w:val="18"/>
              </w:rPr>
              <w:t xml:space="preserve">2.12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3月</w:t>
            </w:r>
          </w:p>
        </w:tc>
        <w:tc>
          <w:tcPr>
            <w:tcW w:w="302" w:type="pct"/>
            <w:shd w:val="clear" w:color="auto" w:fill="auto"/>
            <w:noWrap/>
            <w:vAlign w:val="center"/>
          </w:tcPr>
          <w:p>
            <w:pPr>
              <w:widowControl/>
              <w:jc w:val="center"/>
              <w:rPr>
                <w:kern w:val="0"/>
                <w:sz w:val="18"/>
                <w:szCs w:val="18"/>
              </w:rPr>
            </w:pPr>
            <w:r>
              <w:rPr>
                <w:rFonts w:hint="eastAsia"/>
                <w:sz w:val="18"/>
              </w:rPr>
              <w:t xml:space="preserve">14.21 </w:t>
            </w:r>
          </w:p>
        </w:tc>
        <w:tc>
          <w:tcPr>
            <w:tcW w:w="302" w:type="pct"/>
            <w:shd w:val="clear" w:color="auto" w:fill="auto"/>
            <w:noWrap/>
            <w:vAlign w:val="center"/>
          </w:tcPr>
          <w:p>
            <w:pPr>
              <w:widowControl/>
              <w:jc w:val="center"/>
              <w:rPr>
                <w:kern w:val="0"/>
                <w:sz w:val="18"/>
                <w:szCs w:val="18"/>
              </w:rPr>
            </w:pPr>
            <w:r>
              <w:rPr>
                <w:rFonts w:hint="eastAsia"/>
                <w:sz w:val="18"/>
              </w:rPr>
              <w:t xml:space="preserve">17.76 </w:t>
            </w:r>
          </w:p>
        </w:tc>
        <w:tc>
          <w:tcPr>
            <w:tcW w:w="302" w:type="pct"/>
            <w:shd w:val="clear" w:color="auto" w:fill="auto"/>
            <w:noWrap/>
            <w:vAlign w:val="center"/>
          </w:tcPr>
          <w:p>
            <w:pPr>
              <w:widowControl/>
              <w:jc w:val="center"/>
              <w:rPr>
                <w:kern w:val="0"/>
                <w:sz w:val="18"/>
                <w:szCs w:val="18"/>
              </w:rPr>
            </w:pPr>
            <w:r>
              <w:rPr>
                <w:rFonts w:hint="eastAsia"/>
                <w:sz w:val="18"/>
              </w:rPr>
              <w:t xml:space="preserve">10.11 </w:t>
            </w:r>
          </w:p>
        </w:tc>
        <w:tc>
          <w:tcPr>
            <w:tcW w:w="261" w:type="pct"/>
            <w:shd w:val="clear" w:color="auto" w:fill="auto"/>
            <w:noWrap/>
            <w:vAlign w:val="center"/>
          </w:tcPr>
          <w:p>
            <w:pPr>
              <w:widowControl/>
              <w:jc w:val="center"/>
              <w:rPr>
                <w:kern w:val="0"/>
                <w:sz w:val="18"/>
                <w:szCs w:val="18"/>
              </w:rPr>
            </w:pPr>
            <w:r>
              <w:rPr>
                <w:rFonts w:hint="eastAsia"/>
                <w:sz w:val="18"/>
              </w:rPr>
              <w:t xml:space="preserve">5.33 </w:t>
            </w:r>
          </w:p>
        </w:tc>
        <w:tc>
          <w:tcPr>
            <w:tcW w:w="302" w:type="pct"/>
            <w:shd w:val="clear" w:color="auto" w:fill="auto"/>
            <w:noWrap/>
            <w:vAlign w:val="center"/>
          </w:tcPr>
          <w:p>
            <w:pPr>
              <w:widowControl/>
              <w:jc w:val="center"/>
              <w:rPr>
                <w:kern w:val="0"/>
                <w:sz w:val="18"/>
                <w:szCs w:val="18"/>
              </w:rPr>
            </w:pPr>
            <w:r>
              <w:rPr>
                <w:rFonts w:hint="eastAsia"/>
                <w:sz w:val="18"/>
              </w:rPr>
              <w:t xml:space="preserve">5.46 </w:t>
            </w:r>
          </w:p>
        </w:tc>
        <w:tc>
          <w:tcPr>
            <w:tcW w:w="261" w:type="pct"/>
            <w:shd w:val="clear" w:color="auto" w:fill="auto"/>
            <w:noWrap/>
            <w:vAlign w:val="center"/>
          </w:tcPr>
          <w:p>
            <w:pPr>
              <w:widowControl/>
              <w:jc w:val="center"/>
              <w:rPr>
                <w:kern w:val="0"/>
                <w:sz w:val="18"/>
                <w:szCs w:val="18"/>
              </w:rPr>
            </w:pPr>
            <w:r>
              <w:rPr>
                <w:rFonts w:hint="eastAsia"/>
                <w:sz w:val="18"/>
              </w:rPr>
              <w:t xml:space="preserve">1.50 </w:t>
            </w:r>
          </w:p>
        </w:tc>
        <w:tc>
          <w:tcPr>
            <w:tcW w:w="261" w:type="pct"/>
            <w:shd w:val="clear" w:color="auto" w:fill="auto"/>
            <w:noWrap/>
            <w:vAlign w:val="center"/>
          </w:tcPr>
          <w:p>
            <w:pPr>
              <w:widowControl/>
              <w:jc w:val="center"/>
              <w:rPr>
                <w:kern w:val="0"/>
                <w:sz w:val="18"/>
                <w:szCs w:val="18"/>
              </w:rPr>
            </w:pPr>
            <w:r>
              <w:rPr>
                <w:rFonts w:hint="eastAsia"/>
                <w:sz w:val="18"/>
              </w:rPr>
              <w:t xml:space="preserve">0.55 </w:t>
            </w:r>
          </w:p>
        </w:tc>
        <w:tc>
          <w:tcPr>
            <w:tcW w:w="261" w:type="pct"/>
            <w:shd w:val="clear" w:color="auto" w:fill="auto"/>
            <w:noWrap/>
            <w:vAlign w:val="center"/>
          </w:tcPr>
          <w:p>
            <w:pPr>
              <w:widowControl/>
              <w:jc w:val="center"/>
              <w:rPr>
                <w:kern w:val="0"/>
                <w:sz w:val="18"/>
                <w:szCs w:val="18"/>
              </w:rPr>
            </w:pPr>
            <w:r>
              <w:rPr>
                <w:rFonts w:hint="eastAsia"/>
                <w:sz w:val="18"/>
              </w:rPr>
              <w:t xml:space="preserve">0.96 </w:t>
            </w:r>
          </w:p>
        </w:tc>
        <w:tc>
          <w:tcPr>
            <w:tcW w:w="302" w:type="pct"/>
            <w:shd w:val="clear" w:color="auto" w:fill="auto"/>
            <w:noWrap/>
            <w:vAlign w:val="center"/>
          </w:tcPr>
          <w:p>
            <w:pPr>
              <w:widowControl/>
              <w:jc w:val="center"/>
              <w:rPr>
                <w:kern w:val="0"/>
                <w:sz w:val="18"/>
                <w:szCs w:val="18"/>
              </w:rPr>
            </w:pPr>
            <w:r>
              <w:rPr>
                <w:rFonts w:hint="eastAsia"/>
                <w:sz w:val="18"/>
              </w:rPr>
              <w:t xml:space="preserve">3.83 </w:t>
            </w:r>
          </w:p>
        </w:tc>
        <w:tc>
          <w:tcPr>
            <w:tcW w:w="302" w:type="pct"/>
            <w:shd w:val="clear" w:color="auto" w:fill="auto"/>
            <w:noWrap/>
            <w:vAlign w:val="center"/>
          </w:tcPr>
          <w:p>
            <w:pPr>
              <w:widowControl/>
              <w:jc w:val="center"/>
              <w:rPr>
                <w:kern w:val="0"/>
                <w:sz w:val="18"/>
                <w:szCs w:val="18"/>
              </w:rPr>
            </w:pPr>
            <w:r>
              <w:rPr>
                <w:rFonts w:hint="eastAsia"/>
                <w:sz w:val="18"/>
              </w:rPr>
              <w:t xml:space="preserve">3.14 </w:t>
            </w:r>
          </w:p>
        </w:tc>
        <w:tc>
          <w:tcPr>
            <w:tcW w:w="261" w:type="pct"/>
            <w:shd w:val="clear" w:color="auto" w:fill="auto"/>
            <w:noWrap/>
            <w:vAlign w:val="center"/>
          </w:tcPr>
          <w:p>
            <w:pPr>
              <w:widowControl/>
              <w:jc w:val="center"/>
              <w:rPr>
                <w:kern w:val="0"/>
                <w:sz w:val="18"/>
                <w:szCs w:val="18"/>
              </w:rPr>
            </w:pPr>
            <w:r>
              <w:rPr>
                <w:rFonts w:hint="eastAsia"/>
                <w:sz w:val="18"/>
              </w:rPr>
              <w:t xml:space="preserve">3.28 </w:t>
            </w:r>
          </w:p>
        </w:tc>
        <w:tc>
          <w:tcPr>
            <w:tcW w:w="261" w:type="pct"/>
            <w:shd w:val="clear" w:color="auto" w:fill="auto"/>
            <w:noWrap/>
            <w:vAlign w:val="center"/>
          </w:tcPr>
          <w:p>
            <w:pPr>
              <w:widowControl/>
              <w:jc w:val="center"/>
              <w:rPr>
                <w:kern w:val="0"/>
                <w:sz w:val="18"/>
                <w:szCs w:val="18"/>
              </w:rPr>
            </w:pPr>
            <w:r>
              <w:rPr>
                <w:rFonts w:hint="eastAsia"/>
                <w:sz w:val="18"/>
              </w:rPr>
              <w:t xml:space="preserve">2.32 </w:t>
            </w:r>
          </w:p>
        </w:tc>
        <w:tc>
          <w:tcPr>
            <w:tcW w:w="261" w:type="pct"/>
            <w:shd w:val="clear" w:color="auto" w:fill="auto"/>
            <w:noWrap/>
            <w:vAlign w:val="center"/>
          </w:tcPr>
          <w:p>
            <w:pPr>
              <w:widowControl/>
              <w:jc w:val="center"/>
              <w:rPr>
                <w:kern w:val="0"/>
                <w:sz w:val="18"/>
                <w:szCs w:val="18"/>
              </w:rPr>
            </w:pPr>
            <w:r>
              <w:rPr>
                <w:rFonts w:hint="eastAsia"/>
                <w:sz w:val="18"/>
              </w:rPr>
              <w:t xml:space="preserve">11.07 </w:t>
            </w:r>
          </w:p>
        </w:tc>
        <w:tc>
          <w:tcPr>
            <w:tcW w:w="261" w:type="pct"/>
            <w:shd w:val="clear" w:color="auto" w:fill="auto"/>
            <w:noWrap/>
            <w:vAlign w:val="center"/>
          </w:tcPr>
          <w:p>
            <w:pPr>
              <w:widowControl/>
              <w:jc w:val="center"/>
              <w:rPr>
                <w:kern w:val="0"/>
                <w:sz w:val="18"/>
                <w:szCs w:val="18"/>
              </w:rPr>
            </w:pPr>
            <w:r>
              <w:rPr>
                <w:rFonts w:hint="eastAsia"/>
                <w:sz w:val="18"/>
              </w:rPr>
              <w:t xml:space="preserve">6.42 </w:t>
            </w:r>
          </w:p>
        </w:tc>
        <w:tc>
          <w:tcPr>
            <w:tcW w:w="261" w:type="pct"/>
            <w:shd w:val="clear" w:color="auto" w:fill="auto"/>
            <w:noWrap/>
            <w:vAlign w:val="center"/>
          </w:tcPr>
          <w:p>
            <w:pPr>
              <w:widowControl/>
              <w:jc w:val="center"/>
              <w:rPr>
                <w:kern w:val="0"/>
                <w:sz w:val="18"/>
                <w:szCs w:val="18"/>
              </w:rPr>
            </w:pPr>
            <w:r>
              <w:rPr>
                <w:rFonts w:hint="eastAsia"/>
                <w:sz w:val="18"/>
              </w:rPr>
              <w:t xml:space="preserve">6.15 </w:t>
            </w:r>
          </w:p>
        </w:tc>
        <w:tc>
          <w:tcPr>
            <w:tcW w:w="261" w:type="pct"/>
            <w:shd w:val="clear" w:color="auto" w:fill="auto"/>
            <w:noWrap/>
            <w:vAlign w:val="center"/>
          </w:tcPr>
          <w:p>
            <w:pPr>
              <w:widowControl/>
              <w:jc w:val="center"/>
              <w:rPr>
                <w:kern w:val="0"/>
                <w:sz w:val="18"/>
                <w:szCs w:val="18"/>
              </w:rPr>
            </w:pPr>
            <w:r>
              <w:rPr>
                <w:rFonts w:hint="eastAsia"/>
                <w:sz w:val="18"/>
              </w:rPr>
              <w:t xml:space="preserve">4.78 </w:t>
            </w:r>
          </w:p>
        </w:tc>
        <w:tc>
          <w:tcPr>
            <w:tcW w:w="297" w:type="pct"/>
            <w:shd w:val="clear" w:color="auto" w:fill="auto"/>
            <w:noWrap/>
            <w:vAlign w:val="center"/>
          </w:tcPr>
          <w:p>
            <w:pPr>
              <w:widowControl/>
              <w:jc w:val="center"/>
              <w:rPr>
                <w:kern w:val="0"/>
                <w:sz w:val="18"/>
                <w:szCs w:val="18"/>
              </w:rPr>
            </w:pPr>
            <w:r>
              <w:rPr>
                <w:rFonts w:hint="eastAsia"/>
                <w:sz w:val="18"/>
              </w:rPr>
              <w:t xml:space="preserve">3.14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4月</w:t>
            </w:r>
          </w:p>
        </w:tc>
        <w:tc>
          <w:tcPr>
            <w:tcW w:w="302" w:type="pct"/>
            <w:shd w:val="clear" w:color="auto" w:fill="auto"/>
            <w:noWrap/>
            <w:vAlign w:val="center"/>
          </w:tcPr>
          <w:p>
            <w:pPr>
              <w:widowControl/>
              <w:jc w:val="center"/>
              <w:rPr>
                <w:kern w:val="0"/>
                <w:sz w:val="18"/>
                <w:szCs w:val="18"/>
              </w:rPr>
            </w:pPr>
            <w:r>
              <w:rPr>
                <w:rFonts w:hint="eastAsia"/>
                <w:sz w:val="18"/>
              </w:rPr>
              <w:t xml:space="preserve">11.05 </w:t>
            </w:r>
          </w:p>
        </w:tc>
        <w:tc>
          <w:tcPr>
            <w:tcW w:w="302" w:type="pct"/>
            <w:shd w:val="clear" w:color="auto" w:fill="auto"/>
            <w:noWrap/>
            <w:vAlign w:val="center"/>
          </w:tcPr>
          <w:p>
            <w:pPr>
              <w:widowControl/>
              <w:jc w:val="center"/>
              <w:rPr>
                <w:kern w:val="0"/>
                <w:sz w:val="18"/>
                <w:szCs w:val="18"/>
              </w:rPr>
            </w:pPr>
            <w:r>
              <w:rPr>
                <w:rFonts w:hint="eastAsia"/>
                <w:sz w:val="18"/>
              </w:rPr>
              <w:t xml:space="preserve">16.92 </w:t>
            </w:r>
          </w:p>
        </w:tc>
        <w:tc>
          <w:tcPr>
            <w:tcW w:w="302" w:type="pct"/>
            <w:shd w:val="clear" w:color="auto" w:fill="auto"/>
            <w:noWrap/>
            <w:vAlign w:val="center"/>
          </w:tcPr>
          <w:p>
            <w:pPr>
              <w:widowControl/>
              <w:jc w:val="center"/>
              <w:rPr>
                <w:kern w:val="0"/>
                <w:sz w:val="18"/>
                <w:szCs w:val="18"/>
              </w:rPr>
            </w:pPr>
            <w:r>
              <w:rPr>
                <w:rFonts w:hint="eastAsia"/>
                <w:sz w:val="18"/>
              </w:rPr>
              <w:t xml:space="preserve">8.95 </w:t>
            </w:r>
          </w:p>
        </w:tc>
        <w:tc>
          <w:tcPr>
            <w:tcW w:w="261" w:type="pct"/>
            <w:shd w:val="clear" w:color="auto" w:fill="auto"/>
            <w:noWrap/>
            <w:vAlign w:val="center"/>
          </w:tcPr>
          <w:p>
            <w:pPr>
              <w:widowControl/>
              <w:jc w:val="center"/>
              <w:rPr>
                <w:kern w:val="0"/>
                <w:sz w:val="18"/>
                <w:szCs w:val="18"/>
              </w:rPr>
            </w:pPr>
            <w:r>
              <w:rPr>
                <w:rFonts w:hint="eastAsia"/>
                <w:sz w:val="18"/>
              </w:rPr>
              <w:t xml:space="preserve">4.20 </w:t>
            </w:r>
          </w:p>
        </w:tc>
        <w:tc>
          <w:tcPr>
            <w:tcW w:w="302" w:type="pct"/>
            <w:shd w:val="clear" w:color="auto" w:fill="auto"/>
            <w:noWrap/>
            <w:vAlign w:val="center"/>
          </w:tcPr>
          <w:p>
            <w:pPr>
              <w:widowControl/>
              <w:jc w:val="center"/>
              <w:rPr>
                <w:kern w:val="0"/>
                <w:sz w:val="18"/>
                <w:szCs w:val="18"/>
              </w:rPr>
            </w:pPr>
            <w:r>
              <w:rPr>
                <w:rFonts w:hint="eastAsia"/>
                <w:sz w:val="18"/>
              </w:rPr>
              <w:t xml:space="preserve">4.48 </w:t>
            </w:r>
          </w:p>
        </w:tc>
        <w:tc>
          <w:tcPr>
            <w:tcW w:w="261" w:type="pct"/>
            <w:shd w:val="clear" w:color="auto" w:fill="auto"/>
            <w:noWrap/>
            <w:vAlign w:val="center"/>
          </w:tcPr>
          <w:p>
            <w:pPr>
              <w:widowControl/>
              <w:jc w:val="center"/>
              <w:rPr>
                <w:kern w:val="0"/>
                <w:sz w:val="18"/>
                <w:szCs w:val="18"/>
              </w:rPr>
            </w:pPr>
            <w:r>
              <w:rPr>
                <w:rFonts w:hint="eastAsia"/>
                <w:sz w:val="18"/>
              </w:rPr>
              <w:t xml:space="preserve">1.12 </w:t>
            </w:r>
          </w:p>
        </w:tc>
        <w:tc>
          <w:tcPr>
            <w:tcW w:w="261" w:type="pct"/>
            <w:shd w:val="clear" w:color="auto" w:fill="auto"/>
            <w:noWrap/>
            <w:vAlign w:val="center"/>
          </w:tcPr>
          <w:p>
            <w:pPr>
              <w:widowControl/>
              <w:jc w:val="center"/>
              <w:rPr>
                <w:kern w:val="0"/>
                <w:sz w:val="18"/>
                <w:szCs w:val="18"/>
              </w:rPr>
            </w:pPr>
            <w:r>
              <w:rPr>
                <w:rFonts w:hint="eastAsia"/>
                <w:sz w:val="18"/>
              </w:rPr>
              <w:t xml:space="preserve">4.06 </w:t>
            </w:r>
          </w:p>
        </w:tc>
        <w:tc>
          <w:tcPr>
            <w:tcW w:w="261" w:type="pct"/>
            <w:shd w:val="clear" w:color="auto" w:fill="auto"/>
            <w:noWrap/>
            <w:vAlign w:val="center"/>
          </w:tcPr>
          <w:p>
            <w:pPr>
              <w:widowControl/>
              <w:jc w:val="center"/>
              <w:rPr>
                <w:kern w:val="0"/>
                <w:sz w:val="18"/>
                <w:szCs w:val="18"/>
              </w:rPr>
            </w:pPr>
            <w:r>
              <w:rPr>
                <w:rFonts w:hint="eastAsia"/>
                <w:sz w:val="18"/>
              </w:rPr>
              <w:t xml:space="preserve">5.31 </w:t>
            </w:r>
          </w:p>
        </w:tc>
        <w:tc>
          <w:tcPr>
            <w:tcW w:w="302" w:type="pct"/>
            <w:shd w:val="clear" w:color="auto" w:fill="auto"/>
            <w:noWrap/>
            <w:vAlign w:val="center"/>
          </w:tcPr>
          <w:p>
            <w:pPr>
              <w:widowControl/>
              <w:jc w:val="center"/>
              <w:rPr>
                <w:kern w:val="0"/>
                <w:sz w:val="18"/>
                <w:szCs w:val="18"/>
              </w:rPr>
            </w:pPr>
            <w:r>
              <w:rPr>
                <w:rFonts w:hint="eastAsia"/>
                <w:sz w:val="18"/>
              </w:rPr>
              <w:t xml:space="preserve">9.23 </w:t>
            </w:r>
          </w:p>
        </w:tc>
        <w:tc>
          <w:tcPr>
            <w:tcW w:w="302" w:type="pct"/>
            <w:shd w:val="clear" w:color="auto" w:fill="auto"/>
            <w:noWrap/>
            <w:vAlign w:val="center"/>
          </w:tcPr>
          <w:p>
            <w:pPr>
              <w:widowControl/>
              <w:jc w:val="center"/>
              <w:rPr>
                <w:kern w:val="0"/>
                <w:sz w:val="18"/>
                <w:szCs w:val="18"/>
              </w:rPr>
            </w:pPr>
            <w:r>
              <w:rPr>
                <w:rFonts w:hint="eastAsia"/>
                <w:sz w:val="18"/>
              </w:rPr>
              <w:t xml:space="preserve">2.10 </w:t>
            </w:r>
          </w:p>
        </w:tc>
        <w:tc>
          <w:tcPr>
            <w:tcW w:w="261" w:type="pct"/>
            <w:shd w:val="clear" w:color="auto" w:fill="auto"/>
            <w:noWrap/>
            <w:vAlign w:val="center"/>
          </w:tcPr>
          <w:p>
            <w:pPr>
              <w:widowControl/>
              <w:jc w:val="center"/>
              <w:rPr>
                <w:kern w:val="0"/>
                <w:sz w:val="18"/>
                <w:szCs w:val="18"/>
              </w:rPr>
            </w:pPr>
            <w:r>
              <w:rPr>
                <w:rFonts w:hint="eastAsia"/>
                <w:sz w:val="18"/>
              </w:rPr>
              <w:t xml:space="preserve">4.20 </w:t>
            </w:r>
          </w:p>
        </w:tc>
        <w:tc>
          <w:tcPr>
            <w:tcW w:w="261" w:type="pct"/>
            <w:shd w:val="clear" w:color="auto" w:fill="auto"/>
            <w:noWrap/>
            <w:vAlign w:val="center"/>
          </w:tcPr>
          <w:p>
            <w:pPr>
              <w:widowControl/>
              <w:jc w:val="center"/>
              <w:rPr>
                <w:kern w:val="0"/>
                <w:sz w:val="18"/>
                <w:szCs w:val="18"/>
              </w:rPr>
            </w:pPr>
            <w:r>
              <w:rPr>
                <w:rFonts w:hint="eastAsia"/>
                <w:sz w:val="18"/>
              </w:rPr>
              <w:t xml:space="preserve">3.36 </w:t>
            </w:r>
          </w:p>
        </w:tc>
        <w:tc>
          <w:tcPr>
            <w:tcW w:w="261" w:type="pct"/>
            <w:shd w:val="clear" w:color="auto" w:fill="auto"/>
            <w:noWrap/>
            <w:vAlign w:val="center"/>
          </w:tcPr>
          <w:p>
            <w:pPr>
              <w:widowControl/>
              <w:jc w:val="center"/>
              <w:rPr>
                <w:kern w:val="0"/>
                <w:sz w:val="18"/>
                <w:szCs w:val="18"/>
              </w:rPr>
            </w:pPr>
            <w:r>
              <w:rPr>
                <w:rFonts w:hint="eastAsia"/>
                <w:sz w:val="18"/>
              </w:rPr>
              <w:t xml:space="preserve">7.13 </w:t>
            </w:r>
          </w:p>
        </w:tc>
        <w:tc>
          <w:tcPr>
            <w:tcW w:w="261" w:type="pct"/>
            <w:shd w:val="clear" w:color="auto" w:fill="auto"/>
            <w:noWrap/>
            <w:vAlign w:val="center"/>
          </w:tcPr>
          <w:p>
            <w:pPr>
              <w:widowControl/>
              <w:jc w:val="center"/>
              <w:rPr>
                <w:kern w:val="0"/>
                <w:sz w:val="18"/>
                <w:szCs w:val="18"/>
              </w:rPr>
            </w:pPr>
            <w:r>
              <w:rPr>
                <w:rFonts w:hint="eastAsia"/>
                <w:sz w:val="18"/>
              </w:rPr>
              <w:t xml:space="preserve">4.20 </w:t>
            </w:r>
          </w:p>
        </w:tc>
        <w:tc>
          <w:tcPr>
            <w:tcW w:w="261" w:type="pct"/>
            <w:shd w:val="clear" w:color="auto" w:fill="auto"/>
            <w:noWrap/>
            <w:vAlign w:val="center"/>
          </w:tcPr>
          <w:p>
            <w:pPr>
              <w:widowControl/>
              <w:jc w:val="center"/>
              <w:rPr>
                <w:kern w:val="0"/>
                <w:sz w:val="18"/>
                <w:szCs w:val="18"/>
              </w:rPr>
            </w:pPr>
            <w:r>
              <w:rPr>
                <w:rFonts w:hint="eastAsia"/>
                <w:sz w:val="18"/>
              </w:rPr>
              <w:t xml:space="preserve">5.17 </w:t>
            </w:r>
          </w:p>
        </w:tc>
        <w:tc>
          <w:tcPr>
            <w:tcW w:w="261" w:type="pct"/>
            <w:shd w:val="clear" w:color="auto" w:fill="auto"/>
            <w:noWrap/>
            <w:vAlign w:val="center"/>
          </w:tcPr>
          <w:p>
            <w:pPr>
              <w:widowControl/>
              <w:jc w:val="center"/>
              <w:rPr>
                <w:kern w:val="0"/>
                <w:sz w:val="18"/>
                <w:szCs w:val="18"/>
              </w:rPr>
            </w:pPr>
            <w:r>
              <w:rPr>
                <w:rFonts w:hint="eastAsia"/>
                <w:sz w:val="18"/>
              </w:rPr>
              <w:t xml:space="preserve">4.48 </w:t>
            </w:r>
          </w:p>
        </w:tc>
        <w:tc>
          <w:tcPr>
            <w:tcW w:w="297" w:type="pct"/>
            <w:shd w:val="clear" w:color="auto" w:fill="auto"/>
            <w:noWrap/>
            <w:vAlign w:val="center"/>
          </w:tcPr>
          <w:p>
            <w:pPr>
              <w:widowControl/>
              <w:jc w:val="center"/>
              <w:rPr>
                <w:kern w:val="0"/>
                <w:sz w:val="18"/>
                <w:szCs w:val="18"/>
              </w:rPr>
            </w:pPr>
            <w:r>
              <w:rPr>
                <w:rFonts w:hint="eastAsia"/>
                <w:sz w:val="18"/>
              </w:rPr>
              <w:t xml:space="preserve">4.06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5月</w:t>
            </w:r>
          </w:p>
        </w:tc>
        <w:tc>
          <w:tcPr>
            <w:tcW w:w="302" w:type="pct"/>
            <w:shd w:val="clear" w:color="auto" w:fill="auto"/>
            <w:noWrap/>
            <w:vAlign w:val="center"/>
          </w:tcPr>
          <w:p>
            <w:pPr>
              <w:widowControl/>
              <w:jc w:val="center"/>
              <w:rPr>
                <w:kern w:val="0"/>
                <w:sz w:val="18"/>
                <w:szCs w:val="18"/>
              </w:rPr>
            </w:pPr>
            <w:r>
              <w:rPr>
                <w:rFonts w:hint="eastAsia"/>
                <w:sz w:val="18"/>
              </w:rPr>
              <w:t xml:space="preserve">13.43 </w:t>
            </w:r>
          </w:p>
        </w:tc>
        <w:tc>
          <w:tcPr>
            <w:tcW w:w="302" w:type="pct"/>
            <w:shd w:val="clear" w:color="auto" w:fill="auto"/>
            <w:noWrap/>
            <w:vAlign w:val="center"/>
          </w:tcPr>
          <w:p>
            <w:pPr>
              <w:widowControl/>
              <w:jc w:val="center"/>
              <w:rPr>
                <w:kern w:val="0"/>
                <w:sz w:val="18"/>
                <w:szCs w:val="18"/>
              </w:rPr>
            </w:pPr>
            <w:r>
              <w:rPr>
                <w:rFonts w:hint="eastAsia"/>
                <w:sz w:val="18"/>
              </w:rPr>
              <w:t xml:space="preserve">18.18 </w:t>
            </w:r>
          </w:p>
        </w:tc>
        <w:tc>
          <w:tcPr>
            <w:tcW w:w="302" w:type="pct"/>
            <w:shd w:val="clear" w:color="auto" w:fill="auto"/>
            <w:noWrap/>
            <w:vAlign w:val="center"/>
          </w:tcPr>
          <w:p>
            <w:pPr>
              <w:widowControl/>
              <w:jc w:val="center"/>
              <w:rPr>
                <w:kern w:val="0"/>
                <w:sz w:val="18"/>
                <w:szCs w:val="18"/>
              </w:rPr>
            </w:pPr>
            <w:r>
              <w:rPr>
                <w:rFonts w:hint="eastAsia"/>
                <w:sz w:val="18"/>
              </w:rPr>
              <w:t xml:space="preserve">7.60 </w:t>
            </w:r>
          </w:p>
        </w:tc>
        <w:tc>
          <w:tcPr>
            <w:tcW w:w="261" w:type="pct"/>
            <w:shd w:val="clear" w:color="auto" w:fill="auto"/>
            <w:noWrap/>
            <w:vAlign w:val="center"/>
          </w:tcPr>
          <w:p>
            <w:pPr>
              <w:widowControl/>
              <w:jc w:val="center"/>
              <w:rPr>
                <w:kern w:val="0"/>
                <w:sz w:val="18"/>
                <w:szCs w:val="18"/>
              </w:rPr>
            </w:pPr>
            <w:r>
              <w:rPr>
                <w:rFonts w:hint="eastAsia"/>
                <w:sz w:val="18"/>
              </w:rPr>
              <w:t xml:space="preserve">2.17 </w:t>
            </w:r>
          </w:p>
        </w:tc>
        <w:tc>
          <w:tcPr>
            <w:tcW w:w="302" w:type="pct"/>
            <w:shd w:val="clear" w:color="auto" w:fill="auto"/>
            <w:noWrap/>
            <w:vAlign w:val="center"/>
          </w:tcPr>
          <w:p>
            <w:pPr>
              <w:widowControl/>
              <w:jc w:val="center"/>
              <w:rPr>
                <w:kern w:val="0"/>
                <w:sz w:val="18"/>
                <w:szCs w:val="18"/>
              </w:rPr>
            </w:pPr>
            <w:r>
              <w:rPr>
                <w:rFonts w:hint="eastAsia"/>
                <w:sz w:val="18"/>
              </w:rPr>
              <w:t xml:space="preserve">4.48 </w:t>
            </w:r>
          </w:p>
        </w:tc>
        <w:tc>
          <w:tcPr>
            <w:tcW w:w="261" w:type="pct"/>
            <w:shd w:val="clear" w:color="auto" w:fill="auto"/>
            <w:noWrap/>
            <w:vAlign w:val="center"/>
          </w:tcPr>
          <w:p>
            <w:pPr>
              <w:widowControl/>
              <w:jc w:val="center"/>
              <w:rPr>
                <w:kern w:val="0"/>
                <w:sz w:val="18"/>
                <w:szCs w:val="18"/>
              </w:rPr>
            </w:pPr>
            <w:r>
              <w:rPr>
                <w:rFonts w:hint="eastAsia"/>
                <w:sz w:val="18"/>
              </w:rPr>
              <w:t xml:space="preserve">0.81 </w:t>
            </w:r>
          </w:p>
        </w:tc>
        <w:tc>
          <w:tcPr>
            <w:tcW w:w="261" w:type="pct"/>
            <w:shd w:val="clear" w:color="auto" w:fill="auto"/>
            <w:noWrap/>
            <w:vAlign w:val="center"/>
          </w:tcPr>
          <w:p>
            <w:pPr>
              <w:widowControl/>
              <w:jc w:val="center"/>
              <w:rPr>
                <w:kern w:val="0"/>
                <w:sz w:val="18"/>
                <w:szCs w:val="18"/>
              </w:rPr>
            </w:pPr>
            <w:r>
              <w:rPr>
                <w:rFonts w:hint="eastAsia"/>
                <w:sz w:val="18"/>
              </w:rPr>
              <w:t xml:space="preserve">2.17 </w:t>
            </w:r>
          </w:p>
        </w:tc>
        <w:tc>
          <w:tcPr>
            <w:tcW w:w="261" w:type="pct"/>
            <w:shd w:val="clear" w:color="auto" w:fill="auto"/>
            <w:noWrap/>
            <w:vAlign w:val="center"/>
          </w:tcPr>
          <w:p>
            <w:pPr>
              <w:widowControl/>
              <w:jc w:val="center"/>
              <w:rPr>
                <w:kern w:val="0"/>
                <w:sz w:val="18"/>
                <w:szCs w:val="18"/>
              </w:rPr>
            </w:pPr>
            <w:r>
              <w:rPr>
                <w:rFonts w:hint="eastAsia"/>
                <w:sz w:val="18"/>
              </w:rPr>
              <w:t xml:space="preserve">2.85 </w:t>
            </w:r>
          </w:p>
        </w:tc>
        <w:tc>
          <w:tcPr>
            <w:tcW w:w="302" w:type="pct"/>
            <w:shd w:val="clear" w:color="auto" w:fill="auto"/>
            <w:noWrap/>
            <w:vAlign w:val="center"/>
          </w:tcPr>
          <w:p>
            <w:pPr>
              <w:widowControl/>
              <w:jc w:val="center"/>
              <w:rPr>
                <w:kern w:val="0"/>
                <w:sz w:val="18"/>
                <w:szCs w:val="18"/>
              </w:rPr>
            </w:pPr>
            <w:r>
              <w:rPr>
                <w:rFonts w:hint="eastAsia"/>
                <w:sz w:val="18"/>
              </w:rPr>
              <w:t xml:space="preserve">10.85 </w:t>
            </w:r>
          </w:p>
        </w:tc>
        <w:tc>
          <w:tcPr>
            <w:tcW w:w="302" w:type="pct"/>
            <w:shd w:val="clear" w:color="auto" w:fill="auto"/>
            <w:noWrap/>
            <w:vAlign w:val="center"/>
          </w:tcPr>
          <w:p>
            <w:pPr>
              <w:widowControl/>
              <w:jc w:val="center"/>
              <w:rPr>
                <w:kern w:val="0"/>
                <w:sz w:val="18"/>
                <w:szCs w:val="18"/>
              </w:rPr>
            </w:pPr>
            <w:r>
              <w:rPr>
                <w:rFonts w:hint="eastAsia"/>
                <w:sz w:val="18"/>
              </w:rPr>
              <w:t xml:space="preserve">4.07 </w:t>
            </w:r>
          </w:p>
        </w:tc>
        <w:tc>
          <w:tcPr>
            <w:tcW w:w="261" w:type="pct"/>
            <w:shd w:val="clear" w:color="auto" w:fill="auto"/>
            <w:noWrap/>
            <w:vAlign w:val="center"/>
          </w:tcPr>
          <w:p>
            <w:pPr>
              <w:widowControl/>
              <w:jc w:val="center"/>
              <w:rPr>
                <w:kern w:val="0"/>
                <w:sz w:val="18"/>
                <w:szCs w:val="18"/>
              </w:rPr>
            </w:pPr>
            <w:r>
              <w:rPr>
                <w:rFonts w:hint="eastAsia"/>
                <w:sz w:val="18"/>
              </w:rPr>
              <w:t xml:space="preserve">2.85 </w:t>
            </w:r>
          </w:p>
        </w:tc>
        <w:tc>
          <w:tcPr>
            <w:tcW w:w="261" w:type="pct"/>
            <w:shd w:val="clear" w:color="auto" w:fill="auto"/>
            <w:noWrap/>
            <w:vAlign w:val="center"/>
          </w:tcPr>
          <w:p>
            <w:pPr>
              <w:widowControl/>
              <w:jc w:val="center"/>
              <w:rPr>
                <w:kern w:val="0"/>
                <w:sz w:val="18"/>
                <w:szCs w:val="18"/>
              </w:rPr>
            </w:pPr>
            <w:r>
              <w:rPr>
                <w:rFonts w:hint="eastAsia"/>
                <w:sz w:val="18"/>
              </w:rPr>
              <w:t xml:space="preserve">2.58 </w:t>
            </w:r>
          </w:p>
        </w:tc>
        <w:tc>
          <w:tcPr>
            <w:tcW w:w="261" w:type="pct"/>
            <w:shd w:val="clear" w:color="auto" w:fill="auto"/>
            <w:noWrap/>
            <w:vAlign w:val="center"/>
          </w:tcPr>
          <w:p>
            <w:pPr>
              <w:widowControl/>
              <w:jc w:val="center"/>
              <w:rPr>
                <w:kern w:val="0"/>
                <w:sz w:val="18"/>
                <w:szCs w:val="18"/>
              </w:rPr>
            </w:pPr>
            <w:r>
              <w:rPr>
                <w:rFonts w:hint="eastAsia"/>
                <w:sz w:val="18"/>
              </w:rPr>
              <w:t xml:space="preserve">9.77 </w:t>
            </w:r>
          </w:p>
        </w:tc>
        <w:tc>
          <w:tcPr>
            <w:tcW w:w="261" w:type="pct"/>
            <w:shd w:val="clear" w:color="auto" w:fill="auto"/>
            <w:noWrap/>
            <w:vAlign w:val="center"/>
          </w:tcPr>
          <w:p>
            <w:pPr>
              <w:widowControl/>
              <w:jc w:val="center"/>
              <w:rPr>
                <w:kern w:val="0"/>
                <w:sz w:val="18"/>
                <w:szCs w:val="18"/>
              </w:rPr>
            </w:pPr>
            <w:r>
              <w:rPr>
                <w:rFonts w:hint="eastAsia"/>
                <w:sz w:val="18"/>
              </w:rPr>
              <w:t xml:space="preserve">6.65 </w:t>
            </w:r>
          </w:p>
        </w:tc>
        <w:tc>
          <w:tcPr>
            <w:tcW w:w="261" w:type="pct"/>
            <w:shd w:val="clear" w:color="auto" w:fill="auto"/>
            <w:noWrap/>
            <w:vAlign w:val="center"/>
          </w:tcPr>
          <w:p>
            <w:pPr>
              <w:widowControl/>
              <w:jc w:val="center"/>
              <w:rPr>
                <w:kern w:val="0"/>
                <w:sz w:val="18"/>
                <w:szCs w:val="18"/>
              </w:rPr>
            </w:pPr>
            <w:r>
              <w:rPr>
                <w:rFonts w:hint="eastAsia"/>
                <w:sz w:val="18"/>
              </w:rPr>
              <w:t xml:space="preserve">5.56 </w:t>
            </w:r>
          </w:p>
        </w:tc>
        <w:tc>
          <w:tcPr>
            <w:tcW w:w="261" w:type="pct"/>
            <w:shd w:val="clear" w:color="auto" w:fill="auto"/>
            <w:noWrap/>
            <w:vAlign w:val="center"/>
          </w:tcPr>
          <w:p>
            <w:pPr>
              <w:widowControl/>
              <w:jc w:val="center"/>
              <w:rPr>
                <w:kern w:val="0"/>
                <w:sz w:val="18"/>
                <w:szCs w:val="18"/>
              </w:rPr>
            </w:pPr>
            <w:r>
              <w:rPr>
                <w:rFonts w:hint="eastAsia"/>
                <w:sz w:val="18"/>
              </w:rPr>
              <w:t xml:space="preserve">2.71 </w:t>
            </w:r>
          </w:p>
        </w:tc>
        <w:tc>
          <w:tcPr>
            <w:tcW w:w="297" w:type="pct"/>
            <w:shd w:val="clear" w:color="auto" w:fill="auto"/>
            <w:noWrap/>
            <w:vAlign w:val="center"/>
          </w:tcPr>
          <w:p>
            <w:pPr>
              <w:widowControl/>
              <w:jc w:val="center"/>
              <w:rPr>
                <w:kern w:val="0"/>
                <w:sz w:val="18"/>
                <w:szCs w:val="18"/>
              </w:rPr>
            </w:pPr>
            <w:r>
              <w:rPr>
                <w:rFonts w:hint="eastAsia"/>
                <w:sz w:val="18"/>
              </w:rPr>
              <w:t xml:space="preserve">3.26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6月</w:t>
            </w:r>
          </w:p>
        </w:tc>
        <w:tc>
          <w:tcPr>
            <w:tcW w:w="302" w:type="pct"/>
            <w:shd w:val="clear" w:color="auto" w:fill="auto"/>
            <w:noWrap/>
            <w:vAlign w:val="center"/>
          </w:tcPr>
          <w:p>
            <w:pPr>
              <w:widowControl/>
              <w:jc w:val="center"/>
              <w:rPr>
                <w:kern w:val="0"/>
                <w:sz w:val="18"/>
                <w:szCs w:val="18"/>
              </w:rPr>
            </w:pPr>
            <w:r>
              <w:rPr>
                <w:rFonts w:hint="eastAsia"/>
                <w:sz w:val="18"/>
              </w:rPr>
              <w:t xml:space="preserve">13.92 </w:t>
            </w:r>
          </w:p>
        </w:tc>
        <w:tc>
          <w:tcPr>
            <w:tcW w:w="302" w:type="pct"/>
            <w:shd w:val="clear" w:color="auto" w:fill="auto"/>
            <w:noWrap/>
            <w:vAlign w:val="center"/>
          </w:tcPr>
          <w:p>
            <w:pPr>
              <w:widowControl/>
              <w:jc w:val="center"/>
              <w:rPr>
                <w:kern w:val="0"/>
                <w:sz w:val="18"/>
                <w:szCs w:val="18"/>
              </w:rPr>
            </w:pPr>
            <w:r>
              <w:rPr>
                <w:rFonts w:hint="eastAsia"/>
                <w:sz w:val="18"/>
              </w:rPr>
              <w:t xml:space="preserve">19.55 </w:t>
            </w:r>
          </w:p>
        </w:tc>
        <w:tc>
          <w:tcPr>
            <w:tcW w:w="302" w:type="pct"/>
            <w:shd w:val="clear" w:color="auto" w:fill="auto"/>
            <w:noWrap/>
            <w:vAlign w:val="center"/>
          </w:tcPr>
          <w:p>
            <w:pPr>
              <w:widowControl/>
              <w:jc w:val="center"/>
              <w:rPr>
                <w:kern w:val="0"/>
                <w:sz w:val="18"/>
                <w:szCs w:val="18"/>
              </w:rPr>
            </w:pPr>
            <w:r>
              <w:rPr>
                <w:rFonts w:hint="eastAsia"/>
                <w:sz w:val="18"/>
              </w:rPr>
              <w:t xml:space="preserve">10.97 </w:t>
            </w:r>
          </w:p>
        </w:tc>
        <w:tc>
          <w:tcPr>
            <w:tcW w:w="261" w:type="pct"/>
            <w:shd w:val="clear" w:color="auto" w:fill="auto"/>
            <w:noWrap/>
            <w:vAlign w:val="center"/>
          </w:tcPr>
          <w:p>
            <w:pPr>
              <w:widowControl/>
              <w:jc w:val="center"/>
              <w:rPr>
                <w:kern w:val="0"/>
                <w:sz w:val="18"/>
                <w:szCs w:val="18"/>
              </w:rPr>
            </w:pPr>
            <w:r>
              <w:rPr>
                <w:rFonts w:hint="eastAsia"/>
                <w:sz w:val="18"/>
              </w:rPr>
              <w:t xml:space="preserve">4.36 </w:t>
            </w:r>
          </w:p>
        </w:tc>
        <w:tc>
          <w:tcPr>
            <w:tcW w:w="302" w:type="pct"/>
            <w:shd w:val="clear" w:color="auto" w:fill="auto"/>
            <w:noWrap/>
            <w:vAlign w:val="center"/>
          </w:tcPr>
          <w:p>
            <w:pPr>
              <w:widowControl/>
              <w:jc w:val="center"/>
              <w:rPr>
                <w:kern w:val="0"/>
                <w:sz w:val="18"/>
                <w:szCs w:val="18"/>
              </w:rPr>
            </w:pPr>
            <w:r>
              <w:rPr>
                <w:rFonts w:hint="eastAsia"/>
                <w:sz w:val="18"/>
              </w:rPr>
              <w:t xml:space="preserve">6.75 </w:t>
            </w:r>
          </w:p>
        </w:tc>
        <w:tc>
          <w:tcPr>
            <w:tcW w:w="261" w:type="pct"/>
            <w:shd w:val="clear" w:color="auto" w:fill="auto"/>
            <w:noWrap/>
            <w:vAlign w:val="center"/>
          </w:tcPr>
          <w:p>
            <w:pPr>
              <w:widowControl/>
              <w:jc w:val="center"/>
              <w:rPr>
                <w:kern w:val="0"/>
                <w:sz w:val="18"/>
                <w:szCs w:val="18"/>
              </w:rPr>
            </w:pPr>
            <w:r>
              <w:rPr>
                <w:rFonts w:hint="eastAsia"/>
                <w:sz w:val="18"/>
              </w:rPr>
              <w:t xml:space="preserve">2.39 </w:t>
            </w:r>
          </w:p>
        </w:tc>
        <w:tc>
          <w:tcPr>
            <w:tcW w:w="261" w:type="pct"/>
            <w:shd w:val="clear" w:color="auto" w:fill="auto"/>
            <w:noWrap/>
            <w:vAlign w:val="center"/>
          </w:tcPr>
          <w:p>
            <w:pPr>
              <w:widowControl/>
              <w:jc w:val="center"/>
              <w:rPr>
                <w:kern w:val="0"/>
                <w:sz w:val="18"/>
                <w:szCs w:val="18"/>
              </w:rPr>
            </w:pPr>
            <w:r>
              <w:rPr>
                <w:rFonts w:hint="eastAsia"/>
                <w:sz w:val="18"/>
              </w:rPr>
              <w:t xml:space="preserve">3.09 </w:t>
            </w:r>
          </w:p>
        </w:tc>
        <w:tc>
          <w:tcPr>
            <w:tcW w:w="261" w:type="pct"/>
            <w:shd w:val="clear" w:color="auto" w:fill="auto"/>
            <w:noWrap/>
            <w:vAlign w:val="center"/>
          </w:tcPr>
          <w:p>
            <w:pPr>
              <w:widowControl/>
              <w:jc w:val="center"/>
              <w:rPr>
                <w:kern w:val="0"/>
                <w:sz w:val="18"/>
                <w:szCs w:val="18"/>
              </w:rPr>
            </w:pPr>
            <w:r>
              <w:rPr>
                <w:rFonts w:hint="eastAsia"/>
                <w:sz w:val="18"/>
              </w:rPr>
              <w:t xml:space="preserve">3.94 </w:t>
            </w:r>
          </w:p>
        </w:tc>
        <w:tc>
          <w:tcPr>
            <w:tcW w:w="302" w:type="pct"/>
            <w:shd w:val="clear" w:color="auto" w:fill="auto"/>
            <w:noWrap/>
            <w:vAlign w:val="center"/>
          </w:tcPr>
          <w:p>
            <w:pPr>
              <w:widowControl/>
              <w:jc w:val="center"/>
              <w:rPr>
                <w:kern w:val="0"/>
                <w:sz w:val="18"/>
                <w:szCs w:val="18"/>
              </w:rPr>
            </w:pPr>
            <w:r>
              <w:rPr>
                <w:rFonts w:hint="eastAsia"/>
                <w:sz w:val="18"/>
              </w:rPr>
              <w:t xml:space="preserve">11.95 </w:t>
            </w:r>
          </w:p>
        </w:tc>
        <w:tc>
          <w:tcPr>
            <w:tcW w:w="302" w:type="pct"/>
            <w:shd w:val="clear" w:color="auto" w:fill="auto"/>
            <w:noWrap/>
            <w:vAlign w:val="center"/>
          </w:tcPr>
          <w:p>
            <w:pPr>
              <w:widowControl/>
              <w:jc w:val="center"/>
              <w:rPr>
                <w:kern w:val="0"/>
                <w:sz w:val="18"/>
                <w:szCs w:val="18"/>
              </w:rPr>
            </w:pPr>
            <w:r>
              <w:rPr>
                <w:rFonts w:hint="eastAsia"/>
                <w:sz w:val="18"/>
              </w:rPr>
              <w:t xml:space="preserve">4.08 </w:t>
            </w:r>
          </w:p>
        </w:tc>
        <w:tc>
          <w:tcPr>
            <w:tcW w:w="261" w:type="pct"/>
            <w:shd w:val="clear" w:color="auto" w:fill="auto"/>
            <w:noWrap/>
            <w:vAlign w:val="center"/>
          </w:tcPr>
          <w:p>
            <w:pPr>
              <w:widowControl/>
              <w:jc w:val="center"/>
              <w:rPr>
                <w:kern w:val="0"/>
                <w:sz w:val="18"/>
                <w:szCs w:val="18"/>
              </w:rPr>
            </w:pPr>
            <w:r>
              <w:rPr>
                <w:rFonts w:hint="eastAsia"/>
                <w:sz w:val="18"/>
              </w:rPr>
              <w:t xml:space="preserve">0.98 </w:t>
            </w:r>
          </w:p>
        </w:tc>
        <w:tc>
          <w:tcPr>
            <w:tcW w:w="261" w:type="pct"/>
            <w:shd w:val="clear" w:color="auto" w:fill="auto"/>
            <w:noWrap/>
            <w:vAlign w:val="center"/>
          </w:tcPr>
          <w:p>
            <w:pPr>
              <w:widowControl/>
              <w:jc w:val="center"/>
              <w:rPr>
                <w:kern w:val="0"/>
                <w:sz w:val="18"/>
                <w:szCs w:val="18"/>
              </w:rPr>
            </w:pPr>
            <w:r>
              <w:rPr>
                <w:rFonts w:hint="eastAsia"/>
                <w:sz w:val="18"/>
              </w:rPr>
              <w:t xml:space="preserve">2.81 </w:t>
            </w:r>
          </w:p>
        </w:tc>
        <w:tc>
          <w:tcPr>
            <w:tcW w:w="261" w:type="pct"/>
            <w:shd w:val="clear" w:color="auto" w:fill="auto"/>
            <w:noWrap/>
            <w:vAlign w:val="center"/>
          </w:tcPr>
          <w:p>
            <w:pPr>
              <w:widowControl/>
              <w:jc w:val="center"/>
              <w:rPr>
                <w:kern w:val="0"/>
                <w:sz w:val="18"/>
                <w:szCs w:val="18"/>
              </w:rPr>
            </w:pPr>
            <w:r>
              <w:rPr>
                <w:rFonts w:hint="eastAsia"/>
                <w:sz w:val="18"/>
              </w:rPr>
              <w:t xml:space="preserve">4.08 </w:t>
            </w:r>
          </w:p>
        </w:tc>
        <w:tc>
          <w:tcPr>
            <w:tcW w:w="261" w:type="pct"/>
            <w:shd w:val="clear" w:color="auto" w:fill="auto"/>
            <w:noWrap/>
            <w:vAlign w:val="center"/>
          </w:tcPr>
          <w:p>
            <w:pPr>
              <w:widowControl/>
              <w:jc w:val="center"/>
              <w:rPr>
                <w:kern w:val="0"/>
                <w:sz w:val="18"/>
                <w:szCs w:val="18"/>
              </w:rPr>
            </w:pPr>
            <w:r>
              <w:rPr>
                <w:rFonts w:hint="eastAsia"/>
                <w:sz w:val="18"/>
              </w:rPr>
              <w:t xml:space="preserve">3.09 </w:t>
            </w:r>
          </w:p>
        </w:tc>
        <w:tc>
          <w:tcPr>
            <w:tcW w:w="261" w:type="pct"/>
            <w:shd w:val="clear" w:color="auto" w:fill="auto"/>
            <w:noWrap/>
            <w:vAlign w:val="center"/>
          </w:tcPr>
          <w:p>
            <w:pPr>
              <w:widowControl/>
              <w:jc w:val="center"/>
              <w:rPr>
                <w:kern w:val="0"/>
                <w:sz w:val="18"/>
                <w:szCs w:val="18"/>
              </w:rPr>
            </w:pPr>
            <w:r>
              <w:rPr>
                <w:rFonts w:hint="eastAsia"/>
                <w:sz w:val="18"/>
              </w:rPr>
              <w:t xml:space="preserve">1.97 </w:t>
            </w:r>
          </w:p>
        </w:tc>
        <w:tc>
          <w:tcPr>
            <w:tcW w:w="261" w:type="pct"/>
            <w:shd w:val="clear" w:color="auto" w:fill="auto"/>
            <w:noWrap/>
            <w:vAlign w:val="center"/>
          </w:tcPr>
          <w:p>
            <w:pPr>
              <w:widowControl/>
              <w:jc w:val="center"/>
              <w:rPr>
                <w:kern w:val="0"/>
                <w:sz w:val="18"/>
                <w:szCs w:val="18"/>
              </w:rPr>
            </w:pPr>
            <w:r>
              <w:rPr>
                <w:rFonts w:hint="eastAsia"/>
                <w:sz w:val="18"/>
              </w:rPr>
              <w:t xml:space="preserve">3.23 </w:t>
            </w:r>
          </w:p>
        </w:tc>
        <w:tc>
          <w:tcPr>
            <w:tcW w:w="297" w:type="pct"/>
            <w:shd w:val="clear" w:color="auto" w:fill="auto"/>
            <w:noWrap/>
            <w:vAlign w:val="center"/>
          </w:tcPr>
          <w:p>
            <w:pPr>
              <w:widowControl/>
              <w:jc w:val="center"/>
              <w:rPr>
                <w:kern w:val="0"/>
                <w:sz w:val="18"/>
                <w:szCs w:val="18"/>
              </w:rPr>
            </w:pPr>
            <w:r>
              <w:rPr>
                <w:rFonts w:hint="eastAsia"/>
                <w:sz w:val="18"/>
              </w:rPr>
              <w:t xml:space="preserve">2.81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7月</w:t>
            </w:r>
          </w:p>
        </w:tc>
        <w:tc>
          <w:tcPr>
            <w:tcW w:w="302" w:type="pct"/>
            <w:shd w:val="clear" w:color="auto" w:fill="auto"/>
            <w:noWrap/>
            <w:vAlign w:val="center"/>
          </w:tcPr>
          <w:p>
            <w:pPr>
              <w:widowControl/>
              <w:jc w:val="center"/>
              <w:rPr>
                <w:kern w:val="0"/>
                <w:sz w:val="18"/>
                <w:szCs w:val="18"/>
              </w:rPr>
            </w:pPr>
            <w:r>
              <w:rPr>
                <w:rFonts w:hint="eastAsia"/>
                <w:sz w:val="18"/>
              </w:rPr>
              <w:t xml:space="preserve">10.37 </w:t>
            </w:r>
          </w:p>
        </w:tc>
        <w:tc>
          <w:tcPr>
            <w:tcW w:w="302" w:type="pct"/>
            <w:shd w:val="clear" w:color="auto" w:fill="auto"/>
            <w:noWrap/>
            <w:vAlign w:val="center"/>
          </w:tcPr>
          <w:p>
            <w:pPr>
              <w:widowControl/>
              <w:jc w:val="center"/>
              <w:rPr>
                <w:kern w:val="0"/>
                <w:sz w:val="18"/>
                <w:szCs w:val="18"/>
              </w:rPr>
            </w:pPr>
            <w:r>
              <w:rPr>
                <w:rFonts w:hint="eastAsia"/>
                <w:sz w:val="18"/>
              </w:rPr>
              <w:t xml:space="preserve">17.74 </w:t>
            </w:r>
          </w:p>
        </w:tc>
        <w:tc>
          <w:tcPr>
            <w:tcW w:w="302" w:type="pct"/>
            <w:shd w:val="clear" w:color="auto" w:fill="auto"/>
            <w:noWrap/>
            <w:vAlign w:val="center"/>
          </w:tcPr>
          <w:p>
            <w:pPr>
              <w:widowControl/>
              <w:jc w:val="center"/>
              <w:rPr>
                <w:kern w:val="0"/>
                <w:sz w:val="18"/>
                <w:szCs w:val="18"/>
              </w:rPr>
            </w:pPr>
            <w:r>
              <w:rPr>
                <w:rFonts w:hint="eastAsia"/>
                <w:sz w:val="18"/>
              </w:rPr>
              <w:t xml:space="preserve">9.14 </w:t>
            </w:r>
          </w:p>
        </w:tc>
        <w:tc>
          <w:tcPr>
            <w:tcW w:w="261" w:type="pct"/>
            <w:shd w:val="clear" w:color="auto" w:fill="auto"/>
            <w:noWrap/>
            <w:vAlign w:val="center"/>
          </w:tcPr>
          <w:p>
            <w:pPr>
              <w:widowControl/>
              <w:jc w:val="center"/>
              <w:rPr>
                <w:kern w:val="0"/>
                <w:sz w:val="18"/>
                <w:szCs w:val="18"/>
              </w:rPr>
            </w:pPr>
            <w:r>
              <w:rPr>
                <w:rFonts w:hint="eastAsia"/>
                <w:sz w:val="18"/>
              </w:rPr>
              <w:t xml:space="preserve">5.32 </w:t>
            </w:r>
          </w:p>
        </w:tc>
        <w:tc>
          <w:tcPr>
            <w:tcW w:w="302" w:type="pct"/>
            <w:shd w:val="clear" w:color="auto" w:fill="auto"/>
            <w:noWrap/>
            <w:vAlign w:val="center"/>
          </w:tcPr>
          <w:p>
            <w:pPr>
              <w:widowControl/>
              <w:jc w:val="center"/>
              <w:rPr>
                <w:kern w:val="0"/>
                <w:sz w:val="18"/>
                <w:szCs w:val="18"/>
              </w:rPr>
            </w:pPr>
            <w:r>
              <w:rPr>
                <w:rFonts w:hint="eastAsia"/>
                <w:sz w:val="18"/>
              </w:rPr>
              <w:t xml:space="preserve">7.37 </w:t>
            </w:r>
          </w:p>
        </w:tc>
        <w:tc>
          <w:tcPr>
            <w:tcW w:w="261" w:type="pct"/>
            <w:shd w:val="clear" w:color="auto" w:fill="auto"/>
            <w:noWrap/>
            <w:vAlign w:val="center"/>
          </w:tcPr>
          <w:p>
            <w:pPr>
              <w:widowControl/>
              <w:jc w:val="center"/>
              <w:rPr>
                <w:kern w:val="0"/>
                <w:sz w:val="18"/>
                <w:szCs w:val="18"/>
              </w:rPr>
            </w:pPr>
            <w:r>
              <w:rPr>
                <w:rFonts w:hint="eastAsia"/>
                <w:sz w:val="18"/>
              </w:rPr>
              <w:t xml:space="preserve">2.86 </w:t>
            </w:r>
          </w:p>
        </w:tc>
        <w:tc>
          <w:tcPr>
            <w:tcW w:w="261" w:type="pct"/>
            <w:shd w:val="clear" w:color="auto" w:fill="auto"/>
            <w:noWrap/>
            <w:vAlign w:val="center"/>
          </w:tcPr>
          <w:p>
            <w:pPr>
              <w:widowControl/>
              <w:jc w:val="center"/>
              <w:rPr>
                <w:kern w:val="0"/>
                <w:sz w:val="18"/>
                <w:szCs w:val="18"/>
              </w:rPr>
            </w:pPr>
            <w:r>
              <w:rPr>
                <w:rFonts w:hint="eastAsia"/>
                <w:sz w:val="18"/>
              </w:rPr>
              <w:t xml:space="preserve">3.82 </w:t>
            </w:r>
          </w:p>
        </w:tc>
        <w:tc>
          <w:tcPr>
            <w:tcW w:w="261" w:type="pct"/>
            <w:shd w:val="clear" w:color="auto" w:fill="auto"/>
            <w:noWrap/>
            <w:vAlign w:val="center"/>
          </w:tcPr>
          <w:p>
            <w:pPr>
              <w:widowControl/>
              <w:jc w:val="center"/>
              <w:rPr>
                <w:kern w:val="0"/>
                <w:sz w:val="18"/>
                <w:szCs w:val="18"/>
              </w:rPr>
            </w:pPr>
            <w:r>
              <w:rPr>
                <w:rFonts w:hint="eastAsia"/>
                <w:sz w:val="18"/>
              </w:rPr>
              <w:t xml:space="preserve">4.91 </w:t>
            </w:r>
          </w:p>
        </w:tc>
        <w:tc>
          <w:tcPr>
            <w:tcW w:w="302" w:type="pct"/>
            <w:shd w:val="clear" w:color="auto" w:fill="auto"/>
            <w:noWrap/>
            <w:vAlign w:val="center"/>
          </w:tcPr>
          <w:p>
            <w:pPr>
              <w:widowControl/>
              <w:jc w:val="center"/>
              <w:rPr>
                <w:kern w:val="0"/>
                <w:sz w:val="18"/>
                <w:szCs w:val="18"/>
              </w:rPr>
            </w:pPr>
            <w:r>
              <w:rPr>
                <w:rFonts w:hint="eastAsia"/>
                <w:sz w:val="18"/>
              </w:rPr>
              <w:t xml:space="preserve">11.46 </w:t>
            </w:r>
          </w:p>
        </w:tc>
        <w:tc>
          <w:tcPr>
            <w:tcW w:w="302" w:type="pct"/>
            <w:shd w:val="clear" w:color="auto" w:fill="auto"/>
            <w:noWrap/>
            <w:vAlign w:val="center"/>
          </w:tcPr>
          <w:p>
            <w:pPr>
              <w:widowControl/>
              <w:jc w:val="center"/>
              <w:rPr>
                <w:kern w:val="0"/>
                <w:sz w:val="18"/>
                <w:szCs w:val="18"/>
              </w:rPr>
            </w:pPr>
            <w:r>
              <w:rPr>
                <w:rFonts w:hint="eastAsia"/>
                <w:sz w:val="18"/>
              </w:rPr>
              <w:t xml:space="preserve">5.46 </w:t>
            </w:r>
          </w:p>
        </w:tc>
        <w:tc>
          <w:tcPr>
            <w:tcW w:w="261" w:type="pct"/>
            <w:shd w:val="clear" w:color="auto" w:fill="auto"/>
            <w:noWrap/>
            <w:vAlign w:val="center"/>
          </w:tcPr>
          <w:p>
            <w:pPr>
              <w:widowControl/>
              <w:jc w:val="center"/>
              <w:rPr>
                <w:kern w:val="0"/>
                <w:sz w:val="18"/>
                <w:szCs w:val="18"/>
              </w:rPr>
            </w:pPr>
            <w:r>
              <w:rPr>
                <w:rFonts w:hint="eastAsia"/>
                <w:sz w:val="18"/>
              </w:rPr>
              <w:t xml:space="preserve">2.73 </w:t>
            </w:r>
          </w:p>
        </w:tc>
        <w:tc>
          <w:tcPr>
            <w:tcW w:w="261" w:type="pct"/>
            <w:shd w:val="clear" w:color="auto" w:fill="auto"/>
            <w:noWrap/>
            <w:vAlign w:val="center"/>
          </w:tcPr>
          <w:p>
            <w:pPr>
              <w:widowControl/>
              <w:jc w:val="center"/>
              <w:rPr>
                <w:kern w:val="0"/>
                <w:sz w:val="18"/>
                <w:szCs w:val="18"/>
              </w:rPr>
            </w:pPr>
            <w:r>
              <w:rPr>
                <w:rFonts w:hint="eastAsia"/>
                <w:sz w:val="18"/>
              </w:rPr>
              <w:t xml:space="preserve">2.73 </w:t>
            </w:r>
          </w:p>
        </w:tc>
        <w:tc>
          <w:tcPr>
            <w:tcW w:w="261" w:type="pct"/>
            <w:shd w:val="clear" w:color="auto" w:fill="auto"/>
            <w:noWrap/>
            <w:vAlign w:val="center"/>
          </w:tcPr>
          <w:p>
            <w:pPr>
              <w:widowControl/>
              <w:jc w:val="center"/>
              <w:rPr>
                <w:kern w:val="0"/>
                <w:sz w:val="18"/>
                <w:szCs w:val="18"/>
              </w:rPr>
            </w:pPr>
            <w:r>
              <w:rPr>
                <w:rFonts w:hint="eastAsia"/>
                <w:sz w:val="18"/>
              </w:rPr>
              <w:t xml:space="preserve">3.96 </w:t>
            </w:r>
          </w:p>
        </w:tc>
        <w:tc>
          <w:tcPr>
            <w:tcW w:w="261" w:type="pct"/>
            <w:shd w:val="clear" w:color="auto" w:fill="auto"/>
            <w:noWrap/>
            <w:vAlign w:val="center"/>
          </w:tcPr>
          <w:p>
            <w:pPr>
              <w:widowControl/>
              <w:jc w:val="center"/>
              <w:rPr>
                <w:kern w:val="0"/>
                <w:sz w:val="18"/>
                <w:szCs w:val="18"/>
              </w:rPr>
            </w:pPr>
            <w:r>
              <w:rPr>
                <w:rFonts w:hint="eastAsia"/>
                <w:sz w:val="18"/>
              </w:rPr>
              <w:t xml:space="preserve">2.18 </w:t>
            </w:r>
          </w:p>
        </w:tc>
        <w:tc>
          <w:tcPr>
            <w:tcW w:w="261" w:type="pct"/>
            <w:shd w:val="clear" w:color="auto" w:fill="auto"/>
            <w:noWrap/>
            <w:vAlign w:val="center"/>
          </w:tcPr>
          <w:p>
            <w:pPr>
              <w:widowControl/>
              <w:jc w:val="center"/>
              <w:rPr>
                <w:kern w:val="0"/>
                <w:sz w:val="18"/>
                <w:szCs w:val="18"/>
              </w:rPr>
            </w:pPr>
            <w:r>
              <w:rPr>
                <w:rFonts w:hint="eastAsia"/>
                <w:sz w:val="18"/>
              </w:rPr>
              <w:t xml:space="preserve">2.73 </w:t>
            </w:r>
          </w:p>
        </w:tc>
        <w:tc>
          <w:tcPr>
            <w:tcW w:w="261" w:type="pct"/>
            <w:shd w:val="clear" w:color="auto" w:fill="auto"/>
            <w:noWrap/>
            <w:vAlign w:val="center"/>
          </w:tcPr>
          <w:p>
            <w:pPr>
              <w:widowControl/>
              <w:jc w:val="center"/>
              <w:rPr>
                <w:kern w:val="0"/>
                <w:sz w:val="18"/>
                <w:szCs w:val="18"/>
              </w:rPr>
            </w:pPr>
            <w:r>
              <w:rPr>
                <w:rFonts w:hint="eastAsia"/>
                <w:sz w:val="18"/>
              </w:rPr>
              <w:t xml:space="preserve">2.73 </w:t>
            </w:r>
          </w:p>
        </w:tc>
        <w:tc>
          <w:tcPr>
            <w:tcW w:w="297" w:type="pct"/>
            <w:shd w:val="clear" w:color="auto" w:fill="auto"/>
            <w:noWrap/>
            <w:vAlign w:val="center"/>
          </w:tcPr>
          <w:p>
            <w:pPr>
              <w:widowControl/>
              <w:jc w:val="center"/>
              <w:rPr>
                <w:kern w:val="0"/>
                <w:sz w:val="18"/>
                <w:szCs w:val="18"/>
              </w:rPr>
            </w:pPr>
            <w:r>
              <w:rPr>
                <w:rFonts w:hint="eastAsia"/>
                <w:sz w:val="18"/>
              </w:rPr>
              <w:t xml:space="preserve">4.50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8月</w:t>
            </w:r>
          </w:p>
        </w:tc>
        <w:tc>
          <w:tcPr>
            <w:tcW w:w="302" w:type="pct"/>
            <w:shd w:val="clear" w:color="auto" w:fill="auto"/>
            <w:noWrap/>
            <w:vAlign w:val="center"/>
          </w:tcPr>
          <w:p>
            <w:pPr>
              <w:widowControl/>
              <w:jc w:val="center"/>
              <w:rPr>
                <w:kern w:val="0"/>
                <w:sz w:val="18"/>
                <w:szCs w:val="18"/>
              </w:rPr>
            </w:pPr>
            <w:r>
              <w:rPr>
                <w:rFonts w:hint="eastAsia"/>
                <w:sz w:val="18"/>
              </w:rPr>
              <w:t xml:space="preserve">15.60 </w:t>
            </w:r>
          </w:p>
        </w:tc>
        <w:tc>
          <w:tcPr>
            <w:tcW w:w="302" w:type="pct"/>
            <w:shd w:val="clear" w:color="auto" w:fill="auto"/>
            <w:noWrap/>
            <w:vAlign w:val="center"/>
          </w:tcPr>
          <w:p>
            <w:pPr>
              <w:widowControl/>
              <w:jc w:val="center"/>
              <w:rPr>
                <w:kern w:val="0"/>
                <w:sz w:val="18"/>
                <w:szCs w:val="18"/>
              </w:rPr>
            </w:pPr>
            <w:r>
              <w:rPr>
                <w:rFonts w:hint="eastAsia"/>
                <w:sz w:val="18"/>
              </w:rPr>
              <w:t xml:space="preserve">21.85 </w:t>
            </w:r>
          </w:p>
        </w:tc>
        <w:tc>
          <w:tcPr>
            <w:tcW w:w="302" w:type="pct"/>
            <w:shd w:val="clear" w:color="auto" w:fill="auto"/>
            <w:noWrap/>
            <w:vAlign w:val="center"/>
          </w:tcPr>
          <w:p>
            <w:pPr>
              <w:widowControl/>
              <w:jc w:val="center"/>
              <w:rPr>
                <w:kern w:val="0"/>
                <w:sz w:val="18"/>
                <w:szCs w:val="18"/>
              </w:rPr>
            </w:pPr>
            <w:r>
              <w:rPr>
                <w:rFonts w:hint="eastAsia"/>
                <w:sz w:val="18"/>
              </w:rPr>
              <w:t xml:space="preserve">10.99 </w:t>
            </w:r>
          </w:p>
        </w:tc>
        <w:tc>
          <w:tcPr>
            <w:tcW w:w="261" w:type="pct"/>
            <w:shd w:val="clear" w:color="auto" w:fill="auto"/>
            <w:noWrap/>
            <w:vAlign w:val="center"/>
          </w:tcPr>
          <w:p>
            <w:pPr>
              <w:widowControl/>
              <w:jc w:val="center"/>
              <w:rPr>
                <w:kern w:val="0"/>
                <w:sz w:val="18"/>
                <w:szCs w:val="18"/>
              </w:rPr>
            </w:pPr>
            <w:r>
              <w:rPr>
                <w:rFonts w:hint="eastAsia"/>
                <w:sz w:val="18"/>
              </w:rPr>
              <w:t xml:space="preserve">4.07 </w:t>
            </w:r>
          </w:p>
        </w:tc>
        <w:tc>
          <w:tcPr>
            <w:tcW w:w="302" w:type="pct"/>
            <w:shd w:val="clear" w:color="auto" w:fill="auto"/>
            <w:noWrap/>
            <w:vAlign w:val="center"/>
          </w:tcPr>
          <w:p>
            <w:pPr>
              <w:widowControl/>
              <w:jc w:val="center"/>
              <w:rPr>
                <w:kern w:val="0"/>
                <w:sz w:val="18"/>
                <w:szCs w:val="18"/>
              </w:rPr>
            </w:pPr>
            <w:r>
              <w:rPr>
                <w:rFonts w:hint="eastAsia"/>
                <w:sz w:val="18"/>
              </w:rPr>
              <w:t xml:space="preserve">3.80 </w:t>
            </w:r>
          </w:p>
        </w:tc>
        <w:tc>
          <w:tcPr>
            <w:tcW w:w="261" w:type="pct"/>
            <w:shd w:val="clear" w:color="auto" w:fill="auto"/>
            <w:noWrap/>
            <w:vAlign w:val="center"/>
          </w:tcPr>
          <w:p>
            <w:pPr>
              <w:widowControl/>
              <w:jc w:val="center"/>
              <w:rPr>
                <w:kern w:val="0"/>
                <w:sz w:val="18"/>
                <w:szCs w:val="18"/>
              </w:rPr>
            </w:pPr>
            <w:r>
              <w:rPr>
                <w:rFonts w:hint="eastAsia"/>
                <w:sz w:val="18"/>
              </w:rPr>
              <w:t xml:space="preserve">2.04 </w:t>
            </w:r>
          </w:p>
        </w:tc>
        <w:tc>
          <w:tcPr>
            <w:tcW w:w="261" w:type="pct"/>
            <w:shd w:val="clear" w:color="auto" w:fill="auto"/>
            <w:noWrap/>
            <w:vAlign w:val="center"/>
          </w:tcPr>
          <w:p>
            <w:pPr>
              <w:widowControl/>
              <w:jc w:val="center"/>
              <w:rPr>
                <w:kern w:val="0"/>
                <w:sz w:val="18"/>
                <w:szCs w:val="18"/>
              </w:rPr>
            </w:pPr>
            <w:r>
              <w:rPr>
                <w:rFonts w:hint="eastAsia"/>
                <w:sz w:val="18"/>
              </w:rPr>
              <w:t xml:space="preserve">2.99 </w:t>
            </w:r>
          </w:p>
        </w:tc>
        <w:tc>
          <w:tcPr>
            <w:tcW w:w="261" w:type="pct"/>
            <w:shd w:val="clear" w:color="auto" w:fill="auto"/>
            <w:noWrap/>
            <w:vAlign w:val="center"/>
          </w:tcPr>
          <w:p>
            <w:pPr>
              <w:widowControl/>
              <w:jc w:val="center"/>
              <w:rPr>
                <w:kern w:val="0"/>
                <w:sz w:val="18"/>
                <w:szCs w:val="18"/>
              </w:rPr>
            </w:pPr>
            <w:r>
              <w:rPr>
                <w:rFonts w:hint="eastAsia"/>
                <w:sz w:val="18"/>
              </w:rPr>
              <w:t xml:space="preserve">5.97 </w:t>
            </w:r>
          </w:p>
        </w:tc>
        <w:tc>
          <w:tcPr>
            <w:tcW w:w="302" w:type="pct"/>
            <w:shd w:val="clear" w:color="auto" w:fill="auto"/>
            <w:noWrap/>
            <w:vAlign w:val="center"/>
          </w:tcPr>
          <w:p>
            <w:pPr>
              <w:widowControl/>
              <w:jc w:val="center"/>
              <w:rPr>
                <w:kern w:val="0"/>
                <w:sz w:val="18"/>
                <w:szCs w:val="18"/>
              </w:rPr>
            </w:pPr>
            <w:r>
              <w:rPr>
                <w:rFonts w:hint="eastAsia"/>
                <w:sz w:val="18"/>
              </w:rPr>
              <w:t xml:space="preserve">7.73 </w:t>
            </w:r>
          </w:p>
        </w:tc>
        <w:tc>
          <w:tcPr>
            <w:tcW w:w="302" w:type="pct"/>
            <w:shd w:val="clear" w:color="auto" w:fill="auto"/>
            <w:noWrap/>
            <w:vAlign w:val="center"/>
          </w:tcPr>
          <w:p>
            <w:pPr>
              <w:widowControl/>
              <w:jc w:val="center"/>
              <w:rPr>
                <w:kern w:val="0"/>
                <w:sz w:val="18"/>
                <w:szCs w:val="18"/>
              </w:rPr>
            </w:pPr>
            <w:r>
              <w:rPr>
                <w:rFonts w:hint="eastAsia"/>
                <w:sz w:val="18"/>
              </w:rPr>
              <w:t xml:space="preserve">2.71 </w:t>
            </w:r>
          </w:p>
        </w:tc>
        <w:tc>
          <w:tcPr>
            <w:tcW w:w="261" w:type="pct"/>
            <w:shd w:val="clear" w:color="auto" w:fill="auto"/>
            <w:noWrap/>
            <w:vAlign w:val="center"/>
          </w:tcPr>
          <w:p>
            <w:pPr>
              <w:widowControl/>
              <w:jc w:val="center"/>
              <w:rPr>
                <w:kern w:val="0"/>
                <w:sz w:val="18"/>
                <w:szCs w:val="18"/>
              </w:rPr>
            </w:pPr>
            <w:r>
              <w:rPr>
                <w:rFonts w:hint="eastAsia"/>
                <w:sz w:val="18"/>
              </w:rPr>
              <w:t xml:space="preserve">1.90 </w:t>
            </w:r>
          </w:p>
        </w:tc>
        <w:tc>
          <w:tcPr>
            <w:tcW w:w="261" w:type="pct"/>
            <w:shd w:val="clear" w:color="auto" w:fill="auto"/>
            <w:noWrap/>
            <w:vAlign w:val="center"/>
          </w:tcPr>
          <w:p>
            <w:pPr>
              <w:widowControl/>
              <w:jc w:val="center"/>
              <w:rPr>
                <w:kern w:val="0"/>
                <w:sz w:val="18"/>
                <w:szCs w:val="18"/>
              </w:rPr>
            </w:pPr>
            <w:r>
              <w:rPr>
                <w:rFonts w:hint="eastAsia"/>
                <w:sz w:val="18"/>
              </w:rPr>
              <w:t xml:space="preserve">1.36 </w:t>
            </w:r>
          </w:p>
        </w:tc>
        <w:tc>
          <w:tcPr>
            <w:tcW w:w="261" w:type="pct"/>
            <w:shd w:val="clear" w:color="auto" w:fill="auto"/>
            <w:noWrap/>
            <w:vAlign w:val="center"/>
          </w:tcPr>
          <w:p>
            <w:pPr>
              <w:widowControl/>
              <w:jc w:val="center"/>
              <w:rPr>
                <w:kern w:val="0"/>
                <w:sz w:val="18"/>
                <w:szCs w:val="18"/>
              </w:rPr>
            </w:pPr>
            <w:r>
              <w:rPr>
                <w:rFonts w:hint="eastAsia"/>
                <w:sz w:val="18"/>
              </w:rPr>
              <w:t xml:space="preserve">4.75 </w:t>
            </w:r>
          </w:p>
        </w:tc>
        <w:tc>
          <w:tcPr>
            <w:tcW w:w="261" w:type="pct"/>
            <w:shd w:val="clear" w:color="auto" w:fill="auto"/>
            <w:noWrap/>
            <w:vAlign w:val="center"/>
          </w:tcPr>
          <w:p>
            <w:pPr>
              <w:widowControl/>
              <w:jc w:val="center"/>
              <w:rPr>
                <w:kern w:val="0"/>
                <w:sz w:val="18"/>
                <w:szCs w:val="18"/>
              </w:rPr>
            </w:pPr>
            <w:r>
              <w:rPr>
                <w:rFonts w:hint="eastAsia"/>
                <w:sz w:val="18"/>
              </w:rPr>
              <w:t xml:space="preserve">3.66 </w:t>
            </w:r>
          </w:p>
        </w:tc>
        <w:tc>
          <w:tcPr>
            <w:tcW w:w="261" w:type="pct"/>
            <w:shd w:val="clear" w:color="auto" w:fill="auto"/>
            <w:noWrap/>
            <w:vAlign w:val="center"/>
          </w:tcPr>
          <w:p>
            <w:pPr>
              <w:widowControl/>
              <w:jc w:val="center"/>
              <w:rPr>
                <w:kern w:val="0"/>
                <w:sz w:val="18"/>
                <w:szCs w:val="18"/>
              </w:rPr>
            </w:pPr>
            <w:r>
              <w:rPr>
                <w:rFonts w:hint="eastAsia"/>
                <w:sz w:val="18"/>
              </w:rPr>
              <w:t xml:space="preserve">3.93 </w:t>
            </w:r>
          </w:p>
        </w:tc>
        <w:tc>
          <w:tcPr>
            <w:tcW w:w="261" w:type="pct"/>
            <w:shd w:val="clear" w:color="auto" w:fill="auto"/>
            <w:noWrap/>
            <w:vAlign w:val="center"/>
          </w:tcPr>
          <w:p>
            <w:pPr>
              <w:widowControl/>
              <w:jc w:val="center"/>
              <w:rPr>
                <w:kern w:val="0"/>
                <w:sz w:val="18"/>
                <w:szCs w:val="18"/>
              </w:rPr>
            </w:pPr>
            <w:r>
              <w:rPr>
                <w:rFonts w:hint="eastAsia"/>
                <w:sz w:val="18"/>
              </w:rPr>
              <w:t xml:space="preserve">3.53 </w:t>
            </w:r>
          </w:p>
        </w:tc>
        <w:tc>
          <w:tcPr>
            <w:tcW w:w="297" w:type="pct"/>
            <w:shd w:val="clear" w:color="auto" w:fill="auto"/>
            <w:noWrap/>
            <w:vAlign w:val="center"/>
          </w:tcPr>
          <w:p>
            <w:pPr>
              <w:widowControl/>
              <w:jc w:val="center"/>
              <w:rPr>
                <w:kern w:val="0"/>
                <w:sz w:val="18"/>
                <w:szCs w:val="18"/>
              </w:rPr>
            </w:pPr>
            <w:r>
              <w:rPr>
                <w:rFonts w:hint="eastAsia"/>
                <w:sz w:val="18"/>
              </w:rPr>
              <w:t xml:space="preserve">3.12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9月</w:t>
            </w:r>
          </w:p>
        </w:tc>
        <w:tc>
          <w:tcPr>
            <w:tcW w:w="302" w:type="pct"/>
            <w:shd w:val="clear" w:color="auto" w:fill="auto"/>
            <w:noWrap/>
            <w:vAlign w:val="center"/>
          </w:tcPr>
          <w:p>
            <w:pPr>
              <w:widowControl/>
              <w:jc w:val="center"/>
              <w:rPr>
                <w:kern w:val="0"/>
                <w:sz w:val="18"/>
                <w:szCs w:val="18"/>
              </w:rPr>
            </w:pPr>
            <w:r>
              <w:rPr>
                <w:rFonts w:hint="eastAsia"/>
                <w:sz w:val="18"/>
              </w:rPr>
              <w:t xml:space="preserve">16.64 </w:t>
            </w:r>
          </w:p>
        </w:tc>
        <w:tc>
          <w:tcPr>
            <w:tcW w:w="302" w:type="pct"/>
            <w:shd w:val="clear" w:color="auto" w:fill="auto"/>
            <w:noWrap/>
            <w:vAlign w:val="center"/>
          </w:tcPr>
          <w:p>
            <w:pPr>
              <w:widowControl/>
              <w:jc w:val="center"/>
              <w:rPr>
                <w:kern w:val="0"/>
                <w:sz w:val="18"/>
                <w:szCs w:val="18"/>
              </w:rPr>
            </w:pPr>
            <w:r>
              <w:rPr>
                <w:rFonts w:hint="eastAsia"/>
                <w:sz w:val="18"/>
              </w:rPr>
              <w:t xml:space="preserve">23.84 </w:t>
            </w:r>
          </w:p>
        </w:tc>
        <w:tc>
          <w:tcPr>
            <w:tcW w:w="302" w:type="pct"/>
            <w:shd w:val="clear" w:color="auto" w:fill="auto"/>
            <w:noWrap/>
            <w:vAlign w:val="center"/>
          </w:tcPr>
          <w:p>
            <w:pPr>
              <w:widowControl/>
              <w:jc w:val="center"/>
              <w:rPr>
                <w:kern w:val="0"/>
                <w:sz w:val="18"/>
                <w:szCs w:val="18"/>
              </w:rPr>
            </w:pPr>
            <w:r>
              <w:rPr>
                <w:rFonts w:hint="eastAsia"/>
                <w:sz w:val="18"/>
              </w:rPr>
              <w:t xml:space="preserve">9.73 </w:t>
            </w:r>
          </w:p>
        </w:tc>
        <w:tc>
          <w:tcPr>
            <w:tcW w:w="261" w:type="pct"/>
            <w:shd w:val="clear" w:color="auto" w:fill="auto"/>
            <w:noWrap/>
            <w:vAlign w:val="center"/>
          </w:tcPr>
          <w:p>
            <w:pPr>
              <w:widowControl/>
              <w:jc w:val="center"/>
              <w:rPr>
                <w:kern w:val="0"/>
                <w:sz w:val="18"/>
                <w:szCs w:val="18"/>
              </w:rPr>
            </w:pPr>
            <w:r>
              <w:rPr>
                <w:rFonts w:hint="eastAsia"/>
                <w:sz w:val="18"/>
              </w:rPr>
              <w:t xml:space="preserve">4.37 </w:t>
            </w:r>
          </w:p>
        </w:tc>
        <w:tc>
          <w:tcPr>
            <w:tcW w:w="302" w:type="pct"/>
            <w:shd w:val="clear" w:color="auto" w:fill="auto"/>
            <w:noWrap/>
            <w:vAlign w:val="center"/>
          </w:tcPr>
          <w:p>
            <w:pPr>
              <w:widowControl/>
              <w:jc w:val="center"/>
              <w:rPr>
                <w:kern w:val="0"/>
                <w:sz w:val="18"/>
                <w:szCs w:val="18"/>
              </w:rPr>
            </w:pPr>
            <w:r>
              <w:rPr>
                <w:rFonts w:hint="eastAsia"/>
                <w:sz w:val="18"/>
              </w:rPr>
              <w:t xml:space="preserve">5.50 </w:t>
            </w:r>
          </w:p>
        </w:tc>
        <w:tc>
          <w:tcPr>
            <w:tcW w:w="261" w:type="pct"/>
            <w:shd w:val="clear" w:color="auto" w:fill="auto"/>
            <w:noWrap/>
            <w:vAlign w:val="center"/>
          </w:tcPr>
          <w:p>
            <w:pPr>
              <w:widowControl/>
              <w:jc w:val="center"/>
              <w:rPr>
                <w:kern w:val="0"/>
                <w:sz w:val="18"/>
                <w:szCs w:val="18"/>
              </w:rPr>
            </w:pPr>
            <w:r>
              <w:rPr>
                <w:rFonts w:hint="eastAsia"/>
                <w:sz w:val="18"/>
              </w:rPr>
              <w:t xml:space="preserve">2.96 </w:t>
            </w:r>
          </w:p>
        </w:tc>
        <w:tc>
          <w:tcPr>
            <w:tcW w:w="261" w:type="pct"/>
            <w:shd w:val="clear" w:color="auto" w:fill="auto"/>
            <w:noWrap/>
            <w:vAlign w:val="center"/>
          </w:tcPr>
          <w:p>
            <w:pPr>
              <w:widowControl/>
              <w:jc w:val="center"/>
              <w:rPr>
                <w:kern w:val="0"/>
                <w:sz w:val="18"/>
                <w:szCs w:val="18"/>
              </w:rPr>
            </w:pPr>
            <w:r>
              <w:rPr>
                <w:rFonts w:hint="eastAsia"/>
                <w:sz w:val="18"/>
              </w:rPr>
              <w:t xml:space="preserve">1.41 </w:t>
            </w:r>
          </w:p>
        </w:tc>
        <w:tc>
          <w:tcPr>
            <w:tcW w:w="261" w:type="pct"/>
            <w:shd w:val="clear" w:color="auto" w:fill="auto"/>
            <w:noWrap/>
            <w:vAlign w:val="center"/>
          </w:tcPr>
          <w:p>
            <w:pPr>
              <w:widowControl/>
              <w:jc w:val="center"/>
              <w:rPr>
                <w:kern w:val="0"/>
                <w:sz w:val="18"/>
                <w:szCs w:val="18"/>
              </w:rPr>
            </w:pPr>
            <w:r>
              <w:rPr>
                <w:rFonts w:hint="eastAsia"/>
                <w:sz w:val="18"/>
              </w:rPr>
              <w:t xml:space="preserve">3.24 </w:t>
            </w:r>
          </w:p>
        </w:tc>
        <w:tc>
          <w:tcPr>
            <w:tcW w:w="302" w:type="pct"/>
            <w:shd w:val="clear" w:color="auto" w:fill="auto"/>
            <w:noWrap/>
            <w:vAlign w:val="center"/>
          </w:tcPr>
          <w:p>
            <w:pPr>
              <w:widowControl/>
              <w:jc w:val="center"/>
              <w:rPr>
                <w:kern w:val="0"/>
                <w:sz w:val="18"/>
                <w:szCs w:val="18"/>
              </w:rPr>
            </w:pPr>
            <w:r>
              <w:rPr>
                <w:rFonts w:hint="eastAsia"/>
                <w:sz w:val="18"/>
              </w:rPr>
              <w:t xml:space="preserve">7.33 </w:t>
            </w:r>
          </w:p>
        </w:tc>
        <w:tc>
          <w:tcPr>
            <w:tcW w:w="302" w:type="pct"/>
            <w:shd w:val="clear" w:color="auto" w:fill="auto"/>
            <w:noWrap/>
            <w:vAlign w:val="center"/>
          </w:tcPr>
          <w:p>
            <w:pPr>
              <w:widowControl/>
              <w:jc w:val="center"/>
              <w:rPr>
                <w:kern w:val="0"/>
                <w:sz w:val="18"/>
                <w:szCs w:val="18"/>
              </w:rPr>
            </w:pPr>
            <w:r>
              <w:rPr>
                <w:rFonts w:hint="eastAsia"/>
                <w:sz w:val="18"/>
              </w:rPr>
              <w:t xml:space="preserve">6.35 </w:t>
            </w:r>
          </w:p>
        </w:tc>
        <w:tc>
          <w:tcPr>
            <w:tcW w:w="261" w:type="pct"/>
            <w:shd w:val="clear" w:color="auto" w:fill="auto"/>
            <w:noWrap/>
            <w:vAlign w:val="center"/>
          </w:tcPr>
          <w:p>
            <w:pPr>
              <w:widowControl/>
              <w:jc w:val="center"/>
              <w:rPr>
                <w:kern w:val="0"/>
                <w:sz w:val="18"/>
                <w:szCs w:val="18"/>
              </w:rPr>
            </w:pPr>
            <w:r>
              <w:rPr>
                <w:rFonts w:hint="eastAsia"/>
                <w:sz w:val="18"/>
              </w:rPr>
              <w:t xml:space="preserve">3.53 </w:t>
            </w:r>
          </w:p>
        </w:tc>
        <w:tc>
          <w:tcPr>
            <w:tcW w:w="261" w:type="pct"/>
            <w:shd w:val="clear" w:color="auto" w:fill="auto"/>
            <w:noWrap/>
            <w:vAlign w:val="center"/>
          </w:tcPr>
          <w:p>
            <w:pPr>
              <w:widowControl/>
              <w:jc w:val="center"/>
              <w:rPr>
                <w:kern w:val="0"/>
                <w:sz w:val="18"/>
                <w:szCs w:val="18"/>
              </w:rPr>
            </w:pPr>
            <w:r>
              <w:rPr>
                <w:rFonts w:hint="eastAsia"/>
                <w:sz w:val="18"/>
              </w:rPr>
              <w:t xml:space="preserve">2.12 </w:t>
            </w:r>
          </w:p>
        </w:tc>
        <w:tc>
          <w:tcPr>
            <w:tcW w:w="261" w:type="pct"/>
            <w:shd w:val="clear" w:color="auto" w:fill="auto"/>
            <w:noWrap/>
            <w:vAlign w:val="center"/>
          </w:tcPr>
          <w:p>
            <w:pPr>
              <w:widowControl/>
              <w:jc w:val="center"/>
              <w:rPr>
                <w:kern w:val="0"/>
                <w:sz w:val="18"/>
                <w:szCs w:val="18"/>
              </w:rPr>
            </w:pPr>
            <w:r>
              <w:rPr>
                <w:rFonts w:hint="eastAsia"/>
                <w:sz w:val="18"/>
              </w:rPr>
              <w:t xml:space="preserve">4.51 </w:t>
            </w:r>
          </w:p>
        </w:tc>
        <w:tc>
          <w:tcPr>
            <w:tcW w:w="261" w:type="pct"/>
            <w:shd w:val="clear" w:color="auto" w:fill="auto"/>
            <w:noWrap/>
            <w:vAlign w:val="center"/>
          </w:tcPr>
          <w:p>
            <w:pPr>
              <w:widowControl/>
              <w:jc w:val="center"/>
              <w:rPr>
                <w:kern w:val="0"/>
                <w:sz w:val="18"/>
                <w:szCs w:val="18"/>
              </w:rPr>
            </w:pPr>
            <w:r>
              <w:rPr>
                <w:rFonts w:hint="eastAsia"/>
                <w:sz w:val="18"/>
              </w:rPr>
              <w:t xml:space="preserve">2.12 </w:t>
            </w:r>
          </w:p>
        </w:tc>
        <w:tc>
          <w:tcPr>
            <w:tcW w:w="261" w:type="pct"/>
            <w:shd w:val="clear" w:color="auto" w:fill="auto"/>
            <w:noWrap/>
            <w:vAlign w:val="center"/>
          </w:tcPr>
          <w:p>
            <w:pPr>
              <w:widowControl/>
              <w:jc w:val="center"/>
              <w:rPr>
                <w:kern w:val="0"/>
                <w:sz w:val="18"/>
                <w:szCs w:val="18"/>
              </w:rPr>
            </w:pPr>
            <w:r>
              <w:rPr>
                <w:rFonts w:hint="eastAsia"/>
                <w:sz w:val="18"/>
              </w:rPr>
              <w:t xml:space="preserve">2.68 </w:t>
            </w:r>
          </w:p>
        </w:tc>
        <w:tc>
          <w:tcPr>
            <w:tcW w:w="261" w:type="pct"/>
            <w:shd w:val="clear" w:color="auto" w:fill="auto"/>
            <w:noWrap/>
            <w:vAlign w:val="center"/>
          </w:tcPr>
          <w:p>
            <w:pPr>
              <w:widowControl/>
              <w:jc w:val="center"/>
              <w:rPr>
                <w:kern w:val="0"/>
                <w:sz w:val="18"/>
                <w:szCs w:val="18"/>
              </w:rPr>
            </w:pPr>
            <w:r>
              <w:rPr>
                <w:rFonts w:hint="eastAsia"/>
                <w:sz w:val="18"/>
              </w:rPr>
              <w:t xml:space="preserve">1.97 </w:t>
            </w:r>
          </w:p>
        </w:tc>
        <w:tc>
          <w:tcPr>
            <w:tcW w:w="297" w:type="pct"/>
            <w:shd w:val="clear" w:color="auto" w:fill="auto"/>
            <w:noWrap/>
            <w:vAlign w:val="center"/>
          </w:tcPr>
          <w:p>
            <w:pPr>
              <w:widowControl/>
              <w:jc w:val="center"/>
              <w:rPr>
                <w:kern w:val="0"/>
                <w:sz w:val="18"/>
                <w:szCs w:val="18"/>
              </w:rPr>
            </w:pPr>
            <w:r>
              <w:rPr>
                <w:rFonts w:hint="eastAsia"/>
                <w:sz w:val="18"/>
              </w:rPr>
              <w:t xml:space="preserve">1.69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10月</w:t>
            </w:r>
          </w:p>
        </w:tc>
        <w:tc>
          <w:tcPr>
            <w:tcW w:w="302" w:type="pct"/>
            <w:shd w:val="clear" w:color="auto" w:fill="auto"/>
            <w:noWrap/>
            <w:vAlign w:val="center"/>
          </w:tcPr>
          <w:p>
            <w:pPr>
              <w:widowControl/>
              <w:jc w:val="center"/>
              <w:rPr>
                <w:kern w:val="0"/>
                <w:sz w:val="18"/>
                <w:szCs w:val="18"/>
              </w:rPr>
            </w:pPr>
            <w:r>
              <w:rPr>
                <w:rFonts w:hint="eastAsia"/>
                <w:sz w:val="18"/>
              </w:rPr>
              <w:t xml:space="preserve">13.56 </w:t>
            </w:r>
          </w:p>
        </w:tc>
        <w:tc>
          <w:tcPr>
            <w:tcW w:w="302" w:type="pct"/>
            <w:shd w:val="clear" w:color="auto" w:fill="auto"/>
            <w:noWrap/>
            <w:vAlign w:val="center"/>
          </w:tcPr>
          <w:p>
            <w:pPr>
              <w:widowControl/>
              <w:jc w:val="center"/>
              <w:rPr>
                <w:kern w:val="0"/>
                <w:sz w:val="18"/>
                <w:szCs w:val="18"/>
              </w:rPr>
            </w:pPr>
            <w:r>
              <w:rPr>
                <w:rFonts w:hint="eastAsia"/>
                <w:sz w:val="18"/>
              </w:rPr>
              <w:t xml:space="preserve">17.40 </w:t>
            </w:r>
          </w:p>
        </w:tc>
        <w:tc>
          <w:tcPr>
            <w:tcW w:w="302" w:type="pct"/>
            <w:shd w:val="clear" w:color="auto" w:fill="auto"/>
            <w:noWrap/>
            <w:vAlign w:val="center"/>
          </w:tcPr>
          <w:p>
            <w:pPr>
              <w:widowControl/>
              <w:jc w:val="center"/>
              <w:rPr>
                <w:kern w:val="0"/>
                <w:sz w:val="18"/>
                <w:szCs w:val="18"/>
              </w:rPr>
            </w:pPr>
            <w:r>
              <w:rPr>
                <w:rFonts w:hint="eastAsia"/>
                <w:sz w:val="18"/>
              </w:rPr>
              <w:t xml:space="preserve">10.41 </w:t>
            </w:r>
          </w:p>
        </w:tc>
        <w:tc>
          <w:tcPr>
            <w:tcW w:w="261" w:type="pct"/>
            <w:shd w:val="clear" w:color="auto" w:fill="auto"/>
            <w:noWrap/>
            <w:vAlign w:val="center"/>
          </w:tcPr>
          <w:p>
            <w:pPr>
              <w:widowControl/>
              <w:jc w:val="center"/>
              <w:rPr>
                <w:kern w:val="0"/>
                <w:sz w:val="18"/>
                <w:szCs w:val="18"/>
              </w:rPr>
            </w:pPr>
            <w:r>
              <w:rPr>
                <w:rFonts w:hint="eastAsia"/>
                <w:sz w:val="18"/>
              </w:rPr>
              <w:t xml:space="preserve">4.93 </w:t>
            </w:r>
          </w:p>
        </w:tc>
        <w:tc>
          <w:tcPr>
            <w:tcW w:w="302" w:type="pct"/>
            <w:shd w:val="clear" w:color="auto" w:fill="auto"/>
            <w:noWrap/>
            <w:vAlign w:val="center"/>
          </w:tcPr>
          <w:p>
            <w:pPr>
              <w:widowControl/>
              <w:jc w:val="center"/>
              <w:rPr>
                <w:kern w:val="0"/>
                <w:sz w:val="18"/>
                <w:szCs w:val="18"/>
              </w:rPr>
            </w:pPr>
            <w:r>
              <w:rPr>
                <w:rFonts w:hint="eastAsia"/>
                <w:sz w:val="18"/>
              </w:rPr>
              <w:t xml:space="preserve">5.34 </w:t>
            </w:r>
          </w:p>
        </w:tc>
        <w:tc>
          <w:tcPr>
            <w:tcW w:w="261" w:type="pct"/>
            <w:shd w:val="clear" w:color="auto" w:fill="auto"/>
            <w:noWrap/>
            <w:vAlign w:val="center"/>
          </w:tcPr>
          <w:p>
            <w:pPr>
              <w:widowControl/>
              <w:jc w:val="center"/>
              <w:rPr>
                <w:kern w:val="0"/>
                <w:sz w:val="18"/>
                <w:szCs w:val="18"/>
              </w:rPr>
            </w:pPr>
            <w:r>
              <w:rPr>
                <w:rFonts w:hint="eastAsia"/>
                <w:sz w:val="18"/>
              </w:rPr>
              <w:t xml:space="preserve">2.47 </w:t>
            </w:r>
          </w:p>
        </w:tc>
        <w:tc>
          <w:tcPr>
            <w:tcW w:w="261" w:type="pct"/>
            <w:shd w:val="clear" w:color="auto" w:fill="auto"/>
            <w:noWrap/>
            <w:vAlign w:val="center"/>
          </w:tcPr>
          <w:p>
            <w:pPr>
              <w:widowControl/>
              <w:jc w:val="center"/>
              <w:rPr>
                <w:kern w:val="0"/>
                <w:sz w:val="18"/>
                <w:szCs w:val="18"/>
              </w:rPr>
            </w:pPr>
            <w:r>
              <w:rPr>
                <w:rFonts w:hint="eastAsia"/>
                <w:sz w:val="18"/>
              </w:rPr>
              <w:t xml:space="preserve">1.92 </w:t>
            </w:r>
          </w:p>
        </w:tc>
        <w:tc>
          <w:tcPr>
            <w:tcW w:w="261" w:type="pct"/>
            <w:shd w:val="clear" w:color="auto" w:fill="auto"/>
            <w:noWrap/>
            <w:vAlign w:val="center"/>
          </w:tcPr>
          <w:p>
            <w:pPr>
              <w:widowControl/>
              <w:jc w:val="center"/>
              <w:rPr>
                <w:kern w:val="0"/>
                <w:sz w:val="18"/>
                <w:szCs w:val="18"/>
              </w:rPr>
            </w:pPr>
            <w:r>
              <w:rPr>
                <w:rFonts w:hint="eastAsia"/>
                <w:sz w:val="18"/>
              </w:rPr>
              <w:t xml:space="preserve">1.92 </w:t>
            </w:r>
          </w:p>
        </w:tc>
        <w:tc>
          <w:tcPr>
            <w:tcW w:w="302" w:type="pct"/>
            <w:shd w:val="clear" w:color="auto" w:fill="auto"/>
            <w:noWrap/>
            <w:vAlign w:val="center"/>
          </w:tcPr>
          <w:p>
            <w:pPr>
              <w:widowControl/>
              <w:jc w:val="center"/>
              <w:rPr>
                <w:kern w:val="0"/>
                <w:sz w:val="18"/>
                <w:szCs w:val="18"/>
              </w:rPr>
            </w:pPr>
            <w:r>
              <w:rPr>
                <w:rFonts w:hint="eastAsia"/>
                <w:sz w:val="18"/>
              </w:rPr>
              <w:t xml:space="preserve">8.22 </w:t>
            </w:r>
          </w:p>
        </w:tc>
        <w:tc>
          <w:tcPr>
            <w:tcW w:w="302" w:type="pct"/>
            <w:shd w:val="clear" w:color="auto" w:fill="auto"/>
            <w:noWrap/>
            <w:vAlign w:val="center"/>
          </w:tcPr>
          <w:p>
            <w:pPr>
              <w:widowControl/>
              <w:jc w:val="center"/>
              <w:rPr>
                <w:kern w:val="0"/>
                <w:sz w:val="18"/>
                <w:szCs w:val="18"/>
              </w:rPr>
            </w:pPr>
            <w:r>
              <w:rPr>
                <w:rFonts w:hint="eastAsia"/>
                <w:sz w:val="18"/>
              </w:rPr>
              <w:t xml:space="preserve">4.79 </w:t>
            </w:r>
          </w:p>
        </w:tc>
        <w:tc>
          <w:tcPr>
            <w:tcW w:w="261" w:type="pct"/>
            <w:shd w:val="clear" w:color="auto" w:fill="auto"/>
            <w:noWrap/>
            <w:vAlign w:val="center"/>
          </w:tcPr>
          <w:p>
            <w:pPr>
              <w:widowControl/>
              <w:jc w:val="center"/>
              <w:rPr>
                <w:kern w:val="0"/>
                <w:sz w:val="18"/>
                <w:szCs w:val="18"/>
              </w:rPr>
            </w:pPr>
            <w:r>
              <w:rPr>
                <w:rFonts w:hint="eastAsia"/>
                <w:sz w:val="18"/>
              </w:rPr>
              <w:t xml:space="preserve">3.70 </w:t>
            </w:r>
          </w:p>
        </w:tc>
        <w:tc>
          <w:tcPr>
            <w:tcW w:w="261" w:type="pct"/>
            <w:shd w:val="clear" w:color="auto" w:fill="auto"/>
            <w:noWrap/>
            <w:vAlign w:val="center"/>
          </w:tcPr>
          <w:p>
            <w:pPr>
              <w:widowControl/>
              <w:jc w:val="center"/>
              <w:rPr>
                <w:kern w:val="0"/>
                <w:sz w:val="18"/>
                <w:szCs w:val="18"/>
              </w:rPr>
            </w:pPr>
            <w:r>
              <w:rPr>
                <w:rFonts w:hint="eastAsia"/>
                <w:sz w:val="18"/>
              </w:rPr>
              <w:t xml:space="preserve">2.74 </w:t>
            </w:r>
          </w:p>
        </w:tc>
        <w:tc>
          <w:tcPr>
            <w:tcW w:w="261" w:type="pct"/>
            <w:shd w:val="clear" w:color="auto" w:fill="auto"/>
            <w:noWrap/>
            <w:vAlign w:val="center"/>
          </w:tcPr>
          <w:p>
            <w:pPr>
              <w:widowControl/>
              <w:jc w:val="center"/>
              <w:rPr>
                <w:kern w:val="0"/>
                <w:sz w:val="18"/>
                <w:szCs w:val="18"/>
              </w:rPr>
            </w:pPr>
            <w:r>
              <w:rPr>
                <w:rFonts w:hint="eastAsia"/>
                <w:sz w:val="18"/>
              </w:rPr>
              <w:t xml:space="preserve">7.81 </w:t>
            </w:r>
          </w:p>
        </w:tc>
        <w:tc>
          <w:tcPr>
            <w:tcW w:w="261" w:type="pct"/>
            <w:shd w:val="clear" w:color="auto" w:fill="auto"/>
            <w:noWrap/>
            <w:vAlign w:val="center"/>
          </w:tcPr>
          <w:p>
            <w:pPr>
              <w:widowControl/>
              <w:jc w:val="center"/>
              <w:rPr>
                <w:kern w:val="0"/>
                <w:sz w:val="18"/>
                <w:szCs w:val="18"/>
              </w:rPr>
            </w:pPr>
            <w:r>
              <w:rPr>
                <w:rFonts w:hint="eastAsia"/>
                <w:sz w:val="18"/>
              </w:rPr>
              <w:t xml:space="preserve">5.07 </w:t>
            </w:r>
          </w:p>
        </w:tc>
        <w:tc>
          <w:tcPr>
            <w:tcW w:w="261" w:type="pct"/>
            <w:shd w:val="clear" w:color="auto" w:fill="auto"/>
            <w:noWrap/>
            <w:vAlign w:val="center"/>
          </w:tcPr>
          <w:p>
            <w:pPr>
              <w:widowControl/>
              <w:jc w:val="center"/>
              <w:rPr>
                <w:kern w:val="0"/>
                <w:sz w:val="18"/>
                <w:szCs w:val="18"/>
              </w:rPr>
            </w:pPr>
            <w:r>
              <w:rPr>
                <w:rFonts w:hint="eastAsia"/>
                <w:sz w:val="18"/>
              </w:rPr>
              <w:t xml:space="preserve">2.88 </w:t>
            </w:r>
          </w:p>
        </w:tc>
        <w:tc>
          <w:tcPr>
            <w:tcW w:w="261" w:type="pct"/>
            <w:shd w:val="clear" w:color="auto" w:fill="auto"/>
            <w:noWrap/>
            <w:vAlign w:val="center"/>
          </w:tcPr>
          <w:p>
            <w:pPr>
              <w:widowControl/>
              <w:jc w:val="center"/>
              <w:rPr>
                <w:kern w:val="0"/>
                <w:sz w:val="18"/>
                <w:szCs w:val="18"/>
              </w:rPr>
            </w:pPr>
            <w:r>
              <w:rPr>
                <w:rFonts w:hint="eastAsia"/>
                <w:sz w:val="18"/>
              </w:rPr>
              <w:t xml:space="preserve">3.15 </w:t>
            </w:r>
          </w:p>
        </w:tc>
        <w:tc>
          <w:tcPr>
            <w:tcW w:w="297" w:type="pct"/>
            <w:shd w:val="clear" w:color="auto" w:fill="auto"/>
            <w:noWrap/>
            <w:vAlign w:val="center"/>
          </w:tcPr>
          <w:p>
            <w:pPr>
              <w:widowControl/>
              <w:jc w:val="center"/>
              <w:rPr>
                <w:kern w:val="0"/>
                <w:sz w:val="18"/>
                <w:szCs w:val="18"/>
              </w:rPr>
            </w:pPr>
            <w:r>
              <w:rPr>
                <w:rFonts w:hint="eastAsia"/>
                <w:sz w:val="18"/>
              </w:rPr>
              <w:t xml:space="preserve">3.70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11月</w:t>
            </w:r>
          </w:p>
        </w:tc>
        <w:tc>
          <w:tcPr>
            <w:tcW w:w="302" w:type="pct"/>
            <w:shd w:val="clear" w:color="auto" w:fill="auto"/>
            <w:noWrap/>
            <w:vAlign w:val="center"/>
          </w:tcPr>
          <w:p>
            <w:pPr>
              <w:widowControl/>
              <w:jc w:val="center"/>
              <w:rPr>
                <w:kern w:val="0"/>
                <w:sz w:val="18"/>
                <w:szCs w:val="18"/>
              </w:rPr>
            </w:pPr>
            <w:r>
              <w:rPr>
                <w:rFonts w:hint="eastAsia"/>
                <w:sz w:val="18"/>
              </w:rPr>
              <w:t xml:space="preserve">13.30 </w:t>
            </w:r>
          </w:p>
        </w:tc>
        <w:tc>
          <w:tcPr>
            <w:tcW w:w="302" w:type="pct"/>
            <w:shd w:val="clear" w:color="auto" w:fill="auto"/>
            <w:noWrap/>
            <w:vAlign w:val="center"/>
          </w:tcPr>
          <w:p>
            <w:pPr>
              <w:widowControl/>
              <w:jc w:val="center"/>
              <w:rPr>
                <w:kern w:val="0"/>
                <w:sz w:val="18"/>
                <w:szCs w:val="18"/>
              </w:rPr>
            </w:pPr>
            <w:r>
              <w:rPr>
                <w:rFonts w:hint="eastAsia"/>
                <w:sz w:val="18"/>
              </w:rPr>
              <w:t xml:space="preserve">16.17 </w:t>
            </w:r>
          </w:p>
        </w:tc>
        <w:tc>
          <w:tcPr>
            <w:tcW w:w="302" w:type="pct"/>
            <w:shd w:val="clear" w:color="auto" w:fill="auto"/>
            <w:noWrap/>
            <w:vAlign w:val="center"/>
          </w:tcPr>
          <w:p>
            <w:pPr>
              <w:widowControl/>
              <w:jc w:val="center"/>
              <w:rPr>
                <w:kern w:val="0"/>
                <w:sz w:val="18"/>
                <w:szCs w:val="18"/>
              </w:rPr>
            </w:pPr>
            <w:r>
              <w:rPr>
                <w:rFonts w:hint="eastAsia"/>
                <w:sz w:val="18"/>
              </w:rPr>
              <w:t xml:space="preserve">8.44 </w:t>
            </w:r>
          </w:p>
        </w:tc>
        <w:tc>
          <w:tcPr>
            <w:tcW w:w="261" w:type="pct"/>
            <w:shd w:val="clear" w:color="auto" w:fill="auto"/>
            <w:noWrap/>
            <w:vAlign w:val="center"/>
          </w:tcPr>
          <w:p>
            <w:pPr>
              <w:widowControl/>
              <w:jc w:val="center"/>
              <w:rPr>
                <w:kern w:val="0"/>
                <w:sz w:val="18"/>
                <w:szCs w:val="18"/>
              </w:rPr>
            </w:pPr>
            <w:r>
              <w:rPr>
                <w:rFonts w:hint="eastAsia"/>
                <w:sz w:val="18"/>
              </w:rPr>
              <w:t xml:space="preserve">3.29 </w:t>
            </w:r>
          </w:p>
        </w:tc>
        <w:tc>
          <w:tcPr>
            <w:tcW w:w="302" w:type="pct"/>
            <w:shd w:val="clear" w:color="auto" w:fill="auto"/>
            <w:noWrap/>
            <w:vAlign w:val="center"/>
          </w:tcPr>
          <w:p>
            <w:pPr>
              <w:widowControl/>
              <w:jc w:val="center"/>
              <w:rPr>
                <w:kern w:val="0"/>
                <w:sz w:val="18"/>
                <w:szCs w:val="18"/>
              </w:rPr>
            </w:pPr>
            <w:r>
              <w:rPr>
                <w:rFonts w:hint="eastAsia"/>
                <w:sz w:val="18"/>
              </w:rPr>
              <w:t xml:space="preserve">5.15 </w:t>
            </w:r>
          </w:p>
        </w:tc>
        <w:tc>
          <w:tcPr>
            <w:tcW w:w="261" w:type="pct"/>
            <w:shd w:val="clear" w:color="auto" w:fill="auto"/>
            <w:noWrap/>
            <w:vAlign w:val="center"/>
          </w:tcPr>
          <w:p>
            <w:pPr>
              <w:widowControl/>
              <w:jc w:val="center"/>
              <w:rPr>
                <w:kern w:val="0"/>
                <w:sz w:val="18"/>
                <w:szCs w:val="18"/>
              </w:rPr>
            </w:pPr>
            <w:r>
              <w:rPr>
                <w:rFonts w:hint="eastAsia"/>
                <w:sz w:val="18"/>
              </w:rPr>
              <w:t xml:space="preserve">1.86 </w:t>
            </w:r>
          </w:p>
        </w:tc>
        <w:tc>
          <w:tcPr>
            <w:tcW w:w="261" w:type="pct"/>
            <w:shd w:val="clear" w:color="auto" w:fill="auto"/>
            <w:noWrap/>
            <w:vAlign w:val="center"/>
          </w:tcPr>
          <w:p>
            <w:pPr>
              <w:widowControl/>
              <w:jc w:val="center"/>
              <w:rPr>
                <w:kern w:val="0"/>
                <w:sz w:val="18"/>
                <w:szCs w:val="18"/>
              </w:rPr>
            </w:pPr>
            <w:r>
              <w:rPr>
                <w:rFonts w:hint="eastAsia"/>
                <w:sz w:val="18"/>
              </w:rPr>
              <w:t xml:space="preserve">1.72 </w:t>
            </w:r>
          </w:p>
        </w:tc>
        <w:tc>
          <w:tcPr>
            <w:tcW w:w="261" w:type="pct"/>
            <w:shd w:val="clear" w:color="auto" w:fill="auto"/>
            <w:noWrap/>
            <w:vAlign w:val="center"/>
          </w:tcPr>
          <w:p>
            <w:pPr>
              <w:widowControl/>
              <w:jc w:val="center"/>
              <w:rPr>
                <w:kern w:val="0"/>
                <w:sz w:val="18"/>
                <w:szCs w:val="18"/>
              </w:rPr>
            </w:pPr>
            <w:r>
              <w:rPr>
                <w:rFonts w:hint="eastAsia"/>
                <w:sz w:val="18"/>
              </w:rPr>
              <w:t xml:space="preserve">3.86 </w:t>
            </w:r>
          </w:p>
        </w:tc>
        <w:tc>
          <w:tcPr>
            <w:tcW w:w="302" w:type="pct"/>
            <w:shd w:val="clear" w:color="auto" w:fill="auto"/>
            <w:noWrap/>
            <w:vAlign w:val="center"/>
          </w:tcPr>
          <w:p>
            <w:pPr>
              <w:widowControl/>
              <w:jc w:val="center"/>
              <w:rPr>
                <w:kern w:val="0"/>
                <w:sz w:val="18"/>
                <w:szCs w:val="18"/>
              </w:rPr>
            </w:pPr>
            <w:r>
              <w:rPr>
                <w:rFonts w:hint="eastAsia"/>
                <w:sz w:val="18"/>
              </w:rPr>
              <w:t xml:space="preserve">6.15 </w:t>
            </w:r>
          </w:p>
        </w:tc>
        <w:tc>
          <w:tcPr>
            <w:tcW w:w="302" w:type="pct"/>
            <w:shd w:val="clear" w:color="auto" w:fill="auto"/>
            <w:noWrap/>
            <w:vAlign w:val="center"/>
          </w:tcPr>
          <w:p>
            <w:pPr>
              <w:widowControl/>
              <w:jc w:val="center"/>
              <w:rPr>
                <w:kern w:val="0"/>
                <w:sz w:val="18"/>
                <w:szCs w:val="18"/>
              </w:rPr>
            </w:pPr>
            <w:r>
              <w:rPr>
                <w:rFonts w:hint="eastAsia"/>
                <w:sz w:val="18"/>
              </w:rPr>
              <w:t xml:space="preserve">3.58 </w:t>
            </w:r>
          </w:p>
        </w:tc>
        <w:tc>
          <w:tcPr>
            <w:tcW w:w="261" w:type="pct"/>
            <w:shd w:val="clear" w:color="auto" w:fill="auto"/>
            <w:noWrap/>
            <w:vAlign w:val="center"/>
          </w:tcPr>
          <w:p>
            <w:pPr>
              <w:widowControl/>
              <w:jc w:val="center"/>
              <w:rPr>
                <w:kern w:val="0"/>
                <w:sz w:val="18"/>
                <w:szCs w:val="18"/>
              </w:rPr>
            </w:pPr>
            <w:r>
              <w:rPr>
                <w:rFonts w:hint="eastAsia"/>
                <w:sz w:val="18"/>
              </w:rPr>
              <w:t xml:space="preserve">3.15 </w:t>
            </w:r>
          </w:p>
        </w:tc>
        <w:tc>
          <w:tcPr>
            <w:tcW w:w="261" w:type="pct"/>
            <w:shd w:val="clear" w:color="auto" w:fill="auto"/>
            <w:noWrap/>
            <w:vAlign w:val="center"/>
          </w:tcPr>
          <w:p>
            <w:pPr>
              <w:widowControl/>
              <w:jc w:val="center"/>
              <w:rPr>
                <w:kern w:val="0"/>
                <w:sz w:val="18"/>
                <w:szCs w:val="18"/>
              </w:rPr>
            </w:pPr>
            <w:r>
              <w:rPr>
                <w:rFonts w:hint="eastAsia"/>
                <w:sz w:val="18"/>
              </w:rPr>
              <w:t xml:space="preserve">2.58 </w:t>
            </w:r>
          </w:p>
        </w:tc>
        <w:tc>
          <w:tcPr>
            <w:tcW w:w="261" w:type="pct"/>
            <w:shd w:val="clear" w:color="auto" w:fill="auto"/>
            <w:noWrap/>
            <w:vAlign w:val="center"/>
          </w:tcPr>
          <w:p>
            <w:pPr>
              <w:widowControl/>
              <w:jc w:val="center"/>
              <w:rPr>
                <w:kern w:val="0"/>
                <w:sz w:val="18"/>
                <w:szCs w:val="18"/>
              </w:rPr>
            </w:pPr>
            <w:r>
              <w:rPr>
                <w:rFonts w:hint="eastAsia"/>
                <w:sz w:val="18"/>
              </w:rPr>
              <w:t xml:space="preserve">10.59 </w:t>
            </w:r>
          </w:p>
        </w:tc>
        <w:tc>
          <w:tcPr>
            <w:tcW w:w="261" w:type="pct"/>
            <w:shd w:val="clear" w:color="auto" w:fill="auto"/>
            <w:noWrap/>
            <w:vAlign w:val="center"/>
          </w:tcPr>
          <w:p>
            <w:pPr>
              <w:widowControl/>
              <w:jc w:val="center"/>
              <w:rPr>
                <w:kern w:val="0"/>
                <w:sz w:val="18"/>
                <w:szCs w:val="18"/>
              </w:rPr>
            </w:pPr>
            <w:r>
              <w:rPr>
                <w:rFonts w:hint="eastAsia"/>
                <w:sz w:val="18"/>
              </w:rPr>
              <w:t xml:space="preserve">6.72 </w:t>
            </w:r>
          </w:p>
        </w:tc>
        <w:tc>
          <w:tcPr>
            <w:tcW w:w="261" w:type="pct"/>
            <w:shd w:val="clear" w:color="auto" w:fill="auto"/>
            <w:noWrap/>
            <w:vAlign w:val="center"/>
          </w:tcPr>
          <w:p>
            <w:pPr>
              <w:widowControl/>
              <w:jc w:val="center"/>
              <w:rPr>
                <w:kern w:val="0"/>
                <w:sz w:val="18"/>
                <w:szCs w:val="18"/>
              </w:rPr>
            </w:pPr>
            <w:r>
              <w:rPr>
                <w:rFonts w:hint="eastAsia"/>
                <w:sz w:val="18"/>
              </w:rPr>
              <w:t xml:space="preserve">5.29 </w:t>
            </w:r>
          </w:p>
        </w:tc>
        <w:tc>
          <w:tcPr>
            <w:tcW w:w="261" w:type="pct"/>
            <w:shd w:val="clear" w:color="auto" w:fill="auto"/>
            <w:noWrap/>
            <w:vAlign w:val="center"/>
          </w:tcPr>
          <w:p>
            <w:pPr>
              <w:widowControl/>
              <w:jc w:val="center"/>
              <w:rPr>
                <w:kern w:val="0"/>
                <w:sz w:val="18"/>
                <w:szCs w:val="18"/>
              </w:rPr>
            </w:pPr>
            <w:r>
              <w:rPr>
                <w:rFonts w:hint="eastAsia"/>
                <w:sz w:val="18"/>
              </w:rPr>
              <w:t xml:space="preserve">4.72 </w:t>
            </w:r>
          </w:p>
        </w:tc>
        <w:tc>
          <w:tcPr>
            <w:tcW w:w="297" w:type="pct"/>
            <w:shd w:val="clear" w:color="auto" w:fill="auto"/>
            <w:noWrap/>
            <w:vAlign w:val="center"/>
          </w:tcPr>
          <w:p>
            <w:pPr>
              <w:widowControl/>
              <w:jc w:val="center"/>
              <w:rPr>
                <w:kern w:val="0"/>
                <w:sz w:val="18"/>
                <w:szCs w:val="18"/>
              </w:rPr>
            </w:pPr>
            <w:r>
              <w:rPr>
                <w:rFonts w:hint="eastAsia"/>
                <w:sz w:val="18"/>
              </w:rPr>
              <w:t xml:space="preserve">3.43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12月</w:t>
            </w:r>
          </w:p>
        </w:tc>
        <w:tc>
          <w:tcPr>
            <w:tcW w:w="302" w:type="pct"/>
            <w:shd w:val="clear" w:color="auto" w:fill="auto"/>
            <w:noWrap/>
            <w:vAlign w:val="center"/>
          </w:tcPr>
          <w:p>
            <w:pPr>
              <w:widowControl/>
              <w:jc w:val="center"/>
              <w:rPr>
                <w:kern w:val="0"/>
                <w:sz w:val="18"/>
                <w:szCs w:val="18"/>
              </w:rPr>
            </w:pPr>
            <w:r>
              <w:rPr>
                <w:rFonts w:hint="eastAsia"/>
                <w:sz w:val="18"/>
              </w:rPr>
              <w:t xml:space="preserve">17.01 </w:t>
            </w:r>
          </w:p>
        </w:tc>
        <w:tc>
          <w:tcPr>
            <w:tcW w:w="302" w:type="pct"/>
            <w:shd w:val="clear" w:color="auto" w:fill="auto"/>
            <w:noWrap/>
            <w:vAlign w:val="center"/>
          </w:tcPr>
          <w:p>
            <w:pPr>
              <w:widowControl/>
              <w:jc w:val="center"/>
              <w:rPr>
                <w:kern w:val="0"/>
                <w:sz w:val="18"/>
                <w:szCs w:val="18"/>
              </w:rPr>
            </w:pPr>
            <w:r>
              <w:rPr>
                <w:rFonts w:hint="eastAsia"/>
                <w:sz w:val="18"/>
              </w:rPr>
              <w:t xml:space="preserve">15.77 </w:t>
            </w:r>
          </w:p>
        </w:tc>
        <w:tc>
          <w:tcPr>
            <w:tcW w:w="302" w:type="pct"/>
            <w:shd w:val="clear" w:color="auto" w:fill="auto"/>
            <w:noWrap/>
            <w:vAlign w:val="center"/>
          </w:tcPr>
          <w:p>
            <w:pPr>
              <w:widowControl/>
              <w:jc w:val="center"/>
              <w:rPr>
                <w:kern w:val="0"/>
                <w:sz w:val="18"/>
                <w:szCs w:val="18"/>
              </w:rPr>
            </w:pPr>
            <w:r>
              <w:rPr>
                <w:rFonts w:hint="eastAsia"/>
                <w:sz w:val="18"/>
              </w:rPr>
              <w:t xml:space="preserve">8.02 </w:t>
            </w:r>
          </w:p>
        </w:tc>
        <w:tc>
          <w:tcPr>
            <w:tcW w:w="261" w:type="pct"/>
            <w:shd w:val="clear" w:color="auto" w:fill="auto"/>
            <w:noWrap/>
            <w:vAlign w:val="center"/>
          </w:tcPr>
          <w:p>
            <w:pPr>
              <w:widowControl/>
              <w:jc w:val="center"/>
              <w:rPr>
                <w:kern w:val="0"/>
                <w:sz w:val="18"/>
                <w:szCs w:val="18"/>
              </w:rPr>
            </w:pPr>
            <w:r>
              <w:rPr>
                <w:rFonts w:hint="eastAsia"/>
                <w:sz w:val="18"/>
              </w:rPr>
              <w:t xml:space="preserve">4.29 </w:t>
            </w:r>
          </w:p>
        </w:tc>
        <w:tc>
          <w:tcPr>
            <w:tcW w:w="302" w:type="pct"/>
            <w:shd w:val="clear" w:color="auto" w:fill="auto"/>
            <w:noWrap/>
            <w:vAlign w:val="center"/>
          </w:tcPr>
          <w:p>
            <w:pPr>
              <w:widowControl/>
              <w:jc w:val="center"/>
              <w:rPr>
                <w:kern w:val="0"/>
                <w:sz w:val="18"/>
                <w:szCs w:val="18"/>
              </w:rPr>
            </w:pPr>
            <w:r>
              <w:rPr>
                <w:rFonts w:hint="eastAsia"/>
                <w:sz w:val="18"/>
              </w:rPr>
              <w:t xml:space="preserve">4.15 </w:t>
            </w:r>
          </w:p>
        </w:tc>
        <w:tc>
          <w:tcPr>
            <w:tcW w:w="261" w:type="pct"/>
            <w:shd w:val="clear" w:color="auto" w:fill="auto"/>
            <w:noWrap/>
            <w:vAlign w:val="center"/>
          </w:tcPr>
          <w:p>
            <w:pPr>
              <w:widowControl/>
              <w:jc w:val="center"/>
              <w:rPr>
                <w:kern w:val="0"/>
                <w:sz w:val="18"/>
                <w:szCs w:val="18"/>
              </w:rPr>
            </w:pPr>
            <w:r>
              <w:rPr>
                <w:rFonts w:hint="eastAsia"/>
                <w:sz w:val="18"/>
              </w:rPr>
              <w:t xml:space="preserve">1.66 </w:t>
            </w:r>
          </w:p>
        </w:tc>
        <w:tc>
          <w:tcPr>
            <w:tcW w:w="261" w:type="pct"/>
            <w:shd w:val="clear" w:color="auto" w:fill="auto"/>
            <w:noWrap/>
            <w:vAlign w:val="center"/>
          </w:tcPr>
          <w:p>
            <w:pPr>
              <w:widowControl/>
              <w:jc w:val="center"/>
              <w:rPr>
                <w:kern w:val="0"/>
                <w:sz w:val="18"/>
                <w:szCs w:val="18"/>
              </w:rPr>
            </w:pPr>
            <w:r>
              <w:rPr>
                <w:rFonts w:hint="eastAsia"/>
                <w:sz w:val="18"/>
              </w:rPr>
              <w:t xml:space="preserve">1.11 </w:t>
            </w:r>
          </w:p>
        </w:tc>
        <w:tc>
          <w:tcPr>
            <w:tcW w:w="261" w:type="pct"/>
            <w:shd w:val="clear" w:color="auto" w:fill="auto"/>
            <w:noWrap/>
            <w:vAlign w:val="center"/>
          </w:tcPr>
          <w:p>
            <w:pPr>
              <w:widowControl/>
              <w:jc w:val="center"/>
              <w:rPr>
                <w:kern w:val="0"/>
                <w:sz w:val="18"/>
                <w:szCs w:val="18"/>
              </w:rPr>
            </w:pPr>
            <w:r>
              <w:rPr>
                <w:rFonts w:hint="eastAsia"/>
                <w:sz w:val="18"/>
              </w:rPr>
              <w:t xml:space="preserve">1.66 </w:t>
            </w:r>
          </w:p>
        </w:tc>
        <w:tc>
          <w:tcPr>
            <w:tcW w:w="302" w:type="pct"/>
            <w:shd w:val="clear" w:color="auto" w:fill="auto"/>
            <w:noWrap/>
            <w:vAlign w:val="center"/>
          </w:tcPr>
          <w:p>
            <w:pPr>
              <w:widowControl/>
              <w:jc w:val="center"/>
              <w:rPr>
                <w:kern w:val="0"/>
                <w:sz w:val="18"/>
                <w:szCs w:val="18"/>
              </w:rPr>
            </w:pPr>
            <w:r>
              <w:rPr>
                <w:rFonts w:hint="eastAsia"/>
                <w:sz w:val="18"/>
              </w:rPr>
              <w:t xml:space="preserve">3.18 </w:t>
            </w:r>
          </w:p>
        </w:tc>
        <w:tc>
          <w:tcPr>
            <w:tcW w:w="302" w:type="pct"/>
            <w:shd w:val="clear" w:color="auto" w:fill="auto"/>
            <w:noWrap/>
            <w:vAlign w:val="center"/>
          </w:tcPr>
          <w:p>
            <w:pPr>
              <w:widowControl/>
              <w:jc w:val="center"/>
              <w:rPr>
                <w:kern w:val="0"/>
                <w:sz w:val="18"/>
                <w:szCs w:val="18"/>
              </w:rPr>
            </w:pPr>
            <w:r>
              <w:rPr>
                <w:rFonts w:hint="eastAsia"/>
                <w:sz w:val="18"/>
              </w:rPr>
              <w:t xml:space="preserve">3.32 </w:t>
            </w:r>
          </w:p>
        </w:tc>
        <w:tc>
          <w:tcPr>
            <w:tcW w:w="261" w:type="pct"/>
            <w:shd w:val="clear" w:color="auto" w:fill="auto"/>
            <w:noWrap/>
            <w:vAlign w:val="center"/>
          </w:tcPr>
          <w:p>
            <w:pPr>
              <w:widowControl/>
              <w:jc w:val="center"/>
              <w:rPr>
                <w:kern w:val="0"/>
                <w:sz w:val="18"/>
                <w:szCs w:val="18"/>
              </w:rPr>
            </w:pPr>
            <w:r>
              <w:rPr>
                <w:rFonts w:hint="eastAsia"/>
                <w:sz w:val="18"/>
              </w:rPr>
              <w:t xml:space="preserve">1.38 </w:t>
            </w:r>
          </w:p>
        </w:tc>
        <w:tc>
          <w:tcPr>
            <w:tcW w:w="261" w:type="pct"/>
            <w:shd w:val="clear" w:color="auto" w:fill="auto"/>
            <w:noWrap/>
            <w:vAlign w:val="center"/>
          </w:tcPr>
          <w:p>
            <w:pPr>
              <w:widowControl/>
              <w:jc w:val="center"/>
              <w:rPr>
                <w:kern w:val="0"/>
                <w:sz w:val="18"/>
                <w:szCs w:val="18"/>
              </w:rPr>
            </w:pPr>
            <w:r>
              <w:rPr>
                <w:rFonts w:hint="eastAsia"/>
                <w:sz w:val="18"/>
              </w:rPr>
              <w:t xml:space="preserve">2.35 </w:t>
            </w:r>
          </w:p>
        </w:tc>
        <w:tc>
          <w:tcPr>
            <w:tcW w:w="261" w:type="pct"/>
            <w:shd w:val="clear" w:color="auto" w:fill="auto"/>
            <w:noWrap/>
            <w:vAlign w:val="center"/>
          </w:tcPr>
          <w:p>
            <w:pPr>
              <w:widowControl/>
              <w:jc w:val="center"/>
              <w:rPr>
                <w:kern w:val="0"/>
                <w:sz w:val="18"/>
                <w:szCs w:val="18"/>
              </w:rPr>
            </w:pPr>
            <w:r>
              <w:rPr>
                <w:rFonts w:hint="eastAsia"/>
                <w:sz w:val="18"/>
              </w:rPr>
              <w:t xml:space="preserve">11.62 </w:t>
            </w:r>
          </w:p>
        </w:tc>
        <w:tc>
          <w:tcPr>
            <w:tcW w:w="261" w:type="pct"/>
            <w:shd w:val="clear" w:color="auto" w:fill="auto"/>
            <w:noWrap/>
            <w:vAlign w:val="center"/>
          </w:tcPr>
          <w:p>
            <w:pPr>
              <w:widowControl/>
              <w:jc w:val="center"/>
              <w:rPr>
                <w:kern w:val="0"/>
                <w:sz w:val="18"/>
                <w:szCs w:val="18"/>
              </w:rPr>
            </w:pPr>
            <w:r>
              <w:rPr>
                <w:rFonts w:hint="eastAsia"/>
                <w:sz w:val="18"/>
              </w:rPr>
              <w:t xml:space="preserve">7.88 </w:t>
            </w:r>
          </w:p>
        </w:tc>
        <w:tc>
          <w:tcPr>
            <w:tcW w:w="261" w:type="pct"/>
            <w:shd w:val="clear" w:color="auto" w:fill="auto"/>
            <w:noWrap/>
            <w:vAlign w:val="center"/>
          </w:tcPr>
          <w:p>
            <w:pPr>
              <w:widowControl/>
              <w:jc w:val="center"/>
              <w:rPr>
                <w:kern w:val="0"/>
                <w:sz w:val="18"/>
                <w:szCs w:val="18"/>
              </w:rPr>
            </w:pPr>
            <w:r>
              <w:rPr>
                <w:rFonts w:hint="eastAsia"/>
                <w:sz w:val="18"/>
              </w:rPr>
              <w:t xml:space="preserve">7.75 </w:t>
            </w:r>
          </w:p>
        </w:tc>
        <w:tc>
          <w:tcPr>
            <w:tcW w:w="261" w:type="pct"/>
            <w:shd w:val="clear" w:color="auto" w:fill="auto"/>
            <w:noWrap/>
            <w:vAlign w:val="center"/>
          </w:tcPr>
          <w:p>
            <w:pPr>
              <w:widowControl/>
              <w:jc w:val="center"/>
              <w:rPr>
                <w:kern w:val="0"/>
                <w:sz w:val="18"/>
                <w:szCs w:val="18"/>
              </w:rPr>
            </w:pPr>
            <w:r>
              <w:rPr>
                <w:rFonts w:hint="eastAsia"/>
                <w:sz w:val="18"/>
              </w:rPr>
              <w:t xml:space="preserve">4.43 </w:t>
            </w:r>
          </w:p>
        </w:tc>
        <w:tc>
          <w:tcPr>
            <w:tcW w:w="297" w:type="pct"/>
            <w:shd w:val="clear" w:color="auto" w:fill="auto"/>
            <w:noWrap/>
            <w:vAlign w:val="center"/>
          </w:tcPr>
          <w:p>
            <w:pPr>
              <w:widowControl/>
              <w:jc w:val="center"/>
              <w:rPr>
                <w:kern w:val="0"/>
                <w:sz w:val="18"/>
                <w:szCs w:val="18"/>
              </w:rPr>
            </w:pPr>
            <w:r>
              <w:rPr>
                <w:rFonts w:hint="eastAsia"/>
                <w:sz w:val="18"/>
              </w:rPr>
              <w:t xml:space="preserve">4.43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D6E3BC"/>
            <w:noWrap/>
            <w:vAlign w:val="center"/>
          </w:tcPr>
          <w:p>
            <w:pPr>
              <w:widowControl/>
              <w:jc w:val="center"/>
              <w:rPr>
                <w:kern w:val="0"/>
                <w:sz w:val="18"/>
                <w:szCs w:val="18"/>
              </w:rPr>
            </w:pPr>
            <w:r>
              <w:rPr>
                <w:kern w:val="0"/>
                <w:sz w:val="18"/>
                <w:szCs w:val="18"/>
              </w:rPr>
              <w:t>全年</w:t>
            </w:r>
          </w:p>
        </w:tc>
        <w:tc>
          <w:tcPr>
            <w:tcW w:w="302" w:type="pct"/>
            <w:shd w:val="clear" w:color="auto" w:fill="D6E3BC"/>
            <w:noWrap/>
            <w:vAlign w:val="center"/>
          </w:tcPr>
          <w:p>
            <w:pPr>
              <w:widowControl/>
              <w:jc w:val="center"/>
              <w:rPr>
                <w:kern w:val="0"/>
                <w:sz w:val="18"/>
                <w:szCs w:val="18"/>
              </w:rPr>
            </w:pPr>
            <w:r>
              <w:rPr>
                <w:rFonts w:hint="eastAsia"/>
                <w:sz w:val="18"/>
              </w:rPr>
              <w:t xml:space="preserve">14.34 </w:t>
            </w:r>
          </w:p>
        </w:tc>
        <w:tc>
          <w:tcPr>
            <w:tcW w:w="302" w:type="pct"/>
            <w:shd w:val="clear" w:color="auto" w:fill="D6E3BC"/>
            <w:noWrap/>
            <w:vAlign w:val="center"/>
          </w:tcPr>
          <w:p>
            <w:pPr>
              <w:widowControl/>
              <w:jc w:val="center"/>
              <w:rPr>
                <w:kern w:val="0"/>
                <w:sz w:val="18"/>
                <w:szCs w:val="18"/>
              </w:rPr>
            </w:pPr>
            <w:r>
              <w:rPr>
                <w:rFonts w:hint="eastAsia"/>
                <w:sz w:val="18"/>
              </w:rPr>
              <w:t xml:space="preserve">18.48 </w:t>
            </w:r>
          </w:p>
        </w:tc>
        <w:tc>
          <w:tcPr>
            <w:tcW w:w="302" w:type="pct"/>
            <w:shd w:val="clear" w:color="auto" w:fill="D6E3BC"/>
            <w:noWrap/>
            <w:vAlign w:val="center"/>
          </w:tcPr>
          <w:p>
            <w:pPr>
              <w:widowControl/>
              <w:jc w:val="center"/>
              <w:rPr>
                <w:kern w:val="0"/>
                <w:sz w:val="18"/>
                <w:szCs w:val="18"/>
              </w:rPr>
            </w:pPr>
            <w:r>
              <w:rPr>
                <w:rFonts w:hint="eastAsia"/>
                <w:sz w:val="18"/>
              </w:rPr>
              <w:t xml:space="preserve">9.20 </w:t>
            </w:r>
          </w:p>
        </w:tc>
        <w:tc>
          <w:tcPr>
            <w:tcW w:w="261" w:type="pct"/>
            <w:shd w:val="clear" w:color="auto" w:fill="D6E3BC"/>
            <w:noWrap/>
            <w:vAlign w:val="center"/>
          </w:tcPr>
          <w:p>
            <w:pPr>
              <w:widowControl/>
              <w:jc w:val="center"/>
              <w:rPr>
                <w:kern w:val="0"/>
                <w:sz w:val="18"/>
                <w:szCs w:val="18"/>
              </w:rPr>
            </w:pPr>
            <w:r>
              <w:rPr>
                <w:rFonts w:hint="eastAsia"/>
                <w:sz w:val="18"/>
              </w:rPr>
              <w:t xml:space="preserve">4.01 </w:t>
            </w:r>
          </w:p>
        </w:tc>
        <w:tc>
          <w:tcPr>
            <w:tcW w:w="302" w:type="pct"/>
            <w:shd w:val="clear" w:color="auto" w:fill="D6E3BC"/>
            <w:noWrap/>
            <w:vAlign w:val="center"/>
          </w:tcPr>
          <w:p>
            <w:pPr>
              <w:widowControl/>
              <w:jc w:val="center"/>
              <w:rPr>
                <w:kern w:val="0"/>
                <w:sz w:val="18"/>
                <w:szCs w:val="18"/>
              </w:rPr>
            </w:pPr>
            <w:r>
              <w:rPr>
                <w:rFonts w:hint="eastAsia"/>
                <w:sz w:val="18"/>
              </w:rPr>
              <w:t xml:space="preserve">4.83 </w:t>
            </w:r>
          </w:p>
        </w:tc>
        <w:tc>
          <w:tcPr>
            <w:tcW w:w="261" w:type="pct"/>
            <w:shd w:val="clear" w:color="auto" w:fill="D6E3BC"/>
            <w:noWrap/>
            <w:vAlign w:val="center"/>
          </w:tcPr>
          <w:p>
            <w:pPr>
              <w:widowControl/>
              <w:jc w:val="center"/>
              <w:rPr>
                <w:kern w:val="0"/>
                <w:sz w:val="18"/>
                <w:szCs w:val="18"/>
              </w:rPr>
            </w:pPr>
            <w:r>
              <w:rPr>
                <w:rFonts w:hint="eastAsia"/>
                <w:sz w:val="18"/>
              </w:rPr>
              <w:t xml:space="preserve">1.76 </w:t>
            </w:r>
          </w:p>
        </w:tc>
        <w:tc>
          <w:tcPr>
            <w:tcW w:w="261" w:type="pct"/>
            <w:shd w:val="clear" w:color="auto" w:fill="D6E3BC"/>
            <w:noWrap/>
            <w:vAlign w:val="center"/>
          </w:tcPr>
          <w:p>
            <w:pPr>
              <w:widowControl/>
              <w:jc w:val="center"/>
              <w:rPr>
                <w:kern w:val="0"/>
                <w:sz w:val="18"/>
                <w:szCs w:val="18"/>
              </w:rPr>
            </w:pPr>
            <w:r>
              <w:rPr>
                <w:rFonts w:hint="eastAsia"/>
                <w:sz w:val="18"/>
              </w:rPr>
              <w:t xml:space="preserve">2.01 </w:t>
            </w:r>
          </w:p>
        </w:tc>
        <w:tc>
          <w:tcPr>
            <w:tcW w:w="261" w:type="pct"/>
            <w:shd w:val="clear" w:color="auto" w:fill="D6E3BC"/>
            <w:noWrap/>
            <w:vAlign w:val="center"/>
          </w:tcPr>
          <w:p>
            <w:pPr>
              <w:widowControl/>
              <w:jc w:val="center"/>
              <w:rPr>
                <w:kern w:val="0"/>
                <w:sz w:val="18"/>
                <w:szCs w:val="18"/>
              </w:rPr>
            </w:pPr>
            <w:r>
              <w:rPr>
                <w:rFonts w:hint="eastAsia"/>
                <w:sz w:val="18"/>
              </w:rPr>
              <w:t xml:space="preserve">2.97 </w:t>
            </w:r>
          </w:p>
        </w:tc>
        <w:tc>
          <w:tcPr>
            <w:tcW w:w="302" w:type="pct"/>
            <w:shd w:val="clear" w:color="auto" w:fill="D6E3BC"/>
            <w:noWrap/>
            <w:vAlign w:val="center"/>
          </w:tcPr>
          <w:p>
            <w:pPr>
              <w:widowControl/>
              <w:jc w:val="center"/>
              <w:rPr>
                <w:kern w:val="0"/>
                <w:sz w:val="18"/>
                <w:szCs w:val="18"/>
              </w:rPr>
            </w:pPr>
            <w:r>
              <w:rPr>
                <w:rFonts w:hint="eastAsia"/>
                <w:sz w:val="18"/>
              </w:rPr>
              <w:t xml:space="preserve">7.31 </w:t>
            </w:r>
          </w:p>
        </w:tc>
        <w:tc>
          <w:tcPr>
            <w:tcW w:w="302" w:type="pct"/>
            <w:shd w:val="clear" w:color="auto" w:fill="D6E3BC"/>
            <w:noWrap/>
            <w:vAlign w:val="center"/>
          </w:tcPr>
          <w:p>
            <w:pPr>
              <w:widowControl/>
              <w:jc w:val="center"/>
              <w:rPr>
                <w:kern w:val="0"/>
                <w:sz w:val="18"/>
                <w:szCs w:val="18"/>
              </w:rPr>
            </w:pPr>
            <w:r>
              <w:rPr>
                <w:rFonts w:hint="eastAsia"/>
                <w:sz w:val="18"/>
              </w:rPr>
              <w:t xml:space="preserve">3.76 </w:t>
            </w:r>
          </w:p>
        </w:tc>
        <w:tc>
          <w:tcPr>
            <w:tcW w:w="261" w:type="pct"/>
            <w:shd w:val="clear" w:color="auto" w:fill="D6E3BC"/>
            <w:noWrap/>
            <w:vAlign w:val="center"/>
          </w:tcPr>
          <w:p>
            <w:pPr>
              <w:widowControl/>
              <w:jc w:val="center"/>
              <w:rPr>
                <w:kern w:val="0"/>
                <w:sz w:val="18"/>
                <w:szCs w:val="18"/>
              </w:rPr>
            </w:pPr>
            <w:r>
              <w:rPr>
                <w:rFonts w:hint="eastAsia"/>
                <w:sz w:val="18"/>
              </w:rPr>
              <w:t xml:space="preserve">2.66 </w:t>
            </w:r>
          </w:p>
        </w:tc>
        <w:tc>
          <w:tcPr>
            <w:tcW w:w="261" w:type="pct"/>
            <w:shd w:val="clear" w:color="auto" w:fill="D6E3BC"/>
            <w:noWrap/>
            <w:vAlign w:val="center"/>
          </w:tcPr>
          <w:p>
            <w:pPr>
              <w:widowControl/>
              <w:jc w:val="center"/>
              <w:rPr>
                <w:kern w:val="0"/>
                <w:sz w:val="18"/>
                <w:szCs w:val="18"/>
              </w:rPr>
            </w:pPr>
            <w:r>
              <w:rPr>
                <w:rFonts w:hint="eastAsia"/>
                <w:sz w:val="18"/>
              </w:rPr>
              <w:t xml:space="preserve">2.49 </w:t>
            </w:r>
          </w:p>
        </w:tc>
        <w:tc>
          <w:tcPr>
            <w:tcW w:w="261" w:type="pct"/>
            <w:shd w:val="clear" w:color="auto" w:fill="D6E3BC"/>
            <w:noWrap/>
            <w:vAlign w:val="center"/>
          </w:tcPr>
          <w:p>
            <w:pPr>
              <w:widowControl/>
              <w:jc w:val="center"/>
              <w:rPr>
                <w:kern w:val="0"/>
                <w:sz w:val="18"/>
                <w:szCs w:val="18"/>
              </w:rPr>
            </w:pPr>
            <w:r>
              <w:rPr>
                <w:rFonts w:hint="eastAsia"/>
                <w:sz w:val="18"/>
              </w:rPr>
              <w:t xml:space="preserve">8.03 </w:t>
            </w:r>
          </w:p>
        </w:tc>
        <w:tc>
          <w:tcPr>
            <w:tcW w:w="261" w:type="pct"/>
            <w:shd w:val="clear" w:color="auto" w:fill="D6E3BC"/>
            <w:noWrap/>
            <w:vAlign w:val="center"/>
          </w:tcPr>
          <w:p>
            <w:pPr>
              <w:widowControl/>
              <w:jc w:val="center"/>
              <w:rPr>
                <w:kern w:val="0"/>
                <w:sz w:val="18"/>
                <w:szCs w:val="18"/>
              </w:rPr>
            </w:pPr>
            <w:r>
              <w:rPr>
                <w:rFonts w:hint="eastAsia"/>
                <w:sz w:val="18"/>
              </w:rPr>
              <w:t xml:space="preserve">5.38 </w:t>
            </w:r>
          </w:p>
        </w:tc>
        <w:tc>
          <w:tcPr>
            <w:tcW w:w="261" w:type="pct"/>
            <w:shd w:val="clear" w:color="auto" w:fill="D6E3BC"/>
            <w:noWrap/>
            <w:vAlign w:val="center"/>
          </w:tcPr>
          <w:p>
            <w:pPr>
              <w:widowControl/>
              <w:jc w:val="center"/>
              <w:rPr>
                <w:kern w:val="0"/>
                <w:sz w:val="18"/>
                <w:szCs w:val="18"/>
              </w:rPr>
            </w:pPr>
            <w:r>
              <w:rPr>
                <w:rFonts w:hint="eastAsia"/>
                <w:sz w:val="18"/>
              </w:rPr>
              <w:t xml:space="preserve">5.34 </w:t>
            </w:r>
          </w:p>
        </w:tc>
        <w:tc>
          <w:tcPr>
            <w:tcW w:w="261" w:type="pct"/>
            <w:shd w:val="clear" w:color="auto" w:fill="D6E3BC"/>
            <w:noWrap/>
            <w:vAlign w:val="center"/>
          </w:tcPr>
          <w:p>
            <w:pPr>
              <w:widowControl/>
              <w:jc w:val="center"/>
              <w:rPr>
                <w:kern w:val="0"/>
                <w:sz w:val="18"/>
                <w:szCs w:val="18"/>
              </w:rPr>
            </w:pPr>
            <w:r>
              <w:rPr>
                <w:rFonts w:hint="eastAsia"/>
                <w:sz w:val="18"/>
              </w:rPr>
              <w:t xml:space="preserve">4.22 </w:t>
            </w:r>
          </w:p>
        </w:tc>
        <w:tc>
          <w:tcPr>
            <w:tcW w:w="297" w:type="pct"/>
            <w:shd w:val="clear" w:color="auto" w:fill="D6E3BC"/>
            <w:noWrap/>
            <w:vAlign w:val="center"/>
          </w:tcPr>
          <w:p>
            <w:pPr>
              <w:widowControl/>
              <w:jc w:val="center"/>
              <w:rPr>
                <w:kern w:val="0"/>
                <w:sz w:val="18"/>
                <w:szCs w:val="18"/>
              </w:rPr>
            </w:pPr>
            <w:r>
              <w:rPr>
                <w:rFonts w:hint="eastAsia"/>
                <w:sz w:val="18"/>
              </w:rPr>
              <w:t xml:space="preserve">3.21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春季</w:t>
            </w:r>
          </w:p>
        </w:tc>
        <w:tc>
          <w:tcPr>
            <w:tcW w:w="302" w:type="pct"/>
            <w:shd w:val="clear" w:color="auto" w:fill="auto"/>
            <w:noWrap/>
            <w:vAlign w:val="center"/>
          </w:tcPr>
          <w:p>
            <w:pPr>
              <w:widowControl/>
              <w:jc w:val="center"/>
              <w:rPr>
                <w:kern w:val="0"/>
                <w:sz w:val="18"/>
                <w:szCs w:val="18"/>
              </w:rPr>
            </w:pPr>
            <w:r>
              <w:rPr>
                <w:rFonts w:hint="eastAsia"/>
                <w:sz w:val="18"/>
              </w:rPr>
              <w:t xml:space="preserve">12.91 </w:t>
            </w:r>
          </w:p>
        </w:tc>
        <w:tc>
          <w:tcPr>
            <w:tcW w:w="302" w:type="pct"/>
            <w:shd w:val="clear" w:color="auto" w:fill="auto"/>
            <w:noWrap/>
            <w:vAlign w:val="center"/>
          </w:tcPr>
          <w:p>
            <w:pPr>
              <w:widowControl/>
              <w:jc w:val="center"/>
              <w:rPr>
                <w:kern w:val="0"/>
                <w:sz w:val="18"/>
                <w:szCs w:val="18"/>
              </w:rPr>
            </w:pPr>
            <w:r>
              <w:rPr>
                <w:rFonts w:hint="eastAsia"/>
                <w:sz w:val="18"/>
              </w:rPr>
              <w:t xml:space="preserve">17.63 </w:t>
            </w:r>
          </w:p>
        </w:tc>
        <w:tc>
          <w:tcPr>
            <w:tcW w:w="302" w:type="pct"/>
            <w:shd w:val="clear" w:color="auto" w:fill="auto"/>
            <w:noWrap/>
            <w:vAlign w:val="center"/>
          </w:tcPr>
          <w:p>
            <w:pPr>
              <w:widowControl/>
              <w:jc w:val="center"/>
              <w:rPr>
                <w:kern w:val="0"/>
                <w:sz w:val="18"/>
                <w:szCs w:val="18"/>
              </w:rPr>
            </w:pPr>
            <w:r>
              <w:rPr>
                <w:rFonts w:hint="eastAsia"/>
                <w:sz w:val="18"/>
              </w:rPr>
              <w:t xml:space="preserve">8.88 </w:t>
            </w:r>
          </w:p>
        </w:tc>
        <w:tc>
          <w:tcPr>
            <w:tcW w:w="261" w:type="pct"/>
            <w:shd w:val="clear" w:color="auto" w:fill="auto"/>
            <w:noWrap/>
            <w:vAlign w:val="center"/>
          </w:tcPr>
          <w:p>
            <w:pPr>
              <w:widowControl/>
              <w:jc w:val="center"/>
              <w:rPr>
                <w:kern w:val="0"/>
                <w:sz w:val="18"/>
                <w:szCs w:val="18"/>
              </w:rPr>
            </w:pPr>
            <w:r>
              <w:rPr>
                <w:rFonts w:hint="eastAsia"/>
                <w:sz w:val="18"/>
              </w:rPr>
              <w:t xml:space="preserve">3.89 </w:t>
            </w:r>
          </w:p>
        </w:tc>
        <w:tc>
          <w:tcPr>
            <w:tcW w:w="302" w:type="pct"/>
            <w:shd w:val="clear" w:color="auto" w:fill="auto"/>
            <w:noWrap/>
            <w:vAlign w:val="center"/>
          </w:tcPr>
          <w:p>
            <w:pPr>
              <w:widowControl/>
              <w:jc w:val="center"/>
              <w:rPr>
                <w:kern w:val="0"/>
                <w:sz w:val="18"/>
                <w:szCs w:val="18"/>
              </w:rPr>
            </w:pPr>
            <w:r>
              <w:rPr>
                <w:rFonts w:hint="eastAsia"/>
                <w:sz w:val="18"/>
              </w:rPr>
              <w:t xml:space="preserve">4.81 </w:t>
            </w:r>
          </w:p>
        </w:tc>
        <w:tc>
          <w:tcPr>
            <w:tcW w:w="261" w:type="pct"/>
            <w:shd w:val="clear" w:color="auto" w:fill="auto"/>
            <w:noWrap/>
            <w:vAlign w:val="center"/>
          </w:tcPr>
          <w:p>
            <w:pPr>
              <w:widowControl/>
              <w:jc w:val="center"/>
              <w:rPr>
                <w:kern w:val="0"/>
                <w:sz w:val="18"/>
                <w:szCs w:val="18"/>
              </w:rPr>
            </w:pPr>
            <w:r>
              <w:rPr>
                <w:rFonts w:hint="eastAsia"/>
                <w:sz w:val="18"/>
              </w:rPr>
              <w:t xml:space="preserve">1.14 </w:t>
            </w:r>
          </w:p>
        </w:tc>
        <w:tc>
          <w:tcPr>
            <w:tcW w:w="261" w:type="pct"/>
            <w:shd w:val="clear" w:color="auto" w:fill="auto"/>
            <w:noWrap/>
            <w:vAlign w:val="center"/>
          </w:tcPr>
          <w:p>
            <w:pPr>
              <w:widowControl/>
              <w:jc w:val="center"/>
              <w:rPr>
                <w:kern w:val="0"/>
                <w:sz w:val="18"/>
                <w:szCs w:val="18"/>
              </w:rPr>
            </w:pPr>
            <w:r>
              <w:rPr>
                <w:rFonts w:hint="eastAsia"/>
                <w:sz w:val="18"/>
              </w:rPr>
              <w:t xml:space="preserve">2.24 </w:t>
            </w:r>
          </w:p>
        </w:tc>
        <w:tc>
          <w:tcPr>
            <w:tcW w:w="261" w:type="pct"/>
            <w:shd w:val="clear" w:color="auto" w:fill="auto"/>
            <w:noWrap/>
            <w:vAlign w:val="center"/>
          </w:tcPr>
          <w:p>
            <w:pPr>
              <w:widowControl/>
              <w:jc w:val="center"/>
              <w:rPr>
                <w:kern w:val="0"/>
                <w:sz w:val="18"/>
                <w:szCs w:val="18"/>
              </w:rPr>
            </w:pPr>
            <w:r>
              <w:rPr>
                <w:rFonts w:hint="eastAsia"/>
                <w:sz w:val="18"/>
              </w:rPr>
              <w:t xml:space="preserve">3.02 </w:t>
            </w:r>
          </w:p>
        </w:tc>
        <w:tc>
          <w:tcPr>
            <w:tcW w:w="302" w:type="pct"/>
            <w:shd w:val="clear" w:color="auto" w:fill="auto"/>
            <w:noWrap/>
            <w:vAlign w:val="center"/>
          </w:tcPr>
          <w:p>
            <w:pPr>
              <w:widowControl/>
              <w:jc w:val="center"/>
              <w:rPr>
                <w:kern w:val="0"/>
                <w:sz w:val="18"/>
                <w:szCs w:val="18"/>
              </w:rPr>
            </w:pPr>
            <w:r>
              <w:rPr>
                <w:rFonts w:hint="eastAsia"/>
                <w:sz w:val="18"/>
              </w:rPr>
              <w:t xml:space="preserve">7.97 </w:t>
            </w:r>
          </w:p>
        </w:tc>
        <w:tc>
          <w:tcPr>
            <w:tcW w:w="302" w:type="pct"/>
            <w:shd w:val="clear" w:color="auto" w:fill="auto"/>
            <w:noWrap/>
            <w:vAlign w:val="center"/>
          </w:tcPr>
          <w:p>
            <w:pPr>
              <w:widowControl/>
              <w:jc w:val="center"/>
              <w:rPr>
                <w:kern w:val="0"/>
                <w:sz w:val="18"/>
                <w:szCs w:val="18"/>
              </w:rPr>
            </w:pPr>
            <w:r>
              <w:rPr>
                <w:rFonts w:hint="eastAsia"/>
                <w:sz w:val="18"/>
              </w:rPr>
              <w:t xml:space="preserve">3.11 </w:t>
            </w:r>
          </w:p>
        </w:tc>
        <w:tc>
          <w:tcPr>
            <w:tcW w:w="261" w:type="pct"/>
            <w:shd w:val="clear" w:color="auto" w:fill="auto"/>
            <w:noWrap/>
            <w:vAlign w:val="center"/>
          </w:tcPr>
          <w:p>
            <w:pPr>
              <w:widowControl/>
              <w:jc w:val="center"/>
              <w:rPr>
                <w:kern w:val="0"/>
                <w:sz w:val="18"/>
                <w:szCs w:val="18"/>
              </w:rPr>
            </w:pPr>
            <w:r>
              <w:rPr>
                <w:rFonts w:hint="eastAsia"/>
                <w:sz w:val="18"/>
              </w:rPr>
              <w:t xml:space="preserve">3.43 </w:t>
            </w:r>
          </w:p>
        </w:tc>
        <w:tc>
          <w:tcPr>
            <w:tcW w:w="261" w:type="pct"/>
            <w:shd w:val="clear" w:color="auto" w:fill="auto"/>
            <w:noWrap/>
            <w:vAlign w:val="center"/>
          </w:tcPr>
          <w:p>
            <w:pPr>
              <w:widowControl/>
              <w:jc w:val="center"/>
              <w:rPr>
                <w:kern w:val="0"/>
                <w:sz w:val="18"/>
                <w:szCs w:val="18"/>
              </w:rPr>
            </w:pPr>
            <w:r>
              <w:rPr>
                <w:rFonts w:hint="eastAsia"/>
                <w:sz w:val="18"/>
              </w:rPr>
              <w:t xml:space="preserve">2.75 </w:t>
            </w:r>
          </w:p>
        </w:tc>
        <w:tc>
          <w:tcPr>
            <w:tcW w:w="261" w:type="pct"/>
            <w:shd w:val="clear" w:color="auto" w:fill="auto"/>
            <w:noWrap/>
            <w:vAlign w:val="center"/>
          </w:tcPr>
          <w:p>
            <w:pPr>
              <w:widowControl/>
              <w:jc w:val="center"/>
              <w:rPr>
                <w:kern w:val="0"/>
                <w:sz w:val="18"/>
                <w:szCs w:val="18"/>
              </w:rPr>
            </w:pPr>
            <w:r>
              <w:rPr>
                <w:rFonts w:hint="eastAsia"/>
                <w:sz w:val="18"/>
              </w:rPr>
              <w:t xml:space="preserve">9.34 </w:t>
            </w:r>
          </w:p>
        </w:tc>
        <w:tc>
          <w:tcPr>
            <w:tcW w:w="261" w:type="pct"/>
            <w:shd w:val="clear" w:color="auto" w:fill="auto"/>
            <w:noWrap/>
            <w:vAlign w:val="center"/>
          </w:tcPr>
          <w:p>
            <w:pPr>
              <w:widowControl/>
              <w:jc w:val="center"/>
              <w:rPr>
                <w:kern w:val="0"/>
                <w:sz w:val="18"/>
                <w:szCs w:val="18"/>
              </w:rPr>
            </w:pPr>
            <w:r>
              <w:rPr>
                <w:rFonts w:hint="eastAsia"/>
                <w:sz w:val="18"/>
              </w:rPr>
              <w:t xml:space="preserve">5.77 </w:t>
            </w:r>
          </w:p>
        </w:tc>
        <w:tc>
          <w:tcPr>
            <w:tcW w:w="261" w:type="pct"/>
            <w:shd w:val="clear" w:color="auto" w:fill="auto"/>
            <w:noWrap/>
            <w:vAlign w:val="center"/>
          </w:tcPr>
          <w:p>
            <w:pPr>
              <w:widowControl/>
              <w:jc w:val="center"/>
              <w:rPr>
                <w:kern w:val="0"/>
                <w:sz w:val="18"/>
                <w:szCs w:val="18"/>
              </w:rPr>
            </w:pPr>
            <w:r>
              <w:rPr>
                <w:rFonts w:hint="eastAsia"/>
                <w:sz w:val="18"/>
              </w:rPr>
              <w:t xml:space="preserve">5.63 </w:t>
            </w:r>
          </w:p>
        </w:tc>
        <w:tc>
          <w:tcPr>
            <w:tcW w:w="261" w:type="pct"/>
            <w:shd w:val="clear" w:color="auto" w:fill="auto"/>
            <w:noWrap/>
            <w:vAlign w:val="center"/>
          </w:tcPr>
          <w:p>
            <w:pPr>
              <w:widowControl/>
              <w:jc w:val="center"/>
              <w:rPr>
                <w:kern w:val="0"/>
                <w:sz w:val="18"/>
                <w:szCs w:val="18"/>
              </w:rPr>
            </w:pPr>
            <w:r>
              <w:rPr>
                <w:rFonts w:hint="eastAsia"/>
                <w:sz w:val="18"/>
              </w:rPr>
              <w:t xml:space="preserve">3.98 </w:t>
            </w:r>
          </w:p>
        </w:tc>
        <w:tc>
          <w:tcPr>
            <w:tcW w:w="297" w:type="pct"/>
            <w:shd w:val="clear" w:color="auto" w:fill="auto"/>
            <w:noWrap/>
            <w:vAlign w:val="center"/>
          </w:tcPr>
          <w:p>
            <w:pPr>
              <w:widowControl/>
              <w:jc w:val="center"/>
              <w:rPr>
                <w:kern w:val="0"/>
                <w:sz w:val="18"/>
                <w:szCs w:val="18"/>
              </w:rPr>
            </w:pPr>
            <w:r>
              <w:rPr>
                <w:rFonts w:hint="eastAsia"/>
                <w:sz w:val="18"/>
              </w:rPr>
              <w:t xml:space="preserve">3.48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夏季</w:t>
            </w:r>
          </w:p>
        </w:tc>
        <w:tc>
          <w:tcPr>
            <w:tcW w:w="302" w:type="pct"/>
            <w:shd w:val="clear" w:color="auto" w:fill="auto"/>
            <w:noWrap/>
            <w:vAlign w:val="center"/>
          </w:tcPr>
          <w:p>
            <w:pPr>
              <w:widowControl/>
              <w:jc w:val="center"/>
              <w:rPr>
                <w:kern w:val="0"/>
                <w:sz w:val="18"/>
                <w:szCs w:val="18"/>
              </w:rPr>
            </w:pPr>
            <w:r>
              <w:rPr>
                <w:rFonts w:hint="eastAsia"/>
                <w:sz w:val="18"/>
              </w:rPr>
              <w:t xml:space="preserve">13.30 </w:t>
            </w:r>
          </w:p>
        </w:tc>
        <w:tc>
          <w:tcPr>
            <w:tcW w:w="302" w:type="pct"/>
            <w:shd w:val="clear" w:color="auto" w:fill="auto"/>
            <w:noWrap/>
            <w:vAlign w:val="center"/>
          </w:tcPr>
          <w:p>
            <w:pPr>
              <w:widowControl/>
              <w:jc w:val="center"/>
              <w:rPr>
                <w:kern w:val="0"/>
                <w:sz w:val="18"/>
                <w:szCs w:val="18"/>
              </w:rPr>
            </w:pPr>
            <w:r>
              <w:rPr>
                <w:rFonts w:hint="eastAsia"/>
                <w:sz w:val="18"/>
              </w:rPr>
              <w:t xml:space="preserve">19.72 </w:t>
            </w:r>
          </w:p>
        </w:tc>
        <w:tc>
          <w:tcPr>
            <w:tcW w:w="302" w:type="pct"/>
            <w:shd w:val="clear" w:color="auto" w:fill="auto"/>
            <w:noWrap/>
            <w:vAlign w:val="center"/>
          </w:tcPr>
          <w:p>
            <w:pPr>
              <w:widowControl/>
              <w:jc w:val="center"/>
              <w:rPr>
                <w:kern w:val="0"/>
                <w:sz w:val="18"/>
                <w:szCs w:val="18"/>
              </w:rPr>
            </w:pPr>
            <w:r>
              <w:rPr>
                <w:rFonts w:hint="eastAsia"/>
                <w:sz w:val="18"/>
              </w:rPr>
              <w:t xml:space="preserve">10.36 </w:t>
            </w:r>
          </w:p>
        </w:tc>
        <w:tc>
          <w:tcPr>
            <w:tcW w:w="261" w:type="pct"/>
            <w:shd w:val="clear" w:color="auto" w:fill="auto"/>
            <w:noWrap/>
            <w:vAlign w:val="center"/>
          </w:tcPr>
          <w:p>
            <w:pPr>
              <w:widowControl/>
              <w:jc w:val="center"/>
              <w:rPr>
                <w:kern w:val="0"/>
                <w:sz w:val="18"/>
                <w:szCs w:val="18"/>
              </w:rPr>
            </w:pPr>
            <w:r>
              <w:rPr>
                <w:rFonts w:hint="eastAsia"/>
                <w:sz w:val="18"/>
              </w:rPr>
              <w:t xml:space="preserve">4.59 </w:t>
            </w:r>
          </w:p>
        </w:tc>
        <w:tc>
          <w:tcPr>
            <w:tcW w:w="302" w:type="pct"/>
            <w:shd w:val="clear" w:color="auto" w:fill="auto"/>
            <w:noWrap/>
            <w:vAlign w:val="center"/>
          </w:tcPr>
          <w:p>
            <w:pPr>
              <w:widowControl/>
              <w:jc w:val="center"/>
              <w:rPr>
                <w:kern w:val="0"/>
                <w:sz w:val="18"/>
                <w:szCs w:val="18"/>
              </w:rPr>
            </w:pPr>
            <w:r>
              <w:rPr>
                <w:rFonts w:hint="eastAsia"/>
                <w:sz w:val="18"/>
              </w:rPr>
              <w:t xml:space="preserve">5.96 </w:t>
            </w:r>
          </w:p>
        </w:tc>
        <w:tc>
          <w:tcPr>
            <w:tcW w:w="261" w:type="pct"/>
            <w:shd w:val="clear" w:color="auto" w:fill="auto"/>
            <w:noWrap/>
            <w:vAlign w:val="center"/>
          </w:tcPr>
          <w:p>
            <w:pPr>
              <w:widowControl/>
              <w:jc w:val="center"/>
              <w:rPr>
                <w:kern w:val="0"/>
                <w:sz w:val="18"/>
                <w:szCs w:val="18"/>
              </w:rPr>
            </w:pPr>
            <w:r>
              <w:rPr>
                <w:rFonts w:hint="eastAsia"/>
                <w:sz w:val="18"/>
              </w:rPr>
              <w:t xml:space="preserve">2.43 </w:t>
            </w:r>
          </w:p>
        </w:tc>
        <w:tc>
          <w:tcPr>
            <w:tcW w:w="261" w:type="pct"/>
            <w:shd w:val="clear" w:color="auto" w:fill="auto"/>
            <w:noWrap/>
            <w:vAlign w:val="center"/>
          </w:tcPr>
          <w:p>
            <w:pPr>
              <w:widowControl/>
              <w:jc w:val="center"/>
              <w:rPr>
                <w:kern w:val="0"/>
                <w:sz w:val="18"/>
                <w:szCs w:val="18"/>
              </w:rPr>
            </w:pPr>
            <w:r>
              <w:rPr>
                <w:rFonts w:hint="eastAsia"/>
                <w:sz w:val="18"/>
              </w:rPr>
              <w:t xml:space="preserve">3.30 </w:t>
            </w:r>
          </w:p>
        </w:tc>
        <w:tc>
          <w:tcPr>
            <w:tcW w:w="261" w:type="pct"/>
            <w:shd w:val="clear" w:color="auto" w:fill="auto"/>
            <w:noWrap/>
            <w:vAlign w:val="center"/>
          </w:tcPr>
          <w:p>
            <w:pPr>
              <w:widowControl/>
              <w:jc w:val="center"/>
              <w:rPr>
                <w:kern w:val="0"/>
                <w:sz w:val="18"/>
                <w:szCs w:val="18"/>
              </w:rPr>
            </w:pPr>
            <w:r>
              <w:rPr>
                <w:rFonts w:hint="eastAsia"/>
                <w:sz w:val="18"/>
              </w:rPr>
              <w:t xml:space="preserve">4.95 </w:t>
            </w:r>
          </w:p>
        </w:tc>
        <w:tc>
          <w:tcPr>
            <w:tcW w:w="302" w:type="pct"/>
            <w:shd w:val="clear" w:color="auto" w:fill="auto"/>
            <w:noWrap/>
            <w:vAlign w:val="center"/>
          </w:tcPr>
          <w:p>
            <w:pPr>
              <w:widowControl/>
              <w:jc w:val="center"/>
              <w:rPr>
                <w:kern w:val="0"/>
                <w:sz w:val="18"/>
                <w:szCs w:val="18"/>
              </w:rPr>
            </w:pPr>
            <w:r>
              <w:rPr>
                <w:rFonts w:hint="eastAsia"/>
                <w:sz w:val="18"/>
              </w:rPr>
              <w:t xml:space="preserve">10.36 </w:t>
            </w:r>
          </w:p>
        </w:tc>
        <w:tc>
          <w:tcPr>
            <w:tcW w:w="302" w:type="pct"/>
            <w:shd w:val="clear" w:color="auto" w:fill="auto"/>
            <w:noWrap/>
            <w:vAlign w:val="center"/>
          </w:tcPr>
          <w:p>
            <w:pPr>
              <w:widowControl/>
              <w:jc w:val="center"/>
              <w:rPr>
                <w:kern w:val="0"/>
                <w:sz w:val="18"/>
                <w:szCs w:val="18"/>
              </w:rPr>
            </w:pPr>
            <w:r>
              <w:rPr>
                <w:rFonts w:hint="eastAsia"/>
                <w:sz w:val="18"/>
              </w:rPr>
              <w:t xml:space="preserve">4.08 </w:t>
            </w:r>
          </w:p>
        </w:tc>
        <w:tc>
          <w:tcPr>
            <w:tcW w:w="261" w:type="pct"/>
            <w:shd w:val="clear" w:color="auto" w:fill="auto"/>
            <w:noWrap/>
            <w:vAlign w:val="center"/>
          </w:tcPr>
          <w:p>
            <w:pPr>
              <w:widowControl/>
              <w:jc w:val="center"/>
              <w:rPr>
                <w:kern w:val="0"/>
                <w:sz w:val="18"/>
                <w:szCs w:val="18"/>
              </w:rPr>
            </w:pPr>
            <w:r>
              <w:rPr>
                <w:rFonts w:hint="eastAsia"/>
                <w:sz w:val="18"/>
              </w:rPr>
              <w:t xml:space="preserve">1.88 </w:t>
            </w:r>
          </w:p>
        </w:tc>
        <w:tc>
          <w:tcPr>
            <w:tcW w:w="261" w:type="pct"/>
            <w:shd w:val="clear" w:color="auto" w:fill="auto"/>
            <w:noWrap/>
            <w:vAlign w:val="center"/>
          </w:tcPr>
          <w:p>
            <w:pPr>
              <w:widowControl/>
              <w:jc w:val="center"/>
              <w:rPr>
                <w:kern w:val="0"/>
                <w:sz w:val="18"/>
                <w:szCs w:val="18"/>
              </w:rPr>
            </w:pPr>
            <w:r>
              <w:rPr>
                <w:rFonts w:hint="eastAsia"/>
                <w:sz w:val="18"/>
              </w:rPr>
              <w:t xml:space="preserve">2.29 </w:t>
            </w:r>
          </w:p>
        </w:tc>
        <w:tc>
          <w:tcPr>
            <w:tcW w:w="261" w:type="pct"/>
            <w:shd w:val="clear" w:color="auto" w:fill="auto"/>
            <w:noWrap/>
            <w:vAlign w:val="center"/>
          </w:tcPr>
          <w:p>
            <w:pPr>
              <w:widowControl/>
              <w:jc w:val="center"/>
              <w:rPr>
                <w:kern w:val="0"/>
                <w:sz w:val="18"/>
                <w:szCs w:val="18"/>
              </w:rPr>
            </w:pPr>
            <w:r>
              <w:rPr>
                <w:rFonts w:hint="eastAsia"/>
                <w:sz w:val="18"/>
              </w:rPr>
              <w:t xml:space="preserve">4.26 </w:t>
            </w:r>
          </w:p>
        </w:tc>
        <w:tc>
          <w:tcPr>
            <w:tcW w:w="261" w:type="pct"/>
            <w:shd w:val="clear" w:color="auto" w:fill="auto"/>
            <w:noWrap/>
            <w:vAlign w:val="center"/>
          </w:tcPr>
          <w:p>
            <w:pPr>
              <w:widowControl/>
              <w:jc w:val="center"/>
              <w:rPr>
                <w:kern w:val="0"/>
                <w:sz w:val="18"/>
                <w:szCs w:val="18"/>
              </w:rPr>
            </w:pPr>
            <w:r>
              <w:rPr>
                <w:rFonts w:hint="eastAsia"/>
                <w:sz w:val="18"/>
              </w:rPr>
              <w:t xml:space="preserve">2.98 </w:t>
            </w:r>
          </w:p>
        </w:tc>
        <w:tc>
          <w:tcPr>
            <w:tcW w:w="261" w:type="pct"/>
            <w:shd w:val="clear" w:color="auto" w:fill="auto"/>
            <w:noWrap/>
            <w:vAlign w:val="center"/>
          </w:tcPr>
          <w:p>
            <w:pPr>
              <w:widowControl/>
              <w:jc w:val="center"/>
              <w:rPr>
                <w:kern w:val="0"/>
                <w:sz w:val="18"/>
                <w:szCs w:val="18"/>
              </w:rPr>
            </w:pPr>
            <w:r>
              <w:rPr>
                <w:rFonts w:hint="eastAsia"/>
                <w:sz w:val="18"/>
              </w:rPr>
              <w:t xml:space="preserve">2.89 </w:t>
            </w:r>
          </w:p>
        </w:tc>
        <w:tc>
          <w:tcPr>
            <w:tcW w:w="261" w:type="pct"/>
            <w:shd w:val="clear" w:color="auto" w:fill="auto"/>
            <w:noWrap/>
            <w:vAlign w:val="center"/>
          </w:tcPr>
          <w:p>
            <w:pPr>
              <w:widowControl/>
              <w:jc w:val="center"/>
              <w:rPr>
                <w:kern w:val="0"/>
                <w:sz w:val="18"/>
                <w:szCs w:val="18"/>
              </w:rPr>
            </w:pPr>
            <w:r>
              <w:rPr>
                <w:rFonts w:hint="eastAsia"/>
                <w:sz w:val="18"/>
              </w:rPr>
              <w:t xml:space="preserve">3.16 </w:t>
            </w:r>
          </w:p>
        </w:tc>
        <w:tc>
          <w:tcPr>
            <w:tcW w:w="297" w:type="pct"/>
            <w:shd w:val="clear" w:color="auto" w:fill="auto"/>
            <w:noWrap/>
            <w:vAlign w:val="center"/>
          </w:tcPr>
          <w:p>
            <w:pPr>
              <w:widowControl/>
              <w:jc w:val="center"/>
              <w:rPr>
                <w:kern w:val="0"/>
                <w:sz w:val="18"/>
                <w:szCs w:val="18"/>
              </w:rPr>
            </w:pPr>
            <w:r>
              <w:rPr>
                <w:rFonts w:hint="eastAsia"/>
                <w:sz w:val="18"/>
              </w:rPr>
              <w:t xml:space="preserve">3.48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秋季</w:t>
            </w:r>
          </w:p>
        </w:tc>
        <w:tc>
          <w:tcPr>
            <w:tcW w:w="302" w:type="pct"/>
            <w:shd w:val="clear" w:color="auto" w:fill="auto"/>
            <w:noWrap/>
            <w:vAlign w:val="center"/>
          </w:tcPr>
          <w:p>
            <w:pPr>
              <w:widowControl/>
              <w:jc w:val="center"/>
              <w:rPr>
                <w:kern w:val="0"/>
                <w:sz w:val="18"/>
                <w:szCs w:val="18"/>
              </w:rPr>
            </w:pPr>
            <w:r>
              <w:rPr>
                <w:rFonts w:hint="eastAsia"/>
                <w:sz w:val="18"/>
              </w:rPr>
              <w:t xml:space="preserve">14.50 </w:t>
            </w:r>
          </w:p>
        </w:tc>
        <w:tc>
          <w:tcPr>
            <w:tcW w:w="302" w:type="pct"/>
            <w:shd w:val="clear" w:color="auto" w:fill="auto"/>
            <w:noWrap/>
            <w:vAlign w:val="center"/>
          </w:tcPr>
          <w:p>
            <w:pPr>
              <w:widowControl/>
              <w:jc w:val="center"/>
              <w:rPr>
                <w:kern w:val="0"/>
                <w:sz w:val="18"/>
                <w:szCs w:val="18"/>
              </w:rPr>
            </w:pPr>
            <w:r>
              <w:rPr>
                <w:rFonts w:hint="eastAsia"/>
                <w:sz w:val="18"/>
              </w:rPr>
              <w:t xml:space="preserve">19.13 </w:t>
            </w:r>
          </w:p>
        </w:tc>
        <w:tc>
          <w:tcPr>
            <w:tcW w:w="302" w:type="pct"/>
            <w:shd w:val="clear" w:color="auto" w:fill="auto"/>
            <w:noWrap/>
            <w:vAlign w:val="center"/>
          </w:tcPr>
          <w:p>
            <w:pPr>
              <w:widowControl/>
              <w:jc w:val="center"/>
              <w:rPr>
                <w:kern w:val="0"/>
                <w:sz w:val="18"/>
                <w:szCs w:val="18"/>
              </w:rPr>
            </w:pPr>
            <w:r>
              <w:rPr>
                <w:rFonts w:hint="eastAsia"/>
                <w:sz w:val="18"/>
              </w:rPr>
              <w:t xml:space="preserve">9.54 </w:t>
            </w:r>
          </w:p>
        </w:tc>
        <w:tc>
          <w:tcPr>
            <w:tcW w:w="261" w:type="pct"/>
            <w:shd w:val="clear" w:color="auto" w:fill="auto"/>
            <w:noWrap/>
            <w:vAlign w:val="center"/>
          </w:tcPr>
          <w:p>
            <w:pPr>
              <w:widowControl/>
              <w:jc w:val="center"/>
              <w:rPr>
                <w:kern w:val="0"/>
                <w:sz w:val="18"/>
                <w:szCs w:val="18"/>
              </w:rPr>
            </w:pPr>
            <w:r>
              <w:rPr>
                <w:rFonts w:hint="eastAsia"/>
                <w:sz w:val="18"/>
              </w:rPr>
              <w:t xml:space="preserve">4.21 </w:t>
            </w:r>
          </w:p>
        </w:tc>
        <w:tc>
          <w:tcPr>
            <w:tcW w:w="302" w:type="pct"/>
            <w:shd w:val="clear" w:color="auto" w:fill="auto"/>
            <w:noWrap/>
            <w:vAlign w:val="center"/>
          </w:tcPr>
          <w:p>
            <w:pPr>
              <w:widowControl/>
              <w:jc w:val="center"/>
              <w:rPr>
                <w:kern w:val="0"/>
                <w:sz w:val="18"/>
                <w:szCs w:val="18"/>
              </w:rPr>
            </w:pPr>
            <w:r>
              <w:rPr>
                <w:rFonts w:hint="eastAsia"/>
                <w:sz w:val="18"/>
              </w:rPr>
              <w:t xml:space="preserve">5.33 </w:t>
            </w:r>
          </w:p>
        </w:tc>
        <w:tc>
          <w:tcPr>
            <w:tcW w:w="261" w:type="pct"/>
            <w:shd w:val="clear" w:color="auto" w:fill="auto"/>
            <w:noWrap/>
            <w:vAlign w:val="center"/>
          </w:tcPr>
          <w:p>
            <w:pPr>
              <w:widowControl/>
              <w:jc w:val="center"/>
              <w:rPr>
                <w:kern w:val="0"/>
                <w:sz w:val="18"/>
                <w:szCs w:val="18"/>
              </w:rPr>
            </w:pPr>
            <w:r>
              <w:rPr>
                <w:rFonts w:hint="eastAsia"/>
                <w:sz w:val="18"/>
              </w:rPr>
              <w:t xml:space="preserve">2.43 </w:t>
            </w:r>
          </w:p>
        </w:tc>
        <w:tc>
          <w:tcPr>
            <w:tcW w:w="261" w:type="pct"/>
            <w:shd w:val="clear" w:color="auto" w:fill="auto"/>
            <w:noWrap/>
            <w:vAlign w:val="center"/>
          </w:tcPr>
          <w:p>
            <w:pPr>
              <w:widowControl/>
              <w:jc w:val="center"/>
              <w:rPr>
                <w:kern w:val="0"/>
                <w:sz w:val="18"/>
                <w:szCs w:val="18"/>
              </w:rPr>
            </w:pPr>
            <w:r>
              <w:rPr>
                <w:rFonts w:hint="eastAsia"/>
                <w:sz w:val="18"/>
              </w:rPr>
              <w:t xml:space="preserve">1.68 </w:t>
            </w:r>
          </w:p>
        </w:tc>
        <w:tc>
          <w:tcPr>
            <w:tcW w:w="261" w:type="pct"/>
            <w:shd w:val="clear" w:color="auto" w:fill="auto"/>
            <w:noWrap/>
            <w:vAlign w:val="center"/>
          </w:tcPr>
          <w:p>
            <w:pPr>
              <w:widowControl/>
              <w:jc w:val="center"/>
              <w:rPr>
                <w:kern w:val="0"/>
                <w:sz w:val="18"/>
                <w:szCs w:val="18"/>
              </w:rPr>
            </w:pPr>
            <w:r>
              <w:rPr>
                <w:rFonts w:hint="eastAsia"/>
                <w:sz w:val="18"/>
              </w:rPr>
              <w:t xml:space="preserve">2.99 </w:t>
            </w:r>
          </w:p>
        </w:tc>
        <w:tc>
          <w:tcPr>
            <w:tcW w:w="302" w:type="pct"/>
            <w:shd w:val="clear" w:color="auto" w:fill="auto"/>
            <w:noWrap/>
            <w:vAlign w:val="center"/>
          </w:tcPr>
          <w:p>
            <w:pPr>
              <w:widowControl/>
              <w:jc w:val="center"/>
              <w:rPr>
                <w:kern w:val="0"/>
                <w:sz w:val="18"/>
                <w:szCs w:val="18"/>
              </w:rPr>
            </w:pPr>
            <w:r>
              <w:rPr>
                <w:rFonts w:hint="eastAsia"/>
                <w:sz w:val="18"/>
              </w:rPr>
              <w:t xml:space="preserve">7.25 </w:t>
            </w:r>
          </w:p>
        </w:tc>
        <w:tc>
          <w:tcPr>
            <w:tcW w:w="302" w:type="pct"/>
            <w:shd w:val="clear" w:color="auto" w:fill="auto"/>
            <w:noWrap/>
            <w:vAlign w:val="center"/>
          </w:tcPr>
          <w:p>
            <w:pPr>
              <w:widowControl/>
              <w:jc w:val="center"/>
              <w:rPr>
                <w:kern w:val="0"/>
                <w:sz w:val="18"/>
                <w:szCs w:val="18"/>
              </w:rPr>
            </w:pPr>
            <w:r>
              <w:rPr>
                <w:rFonts w:hint="eastAsia"/>
                <w:sz w:val="18"/>
              </w:rPr>
              <w:t xml:space="preserve">4.91 </w:t>
            </w:r>
          </w:p>
        </w:tc>
        <w:tc>
          <w:tcPr>
            <w:tcW w:w="261" w:type="pct"/>
            <w:shd w:val="clear" w:color="auto" w:fill="auto"/>
            <w:noWrap/>
            <w:vAlign w:val="center"/>
          </w:tcPr>
          <w:p>
            <w:pPr>
              <w:widowControl/>
              <w:jc w:val="center"/>
              <w:rPr>
                <w:kern w:val="0"/>
                <w:sz w:val="18"/>
                <w:szCs w:val="18"/>
              </w:rPr>
            </w:pPr>
            <w:r>
              <w:rPr>
                <w:rFonts w:hint="eastAsia"/>
                <w:sz w:val="18"/>
              </w:rPr>
              <w:t xml:space="preserve">3.46 </w:t>
            </w:r>
          </w:p>
        </w:tc>
        <w:tc>
          <w:tcPr>
            <w:tcW w:w="261" w:type="pct"/>
            <w:shd w:val="clear" w:color="auto" w:fill="auto"/>
            <w:noWrap/>
            <w:vAlign w:val="center"/>
          </w:tcPr>
          <w:p>
            <w:pPr>
              <w:widowControl/>
              <w:jc w:val="center"/>
              <w:rPr>
                <w:kern w:val="0"/>
                <w:sz w:val="18"/>
                <w:szCs w:val="18"/>
              </w:rPr>
            </w:pPr>
            <w:r>
              <w:rPr>
                <w:rFonts w:hint="eastAsia"/>
                <w:sz w:val="18"/>
              </w:rPr>
              <w:t xml:space="preserve">2.48 </w:t>
            </w:r>
          </w:p>
        </w:tc>
        <w:tc>
          <w:tcPr>
            <w:tcW w:w="261" w:type="pct"/>
            <w:shd w:val="clear" w:color="auto" w:fill="auto"/>
            <w:noWrap/>
            <w:vAlign w:val="center"/>
          </w:tcPr>
          <w:p>
            <w:pPr>
              <w:widowControl/>
              <w:jc w:val="center"/>
              <w:rPr>
                <w:kern w:val="0"/>
                <w:sz w:val="18"/>
                <w:szCs w:val="18"/>
              </w:rPr>
            </w:pPr>
            <w:r>
              <w:rPr>
                <w:rFonts w:hint="eastAsia"/>
                <w:sz w:val="18"/>
              </w:rPr>
              <w:t xml:space="preserve">7.62 </w:t>
            </w:r>
          </w:p>
        </w:tc>
        <w:tc>
          <w:tcPr>
            <w:tcW w:w="261" w:type="pct"/>
            <w:shd w:val="clear" w:color="auto" w:fill="auto"/>
            <w:noWrap/>
            <w:vAlign w:val="center"/>
          </w:tcPr>
          <w:p>
            <w:pPr>
              <w:widowControl/>
              <w:jc w:val="center"/>
              <w:rPr>
                <w:kern w:val="0"/>
                <w:sz w:val="18"/>
                <w:szCs w:val="18"/>
              </w:rPr>
            </w:pPr>
            <w:r>
              <w:rPr>
                <w:rFonts w:hint="eastAsia"/>
                <w:sz w:val="18"/>
              </w:rPr>
              <w:t xml:space="preserve">4.63 </w:t>
            </w:r>
          </w:p>
        </w:tc>
        <w:tc>
          <w:tcPr>
            <w:tcW w:w="261" w:type="pct"/>
            <w:shd w:val="clear" w:color="auto" w:fill="auto"/>
            <w:noWrap/>
            <w:vAlign w:val="center"/>
          </w:tcPr>
          <w:p>
            <w:pPr>
              <w:widowControl/>
              <w:jc w:val="center"/>
              <w:rPr>
                <w:kern w:val="0"/>
                <w:sz w:val="18"/>
                <w:szCs w:val="18"/>
              </w:rPr>
            </w:pPr>
            <w:r>
              <w:rPr>
                <w:rFonts w:hint="eastAsia"/>
                <w:sz w:val="18"/>
              </w:rPr>
              <w:t xml:space="preserve">3.60 </w:t>
            </w:r>
          </w:p>
        </w:tc>
        <w:tc>
          <w:tcPr>
            <w:tcW w:w="261" w:type="pct"/>
            <w:shd w:val="clear" w:color="auto" w:fill="auto"/>
            <w:noWrap/>
            <w:vAlign w:val="center"/>
          </w:tcPr>
          <w:p>
            <w:pPr>
              <w:widowControl/>
              <w:jc w:val="center"/>
              <w:rPr>
                <w:kern w:val="0"/>
                <w:sz w:val="18"/>
                <w:szCs w:val="18"/>
              </w:rPr>
            </w:pPr>
            <w:r>
              <w:rPr>
                <w:rFonts w:hint="eastAsia"/>
                <w:sz w:val="18"/>
              </w:rPr>
              <w:t xml:space="preserve">3.27 </w:t>
            </w:r>
          </w:p>
        </w:tc>
        <w:tc>
          <w:tcPr>
            <w:tcW w:w="297" w:type="pct"/>
            <w:shd w:val="clear" w:color="auto" w:fill="auto"/>
            <w:noWrap/>
            <w:vAlign w:val="center"/>
          </w:tcPr>
          <w:p>
            <w:pPr>
              <w:widowControl/>
              <w:jc w:val="center"/>
              <w:rPr>
                <w:kern w:val="0"/>
                <w:sz w:val="18"/>
                <w:szCs w:val="18"/>
              </w:rPr>
            </w:pPr>
            <w:r>
              <w:rPr>
                <w:rFonts w:hint="eastAsia"/>
                <w:sz w:val="18"/>
              </w:rPr>
              <w:t xml:space="preserve">2.95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81" w:type="pct"/>
            <w:shd w:val="clear" w:color="auto" w:fill="auto"/>
            <w:noWrap/>
            <w:vAlign w:val="center"/>
          </w:tcPr>
          <w:p>
            <w:pPr>
              <w:widowControl/>
              <w:jc w:val="center"/>
              <w:rPr>
                <w:kern w:val="0"/>
                <w:sz w:val="18"/>
                <w:szCs w:val="18"/>
              </w:rPr>
            </w:pPr>
            <w:r>
              <w:rPr>
                <w:kern w:val="0"/>
                <w:sz w:val="18"/>
                <w:szCs w:val="18"/>
              </w:rPr>
              <w:t>冬季</w:t>
            </w:r>
          </w:p>
        </w:tc>
        <w:tc>
          <w:tcPr>
            <w:tcW w:w="302" w:type="pct"/>
            <w:shd w:val="clear" w:color="auto" w:fill="auto"/>
            <w:noWrap/>
            <w:vAlign w:val="center"/>
          </w:tcPr>
          <w:p>
            <w:pPr>
              <w:widowControl/>
              <w:jc w:val="center"/>
              <w:rPr>
                <w:kern w:val="0"/>
                <w:sz w:val="18"/>
                <w:szCs w:val="18"/>
              </w:rPr>
            </w:pPr>
            <w:r>
              <w:rPr>
                <w:rFonts w:hint="eastAsia"/>
                <w:sz w:val="18"/>
              </w:rPr>
              <w:t xml:space="preserve">16.72 </w:t>
            </w:r>
          </w:p>
        </w:tc>
        <w:tc>
          <w:tcPr>
            <w:tcW w:w="302" w:type="pct"/>
            <w:shd w:val="clear" w:color="auto" w:fill="auto"/>
            <w:noWrap/>
            <w:vAlign w:val="center"/>
          </w:tcPr>
          <w:p>
            <w:pPr>
              <w:widowControl/>
              <w:jc w:val="center"/>
              <w:rPr>
                <w:kern w:val="0"/>
                <w:sz w:val="18"/>
                <w:szCs w:val="18"/>
              </w:rPr>
            </w:pPr>
            <w:r>
              <w:rPr>
                <w:rFonts w:hint="eastAsia"/>
                <w:sz w:val="18"/>
              </w:rPr>
              <w:t xml:space="preserve">17.43 </w:t>
            </w:r>
          </w:p>
        </w:tc>
        <w:tc>
          <w:tcPr>
            <w:tcW w:w="302" w:type="pct"/>
            <w:shd w:val="clear" w:color="auto" w:fill="auto"/>
            <w:noWrap/>
            <w:vAlign w:val="center"/>
          </w:tcPr>
          <w:p>
            <w:pPr>
              <w:widowControl/>
              <w:jc w:val="center"/>
              <w:rPr>
                <w:kern w:val="0"/>
                <w:sz w:val="18"/>
                <w:szCs w:val="18"/>
              </w:rPr>
            </w:pPr>
            <w:r>
              <w:rPr>
                <w:rFonts w:hint="eastAsia"/>
                <w:sz w:val="18"/>
              </w:rPr>
              <w:t xml:space="preserve">7.98 </w:t>
            </w:r>
          </w:p>
        </w:tc>
        <w:tc>
          <w:tcPr>
            <w:tcW w:w="261" w:type="pct"/>
            <w:shd w:val="clear" w:color="auto" w:fill="auto"/>
            <w:noWrap/>
            <w:vAlign w:val="center"/>
          </w:tcPr>
          <w:p>
            <w:pPr>
              <w:widowControl/>
              <w:jc w:val="center"/>
              <w:rPr>
                <w:kern w:val="0"/>
                <w:sz w:val="18"/>
                <w:szCs w:val="18"/>
              </w:rPr>
            </w:pPr>
            <w:r>
              <w:rPr>
                <w:rFonts w:hint="eastAsia"/>
                <w:sz w:val="18"/>
              </w:rPr>
              <w:t xml:space="preserve">3.35 </w:t>
            </w:r>
          </w:p>
        </w:tc>
        <w:tc>
          <w:tcPr>
            <w:tcW w:w="302" w:type="pct"/>
            <w:shd w:val="clear" w:color="auto" w:fill="auto"/>
            <w:noWrap/>
            <w:vAlign w:val="center"/>
          </w:tcPr>
          <w:p>
            <w:pPr>
              <w:widowControl/>
              <w:jc w:val="center"/>
              <w:rPr>
                <w:kern w:val="0"/>
                <w:sz w:val="18"/>
                <w:szCs w:val="18"/>
              </w:rPr>
            </w:pPr>
            <w:r>
              <w:rPr>
                <w:rFonts w:hint="eastAsia"/>
                <w:sz w:val="18"/>
              </w:rPr>
              <w:t xml:space="preserve">3.16 </w:t>
            </w:r>
          </w:p>
        </w:tc>
        <w:tc>
          <w:tcPr>
            <w:tcW w:w="261" w:type="pct"/>
            <w:shd w:val="clear" w:color="auto" w:fill="auto"/>
            <w:noWrap/>
            <w:vAlign w:val="center"/>
          </w:tcPr>
          <w:p>
            <w:pPr>
              <w:widowControl/>
              <w:jc w:val="center"/>
              <w:rPr>
                <w:kern w:val="0"/>
                <w:sz w:val="18"/>
                <w:szCs w:val="18"/>
              </w:rPr>
            </w:pPr>
            <w:r>
              <w:rPr>
                <w:rFonts w:hint="eastAsia"/>
                <w:sz w:val="18"/>
              </w:rPr>
              <w:t xml:space="preserve">1.04 </w:t>
            </w:r>
          </w:p>
        </w:tc>
        <w:tc>
          <w:tcPr>
            <w:tcW w:w="261" w:type="pct"/>
            <w:shd w:val="clear" w:color="auto" w:fill="auto"/>
            <w:noWrap/>
            <w:vAlign w:val="center"/>
          </w:tcPr>
          <w:p>
            <w:pPr>
              <w:widowControl/>
              <w:jc w:val="center"/>
              <w:rPr>
                <w:kern w:val="0"/>
                <w:sz w:val="18"/>
                <w:szCs w:val="18"/>
              </w:rPr>
            </w:pPr>
            <w:r>
              <w:rPr>
                <w:rFonts w:hint="eastAsia"/>
                <w:sz w:val="18"/>
              </w:rPr>
              <w:t xml:space="preserve">0.76 </w:t>
            </w:r>
          </w:p>
        </w:tc>
        <w:tc>
          <w:tcPr>
            <w:tcW w:w="261" w:type="pct"/>
            <w:shd w:val="clear" w:color="auto" w:fill="auto"/>
            <w:noWrap/>
            <w:vAlign w:val="center"/>
          </w:tcPr>
          <w:p>
            <w:pPr>
              <w:widowControl/>
              <w:jc w:val="center"/>
              <w:rPr>
                <w:kern w:val="0"/>
                <w:sz w:val="18"/>
                <w:szCs w:val="18"/>
              </w:rPr>
            </w:pPr>
            <w:r>
              <w:rPr>
                <w:rFonts w:hint="eastAsia"/>
                <w:sz w:val="18"/>
              </w:rPr>
              <w:t xml:space="preserve">0.85 </w:t>
            </w:r>
          </w:p>
        </w:tc>
        <w:tc>
          <w:tcPr>
            <w:tcW w:w="302" w:type="pct"/>
            <w:shd w:val="clear" w:color="auto" w:fill="auto"/>
            <w:noWrap/>
            <w:vAlign w:val="center"/>
          </w:tcPr>
          <w:p>
            <w:pPr>
              <w:widowControl/>
              <w:jc w:val="center"/>
              <w:rPr>
                <w:kern w:val="0"/>
                <w:sz w:val="18"/>
                <w:szCs w:val="18"/>
              </w:rPr>
            </w:pPr>
            <w:r>
              <w:rPr>
                <w:rFonts w:hint="eastAsia"/>
                <w:sz w:val="18"/>
              </w:rPr>
              <w:t xml:space="preserve">3.54 </w:t>
            </w:r>
          </w:p>
        </w:tc>
        <w:tc>
          <w:tcPr>
            <w:tcW w:w="302" w:type="pct"/>
            <w:shd w:val="clear" w:color="auto" w:fill="auto"/>
            <w:noWrap/>
            <w:vAlign w:val="center"/>
          </w:tcPr>
          <w:p>
            <w:pPr>
              <w:widowControl/>
              <w:jc w:val="center"/>
              <w:rPr>
                <w:kern w:val="0"/>
                <w:sz w:val="18"/>
                <w:szCs w:val="18"/>
              </w:rPr>
            </w:pPr>
            <w:r>
              <w:rPr>
                <w:rFonts w:hint="eastAsia"/>
                <w:sz w:val="18"/>
              </w:rPr>
              <w:t xml:space="preserve">2.93 </w:t>
            </w:r>
          </w:p>
        </w:tc>
        <w:tc>
          <w:tcPr>
            <w:tcW w:w="261" w:type="pct"/>
            <w:shd w:val="clear" w:color="auto" w:fill="auto"/>
            <w:noWrap/>
            <w:vAlign w:val="center"/>
          </w:tcPr>
          <w:p>
            <w:pPr>
              <w:widowControl/>
              <w:jc w:val="center"/>
              <w:rPr>
                <w:kern w:val="0"/>
                <w:sz w:val="18"/>
                <w:szCs w:val="18"/>
              </w:rPr>
            </w:pPr>
            <w:r>
              <w:rPr>
                <w:rFonts w:hint="eastAsia"/>
                <w:sz w:val="18"/>
              </w:rPr>
              <w:t xml:space="preserve">1.84 </w:t>
            </w:r>
          </w:p>
        </w:tc>
        <w:tc>
          <w:tcPr>
            <w:tcW w:w="261" w:type="pct"/>
            <w:shd w:val="clear" w:color="auto" w:fill="auto"/>
            <w:noWrap/>
            <w:vAlign w:val="center"/>
          </w:tcPr>
          <w:p>
            <w:pPr>
              <w:widowControl/>
              <w:jc w:val="center"/>
              <w:rPr>
                <w:kern w:val="0"/>
                <w:sz w:val="18"/>
                <w:szCs w:val="18"/>
              </w:rPr>
            </w:pPr>
            <w:r>
              <w:rPr>
                <w:rFonts w:hint="eastAsia"/>
                <w:sz w:val="18"/>
              </w:rPr>
              <w:t xml:space="preserve">2.46 </w:t>
            </w:r>
          </w:p>
        </w:tc>
        <w:tc>
          <w:tcPr>
            <w:tcW w:w="261" w:type="pct"/>
            <w:shd w:val="clear" w:color="auto" w:fill="auto"/>
            <w:noWrap/>
            <w:vAlign w:val="center"/>
          </w:tcPr>
          <w:p>
            <w:pPr>
              <w:widowControl/>
              <w:jc w:val="center"/>
              <w:rPr>
                <w:kern w:val="0"/>
                <w:sz w:val="18"/>
                <w:szCs w:val="18"/>
              </w:rPr>
            </w:pPr>
            <w:r>
              <w:rPr>
                <w:rFonts w:hint="eastAsia"/>
                <w:sz w:val="18"/>
              </w:rPr>
              <w:t xml:space="preserve">10.96 </w:t>
            </w:r>
          </w:p>
        </w:tc>
        <w:tc>
          <w:tcPr>
            <w:tcW w:w="261" w:type="pct"/>
            <w:shd w:val="clear" w:color="auto" w:fill="auto"/>
            <w:noWrap/>
            <w:vAlign w:val="center"/>
          </w:tcPr>
          <w:p>
            <w:pPr>
              <w:widowControl/>
              <w:jc w:val="center"/>
              <w:rPr>
                <w:kern w:val="0"/>
                <w:sz w:val="18"/>
                <w:szCs w:val="18"/>
              </w:rPr>
            </w:pPr>
            <w:r>
              <w:rPr>
                <w:rFonts w:hint="eastAsia"/>
                <w:sz w:val="18"/>
              </w:rPr>
              <w:t xml:space="preserve">8.22 </w:t>
            </w:r>
          </w:p>
        </w:tc>
        <w:tc>
          <w:tcPr>
            <w:tcW w:w="261" w:type="pct"/>
            <w:shd w:val="clear" w:color="auto" w:fill="auto"/>
            <w:noWrap/>
            <w:vAlign w:val="center"/>
          </w:tcPr>
          <w:p>
            <w:pPr>
              <w:widowControl/>
              <w:jc w:val="center"/>
              <w:rPr>
                <w:kern w:val="0"/>
                <w:sz w:val="18"/>
                <w:szCs w:val="18"/>
              </w:rPr>
            </w:pPr>
            <w:r>
              <w:rPr>
                <w:rFonts w:hint="eastAsia"/>
                <w:sz w:val="18"/>
              </w:rPr>
              <w:t xml:space="preserve">9.31 </w:t>
            </w:r>
          </w:p>
        </w:tc>
        <w:tc>
          <w:tcPr>
            <w:tcW w:w="261" w:type="pct"/>
            <w:shd w:val="clear" w:color="auto" w:fill="auto"/>
            <w:noWrap/>
            <w:vAlign w:val="center"/>
          </w:tcPr>
          <w:p>
            <w:pPr>
              <w:widowControl/>
              <w:jc w:val="center"/>
              <w:rPr>
                <w:kern w:val="0"/>
                <w:sz w:val="18"/>
                <w:szCs w:val="18"/>
              </w:rPr>
            </w:pPr>
            <w:r>
              <w:rPr>
                <w:rFonts w:hint="eastAsia"/>
                <w:sz w:val="18"/>
              </w:rPr>
              <w:t xml:space="preserve">6.52 </w:t>
            </w:r>
          </w:p>
        </w:tc>
        <w:tc>
          <w:tcPr>
            <w:tcW w:w="297" w:type="pct"/>
            <w:shd w:val="clear" w:color="auto" w:fill="auto"/>
            <w:noWrap/>
            <w:vAlign w:val="center"/>
          </w:tcPr>
          <w:p>
            <w:pPr>
              <w:widowControl/>
              <w:jc w:val="center"/>
              <w:rPr>
                <w:kern w:val="0"/>
                <w:sz w:val="18"/>
                <w:szCs w:val="18"/>
              </w:rPr>
            </w:pPr>
            <w:r>
              <w:rPr>
                <w:rFonts w:hint="eastAsia"/>
                <w:sz w:val="18"/>
              </w:rPr>
              <w:t xml:space="preserve">2.93 </w:t>
            </w:r>
          </w:p>
        </w:tc>
      </w:tr>
    </w:tbl>
    <w:p>
      <w:pPr>
        <w:spacing w:line="360" w:lineRule="auto"/>
        <w:rPr>
          <w:sz w:val="24"/>
          <w:szCs w:val="24"/>
        </w:rPr>
      </w:pPr>
    </w:p>
    <w:p>
      <w:pPr>
        <w:spacing w:line="360" w:lineRule="auto"/>
        <w:rPr>
          <w:sz w:val="24"/>
          <w:szCs w:val="24"/>
        </w:rPr>
        <w:sectPr>
          <w:pgSz w:w="16838" w:h="11906" w:orient="landscape"/>
          <w:pgMar w:top="1797" w:right="1440" w:bottom="1797" w:left="1440" w:header="851" w:footer="992" w:gutter="0"/>
          <w:cols w:space="720" w:num="1"/>
          <w:docGrid w:type="linesAndChars" w:linePitch="312" w:charSpace="0"/>
        </w:sectPr>
      </w:pPr>
    </w:p>
    <w:p>
      <w:pPr>
        <w:spacing w:line="360" w:lineRule="auto"/>
        <w:rPr>
          <w:sz w:val="24"/>
          <w:szCs w:val="24"/>
        </w:rPr>
      </w:pPr>
      <w:r>
        <w:rPr>
          <w:sz w:val="24"/>
          <w:szCs w:val="24"/>
        </w:rPr>
        <w:drawing>
          <wp:inline distT="0" distB="0" distL="0" distR="0">
            <wp:extent cx="5076825" cy="7219950"/>
            <wp:effectExtent l="0" t="0" r="952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076825" cy="7219950"/>
                    </a:xfrm>
                    <a:prstGeom prst="rect">
                      <a:avLst/>
                    </a:prstGeom>
                    <a:noFill/>
                    <a:ln>
                      <a:noFill/>
                    </a:ln>
                  </pic:spPr>
                </pic:pic>
              </a:graphicData>
            </a:graphic>
          </wp:inline>
        </w:drawing>
      </w:r>
    </w:p>
    <w:p>
      <w:pPr>
        <w:spacing w:line="360" w:lineRule="auto"/>
        <w:jc w:val="center"/>
        <w:rPr>
          <w:b/>
          <w:sz w:val="24"/>
          <w:szCs w:val="24"/>
        </w:rPr>
      </w:pPr>
      <w:r>
        <w:rPr>
          <w:b/>
          <w:sz w:val="24"/>
          <w:szCs w:val="24"/>
        </w:rPr>
        <w:t>图5.2-5   围场县各月、各季度及全年风玫瑰图</w:t>
      </w:r>
    </w:p>
    <w:p>
      <w:pPr>
        <w:pStyle w:val="76"/>
        <w:numPr>
          <w:ilvl w:val="0"/>
          <w:numId w:val="8"/>
        </w:numPr>
        <w:spacing w:line="360" w:lineRule="auto"/>
        <w:ind w:left="512" w:firstLineChars="0"/>
        <w:rPr>
          <w:sz w:val="24"/>
          <w:szCs w:val="24"/>
        </w:rPr>
      </w:pPr>
      <w:r>
        <w:rPr>
          <w:sz w:val="24"/>
          <w:szCs w:val="24"/>
        </w:rPr>
        <w:t>风速</w:t>
      </w:r>
    </w:p>
    <w:p>
      <w:pPr>
        <w:adjustRightInd w:val="0"/>
        <w:snapToGrid w:val="0"/>
        <w:spacing w:line="360" w:lineRule="auto"/>
        <w:ind w:left="232" w:firstLine="480" w:firstLineChars="200"/>
        <w:rPr>
          <w:sz w:val="24"/>
          <w:szCs w:val="24"/>
        </w:rPr>
        <w:sectPr>
          <w:pgSz w:w="11906" w:h="16838"/>
          <w:pgMar w:top="1440" w:right="1800" w:bottom="1440" w:left="1800" w:header="851" w:footer="992" w:gutter="0"/>
          <w:cols w:space="720" w:num="1"/>
          <w:docGrid w:type="lines" w:linePitch="312" w:charSpace="0"/>
        </w:sectPr>
      </w:pPr>
      <w:r>
        <w:rPr>
          <w:sz w:val="24"/>
          <w:szCs w:val="24"/>
        </w:rPr>
        <w:t>评价区域2019年平均风速为2.29m/s，SSW风年平均风速最高，为3.28m/s。评价所在区域年及各月风速统计见表5.2-7和表5.2-8，风速玫瑰图见图5.2-6。</w:t>
      </w:r>
    </w:p>
    <w:p>
      <w:pPr>
        <w:spacing w:line="360" w:lineRule="auto"/>
        <w:jc w:val="center"/>
        <w:rPr>
          <w:b/>
          <w:sz w:val="24"/>
          <w:szCs w:val="24"/>
        </w:rPr>
      </w:pPr>
      <w:r>
        <w:rPr>
          <w:b/>
          <w:sz w:val="24"/>
          <w:szCs w:val="24"/>
        </w:rPr>
        <w:t>表5.2-7   围场县2019年全年及四季风速频率表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45"/>
        <w:gridCol w:w="785"/>
        <w:gridCol w:w="785"/>
        <w:gridCol w:w="785"/>
        <w:gridCol w:w="785"/>
        <w:gridCol w:w="785"/>
        <w:gridCol w:w="785"/>
        <w:gridCol w:w="785"/>
        <w:gridCol w:w="785"/>
        <w:gridCol w:w="785"/>
        <w:gridCol w:w="785"/>
        <w:gridCol w:w="785"/>
        <w:gridCol w:w="785"/>
        <w:gridCol w:w="785"/>
        <w:gridCol w:w="786"/>
        <w:gridCol w:w="786"/>
        <w:gridCol w:w="786"/>
        <w:gridCol w:w="7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月份</w:t>
            </w:r>
          </w:p>
        </w:tc>
        <w:tc>
          <w:tcPr>
            <w:tcW w:w="277" w:type="pct"/>
            <w:shd w:val="clear" w:color="auto" w:fill="auto"/>
            <w:noWrap/>
            <w:vAlign w:val="center"/>
          </w:tcPr>
          <w:p>
            <w:pPr>
              <w:widowControl/>
              <w:jc w:val="center"/>
              <w:rPr>
                <w:kern w:val="0"/>
                <w:sz w:val="18"/>
                <w:szCs w:val="18"/>
              </w:rPr>
            </w:pPr>
            <w:r>
              <w:rPr>
                <w:kern w:val="0"/>
                <w:sz w:val="18"/>
                <w:szCs w:val="18"/>
              </w:rPr>
              <w:t>N</w:t>
            </w:r>
          </w:p>
        </w:tc>
        <w:tc>
          <w:tcPr>
            <w:tcW w:w="277" w:type="pct"/>
            <w:shd w:val="clear" w:color="auto" w:fill="auto"/>
            <w:noWrap/>
            <w:vAlign w:val="center"/>
          </w:tcPr>
          <w:p>
            <w:pPr>
              <w:widowControl/>
              <w:jc w:val="center"/>
              <w:rPr>
                <w:kern w:val="0"/>
                <w:sz w:val="18"/>
                <w:szCs w:val="18"/>
              </w:rPr>
            </w:pPr>
            <w:r>
              <w:rPr>
                <w:kern w:val="0"/>
                <w:sz w:val="18"/>
                <w:szCs w:val="18"/>
              </w:rPr>
              <w:t>NNE</w:t>
            </w:r>
          </w:p>
        </w:tc>
        <w:tc>
          <w:tcPr>
            <w:tcW w:w="277" w:type="pct"/>
            <w:shd w:val="clear" w:color="auto" w:fill="auto"/>
            <w:noWrap/>
            <w:vAlign w:val="center"/>
          </w:tcPr>
          <w:p>
            <w:pPr>
              <w:widowControl/>
              <w:jc w:val="center"/>
              <w:rPr>
                <w:kern w:val="0"/>
                <w:sz w:val="18"/>
                <w:szCs w:val="18"/>
              </w:rPr>
            </w:pPr>
            <w:r>
              <w:rPr>
                <w:kern w:val="0"/>
                <w:sz w:val="18"/>
                <w:szCs w:val="18"/>
              </w:rPr>
              <w:t>NE</w:t>
            </w:r>
          </w:p>
        </w:tc>
        <w:tc>
          <w:tcPr>
            <w:tcW w:w="277" w:type="pct"/>
            <w:shd w:val="clear" w:color="auto" w:fill="auto"/>
            <w:noWrap/>
            <w:vAlign w:val="center"/>
          </w:tcPr>
          <w:p>
            <w:pPr>
              <w:widowControl/>
              <w:jc w:val="center"/>
              <w:rPr>
                <w:kern w:val="0"/>
                <w:sz w:val="18"/>
                <w:szCs w:val="18"/>
              </w:rPr>
            </w:pPr>
            <w:r>
              <w:rPr>
                <w:kern w:val="0"/>
                <w:sz w:val="18"/>
                <w:szCs w:val="18"/>
              </w:rPr>
              <w:t>ENE</w:t>
            </w:r>
          </w:p>
        </w:tc>
        <w:tc>
          <w:tcPr>
            <w:tcW w:w="277" w:type="pct"/>
            <w:shd w:val="clear" w:color="auto" w:fill="auto"/>
            <w:noWrap/>
            <w:vAlign w:val="center"/>
          </w:tcPr>
          <w:p>
            <w:pPr>
              <w:widowControl/>
              <w:jc w:val="center"/>
              <w:rPr>
                <w:kern w:val="0"/>
                <w:sz w:val="18"/>
                <w:szCs w:val="18"/>
              </w:rPr>
            </w:pPr>
            <w:r>
              <w:rPr>
                <w:kern w:val="0"/>
                <w:sz w:val="18"/>
                <w:szCs w:val="18"/>
              </w:rPr>
              <w:t>E</w:t>
            </w:r>
          </w:p>
        </w:tc>
        <w:tc>
          <w:tcPr>
            <w:tcW w:w="277" w:type="pct"/>
            <w:shd w:val="clear" w:color="auto" w:fill="auto"/>
            <w:noWrap/>
            <w:vAlign w:val="center"/>
          </w:tcPr>
          <w:p>
            <w:pPr>
              <w:widowControl/>
              <w:jc w:val="center"/>
              <w:rPr>
                <w:kern w:val="0"/>
                <w:sz w:val="18"/>
                <w:szCs w:val="18"/>
              </w:rPr>
            </w:pPr>
            <w:r>
              <w:rPr>
                <w:kern w:val="0"/>
                <w:sz w:val="18"/>
                <w:szCs w:val="18"/>
              </w:rPr>
              <w:t>ESE</w:t>
            </w:r>
          </w:p>
        </w:tc>
        <w:tc>
          <w:tcPr>
            <w:tcW w:w="277" w:type="pct"/>
            <w:shd w:val="clear" w:color="auto" w:fill="auto"/>
            <w:noWrap/>
            <w:vAlign w:val="center"/>
          </w:tcPr>
          <w:p>
            <w:pPr>
              <w:widowControl/>
              <w:jc w:val="center"/>
              <w:rPr>
                <w:kern w:val="0"/>
                <w:sz w:val="18"/>
                <w:szCs w:val="18"/>
              </w:rPr>
            </w:pPr>
            <w:r>
              <w:rPr>
                <w:kern w:val="0"/>
                <w:sz w:val="18"/>
                <w:szCs w:val="18"/>
              </w:rPr>
              <w:t>SE</w:t>
            </w:r>
          </w:p>
        </w:tc>
        <w:tc>
          <w:tcPr>
            <w:tcW w:w="277" w:type="pct"/>
            <w:shd w:val="clear" w:color="auto" w:fill="auto"/>
            <w:noWrap/>
            <w:vAlign w:val="center"/>
          </w:tcPr>
          <w:p>
            <w:pPr>
              <w:widowControl/>
              <w:jc w:val="center"/>
              <w:rPr>
                <w:kern w:val="0"/>
                <w:sz w:val="18"/>
                <w:szCs w:val="18"/>
              </w:rPr>
            </w:pPr>
            <w:r>
              <w:rPr>
                <w:kern w:val="0"/>
                <w:sz w:val="18"/>
                <w:szCs w:val="18"/>
              </w:rPr>
              <w:t>SSE</w:t>
            </w:r>
          </w:p>
        </w:tc>
        <w:tc>
          <w:tcPr>
            <w:tcW w:w="277" w:type="pct"/>
            <w:shd w:val="clear" w:color="auto" w:fill="auto"/>
            <w:noWrap/>
            <w:vAlign w:val="center"/>
          </w:tcPr>
          <w:p>
            <w:pPr>
              <w:widowControl/>
              <w:jc w:val="center"/>
              <w:rPr>
                <w:kern w:val="0"/>
                <w:sz w:val="18"/>
                <w:szCs w:val="18"/>
              </w:rPr>
            </w:pPr>
            <w:r>
              <w:rPr>
                <w:kern w:val="0"/>
                <w:sz w:val="18"/>
                <w:szCs w:val="18"/>
              </w:rPr>
              <w:t>S</w:t>
            </w:r>
          </w:p>
        </w:tc>
        <w:tc>
          <w:tcPr>
            <w:tcW w:w="277" w:type="pct"/>
            <w:shd w:val="clear" w:color="auto" w:fill="auto"/>
            <w:noWrap/>
            <w:vAlign w:val="center"/>
          </w:tcPr>
          <w:p>
            <w:pPr>
              <w:widowControl/>
              <w:jc w:val="center"/>
              <w:rPr>
                <w:kern w:val="0"/>
                <w:sz w:val="18"/>
                <w:szCs w:val="18"/>
              </w:rPr>
            </w:pPr>
            <w:r>
              <w:rPr>
                <w:kern w:val="0"/>
                <w:sz w:val="18"/>
                <w:szCs w:val="18"/>
              </w:rPr>
              <w:t>SSW</w:t>
            </w:r>
          </w:p>
        </w:tc>
        <w:tc>
          <w:tcPr>
            <w:tcW w:w="277" w:type="pct"/>
            <w:shd w:val="clear" w:color="auto" w:fill="auto"/>
            <w:noWrap/>
            <w:vAlign w:val="center"/>
          </w:tcPr>
          <w:p>
            <w:pPr>
              <w:widowControl/>
              <w:jc w:val="center"/>
              <w:rPr>
                <w:kern w:val="0"/>
                <w:sz w:val="18"/>
                <w:szCs w:val="18"/>
              </w:rPr>
            </w:pPr>
            <w:r>
              <w:rPr>
                <w:kern w:val="0"/>
                <w:sz w:val="18"/>
                <w:szCs w:val="18"/>
              </w:rPr>
              <w:t>SW</w:t>
            </w:r>
          </w:p>
        </w:tc>
        <w:tc>
          <w:tcPr>
            <w:tcW w:w="277" w:type="pct"/>
            <w:shd w:val="clear" w:color="auto" w:fill="auto"/>
            <w:noWrap/>
            <w:vAlign w:val="center"/>
          </w:tcPr>
          <w:p>
            <w:pPr>
              <w:widowControl/>
              <w:jc w:val="center"/>
              <w:rPr>
                <w:kern w:val="0"/>
                <w:sz w:val="18"/>
                <w:szCs w:val="18"/>
              </w:rPr>
            </w:pPr>
            <w:r>
              <w:rPr>
                <w:kern w:val="0"/>
                <w:sz w:val="18"/>
                <w:szCs w:val="18"/>
              </w:rPr>
              <w:t>WSW</w:t>
            </w:r>
          </w:p>
        </w:tc>
        <w:tc>
          <w:tcPr>
            <w:tcW w:w="277" w:type="pct"/>
            <w:shd w:val="clear" w:color="auto" w:fill="auto"/>
            <w:noWrap/>
            <w:vAlign w:val="center"/>
          </w:tcPr>
          <w:p>
            <w:pPr>
              <w:widowControl/>
              <w:jc w:val="center"/>
              <w:rPr>
                <w:kern w:val="0"/>
                <w:sz w:val="18"/>
                <w:szCs w:val="18"/>
              </w:rPr>
            </w:pPr>
            <w:r>
              <w:rPr>
                <w:kern w:val="0"/>
                <w:sz w:val="18"/>
                <w:szCs w:val="18"/>
              </w:rPr>
              <w:t>W</w:t>
            </w:r>
          </w:p>
        </w:tc>
        <w:tc>
          <w:tcPr>
            <w:tcW w:w="277" w:type="pct"/>
            <w:shd w:val="clear" w:color="auto" w:fill="auto"/>
            <w:noWrap/>
            <w:vAlign w:val="center"/>
          </w:tcPr>
          <w:p>
            <w:pPr>
              <w:widowControl/>
              <w:jc w:val="center"/>
              <w:rPr>
                <w:kern w:val="0"/>
                <w:sz w:val="18"/>
                <w:szCs w:val="18"/>
              </w:rPr>
            </w:pPr>
            <w:r>
              <w:rPr>
                <w:kern w:val="0"/>
                <w:sz w:val="18"/>
                <w:szCs w:val="18"/>
              </w:rPr>
              <w:t>WNW</w:t>
            </w:r>
          </w:p>
        </w:tc>
        <w:tc>
          <w:tcPr>
            <w:tcW w:w="277" w:type="pct"/>
            <w:shd w:val="clear" w:color="auto" w:fill="auto"/>
            <w:noWrap/>
            <w:vAlign w:val="center"/>
          </w:tcPr>
          <w:p>
            <w:pPr>
              <w:widowControl/>
              <w:jc w:val="center"/>
              <w:rPr>
                <w:kern w:val="0"/>
                <w:sz w:val="18"/>
                <w:szCs w:val="18"/>
              </w:rPr>
            </w:pPr>
            <w:r>
              <w:rPr>
                <w:kern w:val="0"/>
                <w:sz w:val="18"/>
                <w:szCs w:val="18"/>
              </w:rPr>
              <w:t>NW</w:t>
            </w:r>
          </w:p>
        </w:tc>
        <w:tc>
          <w:tcPr>
            <w:tcW w:w="277" w:type="pct"/>
            <w:shd w:val="clear" w:color="auto" w:fill="auto"/>
            <w:noWrap/>
            <w:vAlign w:val="center"/>
          </w:tcPr>
          <w:p>
            <w:pPr>
              <w:widowControl/>
              <w:jc w:val="center"/>
              <w:rPr>
                <w:kern w:val="0"/>
                <w:sz w:val="18"/>
                <w:szCs w:val="18"/>
              </w:rPr>
            </w:pPr>
            <w:r>
              <w:rPr>
                <w:kern w:val="0"/>
                <w:sz w:val="18"/>
                <w:szCs w:val="18"/>
              </w:rPr>
              <w:t>NNW</w:t>
            </w:r>
          </w:p>
        </w:tc>
        <w:tc>
          <w:tcPr>
            <w:tcW w:w="270" w:type="pct"/>
            <w:shd w:val="clear" w:color="auto" w:fill="auto"/>
            <w:noWrap/>
            <w:vAlign w:val="center"/>
          </w:tcPr>
          <w:p>
            <w:pPr>
              <w:widowControl/>
              <w:jc w:val="center"/>
              <w:rPr>
                <w:kern w:val="0"/>
                <w:sz w:val="18"/>
                <w:szCs w:val="18"/>
              </w:rPr>
            </w:pPr>
            <w:r>
              <w:rPr>
                <w:kern w:val="0"/>
                <w:sz w:val="18"/>
                <w:szCs w:val="18"/>
              </w:rPr>
              <w:t>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1月</w:t>
            </w:r>
          </w:p>
        </w:tc>
        <w:tc>
          <w:tcPr>
            <w:tcW w:w="277" w:type="pct"/>
            <w:shd w:val="clear" w:color="auto" w:fill="auto"/>
            <w:noWrap/>
            <w:vAlign w:val="center"/>
          </w:tcPr>
          <w:p>
            <w:pPr>
              <w:widowControl/>
              <w:jc w:val="center"/>
              <w:rPr>
                <w:kern w:val="0"/>
                <w:sz w:val="18"/>
                <w:szCs w:val="18"/>
              </w:rPr>
            </w:pPr>
            <w:r>
              <w:rPr>
                <w:kern w:val="0"/>
                <w:sz w:val="18"/>
                <w:szCs w:val="18"/>
              </w:rPr>
              <w:t>2.26</w:t>
            </w:r>
          </w:p>
        </w:tc>
        <w:tc>
          <w:tcPr>
            <w:tcW w:w="277" w:type="pct"/>
            <w:shd w:val="clear" w:color="auto" w:fill="auto"/>
            <w:noWrap/>
            <w:vAlign w:val="center"/>
          </w:tcPr>
          <w:p>
            <w:pPr>
              <w:widowControl/>
              <w:jc w:val="center"/>
              <w:rPr>
                <w:kern w:val="0"/>
                <w:sz w:val="18"/>
                <w:szCs w:val="18"/>
              </w:rPr>
            </w:pPr>
            <w:r>
              <w:rPr>
                <w:kern w:val="0"/>
                <w:sz w:val="18"/>
                <w:szCs w:val="18"/>
              </w:rPr>
              <w:t>2.5</w:t>
            </w:r>
          </w:p>
        </w:tc>
        <w:tc>
          <w:tcPr>
            <w:tcW w:w="277" w:type="pct"/>
            <w:shd w:val="clear" w:color="auto" w:fill="auto"/>
            <w:noWrap/>
            <w:vAlign w:val="center"/>
          </w:tcPr>
          <w:p>
            <w:pPr>
              <w:widowControl/>
              <w:jc w:val="center"/>
              <w:rPr>
                <w:kern w:val="0"/>
                <w:sz w:val="18"/>
                <w:szCs w:val="18"/>
              </w:rPr>
            </w:pPr>
            <w:r>
              <w:rPr>
                <w:kern w:val="0"/>
                <w:sz w:val="18"/>
                <w:szCs w:val="18"/>
              </w:rPr>
              <w:t>1.74</w:t>
            </w:r>
          </w:p>
        </w:tc>
        <w:tc>
          <w:tcPr>
            <w:tcW w:w="277" w:type="pct"/>
            <w:shd w:val="clear" w:color="auto" w:fill="auto"/>
            <w:noWrap/>
            <w:vAlign w:val="center"/>
          </w:tcPr>
          <w:p>
            <w:pPr>
              <w:widowControl/>
              <w:jc w:val="center"/>
              <w:rPr>
                <w:kern w:val="0"/>
                <w:sz w:val="18"/>
                <w:szCs w:val="18"/>
              </w:rPr>
            </w:pPr>
            <w:r>
              <w:rPr>
                <w:kern w:val="0"/>
                <w:sz w:val="18"/>
                <w:szCs w:val="18"/>
              </w:rPr>
              <w:t>1.64</w:t>
            </w:r>
          </w:p>
        </w:tc>
        <w:tc>
          <w:tcPr>
            <w:tcW w:w="277" w:type="pct"/>
            <w:shd w:val="clear" w:color="auto" w:fill="auto"/>
            <w:noWrap/>
            <w:vAlign w:val="center"/>
          </w:tcPr>
          <w:p>
            <w:pPr>
              <w:widowControl/>
              <w:jc w:val="center"/>
              <w:rPr>
                <w:kern w:val="0"/>
                <w:sz w:val="18"/>
                <w:szCs w:val="18"/>
              </w:rPr>
            </w:pPr>
            <w:r>
              <w:rPr>
                <w:kern w:val="0"/>
                <w:sz w:val="18"/>
                <w:szCs w:val="18"/>
              </w:rPr>
              <w:t>1.75</w:t>
            </w:r>
          </w:p>
        </w:tc>
        <w:tc>
          <w:tcPr>
            <w:tcW w:w="277" w:type="pct"/>
            <w:shd w:val="clear" w:color="auto" w:fill="auto"/>
            <w:noWrap/>
            <w:vAlign w:val="center"/>
          </w:tcPr>
          <w:p>
            <w:pPr>
              <w:widowControl/>
              <w:jc w:val="center"/>
              <w:rPr>
                <w:kern w:val="0"/>
                <w:sz w:val="18"/>
                <w:szCs w:val="18"/>
              </w:rPr>
            </w:pPr>
            <w:r>
              <w:rPr>
                <w:kern w:val="0"/>
                <w:sz w:val="18"/>
                <w:szCs w:val="18"/>
              </w:rPr>
              <w:t>1.49</w:t>
            </w:r>
          </w:p>
        </w:tc>
        <w:tc>
          <w:tcPr>
            <w:tcW w:w="277" w:type="pct"/>
            <w:shd w:val="clear" w:color="auto" w:fill="auto"/>
            <w:noWrap/>
            <w:vAlign w:val="center"/>
          </w:tcPr>
          <w:p>
            <w:pPr>
              <w:widowControl/>
              <w:jc w:val="center"/>
              <w:rPr>
                <w:kern w:val="0"/>
                <w:sz w:val="18"/>
                <w:szCs w:val="18"/>
              </w:rPr>
            </w:pPr>
            <w:r>
              <w:rPr>
                <w:kern w:val="0"/>
                <w:sz w:val="18"/>
                <w:szCs w:val="18"/>
              </w:rPr>
              <w:t>1.21</w:t>
            </w:r>
          </w:p>
        </w:tc>
        <w:tc>
          <w:tcPr>
            <w:tcW w:w="277" w:type="pct"/>
            <w:shd w:val="clear" w:color="auto" w:fill="auto"/>
            <w:noWrap/>
            <w:vAlign w:val="center"/>
          </w:tcPr>
          <w:p>
            <w:pPr>
              <w:widowControl/>
              <w:jc w:val="center"/>
              <w:rPr>
                <w:kern w:val="0"/>
                <w:sz w:val="18"/>
                <w:szCs w:val="18"/>
              </w:rPr>
            </w:pPr>
            <w:r>
              <w:rPr>
                <w:kern w:val="0"/>
                <w:sz w:val="18"/>
                <w:szCs w:val="18"/>
              </w:rPr>
              <w:t>1.45</w:t>
            </w:r>
          </w:p>
        </w:tc>
        <w:tc>
          <w:tcPr>
            <w:tcW w:w="277" w:type="pct"/>
            <w:shd w:val="clear" w:color="auto" w:fill="auto"/>
            <w:noWrap/>
            <w:vAlign w:val="center"/>
          </w:tcPr>
          <w:p>
            <w:pPr>
              <w:widowControl/>
              <w:jc w:val="center"/>
              <w:rPr>
                <w:kern w:val="0"/>
                <w:sz w:val="18"/>
                <w:szCs w:val="18"/>
              </w:rPr>
            </w:pPr>
            <w:r>
              <w:rPr>
                <w:kern w:val="0"/>
                <w:sz w:val="18"/>
                <w:szCs w:val="18"/>
              </w:rPr>
              <w:t>2.22</w:t>
            </w:r>
          </w:p>
        </w:tc>
        <w:tc>
          <w:tcPr>
            <w:tcW w:w="277" w:type="pct"/>
            <w:shd w:val="clear" w:color="auto" w:fill="auto"/>
            <w:noWrap/>
            <w:vAlign w:val="center"/>
          </w:tcPr>
          <w:p>
            <w:pPr>
              <w:widowControl/>
              <w:jc w:val="center"/>
              <w:rPr>
                <w:kern w:val="0"/>
                <w:sz w:val="18"/>
                <w:szCs w:val="18"/>
              </w:rPr>
            </w:pPr>
            <w:r>
              <w:rPr>
                <w:kern w:val="0"/>
                <w:sz w:val="18"/>
                <w:szCs w:val="18"/>
              </w:rPr>
              <w:t>2.44</w:t>
            </w:r>
          </w:p>
        </w:tc>
        <w:tc>
          <w:tcPr>
            <w:tcW w:w="277" w:type="pct"/>
            <w:shd w:val="clear" w:color="auto" w:fill="auto"/>
            <w:noWrap/>
            <w:vAlign w:val="center"/>
          </w:tcPr>
          <w:p>
            <w:pPr>
              <w:widowControl/>
              <w:jc w:val="center"/>
              <w:rPr>
                <w:kern w:val="0"/>
                <w:sz w:val="18"/>
                <w:szCs w:val="18"/>
              </w:rPr>
            </w:pPr>
            <w:r>
              <w:rPr>
                <w:kern w:val="0"/>
                <w:sz w:val="18"/>
                <w:szCs w:val="18"/>
              </w:rPr>
              <w:t>1.72</w:t>
            </w:r>
          </w:p>
        </w:tc>
        <w:tc>
          <w:tcPr>
            <w:tcW w:w="277" w:type="pct"/>
            <w:shd w:val="clear" w:color="auto" w:fill="auto"/>
            <w:noWrap/>
            <w:vAlign w:val="center"/>
          </w:tcPr>
          <w:p>
            <w:pPr>
              <w:widowControl/>
              <w:jc w:val="center"/>
              <w:rPr>
                <w:kern w:val="0"/>
                <w:sz w:val="18"/>
                <w:szCs w:val="18"/>
              </w:rPr>
            </w:pPr>
            <w:r>
              <w:rPr>
                <w:kern w:val="0"/>
                <w:sz w:val="18"/>
                <w:szCs w:val="18"/>
              </w:rPr>
              <w:t>1.29</w:t>
            </w:r>
          </w:p>
        </w:tc>
        <w:tc>
          <w:tcPr>
            <w:tcW w:w="277" w:type="pct"/>
            <w:shd w:val="clear" w:color="auto" w:fill="auto"/>
            <w:noWrap/>
            <w:vAlign w:val="center"/>
          </w:tcPr>
          <w:p>
            <w:pPr>
              <w:widowControl/>
              <w:jc w:val="center"/>
              <w:rPr>
                <w:kern w:val="0"/>
                <w:sz w:val="18"/>
                <w:szCs w:val="18"/>
              </w:rPr>
            </w:pPr>
            <w:r>
              <w:rPr>
                <w:kern w:val="0"/>
                <w:sz w:val="18"/>
                <w:szCs w:val="18"/>
              </w:rPr>
              <w:t>1.18</w:t>
            </w:r>
          </w:p>
        </w:tc>
        <w:tc>
          <w:tcPr>
            <w:tcW w:w="277" w:type="pct"/>
            <w:shd w:val="clear" w:color="auto" w:fill="auto"/>
            <w:noWrap/>
            <w:vAlign w:val="center"/>
          </w:tcPr>
          <w:p>
            <w:pPr>
              <w:widowControl/>
              <w:jc w:val="center"/>
              <w:rPr>
                <w:kern w:val="0"/>
                <w:sz w:val="18"/>
                <w:szCs w:val="18"/>
              </w:rPr>
            </w:pPr>
            <w:r>
              <w:rPr>
                <w:kern w:val="0"/>
                <w:sz w:val="18"/>
                <w:szCs w:val="18"/>
              </w:rPr>
              <w:t>1.8</w:t>
            </w:r>
          </w:p>
        </w:tc>
        <w:tc>
          <w:tcPr>
            <w:tcW w:w="277" w:type="pct"/>
            <w:shd w:val="clear" w:color="auto" w:fill="auto"/>
            <w:noWrap/>
            <w:vAlign w:val="center"/>
          </w:tcPr>
          <w:p>
            <w:pPr>
              <w:widowControl/>
              <w:jc w:val="center"/>
              <w:rPr>
                <w:kern w:val="0"/>
                <w:sz w:val="18"/>
                <w:szCs w:val="18"/>
              </w:rPr>
            </w:pPr>
            <w:r>
              <w:rPr>
                <w:kern w:val="0"/>
                <w:sz w:val="18"/>
                <w:szCs w:val="18"/>
              </w:rPr>
              <w:t>2.68</w:t>
            </w:r>
          </w:p>
        </w:tc>
        <w:tc>
          <w:tcPr>
            <w:tcW w:w="277" w:type="pct"/>
            <w:shd w:val="clear" w:color="auto" w:fill="auto"/>
            <w:noWrap/>
            <w:vAlign w:val="center"/>
          </w:tcPr>
          <w:p>
            <w:pPr>
              <w:widowControl/>
              <w:jc w:val="center"/>
              <w:rPr>
                <w:kern w:val="0"/>
                <w:sz w:val="18"/>
                <w:szCs w:val="18"/>
              </w:rPr>
            </w:pPr>
            <w:r>
              <w:rPr>
                <w:kern w:val="0"/>
                <w:sz w:val="18"/>
                <w:szCs w:val="18"/>
              </w:rPr>
              <w:t>2.03</w:t>
            </w:r>
          </w:p>
        </w:tc>
        <w:tc>
          <w:tcPr>
            <w:tcW w:w="270" w:type="pct"/>
            <w:shd w:val="clear" w:color="auto" w:fill="auto"/>
            <w:noWrap/>
            <w:vAlign w:val="center"/>
          </w:tcPr>
          <w:p>
            <w:pPr>
              <w:widowControl/>
              <w:jc w:val="center"/>
              <w:rPr>
                <w:kern w:val="0"/>
                <w:sz w:val="18"/>
                <w:szCs w:val="18"/>
              </w:rPr>
            </w:pPr>
            <w:r>
              <w:rPr>
                <w:kern w:val="0"/>
                <w:sz w:val="18"/>
                <w:szCs w:val="18"/>
              </w:rPr>
              <w:t>1.92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2月</w:t>
            </w:r>
          </w:p>
        </w:tc>
        <w:tc>
          <w:tcPr>
            <w:tcW w:w="277" w:type="pct"/>
            <w:shd w:val="clear" w:color="auto" w:fill="auto"/>
            <w:noWrap/>
            <w:vAlign w:val="center"/>
          </w:tcPr>
          <w:p>
            <w:pPr>
              <w:widowControl/>
              <w:jc w:val="center"/>
              <w:rPr>
                <w:kern w:val="0"/>
                <w:sz w:val="18"/>
                <w:szCs w:val="18"/>
              </w:rPr>
            </w:pPr>
            <w:r>
              <w:rPr>
                <w:kern w:val="0"/>
                <w:sz w:val="18"/>
                <w:szCs w:val="18"/>
              </w:rPr>
              <w:t>3.2</w:t>
            </w:r>
          </w:p>
        </w:tc>
        <w:tc>
          <w:tcPr>
            <w:tcW w:w="277" w:type="pct"/>
            <w:shd w:val="clear" w:color="auto" w:fill="auto"/>
            <w:noWrap/>
            <w:vAlign w:val="center"/>
          </w:tcPr>
          <w:p>
            <w:pPr>
              <w:widowControl/>
              <w:jc w:val="center"/>
              <w:rPr>
                <w:kern w:val="0"/>
                <w:sz w:val="18"/>
                <w:szCs w:val="18"/>
              </w:rPr>
            </w:pPr>
            <w:r>
              <w:rPr>
                <w:kern w:val="0"/>
                <w:sz w:val="18"/>
                <w:szCs w:val="18"/>
              </w:rPr>
              <w:t>3.19</w:t>
            </w:r>
          </w:p>
        </w:tc>
        <w:tc>
          <w:tcPr>
            <w:tcW w:w="277" w:type="pct"/>
            <w:shd w:val="clear" w:color="auto" w:fill="auto"/>
            <w:noWrap/>
            <w:vAlign w:val="center"/>
          </w:tcPr>
          <w:p>
            <w:pPr>
              <w:widowControl/>
              <w:jc w:val="center"/>
              <w:rPr>
                <w:kern w:val="0"/>
                <w:sz w:val="18"/>
                <w:szCs w:val="18"/>
              </w:rPr>
            </w:pPr>
            <w:r>
              <w:rPr>
                <w:kern w:val="0"/>
                <w:sz w:val="18"/>
                <w:szCs w:val="18"/>
              </w:rPr>
              <w:t>3.08</w:t>
            </w:r>
          </w:p>
        </w:tc>
        <w:tc>
          <w:tcPr>
            <w:tcW w:w="277" w:type="pct"/>
            <w:shd w:val="clear" w:color="auto" w:fill="auto"/>
            <w:noWrap/>
            <w:vAlign w:val="center"/>
          </w:tcPr>
          <w:p>
            <w:pPr>
              <w:widowControl/>
              <w:jc w:val="center"/>
              <w:rPr>
                <w:kern w:val="0"/>
                <w:sz w:val="18"/>
                <w:szCs w:val="18"/>
              </w:rPr>
            </w:pPr>
            <w:r>
              <w:rPr>
                <w:kern w:val="0"/>
                <w:sz w:val="18"/>
                <w:szCs w:val="18"/>
              </w:rPr>
              <w:t>2.92</w:t>
            </w:r>
          </w:p>
        </w:tc>
        <w:tc>
          <w:tcPr>
            <w:tcW w:w="277" w:type="pct"/>
            <w:shd w:val="clear" w:color="auto" w:fill="auto"/>
            <w:noWrap/>
            <w:vAlign w:val="center"/>
          </w:tcPr>
          <w:p>
            <w:pPr>
              <w:widowControl/>
              <w:jc w:val="center"/>
              <w:rPr>
                <w:kern w:val="0"/>
                <w:sz w:val="18"/>
                <w:szCs w:val="18"/>
              </w:rPr>
            </w:pPr>
            <w:r>
              <w:rPr>
                <w:kern w:val="0"/>
                <w:sz w:val="18"/>
                <w:szCs w:val="18"/>
              </w:rPr>
              <w:t>2.16</w:t>
            </w:r>
          </w:p>
        </w:tc>
        <w:tc>
          <w:tcPr>
            <w:tcW w:w="277" w:type="pct"/>
            <w:shd w:val="clear" w:color="auto" w:fill="auto"/>
            <w:noWrap/>
            <w:vAlign w:val="center"/>
          </w:tcPr>
          <w:p>
            <w:pPr>
              <w:widowControl/>
              <w:jc w:val="center"/>
              <w:rPr>
                <w:kern w:val="0"/>
                <w:sz w:val="18"/>
                <w:szCs w:val="18"/>
              </w:rPr>
            </w:pPr>
            <w:r>
              <w:rPr>
                <w:kern w:val="0"/>
                <w:sz w:val="18"/>
                <w:szCs w:val="18"/>
              </w:rPr>
              <w:t>1.62</w:t>
            </w:r>
          </w:p>
        </w:tc>
        <w:tc>
          <w:tcPr>
            <w:tcW w:w="277" w:type="pct"/>
            <w:shd w:val="clear" w:color="auto" w:fill="auto"/>
            <w:noWrap/>
            <w:vAlign w:val="center"/>
          </w:tcPr>
          <w:p>
            <w:pPr>
              <w:widowControl/>
              <w:jc w:val="center"/>
              <w:rPr>
                <w:kern w:val="0"/>
                <w:sz w:val="18"/>
                <w:szCs w:val="18"/>
              </w:rPr>
            </w:pPr>
            <w:r>
              <w:rPr>
                <w:kern w:val="0"/>
                <w:sz w:val="18"/>
                <w:szCs w:val="18"/>
              </w:rPr>
              <w:t>1.36</w:t>
            </w:r>
          </w:p>
        </w:tc>
        <w:tc>
          <w:tcPr>
            <w:tcW w:w="277" w:type="pct"/>
            <w:shd w:val="clear" w:color="auto" w:fill="auto"/>
            <w:noWrap/>
            <w:vAlign w:val="center"/>
          </w:tcPr>
          <w:p>
            <w:pPr>
              <w:widowControl/>
              <w:jc w:val="center"/>
              <w:rPr>
                <w:kern w:val="0"/>
                <w:sz w:val="18"/>
                <w:szCs w:val="18"/>
              </w:rPr>
            </w:pPr>
            <w:r>
              <w:rPr>
                <w:kern w:val="0"/>
                <w:sz w:val="18"/>
                <w:szCs w:val="18"/>
              </w:rPr>
              <w:t>1.64</w:t>
            </w:r>
          </w:p>
        </w:tc>
        <w:tc>
          <w:tcPr>
            <w:tcW w:w="277" w:type="pct"/>
            <w:shd w:val="clear" w:color="auto" w:fill="auto"/>
            <w:noWrap/>
            <w:vAlign w:val="center"/>
          </w:tcPr>
          <w:p>
            <w:pPr>
              <w:widowControl/>
              <w:jc w:val="center"/>
              <w:rPr>
                <w:kern w:val="0"/>
                <w:sz w:val="18"/>
                <w:szCs w:val="18"/>
              </w:rPr>
            </w:pPr>
            <w:r>
              <w:rPr>
                <w:kern w:val="0"/>
                <w:sz w:val="18"/>
                <w:szCs w:val="18"/>
              </w:rPr>
              <w:t>3.01</w:t>
            </w:r>
          </w:p>
        </w:tc>
        <w:tc>
          <w:tcPr>
            <w:tcW w:w="277" w:type="pct"/>
            <w:shd w:val="clear" w:color="auto" w:fill="auto"/>
            <w:noWrap/>
            <w:vAlign w:val="center"/>
          </w:tcPr>
          <w:p>
            <w:pPr>
              <w:widowControl/>
              <w:jc w:val="center"/>
              <w:rPr>
                <w:kern w:val="0"/>
                <w:sz w:val="18"/>
                <w:szCs w:val="18"/>
              </w:rPr>
            </w:pPr>
            <w:r>
              <w:rPr>
                <w:kern w:val="0"/>
                <w:sz w:val="18"/>
                <w:szCs w:val="18"/>
              </w:rPr>
              <w:t>2.82</w:t>
            </w:r>
          </w:p>
        </w:tc>
        <w:tc>
          <w:tcPr>
            <w:tcW w:w="277" w:type="pct"/>
            <w:shd w:val="clear" w:color="auto" w:fill="auto"/>
            <w:noWrap/>
            <w:vAlign w:val="center"/>
          </w:tcPr>
          <w:p>
            <w:pPr>
              <w:widowControl/>
              <w:jc w:val="center"/>
              <w:rPr>
                <w:kern w:val="0"/>
                <w:sz w:val="18"/>
                <w:szCs w:val="18"/>
              </w:rPr>
            </w:pPr>
            <w:r>
              <w:rPr>
                <w:kern w:val="0"/>
                <w:sz w:val="18"/>
                <w:szCs w:val="18"/>
              </w:rPr>
              <w:t>1.72</w:t>
            </w:r>
          </w:p>
        </w:tc>
        <w:tc>
          <w:tcPr>
            <w:tcW w:w="277" w:type="pct"/>
            <w:shd w:val="clear" w:color="auto" w:fill="auto"/>
            <w:noWrap/>
            <w:vAlign w:val="center"/>
          </w:tcPr>
          <w:p>
            <w:pPr>
              <w:widowControl/>
              <w:jc w:val="center"/>
              <w:rPr>
                <w:kern w:val="0"/>
                <w:sz w:val="18"/>
                <w:szCs w:val="18"/>
              </w:rPr>
            </w:pPr>
            <w:r>
              <w:rPr>
                <w:kern w:val="0"/>
                <w:sz w:val="18"/>
                <w:szCs w:val="18"/>
              </w:rPr>
              <w:t>1.94</w:t>
            </w:r>
          </w:p>
        </w:tc>
        <w:tc>
          <w:tcPr>
            <w:tcW w:w="277" w:type="pct"/>
            <w:shd w:val="clear" w:color="auto" w:fill="auto"/>
            <w:noWrap/>
            <w:vAlign w:val="center"/>
          </w:tcPr>
          <w:p>
            <w:pPr>
              <w:widowControl/>
              <w:jc w:val="center"/>
              <w:rPr>
                <w:kern w:val="0"/>
                <w:sz w:val="18"/>
                <w:szCs w:val="18"/>
              </w:rPr>
            </w:pPr>
            <w:r>
              <w:rPr>
                <w:kern w:val="0"/>
                <w:sz w:val="18"/>
                <w:szCs w:val="18"/>
              </w:rPr>
              <w:t>1.72</w:t>
            </w:r>
          </w:p>
        </w:tc>
        <w:tc>
          <w:tcPr>
            <w:tcW w:w="277" w:type="pct"/>
            <w:shd w:val="clear" w:color="auto" w:fill="auto"/>
            <w:noWrap/>
            <w:vAlign w:val="center"/>
          </w:tcPr>
          <w:p>
            <w:pPr>
              <w:widowControl/>
              <w:jc w:val="center"/>
              <w:rPr>
                <w:kern w:val="0"/>
                <w:sz w:val="18"/>
                <w:szCs w:val="18"/>
              </w:rPr>
            </w:pPr>
            <w:r>
              <w:rPr>
                <w:kern w:val="0"/>
                <w:sz w:val="18"/>
                <w:szCs w:val="18"/>
              </w:rPr>
              <w:t>1.57</w:t>
            </w:r>
          </w:p>
        </w:tc>
        <w:tc>
          <w:tcPr>
            <w:tcW w:w="277" w:type="pct"/>
            <w:shd w:val="clear" w:color="auto" w:fill="auto"/>
            <w:noWrap/>
            <w:vAlign w:val="center"/>
          </w:tcPr>
          <w:p>
            <w:pPr>
              <w:widowControl/>
              <w:jc w:val="center"/>
              <w:rPr>
                <w:kern w:val="0"/>
                <w:sz w:val="18"/>
                <w:szCs w:val="18"/>
              </w:rPr>
            </w:pPr>
            <w:r>
              <w:rPr>
                <w:kern w:val="0"/>
                <w:sz w:val="18"/>
                <w:szCs w:val="18"/>
              </w:rPr>
              <w:t>2.55</w:t>
            </w:r>
          </w:p>
        </w:tc>
        <w:tc>
          <w:tcPr>
            <w:tcW w:w="277" w:type="pct"/>
            <w:shd w:val="clear" w:color="auto" w:fill="auto"/>
            <w:noWrap/>
            <w:vAlign w:val="center"/>
          </w:tcPr>
          <w:p>
            <w:pPr>
              <w:widowControl/>
              <w:jc w:val="center"/>
              <w:rPr>
                <w:kern w:val="0"/>
                <w:sz w:val="18"/>
                <w:szCs w:val="18"/>
              </w:rPr>
            </w:pPr>
            <w:r>
              <w:rPr>
                <w:kern w:val="0"/>
                <w:sz w:val="18"/>
                <w:szCs w:val="18"/>
              </w:rPr>
              <w:t>3.16</w:t>
            </w:r>
          </w:p>
        </w:tc>
        <w:tc>
          <w:tcPr>
            <w:tcW w:w="270" w:type="pct"/>
            <w:shd w:val="clear" w:color="auto" w:fill="auto"/>
            <w:noWrap/>
            <w:vAlign w:val="center"/>
          </w:tcPr>
          <w:p>
            <w:pPr>
              <w:widowControl/>
              <w:jc w:val="center"/>
              <w:rPr>
                <w:kern w:val="0"/>
                <w:sz w:val="18"/>
                <w:szCs w:val="18"/>
              </w:rPr>
            </w:pPr>
            <w:r>
              <w:rPr>
                <w:kern w:val="0"/>
                <w:sz w:val="18"/>
                <w:szCs w:val="18"/>
              </w:rPr>
              <w:t>2.55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3月</w:t>
            </w:r>
          </w:p>
        </w:tc>
        <w:tc>
          <w:tcPr>
            <w:tcW w:w="277" w:type="pct"/>
            <w:shd w:val="clear" w:color="auto" w:fill="auto"/>
            <w:noWrap/>
            <w:vAlign w:val="center"/>
          </w:tcPr>
          <w:p>
            <w:pPr>
              <w:widowControl/>
              <w:jc w:val="center"/>
              <w:rPr>
                <w:kern w:val="0"/>
                <w:sz w:val="18"/>
                <w:szCs w:val="18"/>
              </w:rPr>
            </w:pPr>
            <w:r>
              <w:rPr>
                <w:kern w:val="0"/>
                <w:sz w:val="18"/>
                <w:szCs w:val="18"/>
              </w:rPr>
              <w:t>2.61</w:t>
            </w:r>
          </w:p>
        </w:tc>
        <w:tc>
          <w:tcPr>
            <w:tcW w:w="277" w:type="pct"/>
            <w:shd w:val="clear" w:color="auto" w:fill="auto"/>
            <w:noWrap/>
            <w:vAlign w:val="center"/>
          </w:tcPr>
          <w:p>
            <w:pPr>
              <w:widowControl/>
              <w:jc w:val="center"/>
              <w:rPr>
                <w:kern w:val="0"/>
                <w:sz w:val="18"/>
                <w:szCs w:val="18"/>
              </w:rPr>
            </w:pPr>
            <w:r>
              <w:rPr>
                <w:kern w:val="0"/>
                <w:sz w:val="18"/>
                <w:szCs w:val="18"/>
              </w:rPr>
              <w:t>3.07</w:t>
            </w:r>
          </w:p>
        </w:tc>
        <w:tc>
          <w:tcPr>
            <w:tcW w:w="277" w:type="pct"/>
            <w:shd w:val="clear" w:color="auto" w:fill="auto"/>
            <w:noWrap/>
            <w:vAlign w:val="center"/>
          </w:tcPr>
          <w:p>
            <w:pPr>
              <w:widowControl/>
              <w:jc w:val="center"/>
              <w:rPr>
                <w:kern w:val="0"/>
                <w:sz w:val="18"/>
                <w:szCs w:val="18"/>
              </w:rPr>
            </w:pPr>
            <w:r>
              <w:rPr>
                <w:kern w:val="0"/>
                <w:sz w:val="18"/>
                <w:szCs w:val="18"/>
              </w:rPr>
              <w:t>2.92</w:t>
            </w:r>
          </w:p>
        </w:tc>
        <w:tc>
          <w:tcPr>
            <w:tcW w:w="277" w:type="pct"/>
            <w:shd w:val="clear" w:color="auto" w:fill="auto"/>
            <w:noWrap/>
            <w:vAlign w:val="center"/>
          </w:tcPr>
          <w:p>
            <w:pPr>
              <w:widowControl/>
              <w:jc w:val="center"/>
              <w:rPr>
                <w:kern w:val="0"/>
                <w:sz w:val="18"/>
                <w:szCs w:val="18"/>
              </w:rPr>
            </w:pPr>
            <w:r>
              <w:rPr>
                <w:kern w:val="0"/>
                <w:sz w:val="18"/>
                <w:szCs w:val="18"/>
              </w:rPr>
              <w:t>2.98</w:t>
            </w:r>
          </w:p>
        </w:tc>
        <w:tc>
          <w:tcPr>
            <w:tcW w:w="277" w:type="pct"/>
            <w:shd w:val="clear" w:color="auto" w:fill="auto"/>
            <w:noWrap/>
            <w:vAlign w:val="center"/>
          </w:tcPr>
          <w:p>
            <w:pPr>
              <w:widowControl/>
              <w:jc w:val="center"/>
              <w:rPr>
                <w:kern w:val="0"/>
                <w:sz w:val="18"/>
                <w:szCs w:val="18"/>
              </w:rPr>
            </w:pPr>
            <w:r>
              <w:rPr>
                <w:kern w:val="0"/>
                <w:sz w:val="18"/>
                <w:szCs w:val="18"/>
              </w:rPr>
              <w:t>2.34</w:t>
            </w:r>
          </w:p>
        </w:tc>
        <w:tc>
          <w:tcPr>
            <w:tcW w:w="277" w:type="pct"/>
            <w:shd w:val="clear" w:color="auto" w:fill="auto"/>
            <w:noWrap/>
            <w:vAlign w:val="center"/>
          </w:tcPr>
          <w:p>
            <w:pPr>
              <w:widowControl/>
              <w:jc w:val="center"/>
              <w:rPr>
                <w:kern w:val="0"/>
                <w:sz w:val="18"/>
                <w:szCs w:val="18"/>
              </w:rPr>
            </w:pPr>
            <w:r>
              <w:rPr>
                <w:kern w:val="0"/>
                <w:sz w:val="18"/>
                <w:szCs w:val="18"/>
              </w:rPr>
              <w:t>1.74</w:t>
            </w:r>
          </w:p>
        </w:tc>
        <w:tc>
          <w:tcPr>
            <w:tcW w:w="277" w:type="pct"/>
            <w:shd w:val="clear" w:color="auto" w:fill="auto"/>
            <w:noWrap/>
            <w:vAlign w:val="center"/>
          </w:tcPr>
          <w:p>
            <w:pPr>
              <w:widowControl/>
              <w:jc w:val="center"/>
              <w:rPr>
                <w:kern w:val="0"/>
                <w:sz w:val="18"/>
                <w:szCs w:val="18"/>
              </w:rPr>
            </w:pPr>
            <w:r>
              <w:rPr>
                <w:kern w:val="0"/>
                <w:sz w:val="18"/>
                <w:szCs w:val="18"/>
              </w:rPr>
              <w:t>1.5</w:t>
            </w:r>
          </w:p>
        </w:tc>
        <w:tc>
          <w:tcPr>
            <w:tcW w:w="277" w:type="pct"/>
            <w:shd w:val="clear" w:color="auto" w:fill="auto"/>
            <w:noWrap/>
            <w:vAlign w:val="center"/>
          </w:tcPr>
          <w:p>
            <w:pPr>
              <w:widowControl/>
              <w:jc w:val="center"/>
              <w:rPr>
                <w:kern w:val="0"/>
                <w:sz w:val="18"/>
                <w:szCs w:val="18"/>
              </w:rPr>
            </w:pPr>
            <w:r>
              <w:rPr>
                <w:kern w:val="0"/>
                <w:sz w:val="18"/>
                <w:szCs w:val="18"/>
              </w:rPr>
              <w:t>2.06</w:t>
            </w:r>
          </w:p>
        </w:tc>
        <w:tc>
          <w:tcPr>
            <w:tcW w:w="277" w:type="pct"/>
            <w:shd w:val="clear" w:color="auto" w:fill="auto"/>
            <w:noWrap/>
            <w:vAlign w:val="center"/>
          </w:tcPr>
          <w:p>
            <w:pPr>
              <w:widowControl/>
              <w:jc w:val="center"/>
              <w:rPr>
                <w:kern w:val="0"/>
                <w:sz w:val="18"/>
                <w:szCs w:val="18"/>
              </w:rPr>
            </w:pPr>
            <w:r>
              <w:rPr>
                <w:kern w:val="0"/>
                <w:sz w:val="18"/>
                <w:szCs w:val="18"/>
              </w:rPr>
              <w:t>3.93</w:t>
            </w:r>
          </w:p>
        </w:tc>
        <w:tc>
          <w:tcPr>
            <w:tcW w:w="277" w:type="pct"/>
            <w:shd w:val="clear" w:color="auto" w:fill="auto"/>
            <w:noWrap/>
            <w:vAlign w:val="center"/>
          </w:tcPr>
          <w:p>
            <w:pPr>
              <w:widowControl/>
              <w:jc w:val="center"/>
              <w:rPr>
                <w:kern w:val="0"/>
                <w:sz w:val="18"/>
                <w:szCs w:val="18"/>
              </w:rPr>
            </w:pPr>
            <w:r>
              <w:rPr>
                <w:kern w:val="0"/>
                <w:sz w:val="18"/>
                <w:szCs w:val="18"/>
              </w:rPr>
              <w:t>4.58</w:t>
            </w:r>
          </w:p>
        </w:tc>
        <w:tc>
          <w:tcPr>
            <w:tcW w:w="277" w:type="pct"/>
            <w:shd w:val="clear" w:color="auto" w:fill="auto"/>
            <w:noWrap/>
            <w:vAlign w:val="center"/>
          </w:tcPr>
          <w:p>
            <w:pPr>
              <w:widowControl/>
              <w:jc w:val="center"/>
              <w:rPr>
                <w:kern w:val="0"/>
                <w:sz w:val="18"/>
                <w:szCs w:val="18"/>
              </w:rPr>
            </w:pPr>
            <w:r>
              <w:rPr>
                <w:kern w:val="0"/>
                <w:sz w:val="18"/>
                <w:szCs w:val="18"/>
              </w:rPr>
              <w:t>2.37</w:t>
            </w:r>
          </w:p>
        </w:tc>
        <w:tc>
          <w:tcPr>
            <w:tcW w:w="277" w:type="pct"/>
            <w:shd w:val="clear" w:color="auto" w:fill="auto"/>
            <w:noWrap/>
            <w:vAlign w:val="center"/>
          </w:tcPr>
          <w:p>
            <w:pPr>
              <w:widowControl/>
              <w:jc w:val="center"/>
              <w:rPr>
                <w:kern w:val="0"/>
                <w:sz w:val="18"/>
                <w:szCs w:val="18"/>
              </w:rPr>
            </w:pPr>
            <w:r>
              <w:rPr>
                <w:kern w:val="0"/>
                <w:sz w:val="18"/>
                <w:szCs w:val="18"/>
              </w:rPr>
              <w:t>1.06</w:t>
            </w:r>
          </w:p>
        </w:tc>
        <w:tc>
          <w:tcPr>
            <w:tcW w:w="277" w:type="pct"/>
            <w:shd w:val="clear" w:color="auto" w:fill="auto"/>
            <w:noWrap/>
            <w:vAlign w:val="center"/>
          </w:tcPr>
          <w:p>
            <w:pPr>
              <w:widowControl/>
              <w:jc w:val="center"/>
              <w:rPr>
                <w:kern w:val="0"/>
                <w:sz w:val="18"/>
                <w:szCs w:val="18"/>
              </w:rPr>
            </w:pPr>
            <w:r>
              <w:rPr>
                <w:kern w:val="0"/>
                <w:sz w:val="18"/>
                <w:szCs w:val="18"/>
              </w:rPr>
              <w:t>1.62</w:t>
            </w:r>
          </w:p>
        </w:tc>
        <w:tc>
          <w:tcPr>
            <w:tcW w:w="277" w:type="pct"/>
            <w:shd w:val="clear" w:color="auto" w:fill="auto"/>
            <w:noWrap/>
            <w:vAlign w:val="center"/>
          </w:tcPr>
          <w:p>
            <w:pPr>
              <w:widowControl/>
              <w:jc w:val="center"/>
              <w:rPr>
                <w:kern w:val="0"/>
                <w:sz w:val="18"/>
                <w:szCs w:val="18"/>
              </w:rPr>
            </w:pPr>
            <w:r>
              <w:rPr>
                <w:kern w:val="0"/>
                <w:sz w:val="18"/>
                <w:szCs w:val="18"/>
              </w:rPr>
              <w:t>1.48</w:t>
            </w:r>
          </w:p>
        </w:tc>
        <w:tc>
          <w:tcPr>
            <w:tcW w:w="277" w:type="pct"/>
            <w:shd w:val="clear" w:color="auto" w:fill="auto"/>
            <w:noWrap/>
            <w:vAlign w:val="center"/>
          </w:tcPr>
          <w:p>
            <w:pPr>
              <w:widowControl/>
              <w:jc w:val="center"/>
              <w:rPr>
                <w:kern w:val="0"/>
                <w:sz w:val="18"/>
                <w:szCs w:val="18"/>
              </w:rPr>
            </w:pPr>
            <w:r>
              <w:rPr>
                <w:kern w:val="0"/>
                <w:sz w:val="18"/>
                <w:szCs w:val="18"/>
              </w:rPr>
              <w:t>1.41</w:t>
            </w:r>
          </w:p>
        </w:tc>
        <w:tc>
          <w:tcPr>
            <w:tcW w:w="277" w:type="pct"/>
            <w:shd w:val="clear" w:color="auto" w:fill="auto"/>
            <w:noWrap/>
            <w:vAlign w:val="center"/>
          </w:tcPr>
          <w:p>
            <w:pPr>
              <w:widowControl/>
              <w:jc w:val="center"/>
              <w:rPr>
                <w:kern w:val="0"/>
                <w:sz w:val="18"/>
                <w:szCs w:val="18"/>
              </w:rPr>
            </w:pPr>
            <w:r>
              <w:rPr>
                <w:kern w:val="0"/>
                <w:sz w:val="18"/>
                <w:szCs w:val="18"/>
              </w:rPr>
              <w:t>1.61</w:t>
            </w:r>
          </w:p>
        </w:tc>
        <w:tc>
          <w:tcPr>
            <w:tcW w:w="270" w:type="pct"/>
            <w:shd w:val="clear" w:color="auto" w:fill="auto"/>
            <w:noWrap/>
            <w:vAlign w:val="center"/>
          </w:tcPr>
          <w:p>
            <w:pPr>
              <w:widowControl/>
              <w:jc w:val="center"/>
              <w:rPr>
                <w:kern w:val="0"/>
                <w:sz w:val="18"/>
                <w:szCs w:val="18"/>
              </w:rPr>
            </w:pPr>
            <w:r>
              <w:rPr>
                <w:kern w:val="0"/>
                <w:sz w:val="18"/>
                <w:szCs w:val="18"/>
              </w:rPr>
              <w:t>3.11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4月</w:t>
            </w:r>
          </w:p>
        </w:tc>
        <w:tc>
          <w:tcPr>
            <w:tcW w:w="277" w:type="pct"/>
            <w:shd w:val="clear" w:color="auto" w:fill="auto"/>
            <w:noWrap/>
            <w:vAlign w:val="center"/>
          </w:tcPr>
          <w:p>
            <w:pPr>
              <w:widowControl/>
              <w:jc w:val="center"/>
              <w:rPr>
                <w:kern w:val="0"/>
                <w:sz w:val="18"/>
                <w:szCs w:val="18"/>
              </w:rPr>
            </w:pPr>
            <w:r>
              <w:rPr>
                <w:kern w:val="0"/>
                <w:sz w:val="18"/>
                <w:szCs w:val="18"/>
              </w:rPr>
              <w:t>3.31</w:t>
            </w:r>
          </w:p>
        </w:tc>
        <w:tc>
          <w:tcPr>
            <w:tcW w:w="277" w:type="pct"/>
            <w:shd w:val="clear" w:color="auto" w:fill="auto"/>
            <w:noWrap/>
            <w:vAlign w:val="center"/>
          </w:tcPr>
          <w:p>
            <w:pPr>
              <w:widowControl/>
              <w:jc w:val="center"/>
              <w:rPr>
                <w:kern w:val="0"/>
                <w:sz w:val="18"/>
                <w:szCs w:val="18"/>
              </w:rPr>
            </w:pPr>
            <w:r>
              <w:rPr>
                <w:kern w:val="0"/>
                <w:sz w:val="18"/>
                <w:szCs w:val="18"/>
              </w:rPr>
              <w:t>3.53</w:t>
            </w:r>
          </w:p>
        </w:tc>
        <w:tc>
          <w:tcPr>
            <w:tcW w:w="277" w:type="pct"/>
            <w:shd w:val="clear" w:color="auto" w:fill="auto"/>
            <w:noWrap/>
            <w:vAlign w:val="center"/>
          </w:tcPr>
          <w:p>
            <w:pPr>
              <w:widowControl/>
              <w:jc w:val="center"/>
              <w:rPr>
                <w:kern w:val="0"/>
                <w:sz w:val="18"/>
                <w:szCs w:val="18"/>
              </w:rPr>
            </w:pPr>
            <w:r>
              <w:rPr>
                <w:kern w:val="0"/>
                <w:sz w:val="18"/>
                <w:szCs w:val="18"/>
              </w:rPr>
              <w:t>2.93</w:t>
            </w:r>
          </w:p>
        </w:tc>
        <w:tc>
          <w:tcPr>
            <w:tcW w:w="277" w:type="pct"/>
            <w:shd w:val="clear" w:color="auto" w:fill="auto"/>
            <w:noWrap/>
            <w:vAlign w:val="center"/>
          </w:tcPr>
          <w:p>
            <w:pPr>
              <w:widowControl/>
              <w:jc w:val="center"/>
              <w:rPr>
                <w:kern w:val="0"/>
                <w:sz w:val="18"/>
                <w:szCs w:val="18"/>
              </w:rPr>
            </w:pPr>
            <w:r>
              <w:rPr>
                <w:kern w:val="0"/>
                <w:sz w:val="18"/>
                <w:szCs w:val="18"/>
              </w:rPr>
              <w:t>2.41</w:t>
            </w:r>
          </w:p>
        </w:tc>
        <w:tc>
          <w:tcPr>
            <w:tcW w:w="277" w:type="pct"/>
            <w:shd w:val="clear" w:color="auto" w:fill="auto"/>
            <w:noWrap/>
            <w:vAlign w:val="center"/>
          </w:tcPr>
          <w:p>
            <w:pPr>
              <w:widowControl/>
              <w:jc w:val="center"/>
              <w:rPr>
                <w:kern w:val="0"/>
                <w:sz w:val="18"/>
                <w:szCs w:val="18"/>
              </w:rPr>
            </w:pPr>
            <w:r>
              <w:rPr>
                <w:kern w:val="0"/>
                <w:sz w:val="18"/>
                <w:szCs w:val="18"/>
              </w:rPr>
              <w:t>1.97</w:t>
            </w:r>
          </w:p>
        </w:tc>
        <w:tc>
          <w:tcPr>
            <w:tcW w:w="277" w:type="pct"/>
            <w:shd w:val="clear" w:color="auto" w:fill="auto"/>
            <w:noWrap/>
            <w:vAlign w:val="center"/>
          </w:tcPr>
          <w:p>
            <w:pPr>
              <w:widowControl/>
              <w:jc w:val="center"/>
              <w:rPr>
                <w:kern w:val="0"/>
                <w:sz w:val="18"/>
                <w:szCs w:val="18"/>
              </w:rPr>
            </w:pPr>
            <w:r>
              <w:rPr>
                <w:kern w:val="0"/>
                <w:sz w:val="18"/>
                <w:szCs w:val="18"/>
              </w:rPr>
              <w:t>1.78</w:t>
            </w:r>
          </w:p>
        </w:tc>
        <w:tc>
          <w:tcPr>
            <w:tcW w:w="277" w:type="pct"/>
            <w:shd w:val="clear" w:color="auto" w:fill="auto"/>
            <w:noWrap/>
            <w:vAlign w:val="center"/>
          </w:tcPr>
          <w:p>
            <w:pPr>
              <w:widowControl/>
              <w:jc w:val="center"/>
              <w:rPr>
                <w:kern w:val="0"/>
                <w:sz w:val="18"/>
                <w:szCs w:val="18"/>
              </w:rPr>
            </w:pPr>
            <w:r>
              <w:rPr>
                <w:kern w:val="0"/>
                <w:sz w:val="18"/>
                <w:szCs w:val="18"/>
              </w:rPr>
              <w:t>1.89</w:t>
            </w:r>
          </w:p>
        </w:tc>
        <w:tc>
          <w:tcPr>
            <w:tcW w:w="277" w:type="pct"/>
            <w:shd w:val="clear" w:color="auto" w:fill="auto"/>
            <w:noWrap/>
            <w:vAlign w:val="center"/>
          </w:tcPr>
          <w:p>
            <w:pPr>
              <w:widowControl/>
              <w:jc w:val="center"/>
              <w:rPr>
                <w:kern w:val="0"/>
                <w:sz w:val="18"/>
                <w:szCs w:val="18"/>
              </w:rPr>
            </w:pPr>
            <w:r>
              <w:rPr>
                <w:kern w:val="0"/>
                <w:sz w:val="18"/>
                <w:szCs w:val="18"/>
              </w:rPr>
              <w:t>1.68</w:t>
            </w:r>
          </w:p>
        </w:tc>
        <w:tc>
          <w:tcPr>
            <w:tcW w:w="277" w:type="pct"/>
            <w:shd w:val="clear" w:color="auto" w:fill="auto"/>
            <w:noWrap/>
            <w:vAlign w:val="center"/>
          </w:tcPr>
          <w:p>
            <w:pPr>
              <w:widowControl/>
              <w:jc w:val="center"/>
              <w:rPr>
                <w:kern w:val="0"/>
                <w:sz w:val="18"/>
                <w:szCs w:val="18"/>
              </w:rPr>
            </w:pPr>
            <w:r>
              <w:rPr>
                <w:kern w:val="0"/>
                <w:sz w:val="18"/>
                <w:szCs w:val="18"/>
              </w:rPr>
              <w:t>4.07</w:t>
            </w:r>
          </w:p>
        </w:tc>
        <w:tc>
          <w:tcPr>
            <w:tcW w:w="277" w:type="pct"/>
            <w:shd w:val="clear" w:color="auto" w:fill="auto"/>
            <w:noWrap/>
            <w:vAlign w:val="center"/>
          </w:tcPr>
          <w:p>
            <w:pPr>
              <w:widowControl/>
              <w:jc w:val="center"/>
              <w:rPr>
                <w:kern w:val="0"/>
                <w:sz w:val="18"/>
                <w:szCs w:val="18"/>
              </w:rPr>
            </w:pPr>
            <w:r>
              <w:rPr>
                <w:kern w:val="0"/>
                <w:sz w:val="18"/>
                <w:szCs w:val="18"/>
              </w:rPr>
              <w:t>4.3</w:t>
            </w:r>
          </w:p>
        </w:tc>
        <w:tc>
          <w:tcPr>
            <w:tcW w:w="277" w:type="pct"/>
            <w:shd w:val="clear" w:color="auto" w:fill="auto"/>
            <w:noWrap/>
            <w:vAlign w:val="center"/>
          </w:tcPr>
          <w:p>
            <w:pPr>
              <w:widowControl/>
              <w:jc w:val="center"/>
              <w:rPr>
                <w:kern w:val="0"/>
                <w:sz w:val="18"/>
                <w:szCs w:val="18"/>
              </w:rPr>
            </w:pPr>
            <w:r>
              <w:rPr>
                <w:kern w:val="0"/>
                <w:sz w:val="18"/>
                <w:szCs w:val="18"/>
              </w:rPr>
              <w:t>2.88</w:t>
            </w:r>
          </w:p>
        </w:tc>
        <w:tc>
          <w:tcPr>
            <w:tcW w:w="277" w:type="pct"/>
            <w:shd w:val="clear" w:color="auto" w:fill="auto"/>
            <w:noWrap/>
            <w:vAlign w:val="center"/>
          </w:tcPr>
          <w:p>
            <w:pPr>
              <w:widowControl/>
              <w:jc w:val="center"/>
              <w:rPr>
                <w:kern w:val="0"/>
                <w:sz w:val="18"/>
                <w:szCs w:val="18"/>
              </w:rPr>
            </w:pPr>
            <w:r>
              <w:rPr>
                <w:kern w:val="0"/>
                <w:sz w:val="18"/>
                <w:szCs w:val="18"/>
              </w:rPr>
              <w:t>1.43</w:t>
            </w:r>
          </w:p>
        </w:tc>
        <w:tc>
          <w:tcPr>
            <w:tcW w:w="277" w:type="pct"/>
            <w:shd w:val="clear" w:color="auto" w:fill="auto"/>
            <w:noWrap/>
            <w:vAlign w:val="center"/>
          </w:tcPr>
          <w:p>
            <w:pPr>
              <w:widowControl/>
              <w:jc w:val="center"/>
              <w:rPr>
                <w:kern w:val="0"/>
                <w:sz w:val="18"/>
                <w:szCs w:val="18"/>
              </w:rPr>
            </w:pPr>
            <w:r>
              <w:rPr>
                <w:kern w:val="0"/>
                <w:sz w:val="18"/>
                <w:szCs w:val="18"/>
              </w:rPr>
              <w:t>1.38</w:t>
            </w:r>
          </w:p>
        </w:tc>
        <w:tc>
          <w:tcPr>
            <w:tcW w:w="277" w:type="pct"/>
            <w:shd w:val="clear" w:color="auto" w:fill="auto"/>
            <w:noWrap/>
            <w:vAlign w:val="center"/>
          </w:tcPr>
          <w:p>
            <w:pPr>
              <w:widowControl/>
              <w:jc w:val="center"/>
              <w:rPr>
                <w:kern w:val="0"/>
                <w:sz w:val="18"/>
                <w:szCs w:val="18"/>
              </w:rPr>
            </w:pPr>
            <w:r>
              <w:rPr>
                <w:kern w:val="0"/>
                <w:sz w:val="18"/>
                <w:szCs w:val="18"/>
              </w:rPr>
              <w:t>1.28</w:t>
            </w:r>
          </w:p>
        </w:tc>
        <w:tc>
          <w:tcPr>
            <w:tcW w:w="277" w:type="pct"/>
            <w:shd w:val="clear" w:color="auto" w:fill="auto"/>
            <w:noWrap/>
            <w:vAlign w:val="center"/>
          </w:tcPr>
          <w:p>
            <w:pPr>
              <w:widowControl/>
              <w:jc w:val="center"/>
              <w:rPr>
                <w:kern w:val="0"/>
                <w:sz w:val="18"/>
                <w:szCs w:val="18"/>
              </w:rPr>
            </w:pPr>
            <w:r>
              <w:rPr>
                <w:kern w:val="0"/>
                <w:sz w:val="18"/>
                <w:szCs w:val="18"/>
              </w:rPr>
              <w:t>5.27</w:t>
            </w:r>
          </w:p>
        </w:tc>
        <w:tc>
          <w:tcPr>
            <w:tcW w:w="277" w:type="pct"/>
            <w:shd w:val="clear" w:color="auto" w:fill="auto"/>
            <w:noWrap/>
            <w:vAlign w:val="center"/>
          </w:tcPr>
          <w:p>
            <w:pPr>
              <w:widowControl/>
              <w:jc w:val="center"/>
              <w:rPr>
                <w:kern w:val="0"/>
                <w:sz w:val="18"/>
                <w:szCs w:val="18"/>
              </w:rPr>
            </w:pPr>
            <w:r>
              <w:rPr>
                <w:kern w:val="0"/>
                <w:sz w:val="18"/>
                <w:szCs w:val="18"/>
              </w:rPr>
              <w:t>3.88</w:t>
            </w:r>
          </w:p>
        </w:tc>
        <w:tc>
          <w:tcPr>
            <w:tcW w:w="270" w:type="pct"/>
            <w:shd w:val="clear" w:color="auto" w:fill="auto"/>
            <w:noWrap/>
            <w:vAlign w:val="center"/>
          </w:tcPr>
          <w:p>
            <w:pPr>
              <w:widowControl/>
              <w:jc w:val="center"/>
              <w:rPr>
                <w:kern w:val="0"/>
                <w:sz w:val="18"/>
                <w:szCs w:val="18"/>
              </w:rPr>
            </w:pPr>
            <w:r>
              <w:rPr>
                <w:kern w:val="0"/>
                <w:sz w:val="18"/>
                <w:szCs w:val="18"/>
              </w:rPr>
              <w:t>3.44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5月</w:t>
            </w:r>
          </w:p>
        </w:tc>
        <w:tc>
          <w:tcPr>
            <w:tcW w:w="277" w:type="pct"/>
            <w:shd w:val="clear" w:color="auto" w:fill="auto"/>
            <w:noWrap/>
            <w:vAlign w:val="center"/>
          </w:tcPr>
          <w:p>
            <w:pPr>
              <w:widowControl/>
              <w:jc w:val="center"/>
              <w:rPr>
                <w:kern w:val="0"/>
                <w:sz w:val="18"/>
                <w:szCs w:val="18"/>
              </w:rPr>
            </w:pPr>
            <w:r>
              <w:rPr>
                <w:kern w:val="0"/>
                <w:sz w:val="18"/>
                <w:szCs w:val="18"/>
              </w:rPr>
              <w:t>2.21</w:t>
            </w:r>
          </w:p>
        </w:tc>
        <w:tc>
          <w:tcPr>
            <w:tcW w:w="277" w:type="pct"/>
            <w:shd w:val="clear" w:color="auto" w:fill="auto"/>
            <w:noWrap/>
            <w:vAlign w:val="center"/>
          </w:tcPr>
          <w:p>
            <w:pPr>
              <w:widowControl/>
              <w:jc w:val="center"/>
              <w:rPr>
                <w:kern w:val="0"/>
                <w:sz w:val="18"/>
                <w:szCs w:val="18"/>
              </w:rPr>
            </w:pPr>
            <w:r>
              <w:rPr>
                <w:kern w:val="0"/>
                <w:sz w:val="18"/>
                <w:szCs w:val="18"/>
              </w:rPr>
              <w:t>1.98</w:t>
            </w:r>
          </w:p>
        </w:tc>
        <w:tc>
          <w:tcPr>
            <w:tcW w:w="277" w:type="pct"/>
            <w:shd w:val="clear" w:color="auto" w:fill="auto"/>
            <w:noWrap/>
            <w:vAlign w:val="center"/>
          </w:tcPr>
          <w:p>
            <w:pPr>
              <w:widowControl/>
              <w:jc w:val="center"/>
              <w:rPr>
                <w:kern w:val="0"/>
                <w:sz w:val="18"/>
                <w:szCs w:val="18"/>
              </w:rPr>
            </w:pPr>
            <w:r>
              <w:rPr>
                <w:kern w:val="0"/>
                <w:sz w:val="18"/>
                <w:szCs w:val="18"/>
              </w:rPr>
              <w:t>2.05</w:t>
            </w:r>
          </w:p>
        </w:tc>
        <w:tc>
          <w:tcPr>
            <w:tcW w:w="277" w:type="pct"/>
            <w:shd w:val="clear" w:color="auto" w:fill="auto"/>
            <w:noWrap/>
            <w:vAlign w:val="center"/>
          </w:tcPr>
          <w:p>
            <w:pPr>
              <w:widowControl/>
              <w:jc w:val="center"/>
              <w:rPr>
                <w:kern w:val="0"/>
                <w:sz w:val="18"/>
                <w:szCs w:val="18"/>
              </w:rPr>
            </w:pPr>
            <w:r>
              <w:rPr>
                <w:kern w:val="0"/>
                <w:sz w:val="18"/>
                <w:szCs w:val="18"/>
              </w:rPr>
              <w:t>1.63</w:t>
            </w:r>
          </w:p>
        </w:tc>
        <w:tc>
          <w:tcPr>
            <w:tcW w:w="277" w:type="pct"/>
            <w:shd w:val="clear" w:color="auto" w:fill="auto"/>
            <w:noWrap/>
            <w:vAlign w:val="center"/>
          </w:tcPr>
          <w:p>
            <w:pPr>
              <w:widowControl/>
              <w:jc w:val="center"/>
              <w:rPr>
                <w:kern w:val="0"/>
                <w:sz w:val="18"/>
                <w:szCs w:val="18"/>
              </w:rPr>
            </w:pPr>
            <w:r>
              <w:rPr>
                <w:kern w:val="0"/>
                <w:sz w:val="18"/>
                <w:szCs w:val="18"/>
              </w:rPr>
              <w:t>1.5</w:t>
            </w:r>
          </w:p>
        </w:tc>
        <w:tc>
          <w:tcPr>
            <w:tcW w:w="277" w:type="pct"/>
            <w:shd w:val="clear" w:color="auto" w:fill="auto"/>
            <w:noWrap/>
            <w:vAlign w:val="center"/>
          </w:tcPr>
          <w:p>
            <w:pPr>
              <w:widowControl/>
              <w:jc w:val="center"/>
              <w:rPr>
                <w:kern w:val="0"/>
                <w:sz w:val="18"/>
                <w:szCs w:val="18"/>
              </w:rPr>
            </w:pPr>
            <w:r>
              <w:rPr>
                <w:kern w:val="0"/>
                <w:sz w:val="18"/>
                <w:szCs w:val="18"/>
              </w:rPr>
              <w:t>1.46</w:t>
            </w:r>
          </w:p>
        </w:tc>
        <w:tc>
          <w:tcPr>
            <w:tcW w:w="277" w:type="pct"/>
            <w:shd w:val="clear" w:color="auto" w:fill="auto"/>
            <w:noWrap/>
            <w:vAlign w:val="center"/>
          </w:tcPr>
          <w:p>
            <w:pPr>
              <w:widowControl/>
              <w:jc w:val="center"/>
              <w:rPr>
                <w:kern w:val="0"/>
                <w:sz w:val="18"/>
                <w:szCs w:val="18"/>
              </w:rPr>
            </w:pPr>
            <w:r>
              <w:rPr>
                <w:kern w:val="0"/>
                <w:sz w:val="18"/>
                <w:szCs w:val="18"/>
              </w:rPr>
              <w:t>0.95</w:t>
            </w:r>
          </w:p>
        </w:tc>
        <w:tc>
          <w:tcPr>
            <w:tcW w:w="277" w:type="pct"/>
            <w:shd w:val="clear" w:color="auto" w:fill="auto"/>
            <w:noWrap/>
            <w:vAlign w:val="center"/>
          </w:tcPr>
          <w:p>
            <w:pPr>
              <w:widowControl/>
              <w:jc w:val="center"/>
              <w:rPr>
                <w:kern w:val="0"/>
                <w:sz w:val="18"/>
                <w:szCs w:val="18"/>
              </w:rPr>
            </w:pPr>
            <w:r>
              <w:rPr>
                <w:kern w:val="0"/>
                <w:sz w:val="18"/>
                <w:szCs w:val="18"/>
              </w:rPr>
              <w:t>1.52</w:t>
            </w:r>
          </w:p>
        </w:tc>
        <w:tc>
          <w:tcPr>
            <w:tcW w:w="277" w:type="pct"/>
            <w:shd w:val="clear" w:color="auto" w:fill="auto"/>
            <w:noWrap/>
            <w:vAlign w:val="center"/>
          </w:tcPr>
          <w:p>
            <w:pPr>
              <w:widowControl/>
              <w:jc w:val="center"/>
              <w:rPr>
                <w:kern w:val="0"/>
                <w:sz w:val="18"/>
                <w:szCs w:val="18"/>
              </w:rPr>
            </w:pPr>
            <w:r>
              <w:rPr>
                <w:kern w:val="0"/>
                <w:sz w:val="18"/>
                <w:szCs w:val="18"/>
              </w:rPr>
              <w:t>3.53</w:t>
            </w:r>
          </w:p>
        </w:tc>
        <w:tc>
          <w:tcPr>
            <w:tcW w:w="277" w:type="pct"/>
            <w:shd w:val="clear" w:color="auto" w:fill="auto"/>
            <w:noWrap/>
            <w:vAlign w:val="center"/>
          </w:tcPr>
          <w:p>
            <w:pPr>
              <w:widowControl/>
              <w:jc w:val="center"/>
              <w:rPr>
                <w:kern w:val="0"/>
                <w:sz w:val="18"/>
                <w:szCs w:val="18"/>
              </w:rPr>
            </w:pPr>
            <w:r>
              <w:rPr>
                <w:kern w:val="0"/>
                <w:sz w:val="18"/>
                <w:szCs w:val="18"/>
              </w:rPr>
              <w:t>3.93</w:t>
            </w:r>
          </w:p>
        </w:tc>
        <w:tc>
          <w:tcPr>
            <w:tcW w:w="277" w:type="pct"/>
            <w:shd w:val="clear" w:color="auto" w:fill="auto"/>
            <w:noWrap/>
            <w:vAlign w:val="center"/>
          </w:tcPr>
          <w:p>
            <w:pPr>
              <w:widowControl/>
              <w:jc w:val="center"/>
              <w:rPr>
                <w:kern w:val="0"/>
                <w:sz w:val="18"/>
                <w:szCs w:val="18"/>
              </w:rPr>
            </w:pPr>
            <w:r>
              <w:rPr>
                <w:kern w:val="0"/>
                <w:sz w:val="18"/>
                <w:szCs w:val="18"/>
              </w:rPr>
              <w:t>1.81</w:t>
            </w:r>
          </w:p>
        </w:tc>
        <w:tc>
          <w:tcPr>
            <w:tcW w:w="277" w:type="pct"/>
            <w:shd w:val="clear" w:color="auto" w:fill="auto"/>
            <w:noWrap/>
            <w:vAlign w:val="center"/>
          </w:tcPr>
          <w:p>
            <w:pPr>
              <w:widowControl/>
              <w:jc w:val="center"/>
              <w:rPr>
                <w:kern w:val="0"/>
                <w:sz w:val="18"/>
                <w:szCs w:val="18"/>
              </w:rPr>
            </w:pPr>
            <w:r>
              <w:rPr>
                <w:kern w:val="0"/>
                <w:sz w:val="18"/>
                <w:szCs w:val="18"/>
              </w:rPr>
              <w:t>1.51</w:t>
            </w:r>
          </w:p>
        </w:tc>
        <w:tc>
          <w:tcPr>
            <w:tcW w:w="277" w:type="pct"/>
            <w:shd w:val="clear" w:color="auto" w:fill="auto"/>
            <w:noWrap/>
            <w:vAlign w:val="center"/>
          </w:tcPr>
          <w:p>
            <w:pPr>
              <w:widowControl/>
              <w:jc w:val="center"/>
              <w:rPr>
                <w:kern w:val="0"/>
                <w:sz w:val="18"/>
                <w:szCs w:val="18"/>
              </w:rPr>
            </w:pPr>
            <w:r>
              <w:rPr>
                <w:kern w:val="0"/>
                <w:sz w:val="18"/>
                <w:szCs w:val="18"/>
              </w:rPr>
              <w:t>1.51</w:t>
            </w:r>
          </w:p>
        </w:tc>
        <w:tc>
          <w:tcPr>
            <w:tcW w:w="277" w:type="pct"/>
            <w:shd w:val="clear" w:color="auto" w:fill="auto"/>
            <w:noWrap/>
            <w:vAlign w:val="center"/>
          </w:tcPr>
          <w:p>
            <w:pPr>
              <w:widowControl/>
              <w:jc w:val="center"/>
              <w:rPr>
                <w:kern w:val="0"/>
                <w:sz w:val="18"/>
                <w:szCs w:val="18"/>
              </w:rPr>
            </w:pPr>
            <w:r>
              <w:rPr>
                <w:kern w:val="0"/>
                <w:sz w:val="18"/>
                <w:szCs w:val="18"/>
              </w:rPr>
              <w:t>1.39</w:t>
            </w:r>
          </w:p>
        </w:tc>
        <w:tc>
          <w:tcPr>
            <w:tcW w:w="277" w:type="pct"/>
            <w:shd w:val="clear" w:color="auto" w:fill="auto"/>
            <w:noWrap/>
            <w:vAlign w:val="center"/>
          </w:tcPr>
          <w:p>
            <w:pPr>
              <w:widowControl/>
              <w:jc w:val="center"/>
              <w:rPr>
                <w:kern w:val="0"/>
                <w:sz w:val="18"/>
                <w:szCs w:val="18"/>
              </w:rPr>
            </w:pPr>
            <w:r>
              <w:rPr>
                <w:kern w:val="0"/>
                <w:sz w:val="18"/>
                <w:szCs w:val="18"/>
              </w:rPr>
              <w:t>1.29</w:t>
            </w:r>
          </w:p>
        </w:tc>
        <w:tc>
          <w:tcPr>
            <w:tcW w:w="277" w:type="pct"/>
            <w:shd w:val="clear" w:color="auto" w:fill="auto"/>
            <w:noWrap/>
            <w:vAlign w:val="center"/>
          </w:tcPr>
          <w:p>
            <w:pPr>
              <w:widowControl/>
              <w:jc w:val="center"/>
              <w:rPr>
                <w:kern w:val="0"/>
                <w:sz w:val="18"/>
                <w:szCs w:val="18"/>
              </w:rPr>
            </w:pPr>
            <w:r>
              <w:rPr>
                <w:kern w:val="0"/>
                <w:sz w:val="18"/>
                <w:szCs w:val="18"/>
              </w:rPr>
              <w:t>1.59</w:t>
            </w:r>
          </w:p>
        </w:tc>
        <w:tc>
          <w:tcPr>
            <w:tcW w:w="270" w:type="pct"/>
            <w:shd w:val="clear" w:color="auto" w:fill="auto"/>
            <w:noWrap/>
            <w:vAlign w:val="center"/>
          </w:tcPr>
          <w:p>
            <w:pPr>
              <w:widowControl/>
              <w:jc w:val="center"/>
              <w:rPr>
                <w:kern w:val="0"/>
                <w:sz w:val="18"/>
                <w:szCs w:val="18"/>
              </w:rPr>
            </w:pPr>
            <w:r>
              <w:rPr>
                <w:kern w:val="0"/>
                <w:sz w:val="18"/>
                <w:szCs w:val="18"/>
              </w:rPr>
              <w:t>2.58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6月</w:t>
            </w:r>
          </w:p>
        </w:tc>
        <w:tc>
          <w:tcPr>
            <w:tcW w:w="277" w:type="pct"/>
            <w:shd w:val="clear" w:color="auto" w:fill="auto"/>
            <w:noWrap/>
            <w:vAlign w:val="center"/>
          </w:tcPr>
          <w:p>
            <w:pPr>
              <w:widowControl/>
              <w:jc w:val="center"/>
              <w:rPr>
                <w:kern w:val="0"/>
                <w:sz w:val="18"/>
                <w:szCs w:val="18"/>
              </w:rPr>
            </w:pPr>
            <w:r>
              <w:rPr>
                <w:kern w:val="0"/>
                <w:sz w:val="18"/>
                <w:szCs w:val="18"/>
              </w:rPr>
              <w:t>2.5</w:t>
            </w:r>
          </w:p>
        </w:tc>
        <w:tc>
          <w:tcPr>
            <w:tcW w:w="277" w:type="pct"/>
            <w:shd w:val="clear" w:color="auto" w:fill="auto"/>
            <w:noWrap/>
            <w:vAlign w:val="center"/>
          </w:tcPr>
          <w:p>
            <w:pPr>
              <w:widowControl/>
              <w:jc w:val="center"/>
              <w:rPr>
                <w:kern w:val="0"/>
                <w:sz w:val="18"/>
                <w:szCs w:val="18"/>
              </w:rPr>
            </w:pPr>
            <w:r>
              <w:rPr>
                <w:kern w:val="0"/>
                <w:sz w:val="18"/>
                <w:szCs w:val="18"/>
              </w:rPr>
              <w:t>2.98</w:t>
            </w:r>
          </w:p>
        </w:tc>
        <w:tc>
          <w:tcPr>
            <w:tcW w:w="277" w:type="pct"/>
            <w:shd w:val="clear" w:color="auto" w:fill="auto"/>
            <w:noWrap/>
            <w:vAlign w:val="center"/>
          </w:tcPr>
          <w:p>
            <w:pPr>
              <w:widowControl/>
              <w:jc w:val="center"/>
              <w:rPr>
                <w:kern w:val="0"/>
                <w:sz w:val="18"/>
                <w:szCs w:val="18"/>
              </w:rPr>
            </w:pPr>
            <w:r>
              <w:rPr>
                <w:kern w:val="0"/>
                <w:sz w:val="18"/>
                <w:szCs w:val="18"/>
              </w:rPr>
              <w:t>2.61</w:t>
            </w:r>
          </w:p>
        </w:tc>
        <w:tc>
          <w:tcPr>
            <w:tcW w:w="277" w:type="pct"/>
            <w:shd w:val="clear" w:color="auto" w:fill="auto"/>
            <w:noWrap/>
            <w:vAlign w:val="center"/>
          </w:tcPr>
          <w:p>
            <w:pPr>
              <w:widowControl/>
              <w:jc w:val="center"/>
              <w:rPr>
                <w:kern w:val="0"/>
                <w:sz w:val="18"/>
                <w:szCs w:val="18"/>
              </w:rPr>
            </w:pPr>
            <w:r>
              <w:rPr>
                <w:kern w:val="0"/>
                <w:sz w:val="18"/>
                <w:szCs w:val="18"/>
              </w:rPr>
              <w:t>1.84</w:t>
            </w:r>
          </w:p>
        </w:tc>
        <w:tc>
          <w:tcPr>
            <w:tcW w:w="277" w:type="pct"/>
            <w:shd w:val="clear" w:color="auto" w:fill="auto"/>
            <w:noWrap/>
            <w:vAlign w:val="center"/>
          </w:tcPr>
          <w:p>
            <w:pPr>
              <w:widowControl/>
              <w:jc w:val="center"/>
              <w:rPr>
                <w:kern w:val="0"/>
                <w:sz w:val="18"/>
                <w:szCs w:val="18"/>
              </w:rPr>
            </w:pPr>
            <w:r>
              <w:rPr>
                <w:kern w:val="0"/>
                <w:sz w:val="18"/>
                <w:szCs w:val="18"/>
              </w:rPr>
              <w:t>1.77</w:t>
            </w:r>
          </w:p>
        </w:tc>
        <w:tc>
          <w:tcPr>
            <w:tcW w:w="277" w:type="pct"/>
            <w:shd w:val="clear" w:color="auto" w:fill="auto"/>
            <w:noWrap/>
            <w:vAlign w:val="center"/>
          </w:tcPr>
          <w:p>
            <w:pPr>
              <w:widowControl/>
              <w:jc w:val="center"/>
              <w:rPr>
                <w:kern w:val="0"/>
                <w:sz w:val="18"/>
                <w:szCs w:val="18"/>
              </w:rPr>
            </w:pPr>
            <w:r>
              <w:rPr>
                <w:kern w:val="0"/>
                <w:sz w:val="18"/>
                <w:szCs w:val="18"/>
              </w:rPr>
              <w:t>1.41</w:t>
            </w:r>
          </w:p>
        </w:tc>
        <w:tc>
          <w:tcPr>
            <w:tcW w:w="277" w:type="pct"/>
            <w:shd w:val="clear" w:color="auto" w:fill="auto"/>
            <w:noWrap/>
            <w:vAlign w:val="center"/>
          </w:tcPr>
          <w:p>
            <w:pPr>
              <w:widowControl/>
              <w:jc w:val="center"/>
              <w:rPr>
                <w:kern w:val="0"/>
                <w:sz w:val="18"/>
                <w:szCs w:val="18"/>
              </w:rPr>
            </w:pPr>
            <w:r>
              <w:rPr>
                <w:kern w:val="0"/>
                <w:sz w:val="18"/>
                <w:szCs w:val="18"/>
              </w:rPr>
              <w:t>1.59</w:t>
            </w:r>
          </w:p>
        </w:tc>
        <w:tc>
          <w:tcPr>
            <w:tcW w:w="277" w:type="pct"/>
            <w:shd w:val="clear" w:color="auto" w:fill="auto"/>
            <w:noWrap/>
            <w:vAlign w:val="center"/>
          </w:tcPr>
          <w:p>
            <w:pPr>
              <w:widowControl/>
              <w:jc w:val="center"/>
              <w:rPr>
                <w:kern w:val="0"/>
                <w:sz w:val="18"/>
                <w:szCs w:val="18"/>
              </w:rPr>
            </w:pPr>
            <w:r>
              <w:rPr>
                <w:kern w:val="0"/>
                <w:sz w:val="18"/>
                <w:szCs w:val="18"/>
              </w:rPr>
              <w:t>1.66</w:t>
            </w:r>
          </w:p>
        </w:tc>
        <w:tc>
          <w:tcPr>
            <w:tcW w:w="277" w:type="pct"/>
            <w:shd w:val="clear" w:color="auto" w:fill="auto"/>
            <w:noWrap/>
            <w:vAlign w:val="center"/>
          </w:tcPr>
          <w:p>
            <w:pPr>
              <w:widowControl/>
              <w:jc w:val="center"/>
              <w:rPr>
                <w:kern w:val="0"/>
                <w:sz w:val="18"/>
                <w:szCs w:val="18"/>
              </w:rPr>
            </w:pPr>
            <w:r>
              <w:rPr>
                <w:kern w:val="0"/>
                <w:sz w:val="18"/>
                <w:szCs w:val="18"/>
              </w:rPr>
              <w:t>2.92</w:t>
            </w:r>
          </w:p>
        </w:tc>
        <w:tc>
          <w:tcPr>
            <w:tcW w:w="277" w:type="pct"/>
            <w:shd w:val="clear" w:color="auto" w:fill="auto"/>
            <w:noWrap/>
            <w:vAlign w:val="center"/>
          </w:tcPr>
          <w:p>
            <w:pPr>
              <w:widowControl/>
              <w:jc w:val="center"/>
              <w:rPr>
                <w:kern w:val="0"/>
                <w:sz w:val="18"/>
                <w:szCs w:val="18"/>
              </w:rPr>
            </w:pPr>
            <w:r>
              <w:rPr>
                <w:kern w:val="0"/>
                <w:sz w:val="18"/>
                <w:szCs w:val="18"/>
              </w:rPr>
              <w:t>3.49</w:t>
            </w:r>
          </w:p>
        </w:tc>
        <w:tc>
          <w:tcPr>
            <w:tcW w:w="277" w:type="pct"/>
            <w:shd w:val="clear" w:color="auto" w:fill="auto"/>
            <w:noWrap/>
            <w:vAlign w:val="center"/>
          </w:tcPr>
          <w:p>
            <w:pPr>
              <w:widowControl/>
              <w:jc w:val="center"/>
              <w:rPr>
                <w:kern w:val="0"/>
                <w:sz w:val="18"/>
                <w:szCs w:val="18"/>
              </w:rPr>
            </w:pPr>
            <w:r>
              <w:rPr>
                <w:kern w:val="0"/>
                <w:sz w:val="18"/>
                <w:szCs w:val="18"/>
              </w:rPr>
              <w:t>2.39</w:t>
            </w:r>
          </w:p>
        </w:tc>
        <w:tc>
          <w:tcPr>
            <w:tcW w:w="277" w:type="pct"/>
            <w:shd w:val="clear" w:color="auto" w:fill="auto"/>
            <w:noWrap/>
            <w:vAlign w:val="center"/>
          </w:tcPr>
          <w:p>
            <w:pPr>
              <w:widowControl/>
              <w:jc w:val="center"/>
              <w:rPr>
                <w:kern w:val="0"/>
                <w:sz w:val="18"/>
                <w:szCs w:val="18"/>
              </w:rPr>
            </w:pPr>
            <w:r>
              <w:rPr>
                <w:kern w:val="0"/>
                <w:sz w:val="18"/>
                <w:szCs w:val="18"/>
              </w:rPr>
              <w:t>1.63</w:t>
            </w:r>
          </w:p>
        </w:tc>
        <w:tc>
          <w:tcPr>
            <w:tcW w:w="277" w:type="pct"/>
            <w:shd w:val="clear" w:color="auto" w:fill="auto"/>
            <w:noWrap/>
            <w:vAlign w:val="center"/>
          </w:tcPr>
          <w:p>
            <w:pPr>
              <w:widowControl/>
              <w:jc w:val="center"/>
              <w:rPr>
                <w:kern w:val="0"/>
                <w:sz w:val="18"/>
                <w:szCs w:val="18"/>
              </w:rPr>
            </w:pPr>
            <w:r>
              <w:rPr>
                <w:kern w:val="0"/>
                <w:sz w:val="18"/>
                <w:szCs w:val="18"/>
              </w:rPr>
              <w:t>1.4</w:t>
            </w:r>
          </w:p>
        </w:tc>
        <w:tc>
          <w:tcPr>
            <w:tcW w:w="277" w:type="pct"/>
            <w:shd w:val="clear" w:color="auto" w:fill="auto"/>
            <w:noWrap/>
            <w:vAlign w:val="center"/>
          </w:tcPr>
          <w:p>
            <w:pPr>
              <w:widowControl/>
              <w:jc w:val="center"/>
              <w:rPr>
                <w:kern w:val="0"/>
                <w:sz w:val="18"/>
                <w:szCs w:val="18"/>
              </w:rPr>
            </w:pPr>
            <w:r>
              <w:rPr>
                <w:kern w:val="0"/>
                <w:sz w:val="18"/>
                <w:szCs w:val="18"/>
              </w:rPr>
              <w:t>1.77</w:t>
            </w:r>
          </w:p>
        </w:tc>
        <w:tc>
          <w:tcPr>
            <w:tcW w:w="277" w:type="pct"/>
            <w:shd w:val="clear" w:color="auto" w:fill="auto"/>
            <w:noWrap/>
            <w:vAlign w:val="center"/>
          </w:tcPr>
          <w:p>
            <w:pPr>
              <w:widowControl/>
              <w:jc w:val="center"/>
              <w:rPr>
                <w:kern w:val="0"/>
                <w:sz w:val="18"/>
                <w:szCs w:val="18"/>
              </w:rPr>
            </w:pPr>
            <w:r>
              <w:rPr>
                <w:kern w:val="0"/>
                <w:sz w:val="18"/>
                <w:szCs w:val="18"/>
              </w:rPr>
              <w:t>1.54</w:t>
            </w:r>
          </w:p>
        </w:tc>
        <w:tc>
          <w:tcPr>
            <w:tcW w:w="277" w:type="pct"/>
            <w:shd w:val="clear" w:color="auto" w:fill="auto"/>
            <w:noWrap/>
            <w:vAlign w:val="center"/>
          </w:tcPr>
          <w:p>
            <w:pPr>
              <w:widowControl/>
              <w:jc w:val="center"/>
              <w:rPr>
                <w:kern w:val="0"/>
                <w:sz w:val="18"/>
                <w:szCs w:val="18"/>
              </w:rPr>
            </w:pPr>
            <w:r>
              <w:rPr>
                <w:kern w:val="0"/>
                <w:sz w:val="18"/>
                <w:szCs w:val="18"/>
              </w:rPr>
              <w:t>1.94</w:t>
            </w:r>
          </w:p>
        </w:tc>
        <w:tc>
          <w:tcPr>
            <w:tcW w:w="270" w:type="pct"/>
            <w:shd w:val="clear" w:color="auto" w:fill="auto"/>
            <w:noWrap/>
            <w:vAlign w:val="center"/>
          </w:tcPr>
          <w:p>
            <w:pPr>
              <w:widowControl/>
              <w:jc w:val="center"/>
              <w:rPr>
                <w:kern w:val="0"/>
                <w:sz w:val="18"/>
                <w:szCs w:val="18"/>
              </w:rPr>
            </w:pPr>
            <w:r>
              <w:rPr>
                <w:kern w:val="0"/>
                <w:sz w:val="18"/>
                <w:szCs w:val="18"/>
              </w:rPr>
              <w:t>2.57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7月</w:t>
            </w:r>
          </w:p>
        </w:tc>
        <w:tc>
          <w:tcPr>
            <w:tcW w:w="277" w:type="pct"/>
            <w:shd w:val="clear" w:color="auto" w:fill="auto"/>
            <w:noWrap/>
            <w:vAlign w:val="center"/>
          </w:tcPr>
          <w:p>
            <w:pPr>
              <w:widowControl/>
              <w:jc w:val="center"/>
              <w:rPr>
                <w:kern w:val="0"/>
                <w:sz w:val="18"/>
                <w:szCs w:val="18"/>
              </w:rPr>
            </w:pPr>
            <w:r>
              <w:rPr>
                <w:kern w:val="0"/>
                <w:sz w:val="18"/>
                <w:szCs w:val="18"/>
              </w:rPr>
              <w:t>2.12</w:t>
            </w:r>
          </w:p>
        </w:tc>
        <w:tc>
          <w:tcPr>
            <w:tcW w:w="277" w:type="pct"/>
            <w:shd w:val="clear" w:color="auto" w:fill="auto"/>
            <w:noWrap/>
            <w:vAlign w:val="center"/>
          </w:tcPr>
          <w:p>
            <w:pPr>
              <w:widowControl/>
              <w:jc w:val="center"/>
              <w:rPr>
                <w:kern w:val="0"/>
                <w:sz w:val="18"/>
                <w:szCs w:val="18"/>
              </w:rPr>
            </w:pPr>
            <w:r>
              <w:rPr>
                <w:kern w:val="0"/>
                <w:sz w:val="18"/>
                <w:szCs w:val="18"/>
              </w:rPr>
              <w:t>1.76</w:t>
            </w:r>
          </w:p>
        </w:tc>
        <w:tc>
          <w:tcPr>
            <w:tcW w:w="277" w:type="pct"/>
            <w:shd w:val="clear" w:color="auto" w:fill="auto"/>
            <w:noWrap/>
            <w:vAlign w:val="center"/>
          </w:tcPr>
          <w:p>
            <w:pPr>
              <w:widowControl/>
              <w:jc w:val="center"/>
              <w:rPr>
                <w:kern w:val="0"/>
                <w:sz w:val="18"/>
                <w:szCs w:val="18"/>
              </w:rPr>
            </w:pPr>
            <w:r>
              <w:rPr>
                <w:kern w:val="0"/>
                <w:sz w:val="18"/>
                <w:szCs w:val="18"/>
              </w:rPr>
              <w:t>1.72</w:t>
            </w:r>
          </w:p>
        </w:tc>
        <w:tc>
          <w:tcPr>
            <w:tcW w:w="277" w:type="pct"/>
            <w:shd w:val="clear" w:color="auto" w:fill="auto"/>
            <w:noWrap/>
            <w:vAlign w:val="center"/>
          </w:tcPr>
          <w:p>
            <w:pPr>
              <w:widowControl/>
              <w:jc w:val="center"/>
              <w:rPr>
                <w:kern w:val="0"/>
                <w:sz w:val="18"/>
                <w:szCs w:val="18"/>
              </w:rPr>
            </w:pPr>
            <w:r>
              <w:rPr>
                <w:kern w:val="0"/>
                <w:sz w:val="18"/>
                <w:szCs w:val="18"/>
              </w:rPr>
              <w:t>1.61</w:t>
            </w:r>
          </w:p>
        </w:tc>
        <w:tc>
          <w:tcPr>
            <w:tcW w:w="277" w:type="pct"/>
            <w:shd w:val="clear" w:color="auto" w:fill="auto"/>
            <w:noWrap/>
            <w:vAlign w:val="center"/>
          </w:tcPr>
          <w:p>
            <w:pPr>
              <w:widowControl/>
              <w:jc w:val="center"/>
              <w:rPr>
                <w:kern w:val="0"/>
                <w:sz w:val="18"/>
                <w:szCs w:val="18"/>
              </w:rPr>
            </w:pPr>
            <w:r>
              <w:rPr>
                <w:kern w:val="0"/>
                <w:sz w:val="18"/>
                <w:szCs w:val="18"/>
              </w:rPr>
              <w:t>1.45</w:t>
            </w:r>
          </w:p>
        </w:tc>
        <w:tc>
          <w:tcPr>
            <w:tcW w:w="277" w:type="pct"/>
            <w:shd w:val="clear" w:color="auto" w:fill="auto"/>
            <w:noWrap/>
            <w:vAlign w:val="center"/>
          </w:tcPr>
          <w:p>
            <w:pPr>
              <w:widowControl/>
              <w:jc w:val="center"/>
              <w:rPr>
                <w:kern w:val="0"/>
                <w:sz w:val="18"/>
                <w:szCs w:val="18"/>
              </w:rPr>
            </w:pPr>
            <w:r>
              <w:rPr>
                <w:kern w:val="0"/>
                <w:sz w:val="18"/>
                <w:szCs w:val="18"/>
              </w:rPr>
              <w:t>1.34</w:t>
            </w:r>
          </w:p>
        </w:tc>
        <w:tc>
          <w:tcPr>
            <w:tcW w:w="277" w:type="pct"/>
            <w:shd w:val="clear" w:color="auto" w:fill="auto"/>
            <w:noWrap/>
            <w:vAlign w:val="center"/>
          </w:tcPr>
          <w:p>
            <w:pPr>
              <w:widowControl/>
              <w:jc w:val="center"/>
              <w:rPr>
                <w:kern w:val="0"/>
                <w:sz w:val="18"/>
                <w:szCs w:val="18"/>
              </w:rPr>
            </w:pPr>
            <w:r>
              <w:rPr>
                <w:kern w:val="0"/>
                <w:sz w:val="18"/>
                <w:szCs w:val="18"/>
              </w:rPr>
              <w:t>1.38</w:t>
            </w:r>
          </w:p>
        </w:tc>
        <w:tc>
          <w:tcPr>
            <w:tcW w:w="277" w:type="pct"/>
            <w:shd w:val="clear" w:color="auto" w:fill="auto"/>
            <w:noWrap/>
            <w:vAlign w:val="center"/>
          </w:tcPr>
          <w:p>
            <w:pPr>
              <w:widowControl/>
              <w:jc w:val="center"/>
              <w:rPr>
                <w:kern w:val="0"/>
                <w:sz w:val="18"/>
                <w:szCs w:val="18"/>
              </w:rPr>
            </w:pPr>
            <w:r>
              <w:rPr>
                <w:kern w:val="0"/>
                <w:sz w:val="18"/>
                <w:szCs w:val="18"/>
              </w:rPr>
              <w:t>1.72</w:t>
            </w:r>
          </w:p>
        </w:tc>
        <w:tc>
          <w:tcPr>
            <w:tcW w:w="277" w:type="pct"/>
            <w:shd w:val="clear" w:color="auto" w:fill="auto"/>
            <w:noWrap/>
            <w:vAlign w:val="center"/>
          </w:tcPr>
          <w:p>
            <w:pPr>
              <w:widowControl/>
              <w:jc w:val="center"/>
              <w:rPr>
                <w:kern w:val="0"/>
                <w:sz w:val="18"/>
                <w:szCs w:val="18"/>
              </w:rPr>
            </w:pPr>
            <w:r>
              <w:rPr>
                <w:kern w:val="0"/>
                <w:sz w:val="18"/>
                <w:szCs w:val="18"/>
              </w:rPr>
              <w:t>2.69</w:t>
            </w:r>
          </w:p>
        </w:tc>
        <w:tc>
          <w:tcPr>
            <w:tcW w:w="277" w:type="pct"/>
            <w:shd w:val="clear" w:color="auto" w:fill="auto"/>
            <w:noWrap/>
            <w:vAlign w:val="center"/>
          </w:tcPr>
          <w:p>
            <w:pPr>
              <w:widowControl/>
              <w:jc w:val="center"/>
              <w:rPr>
                <w:kern w:val="0"/>
                <w:sz w:val="18"/>
                <w:szCs w:val="18"/>
              </w:rPr>
            </w:pPr>
            <w:r>
              <w:rPr>
                <w:kern w:val="0"/>
                <w:sz w:val="18"/>
                <w:szCs w:val="18"/>
              </w:rPr>
              <w:t>3.2</w:t>
            </w:r>
          </w:p>
        </w:tc>
        <w:tc>
          <w:tcPr>
            <w:tcW w:w="277" w:type="pct"/>
            <w:shd w:val="clear" w:color="auto" w:fill="auto"/>
            <w:noWrap/>
            <w:vAlign w:val="center"/>
          </w:tcPr>
          <w:p>
            <w:pPr>
              <w:widowControl/>
              <w:jc w:val="center"/>
              <w:rPr>
                <w:kern w:val="0"/>
                <w:sz w:val="18"/>
                <w:szCs w:val="18"/>
              </w:rPr>
            </w:pPr>
            <w:r>
              <w:rPr>
                <w:kern w:val="0"/>
                <w:sz w:val="18"/>
                <w:szCs w:val="18"/>
              </w:rPr>
              <w:t>2.09</w:t>
            </w:r>
          </w:p>
        </w:tc>
        <w:tc>
          <w:tcPr>
            <w:tcW w:w="277" w:type="pct"/>
            <w:shd w:val="clear" w:color="auto" w:fill="auto"/>
            <w:noWrap/>
            <w:vAlign w:val="center"/>
          </w:tcPr>
          <w:p>
            <w:pPr>
              <w:widowControl/>
              <w:jc w:val="center"/>
              <w:rPr>
                <w:kern w:val="0"/>
                <w:sz w:val="18"/>
                <w:szCs w:val="18"/>
              </w:rPr>
            </w:pPr>
            <w:r>
              <w:rPr>
                <w:kern w:val="0"/>
                <w:sz w:val="18"/>
                <w:szCs w:val="18"/>
              </w:rPr>
              <w:t>1.84</w:t>
            </w:r>
          </w:p>
        </w:tc>
        <w:tc>
          <w:tcPr>
            <w:tcW w:w="277" w:type="pct"/>
            <w:shd w:val="clear" w:color="auto" w:fill="auto"/>
            <w:noWrap/>
            <w:vAlign w:val="center"/>
          </w:tcPr>
          <w:p>
            <w:pPr>
              <w:widowControl/>
              <w:jc w:val="center"/>
              <w:rPr>
                <w:kern w:val="0"/>
                <w:sz w:val="18"/>
                <w:szCs w:val="18"/>
              </w:rPr>
            </w:pPr>
            <w:r>
              <w:rPr>
                <w:kern w:val="0"/>
                <w:sz w:val="18"/>
                <w:szCs w:val="18"/>
              </w:rPr>
              <w:t>1.01</w:t>
            </w:r>
          </w:p>
        </w:tc>
        <w:tc>
          <w:tcPr>
            <w:tcW w:w="277" w:type="pct"/>
            <w:shd w:val="clear" w:color="auto" w:fill="auto"/>
            <w:noWrap/>
            <w:vAlign w:val="center"/>
          </w:tcPr>
          <w:p>
            <w:pPr>
              <w:widowControl/>
              <w:jc w:val="center"/>
              <w:rPr>
                <w:kern w:val="0"/>
                <w:sz w:val="18"/>
                <w:szCs w:val="18"/>
              </w:rPr>
            </w:pPr>
            <w:r>
              <w:rPr>
                <w:kern w:val="0"/>
                <w:sz w:val="18"/>
                <w:szCs w:val="18"/>
              </w:rPr>
              <w:t>1.18</w:t>
            </w:r>
          </w:p>
        </w:tc>
        <w:tc>
          <w:tcPr>
            <w:tcW w:w="277" w:type="pct"/>
            <w:shd w:val="clear" w:color="auto" w:fill="auto"/>
            <w:noWrap/>
            <w:vAlign w:val="center"/>
          </w:tcPr>
          <w:p>
            <w:pPr>
              <w:widowControl/>
              <w:jc w:val="center"/>
              <w:rPr>
                <w:kern w:val="0"/>
                <w:sz w:val="18"/>
                <w:szCs w:val="18"/>
              </w:rPr>
            </w:pPr>
            <w:r>
              <w:rPr>
                <w:kern w:val="0"/>
                <w:sz w:val="18"/>
                <w:szCs w:val="18"/>
              </w:rPr>
              <w:t>1.78</w:t>
            </w:r>
          </w:p>
        </w:tc>
        <w:tc>
          <w:tcPr>
            <w:tcW w:w="277" w:type="pct"/>
            <w:shd w:val="clear" w:color="auto" w:fill="auto"/>
            <w:noWrap/>
            <w:vAlign w:val="center"/>
          </w:tcPr>
          <w:p>
            <w:pPr>
              <w:widowControl/>
              <w:jc w:val="center"/>
              <w:rPr>
                <w:kern w:val="0"/>
                <w:sz w:val="18"/>
                <w:szCs w:val="18"/>
              </w:rPr>
            </w:pPr>
            <w:r>
              <w:rPr>
                <w:kern w:val="0"/>
                <w:sz w:val="18"/>
                <w:szCs w:val="18"/>
              </w:rPr>
              <w:t>1.91</w:t>
            </w:r>
          </w:p>
        </w:tc>
        <w:tc>
          <w:tcPr>
            <w:tcW w:w="270" w:type="pct"/>
            <w:shd w:val="clear" w:color="auto" w:fill="auto"/>
            <w:noWrap/>
            <w:vAlign w:val="center"/>
          </w:tcPr>
          <w:p>
            <w:pPr>
              <w:widowControl/>
              <w:jc w:val="center"/>
              <w:rPr>
                <w:kern w:val="0"/>
                <w:sz w:val="18"/>
                <w:szCs w:val="18"/>
              </w:rPr>
            </w:pPr>
            <w:r>
              <w:rPr>
                <w:kern w:val="0"/>
                <w:sz w:val="18"/>
                <w:szCs w:val="18"/>
              </w:rPr>
              <w:t>2.06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8月</w:t>
            </w:r>
          </w:p>
        </w:tc>
        <w:tc>
          <w:tcPr>
            <w:tcW w:w="277" w:type="pct"/>
            <w:shd w:val="clear" w:color="auto" w:fill="auto"/>
            <w:noWrap/>
            <w:vAlign w:val="center"/>
          </w:tcPr>
          <w:p>
            <w:pPr>
              <w:widowControl/>
              <w:jc w:val="center"/>
              <w:rPr>
                <w:kern w:val="0"/>
                <w:sz w:val="18"/>
                <w:szCs w:val="18"/>
              </w:rPr>
            </w:pPr>
            <w:r>
              <w:rPr>
                <w:kern w:val="0"/>
                <w:sz w:val="18"/>
                <w:szCs w:val="18"/>
              </w:rPr>
              <w:t>2.38</w:t>
            </w:r>
          </w:p>
        </w:tc>
        <w:tc>
          <w:tcPr>
            <w:tcW w:w="277" w:type="pct"/>
            <w:shd w:val="clear" w:color="auto" w:fill="auto"/>
            <w:noWrap/>
            <w:vAlign w:val="center"/>
          </w:tcPr>
          <w:p>
            <w:pPr>
              <w:widowControl/>
              <w:jc w:val="center"/>
              <w:rPr>
                <w:kern w:val="0"/>
                <w:sz w:val="18"/>
                <w:szCs w:val="18"/>
              </w:rPr>
            </w:pPr>
            <w:r>
              <w:rPr>
                <w:kern w:val="0"/>
                <w:sz w:val="18"/>
                <w:szCs w:val="18"/>
              </w:rPr>
              <w:t>2.24</w:t>
            </w:r>
          </w:p>
        </w:tc>
        <w:tc>
          <w:tcPr>
            <w:tcW w:w="277" w:type="pct"/>
            <w:shd w:val="clear" w:color="auto" w:fill="auto"/>
            <w:noWrap/>
            <w:vAlign w:val="center"/>
          </w:tcPr>
          <w:p>
            <w:pPr>
              <w:widowControl/>
              <w:jc w:val="center"/>
              <w:rPr>
                <w:kern w:val="0"/>
                <w:sz w:val="18"/>
                <w:szCs w:val="18"/>
              </w:rPr>
            </w:pPr>
            <w:r>
              <w:rPr>
                <w:kern w:val="0"/>
                <w:sz w:val="18"/>
                <w:szCs w:val="18"/>
              </w:rPr>
              <w:t>1.82</w:t>
            </w:r>
          </w:p>
        </w:tc>
        <w:tc>
          <w:tcPr>
            <w:tcW w:w="277" w:type="pct"/>
            <w:shd w:val="clear" w:color="auto" w:fill="auto"/>
            <w:noWrap/>
            <w:vAlign w:val="center"/>
          </w:tcPr>
          <w:p>
            <w:pPr>
              <w:widowControl/>
              <w:jc w:val="center"/>
              <w:rPr>
                <w:kern w:val="0"/>
                <w:sz w:val="18"/>
                <w:szCs w:val="18"/>
              </w:rPr>
            </w:pPr>
            <w:r>
              <w:rPr>
                <w:kern w:val="0"/>
                <w:sz w:val="18"/>
                <w:szCs w:val="18"/>
              </w:rPr>
              <w:t>1.56</w:t>
            </w:r>
          </w:p>
        </w:tc>
        <w:tc>
          <w:tcPr>
            <w:tcW w:w="277" w:type="pct"/>
            <w:shd w:val="clear" w:color="auto" w:fill="auto"/>
            <w:noWrap/>
            <w:vAlign w:val="center"/>
          </w:tcPr>
          <w:p>
            <w:pPr>
              <w:widowControl/>
              <w:jc w:val="center"/>
              <w:rPr>
                <w:kern w:val="0"/>
                <w:sz w:val="18"/>
                <w:szCs w:val="18"/>
              </w:rPr>
            </w:pPr>
            <w:r>
              <w:rPr>
                <w:kern w:val="0"/>
                <w:sz w:val="18"/>
                <w:szCs w:val="18"/>
              </w:rPr>
              <w:t>1.35</w:t>
            </w:r>
          </w:p>
        </w:tc>
        <w:tc>
          <w:tcPr>
            <w:tcW w:w="277" w:type="pct"/>
            <w:shd w:val="clear" w:color="auto" w:fill="auto"/>
            <w:noWrap/>
            <w:vAlign w:val="center"/>
          </w:tcPr>
          <w:p>
            <w:pPr>
              <w:widowControl/>
              <w:jc w:val="center"/>
              <w:rPr>
                <w:kern w:val="0"/>
                <w:sz w:val="18"/>
                <w:szCs w:val="18"/>
              </w:rPr>
            </w:pPr>
            <w:r>
              <w:rPr>
                <w:kern w:val="0"/>
                <w:sz w:val="18"/>
                <w:szCs w:val="18"/>
              </w:rPr>
              <w:t>1.45</w:t>
            </w:r>
          </w:p>
        </w:tc>
        <w:tc>
          <w:tcPr>
            <w:tcW w:w="277" w:type="pct"/>
            <w:shd w:val="clear" w:color="auto" w:fill="auto"/>
            <w:noWrap/>
            <w:vAlign w:val="center"/>
          </w:tcPr>
          <w:p>
            <w:pPr>
              <w:widowControl/>
              <w:jc w:val="center"/>
              <w:rPr>
                <w:kern w:val="0"/>
                <w:sz w:val="18"/>
                <w:szCs w:val="18"/>
              </w:rPr>
            </w:pPr>
            <w:r>
              <w:rPr>
                <w:kern w:val="0"/>
                <w:sz w:val="18"/>
                <w:szCs w:val="18"/>
              </w:rPr>
              <w:t>1.5</w:t>
            </w:r>
          </w:p>
        </w:tc>
        <w:tc>
          <w:tcPr>
            <w:tcW w:w="277" w:type="pct"/>
            <w:shd w:val="clear" w:color="auto" w:fill="auto"/>
            <w:noWrap/>
            <w:vAlign w:val="center"/>
          </w:tcPr>
          <w:p>
            <w:pPr>
              <w:widowControl/>
              <w:jc w:val="center"/>
              <w:rPr>
                <w:kern w:val="0"/>
                <w:sz w:val="18"/>
                <w:szCs w:val="18"/>
              </w:rPr>
            </w:pPr>
            <w:r>
              <w:rPr>
                <w:kern w:val="0"/>
                <w:sz w:val="18"/>
                <w:szCs w:val="18"/>
              </w:rPr>
              <w:t>1.58</w:t>
            </w:r>
          </w:p>
        </w:tc>
        <w:tc>
          <w:tcPr>
            <w:tcW w:w="277" w:type="pct"/>
            <w:shd w:val="clear" w:color="auto" w:fill="auto"/>
            <w:noWrap/>
            <w:vAlign w:val="center"/>
          </w:tcPr>
          <w:p>
            <w:pPr>
              <w:widowControl/>
              <w:jc w:val="center"/>
              <w:rPr>
                <w:kern w:val="0"/>
                <w:sz w:val="18"/>
                <w:szCs w:val="18"/>
              </w:rPr>
            </w:pPr>
            <w:r>
              <w:rPr>
                <w:kern w:val="0"/>
                <w:sz w:val="18"/>
                <w:szCs w:val="18"/>
              </w:rPr>
              <w:t>1.99</w:t>
            </w:r>
          </w:p>
        </w:tc>
        <w:tc>
          <w:tcPr>
            <w:tcW w:w="277" w:type="pct"/>
            <w:shd w:val="clear" w:color="auto" w:fill="auto"/>
            <w:noWrap/>
            <w:vAlign w:val="center"/>
          </w:tcPr>
          <w:p>
            <w:pPr>
              <w:widowControl/>
              <w:jc w:val="center"/>
              <w:rPr>
                <w:kern w:val="0"/>
                <w:sz w:val="18"/>
                <w:szCs w:val="18"/>
              </w:rPr>
            </w:pPr>
            <w:r>
              <w:rPr>
                <w:kern w:val="0"/>
                <w:sz w:val="18"/>
                <w:szCs w:val="18"/>
              </w:rPr>
              <w:t>2.2</w:t>
            </w:r>
          </w:p>
        </w:tc>
        <w:tc>
          <w:tcPr>
            <w:tcW w:w="277" w:type="pct"/>
            <w:shd w:val="clear" w:color="auto" w:fill="auto"/>
            <w:noWrap/>
            <w:vAlign w:val="center"/>
          </w:tcPr>
          <w:p>
            <w:pPr>
              <w:widowControl/>
              <w:jc w:val="center"/>
              <w:rPr>
                <w:kern w:val="0"/>
                <w:sz w:val="18"/>
                <w:szCs w:val="18"/>
              </w:rPr>
            </w:pPr>
            <w:r>
              <w:rPr>
                <w:kern w:val="0"/>
                <w:sz w:val="18"/>
                <w:szCs w:val="18"/>
              </w:rPr>
              <w:t>1.46</w:t>
            </w:r>
          </w:p>
        </w:tc>
        <w:tc>
          <w:tcPr>
            <w:tcW w:w="277" w:type="pct"/>
            <w:shd w:val="clear" w:color="auto" w:fill="auto"/>
            <w:noWrap/>
            <w:vAlign w:val="center"/>
          </w:tcPr>
          <w:p>
            <w:pPr>
              <w:widowControl/>
              <w:jc w:val="center"/>
              <w:rPr>
                <w:kern w:val="0"/>
                <w:sz w:val="18"/>
                <w:szCs w:val="18"/>
              </w:rPr>
            </w:pPr>
            <w:r>
              <w:rPr>
                <w:kern w:val="0"/>
                <w:sz w:val="18"/>
                <w:szCs w:val="18"/>
              </w:rPr>
              <w:t>1.36</w:t>
            </w:r>
          </w:p>
        </w:tc>
        <w:tc>
          <w:tcPr>
            <w:tcW w:w="277" w:type="pct"/>
            <w:shd w:val="clear" w:color="auto" w:fill="auto"/>
            <w:noWrap/>
            <w:vAlign w:val="center"/>
          </w:tcPr>
          <w:p>
            <w:pPr>
              <w:widowControl/>
              <w:jc w:val="center"/>
              <w:rPr>
                <w:kern w:val="0"/>
                <w:sz w:val="18"/>
                <w:szCs w:val="18"/>
              </w:rPr>
            </w:pPr>
            <w:r>
              <w:rPr>
                <w:kern w:val="0"/>
                <w:sz w:val="18"/>
                <w:szCs w:val="18"/>
              </w:rPr>
              <w:t>1.42</w:t>
            </w:r>
          </w:p>
        </w:tc>
        <w:tc>
          <w:tcPr>
            <w:tcW w:w="277" w:type="pct"/>
            <w:shd w:val="clear" w:color="auto" w:fill="auto"/>
            <w:noWrap/>
            <w:vAlign w:val="center"/>
          </w:tcPr>
          <w:p>
            <w:pPr>
              <w:widowControl/>
              <w:jc w:val="center"/>
              <w:rPr>
                <w:kern w:val="0"/>
                <w:sz w:val="18"/>
                <w:szCs w:val="18"/>
              </w:rPr>
            </w:pPr>
            <w:r>
              <w:rPr>
                <w:kern w:val="0"/>
                <w:sz w:val="18"/>
                <w:szCs w:val="18"/>
              </w:rPr>
              <w:t>1.44</w:t>
            </w:r>
          </w:p>
        </w:tc>
        <w:tc>
          <w:tcPr>
            <w:tcW w:w="277" w:type="pct"/>
            <w:shd w:val="clear" w:color="auto" w:fill="auto"/>
            <w:noWrap/>
            <w:vAlign w:val="center"/>
          </w:tcPr>
          <w:p>
            <w:pPr>
              <w:widowControl/>
              <w:jc w:val="center"/>
              <w:rPr>
                <w:kern w:val="0"/>
                <w:sz w:val="18"/>
                <w:szCs w:val="18"/>
              </w:rPr>
            </w:pPr>
            <w:r>
              <w:rPr>
                <w:kern w:val="0"/>
                <w:sz w:val="18"/>
                <w:szCs w:val="18"/>
              </w:rPr>
              <w:t>0.95</w:t>
            </w:r>
          </w:p>
        </w:tc>
        <w:tc>
          <w:tcPr>
            <w:tcW w:w="277" w:type="pct"/>
            <w:shd w:val="clear" w:color="auto" w:fill="auto"/>
            <w:noWrap/>
            <w:vAlign w:val="center"/>
          </w:tcPr>
          <w:p>
            <w:pPr>
              <w:widowControl/>
              <w:jc w:val="center"/>
              <w:rPr>
                <w:kern w:val="0"/>
                <w:sz w:val="18"/>
                <w:szCs w:val="18"/>
              </w:rPr>
            </w:pPr>
            <w:r>
              <w:rPr>
                <w:kern w:val="0"/>
                <w:sz w:val="18"/>
                <w:szCs w:val="18"/>
              </w:rPr>
              <w:t>1.67</w:t>
            </w:r>
          </w:p>
        </w:tc>
        <w:tc>
          <w:tcPr>
            <w:tcW w:w="270" w:type="pct"/>
            <w:shd w:val="clear" w:color="auto" w:fill="auto"/>
            <w:noWrap/>
            <w:vAlign w:val="center"/>
          </w:tcPr>
          <w:p>
            <w:pPr>
              <w:widowControl/>
              <w:jc w:val="center"/>
              <w:rPr>
                <w:kern w:val="0"/>
                <w:sz w:val="18"/>
                <w:szCs w:val="18"/>
              </w:rPr>
            </w:pPr>
            <w:r>
              <w:rPr>
                <w:kern w:val="0"/>
                <w:sz w:val="18"/>
                <w:szCs w:val="18"/>
              </w:rPr>
              <w:t>1.89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9月</w:t>
            </w:r>
          </w:p>
        </w:tc>
        <w:tc>
          <w:tcPr>
            <w:tcW w:w="277" w:type="pct"/>
            <w:shd w:val="clear" w:color="auto" w:fill="auto"/>
            <w:noWrap/>
            <w:vAlign w:val="center"/>
          </w:tcPr>
          <w:p>
            <w:pPr>
              <w:widowControl/>
              <w:jc w:val="center"/>
              <w:rPr>
                <w:kern w:val="0"/>
                <w:sz w:val="18"/>
                <w:szCs w:val="18"/>
              </w:rPr>
            </w:pPr>
            <w:r>
              <w:rPr>
                <w:kern w:val="0"/>
                <w:sz w:val="18"/>
                <w:szCs w:val="18"/>
              </w:rPr>
              <w:t>2.1</w:t>
            </w:r>
          </w:p>
        </w:tc>
        <w:tc>
          <w:tcPr>
            <w:tcW w:w="277" w:type="pct"/>
            <w:shd w:val="clear" w:color="auto" w:fill="auto"/>
            <w:noWrap/>
            <w:vAlign w:val="center"/>
          </w:tcPr>
          <w:p>
            <w:pPr>
              <w:widowControl/>
              <w:jc w:val="center"/>
              <w:rPr>
                <w:kern w:val="0"/>
                <w:sz w:val="18"/>
                <w:szCs w:val="18"/>
              </w:rPr>
            </w:pPr>
            <w:r>
              <w:rPr>
                <w:kern w:val="0"/>
                <w:sz w:val="18"/>
                <w:szCs w:val="18"/>
              </w:rPr>
              <w:t>1.74</w:t>
            </w:r>
          </w:p>
        </w:tc>
        <w:tc>
          <w:tcPr>
            <w:tcW w:w="277" w:type="pct"/>
            <w:shd w:val="clear" w:color="auto" w:fill="auto"/>
            <w:noWrap/>
            <w:vAlign w:val="center"/>
          </w:tcPr>
          <w:p>
            <w:pPr>
              <w:widowControl/>
              <w:jc w:val="center"/>
              <w:rPr>
                <w:kern w:val="0"/>
                <w:sz w:val="18"/>
                <w:szCs w:val="18"/>
              </w:rPr>
            </w:pPr>
            <w:r>
              <w:rPr>
                <w:kern w:val="0"/>
                <w:sz w:val="18"/>
                <w:szCs w:val="18"/>
              </w:rPr>
              <w:t>1.67</w:t>
            </w:r>
          </w:p>
        </w:tc>
        <w:tc>
          <w:tcPr>
            <w:tcW w:w="277" w:type="pct"/>
            <w:shd w:val="clear" w:color="auto" w:fill="auto"/>
            <w:noWrap/>
            <w:vAlign w:val="center"/>
          </w:tcPr>
          <w:p>
            <w:pPr>
              <w:widowControl/>
              <w:jc w:val="center"/>
              <w:rPr>
                <w:kern w:val="0"/>
                <w:sz w:val="18"/>
                <w:szCs w:val="18"/>
              </w:rPr>
            </w:pPr>
            <w:r>
              <w:rPr>
                <w:kern w:val="0"/>
                <w:sz w:val="18"/>
                <w:szCs w:val="18"/>
              </w:rPr>
              <w:t>1.19</w:t>
            </w:r>
          </w:p>
        </w:tc>
        <w:tc>
          <w:tcPr>
            <w:tcW w:w="277" w:type="pct"/>
            <w:shd w:val="clear" w:color="auto" w:fill="auto"/>
            <w:noWrap/>
            <w:vAlign w:val="center"/>
          </w:tcPr>
          <w:p>
            <w:pPr>
              <w:widowControl/>
              <w:jc w:val="center"/>
              <w:rPr>
                <w:kern w:val="0"/>
                <w:sz w:val="18"/>
                <w:szCs w:val="18"/>
              </w:rPr>
            </w:pPr>
            <w:r>
              <w:rPr>
                <w:kern w:val="0"/>
                <w:sz w:val="18"/>
                <w:szCs w:val="18"/>
              </w:rPr>
              <w:t>1.01</w:t>
            </w:r>
          </w:p>
        </w:tc>
        <w:tc>
          <w:tcPr>
            <w:tcW w:w="277" w:type="pct"/>
            <w:shd w:val="clear" w:color="auto" w:fill="auto"/>
            <w:noWrap/>
            <w:vAlign w:val="center"/>
          </w:tcPr>
          <w:p>
            <w:pPr>
              <w:widowControl/>
              <w:jc w:val="center"/>
              <w:rPr>
                <w:kern w:val="0"/>
                <w:sz w:val="18"/>
                <w:szCs w:val="18"/>
              </w:rPr>
            </w:pPr>
            <w:r>
              <w:rPr>
                <w:kern w:val="0"/>
                <w:sz w:val="18"/>
                <w:szCs w:val="18"/>
              </w:rPr>
              <w:t>1.21</w:t>
            </w:r>
          </w:p>
        </w:tc>
        <w:tc>
          <w:tcPr>
            <w:tcW w:w="277" w:type="pct"/>
            <w:shd w:val="clear" w:color="auto" w:fill="auto"/>
            <w:noWrap/>
            <w:vAlign w:val="center"/>
          </w:tcPr>
          <w:p>
            <w:pPr>
              <w:widowControl/>
              <w:jc w:val="center"/>
              <w:rPr>
                <w:kern w:val="0"/>
                <w:sz w:val="18"/>
                <w:szCs w:val="18"/>
              </w:rPr>
            </w:pPr>
            <w:r>
              <w:rPr>
                <w:kern w:val="0"/>
                <w:sz w:val="18"/>
                <w:szCs w:val="18"/>
              </w:rPr>
              <w:t>1.28</w:t>
            </w:r>
          </w:p>
        </w:tc>
        <w:tc>
          <w:tcPr>
            <w:tcW w:w="277" w:type="pct"/>
            <w:shd w:val="clear" w:color="auto" w:fill="auto"/>
            <w:noWrap/>
            <w:vAlign w:val="center"/>
          </w:tcPr>
          <w:p>
            <w:pPr>
              <w:widowControl/>
              <w:jc w:val="center"/>
              <w:rPr>
                <w:kern w:val="0"/>
                <w:sz w:val="18"/>
                <w:szCs w:val="18"/>
              </w:rPr>
            </w:pPr>
            <w:r>
              <w:rPr>
                <w:kern w:val="0"/>
                <w:sz w:val="18"/>
                <w:szCs w:val="18"/>
              </w:rPr>
              <w:t>1.45</w:t>
            </w:r>
          </w:p>
        </w:tc>
        <w:tc>
          <w:tcPr>
            <w:tcW w:w="277" w:type="pct"/>
            <w:shd w:val="clear" w:color="auto" w:fill="auto"/>
            <w:noWrap/>
            <w:vAlign w:val="center"/>
          </w:tcPr>
          <w:p>
            <w:pPr>
              <w:widowControl/>
              <w:jc w:val="center"/>
              <w:rPr>
                <w:kern w:val="0"/>
                <w:sz w:val="18"/>
                <w:szCs w:val="18"/>
              </w:rPr>
            </w:pPr>
            <w:r>
              <w:rPr>
                <w:kern w:val="0"/>
                <w:sz w:val="18"/>
                <w:szCs w:val="18"/>
              </w:rPr>
              <w:t>2.19</w:t>
            </w:r>
          </w:p>
        </w:tc>
        <w:tc>
          <w:tcPr>
            <w:tcW w:w="277" w:type="pct"/>
            <w:shd w:val="clear" w:color="auto" w:fill="auto"/>
            <w:noWrap/>
            <w:vAlign w:val="center"/>
          </w:tcPr>
          <w:p>
            <w:pPr>
              <w:widowControl/>
              <w:jc w:val="center"/>
              <w:rPr>
                <w:kern w:val="0"/>
                <w:sz w:val="18"/>
                <w:szCs w:val="18"/>
              </w:rPr>
            </w:pPr>
            <w:r>
              <w:rPr>
                <w:kern w:val="0"/>
                <w:sz w:val="18"/>
                <w:szCs w:val="18"/>
              </w:rPr>
              <w:t>2.39</w:t>
            </w:r>
          </w:p>
        </w:tc>
        <w:tc>
          <w:tcPr>
            <w:tcW w:w="277" w:type="pct"/>
            <w:shd w:val="clear" w:color="auto" w:fill="auto"/>
            <w:noWrap/>
            <w:vAlign w:val="center"/>
          </w:tcPr>
          <w:p>
            <w:pPr>
              <w:widowControl/>
              <w:jc w:val="center"/>
              <w:rPr>
                <w:kern w:val="0"/>
                <w:sz w:val="18"/>
                <w:szCs w:val="18"/>
              </w:rPr>
            </w:pPr>
            <w:r>
              <w:rPr>
                <w:kern w:val="0"/>
                <w:sz w:val="18"/>
                <w:szCs w:val="18"/>
              </w:rPr>
              <w:t>1.83</w:t>
            </w:r>
          </w:p>
        </w:tc>
        <w:tc>
          <w:tcPr>
            <w:tcW w:w="277" w:type="pct"/>
            <w:shd w:val="clear" w:color="auto" w:fill="auto"/>
            <w:noWrap/>
            <w:vAlign w:val="center"/>
          </w:tcPr>
          <w:p>
            <w:pPr>
              <w:widowControl/>
              <w:jc w:val="center"/>
              <w:rPr>
                <w:kern w:val="0"/>
                <w:sz w:val="18"/>
                <w:szCs w:val="18"/>
              </w:rPr>
            </w:pPr>
            <w:r>
              <w:rPr>
                <w:kern w:val="0"/>
                <w:sz w:val="18"/>
                <w:szCs w:val="18"/>
              </w:rPr>
              <w:t>1.67</w:t>
            </w:r>
          </w:p>
        </w:tc>
        <w:tc>
          <w:tcPr>
            <w:tcW w:w="277" w:type="pct"/>
            <w:shd w:val="clear" w:color="auto" w:fill="auto"/>
            <w:noWrap/>
            <w:vAlign w:val="center"/>
          </w:tcPr>
          <w:p>
            <w:pPr>
              <w:widowControl/>
              <w:jc w:val="center"/>
              <w:rPr>
                <w:kern w:val="0"/>
                <w:sz w:val="18"/>
                <w:szCs w:val="18"/>
              </w:rPr>
            </w:pPr>
            <w:r>
              <w:rPr>
                <w:kern w:val="0"/>
                <w:sz w:val="18"/>
                <w:szCs w:val="18"/>
              </w:rPr>
              <w:t>1.58</w:t>
            </w:r>
          </w:p>
        </w:tc>
        <w:tc>
          <w:tcPr>
            <w:tcW w:w="277" w:type="pct"/>
            <w:shd w:val="clear" w:color="auto" w:fill="auto"/>
            <w:noWrap/>
            <w:vAlign w:val="center"/>
          </w:tcPr>
          <w:p>
            <w:pPr>
              <w:widowControl/>
              <w:jc w:val="center"/>
              <w:rPr>
                <w:kern w:val="0"/>
                <w:sz w:val="18"/>
                <w:szCs w:val="18"/>
              </w:rPr>
            </w:pPr>
            <w:r>
              <w:rPr>
                <w:kern w:val="0"/>
                <w:sz w:val="18"/>
                <w:szCs w:val="18"/>
              </w:rPr>
              <w:t>1.65</w:t>
            </w:r>
          </w:p>
        </w:tc>
        <w:tc>
          <w:tcPr>
            <w:tcW w:w="277" w:type="pct"/>
            <w:shd w:val="clear" w:color="auto" w:fill="auto"/>
            <w:noWrap/>
            <w:vAlign w:val="center"/>
          </w:tcPr>
          <w:p>
            <w:pPr>
              <w:widowControl/>
              <w:jc w:val="center"/>
              <w:rPr>
                <w:kern w:val="0"/>
                <w:sz w:val="18"/>
                <w:szCs w:val="18"/>
              </w:rPr>
            </w:pPr>
            <w:r>
              <w:rPr>
                <w:kern w:val="0"/>
                <w:sz w:val="18"/>
                <w:szCs w:val="18"/>
              </w:rPr>
              <w:t>2.13</w:t>
            </w:r>
          </w:p>
        </w:tc>
        <w:tc>
          <w:tcPr>
            <w:tcW w:w="277" w:type="pct"/>
            <w:shd w:val="clear" w:color="auto" w:fill="auto"/>
            <w:noWrap/>
            <w:vAlign w:val="center"/>
          </w:tcPr>
          <w:p>
            <w:pPr>
              <w:widowControl/>
              <w:jc w:val="center"/>
              <w:rPr>
                <w:kern w:val="0"/>
                <w:sz w:val="18"/>
                <w:szCs w:val="18"/>
              </w:rPr>
            </w:pPr>
            <w:r>
              <w:rPr>
                <w:kern w:val="0"/>
                <w:sz w:val="18"/>
                <w:szCs w:val="18"/>
              </w:rPr>
              <w:t>2.4</w:t>
            </w:r>
          </w:p>
        </w:tc>
        <w:tc>
          <w:tcPr>
            <w:tcW w:w="270" w:type="pct"/>
            <w:shd w:val="clear" w:color="auto" w:fill="auto"/>
            <w:noWrap/>
            <w:vAlign w:val="center"/>
          </w:tcPr>
          <w:p>
            <w:pPr>
              <w:widowControl/>
              <w:jc w:val="center"/>
              <w:rPr>
                <w:kern w:val="0"/>
                <w:sz w:val="18"/>
                <w:szCs w:val="18"/>
              </w:rPr>
            </w:pPr>
            <w:r>
              <w:rPr>
                <w:kern w:val="0"/>
                <w:sz w:val="18"/>
                <w:szCs w:val="18"/>
              </w:rPr>
              <w:t>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10月</w:t>
            </w:r>
          </w:p>
        </w:tc>
        <w:tc>
          <w:tcPr>
            <w:tcW w:w="277" w:type="pct"/>
            <w:shd w:val="clear" w:color="auto" w:fill="auto"/>
            <w:noWrap/>
            <w:vAlign w:val="center"/>
          </w:tcPr>
          <w:p>
            <w:pPr>
              <w:widowControl/>
              <w:jc w:val="center"/>
              <w:rPr>
                <w:kern w:val="0"/>
                <w:sz w:val="18"/>
                <w:szCs w:val="18"/>
              </w:rPr>
            </w:pPr>
            <w:r>
              <w:rPr>
                <w:kern w:val="0"/>
                <w:sz w:val="18"/>
                <w:szCs w:val="18"/>
              </w:rPr>
              <w:t>1.66</w:t>
            </w:r>
          </w:p>
        </w:tc>
        <w:tc>
          <w:tcPr>
            <w:tcW w:w="277" w:type="pct"/>
            <w:shd w:val="clear" w:color="auto" w:fill="auto"/>
            <w:noWrap/>
            <w:vAlign w:val="center"/>
          </w:tcPr>
          <w:p>
            <w:pPr>
              <w:widowControl/>
              <w:jc w:val="center"/>
              <w:rPr>
                <w:kern w:val="0"/>
                <w:sz w:val="18"/>
                <w:szCs w:val="18"/>
              </w:rPr>
            </w:pPr>
            <w:r>
              <w:rPr>
                <w:kern w:val="0"/>
                <w:sz w:val="18"/>
                <w:szCs w:val="18"/>
              </w:rPr>
              <w:t>2.27</w:t>
            </w:r>
          </w:p>
        </w:tc>
        <w:tc>
          <w:tcPr>
            <w:tcW w:w="277" w:type="pct"/>
            <w:shd w:val="clear" w:color="auto" w:fill="auto"/>
            <w:noWrap/>
            <w:vAlign w:val="center"/>
          </w:tcPr>
          <w:p>
            <w:pPr>
              <w:widowControl/>
              <w:jc w:val="center"/>
              <w:rPr>
                <w:kern w:val="0"/>
                <w:sz w:val="18"/>
                <w:szCs w:val="18"/>
              </w:rPr>
            </w:pPr>
            <w:r>
              <w:rPr>
                <w:kern w:val="0"/>
                <w:sz w:val="18"/>
                <w:szCs w:val="18"/>
              </w:rPr>
              <w:t>1.71</w:t>
            </w:r>
          </w:p>
        </w:tc>
        <w:tc>
          <w:tcPr>
            <w:tcW w:w="277" w:type="pct"/>
            <w:shd w:val="clear" w:color="auto" w:fill="auto"/>
            <w:noWrap/>
            <w:vAlign w:val="center"/>
          </w:tcPr>
          <w:p>
            <w:pPr>
              <w:widowControl/>
              <w:jc w:val="center"/>
              <w:rPr>
                <w:kern w:val="0"/>
                <w:sz w:val="18"/>
                <w:szCs w:val="18"/>
              </w:rPr>
            </w:pPr>
            <w:r>
              <w:rPr>
                <w:kern w:val="0"/>
                <w:sz w:val="18"/>
                <w:szCs w:val="18"/>
              </w:rPr>
              <w:t>1.18</w:t>
            </w:r>
          </w:p>
        </w:tc>
        <w:tc>
          <w:tcPr>
            <w:tcW w:w="277" w:type="pct"/>
            <w:shd w:val="clear" w:color="auto" w:fill="auto"/>
            <w:noWrap/>
            <w:vAlign w:val="center"/>
          </w:tcPr>
          <w:p>
            <w:pPr>
              <w:widowControl/>
              <w:jc w:val="center"/>
              <w:rPr>
                <w:kern w:val="0"/>
                <w:sz w:val="18"/>
                <w:szCs w:val="18"/>
              </w:rPr>
            </w:pPr>
            <w:r>
              <w:rPr>
                <w:kern w:val="0"/>
                <w:sz w:val="18"/>
                <w:szCs w:val="18"/>
              </w:rPr>
              <w:t>1.42</w:t>
            </w:r>
          </w:p>
        </w:tc>
        <w:tc>
          <w:tcPr>
            <w:tcW w:w="277" w:type="pct"/>
            <w:shd w:val="clear" w:color="auto" w:fill="auto"/>
            <w:noWrap/>
            <w:vAlign w:val="center"/>
          </w:tcPr>
          <w:p>
            <w:pPr>
              <w:widowControl/>
              <w:jc w:val="center"/>
              <w:rPr>
                <w:kern w:val="0"/>
                <w:sz w:val="18"/>
                <w:szCs w:val="18"/>
              </w:rPr>
            </w:pPr>
            <w:r>
              <w:rPr>
                <w:kern w:val="0"/>
                <w:sz w:val="18"/>
                <w:szCs w:val="18"/>
              </w:rPr>
              <w:t>1.27</w:t>
            </w:r>
          </w:p>
        </w:tc>
        <w:tc>
          <w:tcPr>
            <w:tcW w:w="277" w:type="pct"/>
            <w:shd w:val="clear" w:color="auto" w:fill="auto"/>
            <w:noWrap/>
            <w:vAlign w:val="center"/>
          </w:tcPr>
          <w:p>
            <w:pPr>
              <w:widowControl/>
              <w:jc w:val="center"/>
              <w:rPr>
                <w:kern w:val="0"/>
                <w:sz w:val="18"/>
                <w:szCs w:val="18"/>
              </w:rPr>
            </w:pPr>
            <w:r>
              <w:rPr>
                <w:kern w:val="0"/>
                <w:sz w:val="18"/>
                <w:szCs w:val="18"/>
              </w:rPr>
              <w:t>1.17</w:t>
            </w:r>
          </w:p>
        </w:tc>
        <w:tc>
          <w:tcPr>
            <w:tcW w:w="277" w:type="pct"/>
            <w:shd w:val="clear" w:color="auto" w:fill="auto"/>
            <w:noWrap/>
            <w:vAlign w:val="center"/>
          </w:tcPr>
          <w:p>
            <w:pPr>
              <w:widowControl/>
              <w:jc w:val="center"/>
              <w:rPr>
                <w:kern w:val="0"/>
                <w:sz w:val="18"/>
                <w:szCs w:val="18"/>
              </w:rPr>
            </w:pPr>
            <w:r>
              <w:rPr>
                <w:kern w:val="0"/>
                <w:sz w:val="18"/>
                <w:szCs w:val="18"/>
              </w:rPr>
              <w:t>1.64</w:t>
            </w:r>
          </w:p>
        </w:tc>
        <w:tc>
          <w:tcPr>
            <w:tcW w:w="277" w:type="pct"/>
            <w:shd w:val="clear" w:color="auto" w:fill="auto"/>
            <w:noWrap/>
            <w:vAlign w:val="center"/>
          </w:tcPr>
          <w:p>
            <w:pPr>
              <w:widowControl/>
              <w:jc w:val="center"/>
              <w:rPr>
                <w:kern w:val="0"/>
                <w:sz w:val="18"/>
                <w:szCs w:val="18"/>
              </w:rPr>
            </w:pPr>
            <w:r>
              <w:rPr>
                <w:kern w:val="0"/>
                <w:sz w:val="18"/>
                <w:szCs w:val="18"/>
              </w:rPr>
              <w:t>2.04</w:t>
            </w:r>
          </w:p>
        </w:tc>
        <w:tc>
          <w:tcPr>
            <w:tcW w:w="277" w:type="pct"/>
            <w:shd w:val="clear" w:color="auto" w:fill="auto"/>
            <w:noWrap/>
            <w:vAlign w:val="center"/>
          </w:tcPr>
          <w:p>
            <w:pPr>
              <w:widowControl/>
              <w:jc w:val="center"/>
              <w:rPr>
                <w:kern w:val="0"/>
                <w:sz w:val="18"/>
                <w:szCs w:val="18"/>
              </w:rPr>
            </w:pPr>
            <w:r>
              <w:rPr>
                <w:kern w:val="0"/>
                <w:sz w:val="18"/>
                <w:szCs w:val="18"/>
              </w:rPr>
              <w:t>2.19</w:t>
            </w:r>
          </w:p>
        </w:tc>
        <w:tc>
          <w:tcPr>
            <w:tcW w:w="277" w:type="pct"/>
            <w:shd w:val="clear" w:color="auto" w:fill="auto"/>
            <w:noWrap/>
            <w:vAlign w:val="center"/>
          </w:tcPr>
          <w:p>
            <w:pPr>
              <w:widowControl/>
              <w:jc w:val="center"/>
              <w:rPr>
                <w:kern w:val="0"/>
                <w:sz w:val="18"/>
                <w:szCs w:val="18"/>
              </w:rPr>
            </w:pPr>
            <w:r>
              <w:rPr>
                <w:kern w:val="0"/>
                <w:sz w:val="18"/>
                <w:szCs w:val="18"/>
              </w:rPr>
              <w:t>1.83</w:t>
            </w:r>
          </w:p>
        </w:tc>
        <w:tc>
          <w:tcPr>
            <w:tcW w:w="277" w:type="pct"/>
            <w:shd w:val="clear" w:color="auto" w:fill="auto"/>
            <w:noWrap/>
            <w:vAlign w:val="center"/>
          </w:tcPr>
          <w:p>
            <w:pPr>
              <w:widowControl/>
              <w:jc w:val="center"/>
              <w:rPr>
                <w:kern w:val="0"/>
                <w:sz w:val="18"/>
                <w:szCs w:val="18"/>
              </w:rPr>
            </w:pPr>
            <w:r>
              <w:rPr>
                <w:kern w:val="0"/>
                <w:sz w:val="18"/>
                <w:szCs w:val="18"/>
              </w:rPr>
              <w:t>1.66</w:t>
            </w:r>
          </w:p>
        </w:tc>
        <w:tc>
          <w:tcPr>
            <w:tcW w:w="277" w:type="pct"/>
            <w:shd w:val="clear" w:color="auto" w:fill="auto"/>
            <w:noWrap/>
            <w:vAlign w:val="center"/>
          </w:tcPr>
          <w:p>
            <w:pPr>
              <w:widowControl/>
              <w:jc w:val="center"/>
              <w:rPr>
                <w:kern w:val="0"/>
                <w:sz w:val="18"/>
                <w:szCs w:val="18"/>
              </w:rPr>
            </w:pPr>
            <w:r>
              <w:rPr>
                <w:kern w:val="0"/>
                <w:sz w:val="18"/>
                <w:szCs w:val="18"/>
              </w:rPr>
              <w:t>1.42</w:t>
            </w:r>
          </w:p>
        </w:tc>
        <w:tc>
          <w:tcPr>
            <w:tcW w:w="277" w:type="pct"/>
            <w:shd w:val="clear" w:color="auto" w:fill="auto"/>
            <w:noWrap/>
            <w:vAlign w:val="center"/>
          </w:tcPr>
          <w:p>
            <w:pPr>
              <w:widowControl/>
              <w:jc w:val="center"/>
              <w:rPr>
                <w:kern w:val="0"/>
                <w:sz w:val="18"/>
                <w:szCs w:val="18"/>
              </w:rPr>
            </w:pPr>
            <w:r>
              <w:rPr>
                <w:kern w:val="0"/>
                <w:sz w:val="18"/>
                <w:szCs w:val="18"/>
              </w:rPr>
              <w:t>1.6</w:t>
            </w:r>
          </w:p>
        </w:tc>
        <w:tc>
          <w:tcPr>
            <w:tcW w:w="277" w:type="pct"/>
            <w:shd w:val="clear" w:color="auto" w:fill="auto"/>
            <w:noWrap/>
            <w:vAlign w:val="center"/>
          </w:tcPr>
          <w:p>
            <w:pPr>
              <w:widowControl/>
              <w:jc w:val="center"/>
              <w:rPr>
                <w:kern w:val="0"/>
                <w:sz w:val="18"/>
                <w:szCs w:val="18"/>
              </w:rPr>
            </w:pPr>
            <w:r>
              <w:rPr>
                <w:kern w:val="0"/>
                <w:sz w:val="18"/>
                <w:szCs w:val="18"/>
              </w:rPr>
              <w:t>2.58</w:t>
            </w:r>
          </w:p>
        </w:tc>
        <w:tc>
          <w:tcPr>
            <w:tcW w:w="277" w:type="pct"/>
            <w:shd w:val="clear" w:color="auto" w:fill="auto"/>
            <w:noWrap/>
            <w:vAlign w:val="center"/>
          </w:tcPr>
          <w:p>
            <w:pPr>
              <w:widowControl/>
              <w:jc w:val="center"/>
              <w:rPr>
                <w:kern w:val="0"/>
                <w:sz w:val="18"/>
                <w:szCs w:val="18"/>
              </w:rPr>
            </w:pPr>
            <w:r>
              <w:rPr>
                <w:kern w:val="0"/>
                <w:sz w:val="18"/>
                <w:szCs w:val="18"/>
              </w:rPr>
              <w:t>2.5</w:t>
            </w:r>
          </w:p>
        </w:tc>
        <w:tc>
          <w:tcPr>
            <w:tcW w:w="270" w:type="pct"/>
            <w:shd w:val="clear" w:color="auto" w:fill="auto"/>
            <w:noWrap/>
            <w:vAlign w:val="center"/>
          </w:tcPr>
          <w:p>
            <w:pPr>
              <w:widowControl/>
              <w:jc w:val="center"/>
              <w:rPr>
                <w:kern w:val="0"/>
                <w:sz w:val="18"/>
                <w:szCs w:val="18"/>
              </w:rPr>
            </w:pPr>
            <w:r>
              <w:rPr>
                <w:kern w:val="0"/>
                <w:sz w:val="18"/>
                <w:szCs w:val="18"/>
              </w:rPr>
              <w:t>1.72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11月</w:t>
            </w:r>
          </w:p>
        </w:tc>
        <w:tc>
          <w:tcPr>
            <w:tcW w:w="277" w:type="pct"/>
            <w:shd w:val="clear" w:color="auto" w:fill="auto"/>
            <w:noWrap/>
            <w:vAlign w:val="center"/>
          </w:tcPr>
          <w:p>
            <w:pPr>
              <w:widowControl/>
              <w:jc w:val="center"/>
              <w:rPr>
                <w:kern w:val="0"/>
                <w:sz w:val="18"/>
                <w:szCs w:val="18"/>
              </w:rPr>
            </w:pPr>
            <w:r>
              <w:rPr>
                <w:kern w:val="0"/>
                <w:sz w:val="18"/>
                <w:szCs w:val="18"/>
              </w:rPr>
              <w:t>1.95</w:t>
            </w:r>
          </w:p>
        </w:tc>
        <w:tc>
          <w:tcPr>
            <w:tcW w:w="277" w:type="pct"/>
            <w:shd w:val="clear" w:color="auto" w:fill="auto"/>
            <w:noWrap/>
            <w:vAlign w:val="center"/>
          </w:tcPr>
          <w:p>
            <w:pPr>
              <w:widowControl/>
              <w:jc w:val="center"/>
              <w:rPr>
                <w:kern w:val="0"/>
                <w:sz w:val="18"/>
                <w:szCs w:val="18"/>
              </w:rPr>
            </w:pPr>
            <w:r>
              <w:rPr>
                <w:kern w:val="0"/>
                <w:sz w:val="18"/>
                <w:szCs w:val="18"/>
              </w:rPr>
              <w:t>2.32</w:t>
            </w:r>
          </w:p>
        </w:tc>
        <w:tc>
          <w:tcPr>
            <w:tcW w:w="277" w:type="pct"/>
            <w:shd w:val="clear" w:color="auto" w:fill="auto"/>
            <w:noWrap/>
            <w:vAlign w:val="center"/>
          </w:tcPr>
          <w:p>
            <w:pPr>
              <w:widowControl/>
              <w:jc w:val="center"/>
              <w:rPr>
                <w:kern w:val="0"/>
                <w:sz w:val="18"/>
                <w:szCs w:val="18"/>
              </w:rPr>
            </w:pPr>
            <w:r>
              <w:rPr>
                <w:kern w:val="0"/>
                <w:sz w:val="18"/>
                <w:szCs w:val="18"/>
              </w:rPr>
              <w:t>2.11</w:t>
            </w:r>
          </w:p>
        </w:tc>
        <w:tc>
          <w:tcPr>
            <w:tcW w:w="277" w:type="pct"/>
            <w:shd w:val="clear" w:color="auto" w:fill="auto"/>
            <w:noWrap/>
            <w:vAlign w:val="center"/>
          </w:tcPr>
          <w:p>
            <w:pPr>
              <w:widowControl/>
              <w:jc w:val="center"/>
              <w:rPr>
                <w:kern w:val="0"/>
                <w:sz w:val="18"/>
                <w:szCs w:val="18"/>
              </w:rPr>
            </w:pPr>
            <w:r>
              <w:rPr>
                <w:kern w:val="0"/>
                <w:sz w:val="18"/>
                <w:szCs w:val="18"/>
              </w:rPr>
              <w:t>1.61</w:t>
            </w:r>
          </w:p>
        </w:tc>
        <w:tc>
          <w:tcPr>
            <w:tcW w:w="277" w:type="pct"/>
            <w:shd w:val="clear" w:color="auto" w:fill="auto"/>
            <w:noWrap/>
            <w:vAlign w:val="center"/>
          </w:tcPr>
          <w:p>
            <w:pPr>
              <w:widowControl/>
              <w:jc w:val="center"/>
              <w:rPr>
                <w:kern w:val="0"/>
                <w:sz w:val="18"/>
                <w:szCs w:val="18"/>
              </w:rPr>
            </w:pPr>
            <w:r>
              <w:rPr>
                <w:kern w:val="0"/>
                <w:sz w:val="18"/>
                <w:szCs w:val="18"/>
              </w:rPr>
              <w:t>2.07</w:t>
            </w:r>
          </w:p>
        </w:tc>
        <w:tc>
          <w:tcPr>
            <w:tcW w:w="277" w:type="pct"/>
            <w:shd w:val="clear" w:color="auto" w:fill="auto"/>
            <w:noWrap/>
            <w:vAlign w:val="center"/>
          </w:tcPr>
          <w:p>
            <w:pPr>
              <w:widowControl/>
              <w:jc w:val="center"/>
              <w:rPr>
                <w:kern w:val="0"/>
                <w:sz w:val="18"/>
                <w:szCs w:val="18"/>
              </w:rPr>
            </w:pPr>
            <w:r>
              <w:rPr>
                <w:kern w:val="0"/>
                <w:sz w:val="18"/>
                <w:szCs w:val="18"/>
              </w:rPr>
              <w:t>1.56</w:t>
            </w:r>
          </w:p>
        </w:tc>
        <w:tc>
          <w:tcPr>
            <w:tcW w:w="277" w:type="pct"/>
            <w:shd w:val="clear" w:color="auto" w:fill="auto"/>
            <w:noWrap/>
            <w:vAlign w:val="center"/>
          </w:tcPr>
          <w:p>
            <w:pPr>
              <w:widowControl/>
              <w:jc w:val="center"/>
              <w:rPr>
                <w:kern w:val="0"/>
                <w:sz w:val="18"/>
                <w:szCs w:val="18"/>
              </w:rPr>
            </w:pPr>
            <w:r>
              <w:rPr>
                <w:kern w:val="0"/>
                <w:sz w:val="18"/>
                <w:szCs w:val="18"/>
              </w:rPr>
              <w:t>1.69</w:t>
            </w:r>
          </w:p>
        </w:tc>
        <w:tc>
          <w:tcPr>
            <w:tcW w:w="277" w:type="pct"/>
            <w:shd w:val="clear" w:color="auto" w:fill="auto"/>
            <w:noWrap/>
            <w:vAlign w:val="center"/>
          </w:tcPr>
          <w:p>
            <w:pPr>
              <w:widowControl/>
              <w:jc w:val="center"/>
              <w:rPr>
                <w:kern w:val="0"/>
                <w:sz w:val="18"/>
                <w:szCs w:val="18"/>
              </w:rPr>
            </w:pPr>
            <w:r>
              <w:rPr>
                <w:kern w:val="0"/>
                <w:sz w:val="18"/>
                <w:szCs w:val="18"/>
              </w:rPr>
              <w:t>1.52</w:t>
            </w:r>
          </w:p>
        </w:tc>
        <w:tc>
          <w:tcPr>
            <w:tcW w:w="277" w:type="pct"/>
            <w:shd w:val="clear" w:color="auto" w:fill="auto"/>
            <w:noWrap/>
            <w:vAlign w:val="center"/>
          </w:tcPr>
          <w:p>
            <w:pPr>
              <w:widowControl/>
              <w:jc w:val="center"/>
              <w:rPr>
                <w:kern w:val="0"/>
                <w:sz w:val="18"/>
                <w:szCs w:val="18"/>
              </w:rPr>
            </w:pPr>
            <w:r>
              <w:rPr>
                <w:kern w:val="0"/>
                <w:sz w:val="18"/>
                <w:szCs w:val="18"/>
              </w:rPr>
              <w:t>2.17</w:t>
            </w:r>
          </w:p>
        </w:tc>
        <w:tc>
          <w:tcPr>
            <w:tcW w:w="277" w:type="pct"/>
            <w:shd w:val="clear" w:color="auto" w:fill="auto"/>
            <w:noWrap/>
            <w:vAlign w:val="center"/>
          </w:tcPr>
          <w:p>
            <w:pPr>
              <w:widowControl/>
              <w:jc w:val="center"/>
              <w:rPr>
                <w:kern w:val="0"/>
                <w:sz w:val="18"/>
                <w:szCs w:val="18"/>
              </w:rPr>
            </w:pPr>
            <w:r>
              <w:rPr>
                <w:kern w:val="0"/>
                <w:sz w:val="18"/>
                <w:szCs w:val="18"/>
              </w:rPr>
              <w:t>2.66</w:t>
            </w:r>
          </w:p>
        </w:tc>
        <w:tc>
          <w:tcPr>
            <w:tcW w:w="277" w:type="pct"/>
            <w:shd w:val="clear" w:color="auto" w:fill="auto"/>
            <w:noWrap/>
            <w:vAlign w:val="center"/>
          </w:tcPr>
          <w:p>
            <w:pPr>
              <w:widowControl/>
              <w:jc w:val="center"/>
              <w:rPr>
                <w:kern w:val="0"/>
                <w:sz w:val="18"/>
                <w:szCs w:val="18"/>
              </w:rPr>
            </w:pPr>
            <w:r>
              <w:rPr>
                <w:kern w:val="0"/>
                <w:sz w:val="18"/>
                <w:szCs w:val="18"/>
              </w:rPr>
              <w:t>2.1</w:t>
            </w:r>
          </w:p>
        </w:tc>
        <w:tc>
          <w:tcPr>
            <w:tcW w:w="277" w:type="pct"/>
            <w:shd w:val="clear" w:color="auto" w:fill="auto"/>
            <w:noWrap/>
            <w:vAlign w:val="center"/>
          </w:tcPr>
          <w:p>
            <w:pPr>
              <w:widowControl/>
              <w:jc w:val="center"/>
              <w:rPr>
                <w:kern w:val="0"/>
                <w:sz w:val="18"/>
                <w:szCs w:val="18"/>
              </w:rPr>
            </w:pPr>
            <w:r>
              <w:rPr>
                <w:kern w:val="0"/>
                <w:sz w:val="18"/>
                <w:szCs w:val="18"/>
              </w:rPr>
              <w:t>1.43</w:t>
            </w:r>
          </w:p>
        </w:tc>
        <w:tc>
          <w:tcPr>
            <w:tcW w:w="277" w:type="pct"/>
            <w:shd w:val="clear" w:color="auto" w:fill="auto"/>
            <w:noWrap/>
            <w:vAlign w:val="center"/>
          </w:tcPr>
          <w:p>
            <w:pPr>
              <w:widowControl/>
              <w:jc w:val="center"/>
              <w:rPr>
                <w:kern w:val="0"/>
                <w:sz w:val="18"/>
                <w:szCs w:val="18"/>
              </w:rPr>
            </w:pPr>
            <w:r>
              <w:rPr>
                <w:kern w:val="0"/>
                <w:sz w:val="18"/>
                <w:szCs w:val="18"/>
              </w:rPr>
              <w:t>1.21</w:t>
            </w:r>
          </w:p>
        </w:tc>
        <w:tc>
          <w:tcPr>
            <w:tcW w:w="277" w:type="pct"/>
            <w:shd w:val="clear" w:color="auto" w:fill="auto"/>
            <w:noWrap/>
            <w:vAlign w:val="center"/>
          </w:tcPr>
          <w:p>
            <w:pPr>
              <w:widowControl/>
              <w:jc w:val="center"/>
              <w:rPr>
                <w:kern w:val="0"/>
                <w:sz w:val="18"/>
                <w:szCs w:val="18"/>
              </w:rPr>
            </w:pPr>
            <w:r>
              <w:rPr>
                <w:kern w:val="0"/>
                <w:sz w:val="18"/>
                <w:szCs w:val="18"/>
              </w:rPr>
              <w:t>1.32</w:t>
            </w:r>
          </w:p>
        </w:tc>
        <w:tc>
          <w:tcPr>
            <w:tcW w:w="277" w:type="pct"/>
            <w:shd w:val="clear" w:color="auto" w:fill="auto"/>
            <w:noWrap/>
            <w:vAlign w:val="center"/>
          </w:tcPr>
          <w:p>
            <w:pPr>
              <w:widowControl/>
              <w:jc w:val="center"/>
              <w:rPr>
                <w:kern w:val="0"/>
                <w:sz w:val="18"/>
                <w:szCs w:val="18"/>
              </w:rPr>
            </w:pPr>
            <w:r>
              <w:rPr>
                <w:kern w:val="0"/>
                <w:sz w:val="18"/>
                <w:szCs w:val="18"/>
              </w:rPr>
              <w:t>0.89</w:t>
            </w:r>
          </w:p>
        </w:tc>
        <w:tc>
          <w:tcPr>
            <w:tcW w:w="277" w:type="pct"/>
            <w:shd w:val="clear" w:color="auto" w:fill="auto"/>
            <w:noWrap/>
            <w:vAlign w:val="center"/>
          </w:tcPr>
          <w:p>
            <w:pPr>
              <w:widowControl/>
              <w:jc w:val="center"/>
              <w:rPr>
                <w:kern w:val="0"/>
                <w:sz w:val="18"/>
                <w:szCs w:val="18"/>
              </w:rPr>
            </w:pPr>
            <w:r>
              <w:rPr>
                <w:kern w:val="0"/>
                <w:sz w:val="18"/>
                <w:szCs w:val="18"/>
              </w:rPr>
              <w:t>1.31</w:t>
            </w:r>
          </w:p>
        </w:tc>
        <w:tc>
          <w:tcPr>
            <w:tcW w:w="270" w:type="pct"/>
            <w:shd w:val="clear" w:color="auto" w:fill="auto"/>
            <w:noWrap/>
            <w:vAlign w:val="center"/>
          </w:tcPr>
          <w:p>
            <w:pPr>
              <w:widowControl/>
              <w:jc w:val="center"/>
              <w:rPr>
                <w:kern w:val="0"/>
                <w:sz w:val="18"/>
                <w:szCs w:val="18"/>
              </w:rPr>
            </w:pPr>
            <w:r>
              <w:rPr>
                <w:kern w:val="0"/>
                <w:sz w:val="18"/>
                <w:szCs w:val="18"/>
              </w:rPr>
              <w:t>1.97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12月</w:t>
            </w:r>
          </w:p>
        </w:tc>
        <w:tc>
          <w:tcPr>
            <w:tcW w:w="277" w:type="pct"/>
            <w:shd w:val="clear" w:color="auto" w:fill="auto"/>
            <w:noWrap/>
            <w:vAlign w:val="center"/>
          </w:tcPr>
          <w:p>
            <w:pPr>
              <w:widowControl/>
              <w:jc w:val="center"/>
              <w:rPr>
                <w:kern w:val="0"/>
                <w:sz w:val="18"/>
                <w:szCs w:val="18"/>
              </w:rPr>
            </w:pPr>
            <w:r>
              <w:rPr>
                <w:kern w:val="0"/>
                <w:sz w:val="18"/>
                <w:szCs w:val="18"/>
              </w:rPr>
              <w:t>1.89</w:t>
            </w:r>
          </w:p>
        </w:tc>
        <w:tc>
          <w:tcPr>
            <w:tcW w:w="277" w:type="pct"/>
            <w:shd w:val="clear" w:color="auto" w:fill="auto"/>
            <w:noWrap/>
            <w:vAlign w:val="center"/>
          </w:tcPr>
          <w:p>
            <w:pPr>
              <w:widowControl/>
              <w:jc w:val="center"/>
              <w:rPr>
                <w:kern w:val="0"/>
                <w:sz w:val="18"/>
                <w:szCs w:val="18"/>
              </w:rPr>
            </w:pPr>
            <w:r>
              <w:rPr>
                <w:kern w:val="0"/>
                <w:sz w:val="18"/>
                <w:szCs w:val="18"/>
              </w:rPr>
              <w:t>2.54</w:t>
            </w:r>
          </w:p>
        </w:tc>
        <w:tc>
          <w:tcPr>
            <w:tcW w:w="277" w:type="pct"/>
            <w:shd w:val="clear" w:color="auto" w:fill="auto"/>
            <w:noWrap/>
            <w:vAlign w:val="center"/>
          </w:tcPr>
          <w:p>
            <w:pPr>
              <w:widowControl/>
              <w:jc w:val="center"/>
              <w:rPr>
                <w:kern w:val="0"/>
                <w:sz w:val="18"/>
                <w:szCs w:val="18"/>
              </w:rPr>
            </w:pPr>
            <w:r>
              <w:rPr>
                <w:kern w:val="0"/>
                <w:sz w:val="18"/>
                <w:szCs w:val="18"/>
              </w:rPr>
              <w:t>2.16</w:t>
            </w:r>
          </w:p>
        </w:tc>
        <w:tc>
          <w:tcPr>
            <w:tcW w:w="277" w:type="pct"/>
            <w:shd w:val="clear" w:color="auto" w:fill="auto"/>
            <w:noWrap/>
            <w:vAlign w:val="center"/>
          </w:tcPr>
          <w:p>
            <w:pPr>
              <w:widowControl/>
              <w:jc w:val="center"/>
              <w:rPr>
                <w:kern w:val="0"/>
                <w:sz w:val="18"/>
                <w:szCs w:val="18"/>
              </w:rPr>
            </w:pPr>
            <w:r>
              <w:rPr>
                <w:kern w:val="0"/>
                <w:sz w:val="18"/>
                <w:szCs w:val="18"/>
              </w:rPr>
              <w:t>2.44</w:t>
            </w:r>
          </w:p>
        </w:tc>
        <w:tc>
          <w:tcPr>
            <w:tcW w:w="277" w:type="pct"/>
            <w:shd w:val="clear" w:color="auto" w:fill="auto"/>
            <w:noWrap/>
            <w:vAlign w:val="center"/>
          </w:tcPr>
          <w:p>
            <w:pPr>
              <w:widowControl/>
              <w:jc w:val="center"/>
              <w:rPr>
                <w:kern w:val="0"/>
                <w:sz w:val="18"/>
                <w:szCs w:val="18"/>
              </w:rPr>
            </w:pPr>
            <w:r>
              <w:rPr>
                <w:kern w:val="0"/>
                <w:sz w:val="18"/>
                <w:szCs w:val="18"/>
              </w:rPr>
              <w:t>1.79</w:t>
            </w:r>
          </w:p>
        </w:tc>
        <w:tc>
          <w:tcPr>
            <w:tcW w:w="277" w:type="pct"/>
            <w:shd w:val="clear" w:color="auto" w:fill="auto"/>
            <w:noWrap/>
            <w:vAlign w:val="center"/>
          </w:tcPr>
          <w:p>
            <w:pPr>
              <w:widowControl/>
              <w:jc w:val="center"/>
              <w:rPr>
                <w:kern w:val="0"/>
                <w:sz w:val="18"/>
                <w:szCs w:val="18"/>
              </w:rPr>
            </w:pPr>
            <w:r>
              <w:rPr>
                <w:kern w:val="0"/>
                <w:sz w:val="18"/>
                <w:szCs w:val="18"/>
              </w:rPr>
              <w:t>1.41</w:t>
            </w:r>
          </w:p>
        </w:tc>
        <w:tc>
          <w:tcPr>
            <w:tcW w:w="277" w:type="pct"/>
            <w:shd w:val="clear" w:color="auto" w:fill="auto"/>
            <w:noWrap/>
            <w:vAlign w:val="center"/>
          </w:tcPr>
          <w:p>
            <w:pPr>
              <w:widowControl/>
              <w:jc w:val="center"/>
              <w:rPr>
                <w:kern w:val="0"/>
                <w:sz w:val="18"/>
                <w:szCs w:val="18"/>
              </w:rPr>
            </w:pPr>
            <w:r>
              <w:rPr>
                <w:kern w:val="0"/>
                <w:sz w:val="18"/>
                <w:szCs w:val="18"/>
              </w:rPr>
              <w:t>1.68</w:t>
            </w:r>
          </w:p>
        </w:tc>
        <w:tc>
          <w:tcPr>
            <w:tcW w:w="277" w:type="pct"/>
            <w:shd w:val="clear" w:color="auto" w:fill="auto"/>
            <w:noWrap/>
            <w:vAlign w:val="center"/>
          </w:tcPr>
          <w:p>
            <w:pPr>
              <w:widowControl/>
              <w:jc w:val="center"/>
              <w:rPr>
                <w:kern w:val="0"/>
                <w:sz w:val="18"/>
                <w:szCs w:val="18"/>
              </w:rPr>
            </w:pPr>
            <w:r>
              <w:rPr>
                <w:kern w:val="0"/>
                <w:sz w:val="18"/>
                <w:szCs w:val="18"/>
              </w:rPr>
              <w:t>1.69</w:t>
            </w:r>
          </w:p>
        </w:tc>
        <w:tc>
          <w:tcPr>
            <w:tcW w:w="277" w:type="pct"/>
            <w:shd w:val="clear" w:color="auto" w:fill="auto"/>
            <w:noWrap/>
            <w:vAlign w:val="center"/>
          </w:tcPr>
          <w:p>
            <w:pPr>
              <w:widowControl/>
              <w:jc w:val="center"/>
              <w:rPr>
                <w:kern w:val="0"/>
                <w:sz w:val="18"/>
                <w:szCs w:val="18"/>
              </w:rPr>
            </w:pPr>
            <w:r>
              <w:rPr>
                <w:kern w:val="0"/>
                <w:sz w:val="18"/>
                <w:szCs w:val="18"/>
              </w:rPr>
              <w:t>2.12</w:t>
            </w:r>
          </w:p>
        </w:tc>
        <w:tc>
          <w:tcPr>
            <w:tcW w:w="277" w:type="pct"/>
            <w:shd w:val="clear" w:color="auto" w:fill="auto"/>
            <w:noWrap/>
            <w:vAlign w:val="center"/>
          </w:tcPr>
          <w:p>
            <w:pPr>
              <w:widowControl/>
              <w:jc w:val="center"/>
              <w:rPr>
                <w:kern w:val="0"/>
                <w:sz w:val="18"/>
                <w:szCs w:val="18"/>
              </w:rPr>
            </w:pPr>
            <w:r>
              <w:rPr>
                <w:kern w:val="0"/>
                <w:sz w:val="18"/>
                <w:szCs w:val="18"/>
              </w:rPr>
              <w:t>2.89</w:t>
            </w:r>
          </w:p>
        </w:tc>
        <w:tc>
          <w:tcPr>
            <w:tcW w:w="277" w:type="pct"/>
            <w:shd w:val="clear" w:color="auto" w:fill="auto"/>
            <w:noWrap/>
            <w:vAlign w:val="center"/>
          </w:tcPr>
          <w:p>
            <w:pPr>
              <w:widowControl/>
              <w:jc w:val="center"/>
              <w:rPr>
                <w:kern w:val="0"/>
                <w:sz w:val="18"/>
                <w:szCs w:val="18"/>
              </w:rPr>
            </w:pPr>
            <w:r>
              <w:rPr>
                <w:kern w:val="0"/>
                <w:sz w:val="18"/>
                <w:szCs w:val="18"/>
              </w:rPr>
              <w:t>1.39</w:t>
            </w:r>
          </w:p>
        </w:tc>
        <w:tc>
          <w:tcPr>
            <w:tcW w:w="277" w:type="pct"/>
            <w:shd w:val="clear" w:color="auto" w:fill="auto"/>
            <w:noWrap/>
            <w:vAlign w:val="center"/>
          </w:tcPr>
          <w:p>
            <w:pPr>
              <w:widowControl/>
              <w:jc w:val="center"/>
              <w:rPr>
                <w:kern w:val="0"/>
                <w:sz w:val="18"/>
                <w:szCs w:val="18"/>
              </w:rPr>
            </w:pPr>
            <w:r>
              <w:rPr>
                <w:kern w:val="0"/>
                <w:sz w:val="18"/>
                <w:szCs w:val="18"/>
              </w:rPr>
              <w:t>1</w:t>
            </w:r>
          </w:p>
        </w:tc>
        <w:tc>
          <w:tcPr>
            <w:tcW w:w="277" w:type="pct"/>
            <w:shd w:val="clear" w:color="auto" w:fill="auto"/>
            <w:noWrap/>
            <w:vAlign w:val="center"/>
          </w:tcPr>
          <w:p>
            <w:pPr>
              <w:widowControl/>
              <w:jc w:val="center"/>
              <w:rPr>
                <w:kern w:val="0"/>
                <w:sz w:val="18"/>
                <w:szCs w:val="18"/>
              </w:rPr>
            </w:pPr>
            <w:r>
              <w:rPr>
                <w:kern w:val="0"/>
                <w:sz w:val="18"/>
                <w:szCs w:val="18"/>
              </w:rPr>
              <w:t>1.17</w:t>
            </w:r>
          </w:p>
        </w:tc>
        <w:tc>
          <w:tcPr>
            <w:tcW w:w="277" w:type="pct"/>
            <w:shd w:val="clear" w:color="auto" w:fill="auto"/>
            <w:noWrap/>
            <w:vAlign w:val="center"/>
          </w:tcPr>
          <w:p>
            <w:pPr>
              <w:widowControl/>
              <w:jc w:val="center"/>
              <w:rPr>
                <w:kern w:val="0"/>
                <w:sz w:val="18"/>
                <w:szCs w:val="18"/>
              </w:rPr>
            </w:pPr>
            <w:r>
              <w:rPr>
                <w:kern w:val="0"/>
                <w:sz w:val="18"/>
                <w:szCs w:val="18"/>
              </w:rPr>
              <w:t>1.37</w:t>
            </w:r>
          </w:p>
        </w:tc>
        <w:tc>
          <w:tcPr>
            <w:tcW w:w="277" w:type="pct"/>
            <w:shd w:val="clear" w:color="auto" w:fill="auto"/>
            <w:noWrap/>
            <w:vAlign w:val="center"/>
          </w:tcPr>
          <w:p>
            <w:pPr>
              <w:widowControl/>
              <w:jc w:val="center"/>
              <w:rPr>
                <w:kern w:val="0"/>
                <w:sz w:val="18"/>
                <w:szCs w:val="18"/>
              </w:rPr>
            </w:pPr>
            <w:r>
              <w:rPr>
                <w:kern w:val="0"/>
                <w:sz w:val="18"/>
                <w:szCs w:val="18"/>
              </w:rPr>
              <w:t>1.33</w:t>
            </w:r>
          </w:p>
        </w:tc>
        <w:tc>
          <w:tcPr>
            <w:tcW w:w="277" w:type="pct"/>
            <w:shd w:val="clear" w:color="auto" w:fill="auto"/>
            <w:noWrap/>
            <w:vAlign w:val="center"/>
          </w:tcPr>
          <w:p>
            <w:pPr>
              <w:widowControl/>
              <w:jc w:val="center"/>
              <w:rPr>
                <w:kern w:val="0"/>
                <w:sz w:val="18"/>
                <w:szCs w:val="18"/>
              </w:rPr>
            </w:pPr>
            <w:r>
              <w:rPr>
                <w:kern w:val="0"/>
                <w:sz w:val="18"/>
                <w:szCs w:val="18"/>
              </w:rPr>
              <w:t>1.5</w:t>
            </w:r>
          </w:p>
        </w:tc>
        <w:tc>
          <w:tcPr>
            <w:tcW w:w="270" w:type="pct"/>
            <w:shd w:val="clear" w:color="auto" w:fill="auto"/>
            <w:noWrap/>
            <w:vAlign w:val="center"/>
          </w:tcPr>
          <w:p>
            <w:pPr>
              <w:widowControl/>
              <w:jc w:val="center"/>
              <w:rPr>
                <w:kern w:val="0"/>
                <w:sz w:val="18"/>
                <w:szCs w:val="18"/>
              </w:rPr>
            </w:pPr>
            <w:r>
              <w:rPr>
                <w:kern w:val="0"/>
                <w:sz w:val="18"/>
                <w:szCs w:val="18"/>
              </w:rPr>
              <w:t>1.89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春季</w:t>
            </w:r>
          </w:p>
        </w:tc>
        <w:tc>
          <w:tcPr>
            <w:tcW w:w="277" w:type="pct"/>
            <w:shd w:val="clear" w:color="auto" w:fill="auto"/>
            <w:noWrap/>
            <w:vAlign w:val="center"/>
          </w:tcPr>
          <w:p>
            <w:pPr>
              <w:widowControl/>
              <w:jc w:val="center"/>
              <w:rPr>
                <w:kern w:val="0"/>
                <w:sz w:val="18"/>
                <w:szCs w:val="18"/>
              </w:rPr>
            </w:pPr>
            <w:r>
              <w:rPr>
                <w:kern w:val="0"/>
                <w:sz w:val="18"/>
                <w:szCs w:val="18"/>
              </w:rPr>
              <w:t>2.67</w:t>
            </w:r>
          </w:p>
        </w:tc>
        <w:tc>
          <w:tcPr>
            <w:tcW w:w="277" w:type="pct"/>
            <w:shd w:val="clear" w:color="auto" w:fill="auto"/>
            <w:noWrap/>
            <w:vAlign w:val="center"/>
          </w:tcPr>
          <w:p>
            <w:pPr>
              <w:widowControl/>
              <w:jc w:val="center"/>
              <w:rPr>
                <w:kern w:val="0"/>
                <w:sz w:val="18"/>
                <w:szCs w:val="18"/>
              </w:rPr>
            </w:pPr>
            <w:r>
              <w:rPr>
                <w:kern w:val="0"/>
                <w:sz w:val="18"/>
                <w:szCs w:val="18"/>
              </w:rPr>
              <w:t>2.88</w:t>
            </w:r>
          </w:p>
        </w:tc>
        <w:tc>
          <w:tcPr>
            <w:tcW w:w="277" w:type="pct"/>
            <w:shd w:val="clear" w:color="auto" w:fill="auto"/>
            <w:noWrap/>
            <w:vAlign w:val="center"/>
          </w:tcPr>
          <w:p>
            <w:pPr>
              <w:widowControl/>
              <w:jc w:val="center"/>
              <w:rPr>
                <w:kern w:val="0"/>
                <w:sz w:val="18"/>
                <w:szCs w:val="18"/>
              </w:rPr>
            </w:pPr>
            <w:r>
              <w:rPr>
                <w:kern w:val="0"/>
                <w:sz w:val="18"/>
                <w:szCs w:val="18"/>
              </w:rPr>
              <w:t>2.66</w:t>
            </w:r>
          </w:p>
        </w:tc>
        <w:tc>
          <w:tcPr>
            <w:tcW w:w="277" w:type="pct"/>
            <w:shd w:val="clear" w:color="auto" w:fill="auto"/>
            <w:noWrap/>
            <w:vAlign w:val="center"/>
          </w:tcPr>
          <w:p>
            <w:pPr>
              <w:widowControl/>
              <w:jc w:val="center"/>
              <w:rPr>
                <w:kern w:val="0"/>
                <w:sz w:val="18"/>
                <w:szCs w:val="18"/>
              </w:rPr>
            </w:pPr>
            <w:r>
              <w:rPr>
                <w:kern w:val="0"/>
                <w:sz w:val="18"/>
                <w:szCs w:val="18"/>
              </w:rPr>
              <w:t>2.37</w:t>
            </w:r>
          </w:p>
        </w:tc>
        <w:tc>
          <w:tcPr>
            <w:tcW w:w="277" w:type="pct"/>
            <w:shd w:val="clear" w:color="auto" w:fill="auto"/>
            <w:noWrap/>
            <w:vAlign w:val="center"/>
          </w:tcPr>
          <w:p>
            <w:pPr>
              <w:widowControl/>
              <w:jc w:val="center"/>
              <w:rPr>
                <w:kern w:val="0"/>
                <w:sz w:val="18"/>
                <w:szCs w:val="18"/>
              </w:rPr>
            </w:pPr>
            <w:r>
              <w:rPr>
                <w:kern w:val="0"/>
                <w:sz w:val="18"/>
                <w:szCs w:val="18"/>
              </w:rPr>
              <w:t>1.94</w:t>
            </w:r>
          </w:p>
        </w:tc>
        <w:tc>
          <w:tcPr>
            <w:tcW w:w="277" w:type="pct"/>
            <w:shd w:val="clear" w:color="auto" w:fill="auto"/>
            <w:noWrap/>
            <w:vAlign w:val="center"/>
          </w:tcPr>
          <w:p>
            <w:pPr>
              <w:widowControl/>
              <w:jc w:val="center"/>
              <w:rPr>
                <w:kern w:val="0"/>
                <w:sz w:val="18"/>
                <w:szCs w:val="18"/>
              </w:rPr>
            </w:pPr>
            <w:r>
              <w:rPr>
                <w:kern w:val="0"/>
                <w:sz w:val="18"/>
                <w:szCs w:val="18"/>
              </w:rPr>
              <w:t>1.63</w:t>
            </w:r>
          </w:p>
        </w:tc>
        <w:tc>
          <w:tcPr>
            <w:tcW w:w="277" w:type="pct"/>
            <w:shd w:val="clear" w:color="auto" w:fill="auto"/>
            <w:noWrap/>
            <w:vAlign w:val="center"/>
          </w:tcPr>
          <w:p>
            <w:pPr>
              <w:widowControl/>
              <w:jc w:val="center"/>
              <w:rPr>
                <w:kern w:val="0"/>
                <w:sz w:val="18"/>
                <w:szCs w:val="18"/>
              </w:rPr>
            </w:pPr>
            <w:r>
              <w:rPr>
                <w:kern w:val="0"/>
                <w:sz w:val="18"/>
                <w:szCs w:val="18"/>
              </w:rPr>
              <w:t>1.55</w:t>
            </w:r>
          </w:p>
        </w:tc>
        <w:tc>
          <w:tcPr>
            <w:tcW w:w="277" w:type="pct"/>
            <w:shd w:val="clear" w:color="auto" w:fill="auto"/>
            <w:noWrap/>
            <w:vAlign w:val="center"/>
          </w:tcPr>
          <w:p>
            <w:pPr>
              <w:widowControl/>
              <w:jc w:val="center"/>
              <w:rPr>
                <w:kern w:val="0"/>
                <w:sz w:val="18"/>
                <w:szCs w:val="18"/>
              </w:rPr>
            </w:pPr>
            <w:r>
              <w:rPr>
                <w:kern w:val="0"/>
                <w:sz w:val="18"/>
                <w:szCs w:val="18"/>
              </w:rPr>
              <w:t>1.76</w:t>
            </w:r>
          </w:p>
        </w:tc>
        <w:tc>
          <w:tcPr>
            <w:tcW w:w="277" w:type="pct"/>
            <w:shd w:val="clear" w:color="auto" w:fill="auto"/>
            <w:noWrap/>
            <w:vAlign w:val="center"/>
          </w:tcPr>
          <w:p>
            <w:pPr>
              <w:widowControl/>
              <w:jc w:val="center"/>
              <w:rPr>
                <w:kern w:val="0"/>
                <w:sz w:val="18"/>
                <w:szCs w:val="18"/>
              </w:rPr>
            </w:pPr>
            <w:r>
              <w:rPr>
                <w:kern w:val="0"/>
                <w:sz w:val="18"/>
                <w:szCs w:val="18"/>
              </w:rPr>
              <w:t>3.85</w:t>
            </w:r>
          </w:p>
        </w:tc>
        <w:tc>
          <w:tcPr>
            <w:tcW w:w="277" w:type="pct"/>
            <w:shd w:val="clear" w:color="auto" w:fill="auto"/>
            <w:noWrap/>
            <w:vAlign w:val="center"/>
          </w:tcPr>
          <w:p>
            <w:pPr>
              <w:widowControl/>
              <w:jc w:val="center"/>
              <w:rPr>
                <w:kern w:val="0"/>
                <w:sz w:val="18"/>
                <w:szCs w:val="18"/>
              </w:rPr>
            </w:pPr>
            <w:r>
              <w:rPr>
                <w:kern w:val="0"/>
                <w:sz w:val="18"/>
                <w:szCs w:val="18"/>
              </w:rPr>
              <w:t>4.28</w:t>
            </w:r>
          </w:p>
        </w:tc>
        <w:tc>
          <w:tcPr>
            <w:tcW w:w="277" w:type="pct"/>
            <w:shd w:val="clear" w:color="auto" w:fill="auto"/>
            <w:noWrap/>
            <w:vAlign w:val="center"/>
          </w:tcPr>
          <w:p>
            <w:pPr>
              <w:widowControl/>
              <w:jc w:val="center"/>
              <w:rPr>
                <w:kern w:val="0"/>
                <w:sz w:val="18"/>
                <w:szCs w:val="18"/>
              </w:rPr>
            </w:pPr>
            <w:r>
              <w:rPr>
                <w:kern w:val="0"/>
                <w:sz w:val="18"/>
                <w:szCs w:val="18"/>
              </w:rPr>
              <w:t>2.48</w:t>
            </w:r>
          </w:p>
        </w:tc>
        <w:tc>
          <w:tcPr>
            <w:tcW w:w="277" w:type="pct"/>
            <w:shd w:val="clear" w:color="auto" w:fill="auto"/>
            <w:noWrap/>
            <w:vAlign w:val="center"/>
          </w:tcPr>
          <w:p>
            <w:pPr>
              <w:widowControl/>
              <w:jc w:val="center"/>
              <w:rPr>
                <w:kern w:val="0"/>
                <w:sz w:val="18"/>
                <w:szCs w:val="18"/>
              </w:rPr>
            </w:pPr>
            <w:r>
              <w:rPr>
                <w:kern w:val="0"/>
                <w:sz w:val="18"/>
                <w:szCs w:val="18"/>
              </w:rPr>
              <w:t>1.36</w:t>
            </w:r>
          </w:p>
        </w:tc>
        <w:tc>
          <w:tcPr>
            <w:tcW w:w="277" w:type="pct"/>
            <w:shd w:val="clear" w:color="auto" w:fill="auto"/>
            <w:noWrap/>
            <w:vAlign w:val="center"/>
          </w:tcPr>
          <w:p>
            <w:pPr>
              <w:widowControl/>
              <w:jc w:val="center"/>
              <w:rPr>
                <w:kern w:val="0"/>
                <w:sz w:val="18"/>
                <w:szCs w:val="18"/>
              </w:rPr>
            </w:pPr>
            <w:r>
              <w:rPr>
                <w:kern w:val="0"/>
                <w:sz w:val="18"/>
                <w:szCs w:val="18"/>
              </w:rPr>
              <w:t>1.48</w:t>
            </w:r>
          </w:p>
        </w:tc>
        <w:tc>
          <w:tcPr>
            <w:tcW w:w="277" w:type="pct"/>
            <w:shd w:val="clear" w:color="auto" w:fill="auto"/>
            <w:noWrap/>
            <w:vAlign w:val="center"/>
          </w:tcPr>
          <w:p>
            <w:pPr>
              <w:widowControl/>
              <w:jc w:val="center"/>
              <w:rPr>
                <w:kern w:val="0"/>
                <w:sz w:val="18"/>
                <w:szCs w:val="18"/>
              </w:rPr>
            </w:pPr>
            <w:r>
              <w:rPr>
                <w:kern w:val="0"/>
                <w:sz w:val="18"/>
                <w:szCs w:val="18"/>
              </w:rPr>
              <w:t>1.36</w:t>
            </w:r>
          </w:p>
        </w:tc>
        <w:tc>
          <w:tcPr>
            <w:tcW w:w="277" w:type="pct"/>
            <w:shd w:val="clear" w:color="auto" w:fill="auto"/>
            <w:noWrap/>
            <w:vAlign w:val="center"/>
          </w:tcPr>
          <w:p>
            <w:pPr>
              <w:widowControl/>
              <w:jc w:val="center"/>
              <w:rPr>
                <w:kern w:val="0"/>
                <w:sz w:val="18"/>
                <w:szCs w:val="18"/>
              </w:rPr>
            </w:pPr>
            <w:r>
              <w:rPr>
                <w:kern w:val="0"/>
                <w:sz w:val="18"/>
                <w:szCs w:val="18"/>
              </w:rPr>
              <w:t>2.6</w:t>
            </w:r>
          </w:p>
        </w:tc>
        <w:tc>
          <w:tcPr>
            <w:tcW w:w="277" w:type="pct"/>
            <w:shd w:val="clear" w:color="auto" w:fill="auto"/>
            <w:noWrap/>
            <w:vAlign w:val="center"/>
          </w:tcPr>
          <w:p>
            <w:pPr>
              <w:widowControl/>
              <w:jc w:val="center"/>
              <w:rPr>
                <w:kern w:val="0"/>
                <w:sz w:val="18"/>
                <w:szCs w:val="18"/>
              </w:rPr>
            </w:pPr>
            <w:r>
              <w:rPr>
                <w:kern w:val="0"/>
                <w:sz w:val="18"/>
                <w:szCs w:val="18"/>
              </w:rPr>
              <w:t>2.16</w:t>
            </w:r>
          </w:p>
        </w:tc>
        <w:tc>
          <w:tcPr>
            <w:tcW w:w="270" w:type="pct"/>
            <w:shd w:val="clear" w:color="auto" w:fill="auto"/>
            <w:noWrap/>
            <w:vAlign w:val="center"/>
          </w:tcPr>
          <w:p>
            <w:pPr>
              <w:widowControl/>
              <w:jc w:val="center"/>
              <w:rPr>
                <w:kern w:val="0"/>
                <w:sz w:val="18"/>
                <w:szCs w:val="18"/>
              </w:rPr>
            </w:pPr>
            <w:r>
              <w:rPr>
                <w:kern w:val="0"/>
                <w:sz w:val="18"/>
                <w:szCs w:val="18"/>
              </w:rPr>
              <w:t>3.04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夏季</w:t>
            </w:r>
          </w:p>
        </w:tc>
        <w:tc>
          <w:tcPr>
            <w:tcW w:w="277" w:type="pct"/>
            <w:shd w:val="clear" w:color="auto" w:fill="auto"/>
            <w:noWrap/>
            <w:vAlign w:val="center"/>
          </w:tcPr>
          <w:p>
            <w:pPr>
              <w:widowControl/>
              <w:jc w:val="center"/>
              <w:rPr>
                <w:kern w:val="0"/>
                <w:sz w:val="18"/>
                <w:szCs w:val="18"/>
              </w:rPr>
            </w:pPr>
            <w:r>
              <w:rPr>
                <w:kern w:val="0"/>
                <w:sz w:val="18"/>
                <w:szCs w:val="18"/>
              </w:rPr>
              <w:t>2.33</w:t>
            </w:r>
          </w:p>
        </w:tc>
        <w:tc>
          <w:tcPr>
            <w:tcW w:w="277" w:type="pct"/>
            <w:shd w:val="clear" w:color="auto" w:fill="auto"/>
            <w:noWrap/>
            <w:vAlign w:val="center"/>
          </w:tcPr>
          <w:p>
            <w:pPr>
              <w:widowControl/>
              <w:jc w:val="center"/>
              <w:rPr>
                <w:kern w:val="0"/>
                <w:sz w:val="18"/>
                <w:szCs w:val="18"/>
              </w:rPr>
            </w:pPr>
            <w:r>
              <w:rPr>
                <w:kern w:val="0"/>
                <w:sz w:val="18"/>
                <w:szCs w:val="18"/>
              </w:rPr>
              <w:t>2.2</w:t>
            </w:r>
          </w:p>
        </w:tc>
        <w:tc>
          <w:tcPr>
            <w:tcW w:w="277" w:type="pct"/>
            <w:shd w:val="clear" w:color="auto" w:fill="auto"/>
            <w:noWrap/>
            <w:vAlign w:val="center"/>
          </w:tcPr>
          <w:p>
            <w:pPr>
              <w:widowControl/>
              <w:jc w:val="center"/>
              <w:rPr>
                <w:kern w:val="0"/>
                <w:sz w:val="18"/>
                <w:szCs w:val="18"/>
              </w:rPr>
            </w:pPr>
            <w:r>
              <w:rPr>
                <w:kern w:val="0"/>
                <w:sz w:val="18"/>
                <w:szCs w:val="18"/>
              </w:rPr>
              <w:t>1.91</w:t>
            </w:r>
          </w:p>
        </w:tc>
        <w:tc>
          <w:tcPr>
            <w:tcW w:w="277" w:type="pct"/>
            <w:shd w:val="clear" w:color="auto" w:fill="auto"/>
            <w:noWrap/>
            <w:vAlign w:val="center"/>
          </w:tcPr>
          <w:p>
            <w:pPr>
              <w:widowControl/>
              <w:jc w:val="center"/>
              <w:rPr>
                <w:kern w:val="0"/>
                <w:sz w:val="18"/>
                <w:szCs w:val="18"/>
              </w:rPr>
            </w:pPr>
            <w:r>
              <w:rPr>
                <w:kern w:val="0"/>
                <w:sz w:val="18"/>
                <w:szCs w:val="18"/>
              </w:rPr>
              <w:t>1.62</w:t>
            </w:r>
          </w:p>
        </w:tc>
        <w:tc>
          <w:tcPr>
            <w:tcW w:w="277" w:type="pct"/>
            <w:shd w:val="clear" w:color="auto" w:fill="auto"/>
            <w:noWrap/>
            <w:vAlign w:val="center"/>
          </w:tcPr>
          <w:p>
            <w:pPr>
              <w:widowControl/>
              <w:jc w:val="center"/>
              <w:rPr>
                <w:kern w:val="0"/>
                <w:sz w:val="18"/>
                <w:szCs w:val="18"/>
              </w:rPr>
            </w:pPr>
            <w:r>
              <w:rPr>
                <w:kern w:val="0"/>
                <w:sz w:val="18"/>
                <w:szCs w:val="18"/>
              </w:rPr>
              <w:t>1.45</w:t>
            </w:r>
          </w:p>
        </w:tc>
        <w:tc>
          <w:tcPr>
            <w:tcW w:w="277" w:type="pct"/>
            <w:shd w:val="clear" w:color="auto" w:fill="auto"/>
            <w:noWrap/>
            <w:vAlign w:val="center"/>
          </w:tcPr>
          <w:p>
            <w:pPr>
              <w:widowControl/>
              <w:jc w:val="center"/>
              <w:rPr>
                <w:kern w:val="0"/>
                <w:sz w:val="18"/>
                <w:szCs w:val="18"/>
              </w:rPr>
            </w:pPr>
            <w:r>
              <w:rPr>
                <w:kern w:val="0"/>
                <w:sz w:val="18"/>
                <w:szCs w:val="18"/>
              </w:rPr>
              <w:t>1.39</w:t>
            </w:r>
          </w:p>
        </w:tc>
        <w:tc>
          <w:tcPr>
            <w:tcW w:w="277" w:type="pct"/>
            <w:shd w:val="clear" w:color="auto" w:fill="auto"/>
            <w:noWrap/>
            <w:vAlign w:val="center"/>
          </w:tcPr>
          <w:p>
            <w:pPr>
              <w:widowControl/>
              <w:jc w:val="center"/>
              <w:rPr>
                <w:kern w:val="0"/>
                <w:sz w:val="18"/>
                <w:szCs w:val="18"/>
              </w:rPr>
            </w:pPr>
            <w:r>
              <w:rPr>
                <w:kern w:val="0"/>
                <w:sz w:val="18"/>
                <w:szCs w:val="18"/>
              </w:rPr>
              <w:t>1.49</w:t>
            </w:r>
          </w:p>
        </w:tc>
        <w:tc>
          <w:tcPr>
            <w:tcW w:w="277" w:type="pct"/>
            <w:shd w:val="clear" w:color="auto" w:fill="auto"/>
            <w:noWrap/>
            <w:vAlign w:val="center"/>
          </w:tcPr>
          <w:p>
            <w:pPr>
              <w:widowControl/>
              <w:jc w:val="center"/>
              <w:rPr>
                <w:kern w:val="0"/>
                <w:sz w:val="18"/>
                <w:szCs w:val="18"/>
              </w:rPr>
            </w:pPr>
            <w:r>
              <w:rPr>
                <w:kern w:val="0"/>
                <w:sz w:val="18"/>
                <w:szCs w:val="18"/>
              </w:rPr>
              <w:t>1.67</w:t>
            </w:r>
          </w:p>
        </w:tc>
        <w:tc>
          <w:tcPr>
            <w:tcW w:w="277" w:type="pct"/>
            <w:shd w:val="clear" w:color="auto" w:fill="auto"/>
            <w:noWrap/>
            <w:vAlign w:val="center"/>
          </w:tcPr>
          <w:p>
            <w:pPr>
              <w:widowControl/>
              <w:jc w:val="center"/>
              <w:rPr>
                <w:kern w:val="0"/>
                <w:sz w:val="18"/>
                <w:szCs w:val="18"/>
              </w:rPr>
            </w:pPr>
            <w:r>
              <w:rPr>
                <w:kern w:val="0"/>
                <w:sz w:val="18"/>
                <w:szCs w:val="18"/>
              </w:rPr>
              <w:t>2.74</w:t>
            </w:r>
          </w:p>
        </w:tc>
        <w:tc>
          <w:tcPr>
            <w:tcW w:w="277" w:type="pct"/>
            <w:shd w:val="clear" w:color="auto" w:fill="auto"/>
            <w:noWrap/>
            <w:vAlign w:val="center"/>
          </w:tcPr>
          <w:p>
            <w:pPr>
              <w:widowControl/>
              <w:jc w:val="center"/>
              <w:rPr>
                <w:kern w:val="0"/>
                <w:sz w:val="18"/>
                <w:szCs w:val="18"/>
              </w:rPr>
            </w:pPr>
            <w:r>
              <w:rPr>
                <w:kern w:val="0"/>
                <w:sz w:val="18"/>
                <w:szCs w:val="18"/>
              </w:rPr>
              <w:t>3.25</w:t>
            </w:r>
          </w:p>
        </w:tc>
        <w:tc>
          <w:tcPr>
            <w:tcW w:w="277" w:type="pct"/>
            <w:shd w:val="clear" w:color="auto" w:fill="auto"/>
            <w:noWrap/>
            <w:vAlign w:val="center"/>
          </w:tcPr>
          <w:p>
            <w:pPr>
              <w:widowControl/>
              <w:jc w:val="center"/>
              <w:rPr>
                <w:kern w:val="0"/>
                <w:sz w:val="18"/>
                <w:szCs w:val="18"/>
              </w:rPr>
            </w:pPr>
            <w:r>
              <w:rPr>
                <w:kern w:val="0"/>
                <w:sz w:val="18"/>
                <w:szCs w:val="18"/>
              </w:rPr>
              <w:t>2.08</w:t>
            </w:r>
          </w:p>
        </w:tc>
        <w:tc>
          <w:tcPr>
            <w:tcW w:w="277" w:type="pct"/>
            <w:shd w:val="clear" w:color="auto" w:fill="auto"/>
            <w:noWrap/>
            <w:vAlign w:val="center"/>
          </w:tcPr>
          <w:p>
            <w:pPr>
              <w:widowControl/>
              <w:jc w:val="center"/>
              <w:rPr>
                <w:kern w:val="0"/>
                <w:sz w:val="18"/>
                <w:szCs w:val="18"/>
              </w:rPr>
            </w:pPr>
            <w:r>
              <w:rPr>
                <w:kern w:val="0"/>
                <w:sz w:val="18"/>
                <w:szCs w:val="18"/>
              </w:rPr>
              <w:t>1.66</w:t>
            </w:r>
          </w:p>
        </w:tc>
        <w:tc>
          <w:tcPr>
            <w:tcW w:w="277" w:type="pct"/>
            <w:shd w:val="clear" w:color="auto" w:fill="auto"/>
            <w:noWrap/>
            <w:vAlign w:val="center"/>
          </w:tcPr>
          <w:p>
            <w:pPr>
              <w:widowControl/>
              <w:jc w:val="center"/>
              <w:rPr>
                <w:kern w:val="0"/>
                <w:sz w:val="18"/>
                <w:szCs w:val="18"/>
              </w:rPr>
            </w:pPr>
            <w:r>
              <w:rPr>
                <w:kern w:val="0"/>
                <w:sz w:val="18"/>
                <w:szCs w:val="18"/>
              </w:rPr>
              <w:t>1.28</w:t>
            </w:r>
          </w:p>
        </w:tc>
        <w:tc>
          <w:tcPr>
            <w:tcW w:w="277" w:type="pct"/>
            <w:shd w:val="clear" w:color="auto" w:fill="auto"/>
            <w:noWrap/>
            <w:vAlign w:val="center"/>
          </w:tcPr>
          <w:p>
            <w:pPr>
              <w:widowControl/>
              <w:jc w:val="center"/>
              <w:rPr>
                <w:kern w:val="0"/>
                <w:sz w:val="18"/>
                <w:szCs w:val="18"/>
              </w:rPr>
            </w:pPr>
            <w:r>
              <w:rPr>
                <w:kern w:val="0"/>
                <w:sz w:val="18"/>
                <w:szCs w:val="18"/>
              </w:rPr>
              <w:t>1.46</w:t>
            </w:r>
          </w:p>
        </w:tc>
        <w:tc>
          <w:tcPr>
            <w:tcW w:w="277" w:type="pct"/>
            <w:shd w:val="clear" w:color="auto" w:fill="auto"/>
            <w:noWrap/>
            <w:vAlign w:val="center"/>
          </w:tcPr>
          <w:p>
            <w:pPr>
              <w:widowControl/>
              <w:jc w:val="center"/>
              <w:rPr>
                <w:kern w:val="0"/>
                <w:sz w:val="18"/>
                <w:szCs w:val="18"/>
              </w:rPr>
            </w:pPr>
            <w:r>
              <w:rPr>
                <w:kern w:val="0"/>
                <w:sz w:val="18"/>
                <w:szCs w:val="18"/>
              </w:rPr>
              <w:t>1.44</w:t>
            </w:r>
          </w:p>
        </w:tc>
        <w:tc>
          <w:tcPr>
            <w:tcW w:w="277" w:type="pct"/>
            <w:shd w:val="clear" w:color="auto" w:fill="auto"/>
            <w:noWrap/>
            <w:vAlign w:val="center"/>
          </w:tcPr>
          <w:p>
            <w:pPr>
              <w:widowControl/>
              <w:jc w:val="center"/>
              <w:rPr>
                <w:kern w:val="0"/>
                <w:sz w:val="18"/>
                <w:szCs w:val="18"/>
              </w:rPr>
            </w:pPr>
            <w:r>
              <w:rPr>
                <w:kern w:val="0"/>
                <w:sz w:val="18"/>
                <w:szCs w:val="18"/>
              </w:rPr>
              <w:t>1.82</w:t>
            </w:r>
          </w:p>
        </w:tc>
        <w:tc>
          <w:tcPr>
            <w:tcW w:w="270" w:type="pct"/>
            <w:shd w:val="clear" w:color="auto" w:fill="auto"/>
            <w:noWrap/>
            <w:vAlign w:val="center"/>
          </w:tcPr>
          <w:p>
            <w:pPr>
              <w:widowControl/>
              <w:jc w:val="center"/>
              <w:rPr>
                <w:kern w:val="0"/>
                <w:sz w:val="18"/>
                <w:szCs w:val="18"/>
              </w:rPr>
            </w:pPr>
            <w:r>
              <w:rPr>
                <w:kern w:val="0"/>
                <w:sz w:val="18"/>
                <w:szCs w:val="18"/>
              </w:rPr>
              <w:t>2.17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秋季</w:t>
            </w:r>
          </w:p>
        </w:tc>
        <w:tc>
          <w:tcPr>
            <w:tcW w:w="277" w:type="pct"/>
            <w:shd w:val="clear" w:color="auto" w:fill="auto"/>
            <w:noWrap/>
            <w:vAlign w:val="center"/>
          </w:tcPr>
          <w:p>
            <w:pPr>
              <w:widowControl/>
              <w:jc w:val="center"/>
              <w:rPr>
                <w:kern w:val="0"/>
                <w:sz w:val="18"/>
                <w:szCs w:val="18"/>
              </w:rPr>
            </w:pPr>
            <w:r>
              <w:rPr>
                <w:kern w:val="0"/>
                <w:sz w:val="18"/>
                <w:szCs w:val="18"/>
              </w:rPr>
              <w:t>1.94</w:t>
            </w:r>
          </w:p>
        </w:tc>
        <w:tc>
          <w:tcPr>
            <w:tcW w:w="277" w:type="pct"/>
            <w:shd w:val="clear" w:color="auto" w:fill="auto"/>
            <w:noWrap/>
            <w:vAlign w:val="center"/>
          </w:tcPr>
          <w:p>
            <w:pPr>
              <w:widowControl/>
              <w:jc w:val="center"/>
              <w:rPr>
                <w:kern w:val="0"/>
                <w:sz w:val="18"/>
                <w:szCs w:val="18"/>
              </w:rPr>
            </w:pPr>
            <w:r>
              <w:rPr>
                <w:kern w:val="0"/>
                <w:sz w:val="18"/>
                <w:szCs w:val="18"/>
              </w:rPr>
              <w:t>2.18</w:t>
            </w:r>
          </w:p>
        </w:tc>
        <w:tc>
          <w:tcPr>
            <w:tcW w:w="277" w:type="pct"/>
            <w:shd w:val="clear" w:color="auto" w:fill="auto"/>
            <w:noWrap/>
            <w:vAlign w:val="center"/>
          </w:tcPr>
          <w:p>
            <w:pPr>
              <w:widowControl/>
              <w:jc w:val="center"/>
              <w:rPr>
                <w:kern w:val="0"/>
                <w:sz w:val="18"/>
                <w:szCs w:val="18"/>
              </w:rPr>
            </w:pPr>
            <w:r>
              <w:rPr>
                <w:kern w:val="0"/>
                <w:sz w:val="18"/>
                <w:szCs w:val="18"/>
              </w:rPr>
              <w:t>1.76</w:t>
            </w:r>
          </w:p>
        </w:tc>
        <w:tc>
          <w:tcPr>
            <w:tcW w:w="277" w:type="pct"/>
            <w:shd w:val="clear" w:color="auto" w:fill="auto"/>
            <w:noWrap/>
            <w:vAlign w:val="center"/>
          </w:tcPr>
          <w:p>
            <w:pPr>
              <w:widowControl/>
              <w:jc w:val="center"/>
              <w:rPr>
                <w:kern w:val="0"/>
                <w:sz w:val="18"/>
                <w:szCs w:val="18"/>
              </w:rPr>
            </w:pPr>
            <w:r>
              <w:rPr>
                <w:kern w:val="0"/>
                <w:sz w:val="18"/>
                <w:szCs w:val="18"/>
              </w:rPr>
              <w:t>1.31</w:t>
            </w:r>
          </w:p>
        </w:tc>
        <w:tc>
          <w:tcPr>
            <w:tcW w:w="277" w:type="pct"/>
            <w:shd w:val="clear" w:color="auto" w:fill="auto"/>
            <w:noWrap/>
            <w:vAlign w:val="center"/>
          </w:tcPr>
          <w:p>
            <w:pPr>
              <w:widowControl/>
              <w:jc w:val="center"/>
              <w:rPr>
                <w:kern w:val="0"/>
                <w:sz w:val="18"/>
                <w:szCs w:val="18"/>
              </w:rPr>
            </w:pPr>
            <w:r>
              <w:rPr>
                <w:kern w:val="0"/>
                <w:sz w:val="18"/>
                <w:szCs w:val="18"/>
              </w:rPr>
              <w:t>1.46</w:t>
            </w:r>
          </w:p>
        </w:tc>
        <w:tc>
          <w:tcPr>
            <w:tcW w:w="277" w:type="pct"/>
            <w:shd w:val="clear" w:color="auto" w:fill="auto"/>
            <w:noWrap/>
            <w:vAlign w:val="center"/>
          </w:tcPr>
          <w:p>
            <w:pPr>
              <w:widowControl/>
              <w:jc w:val="center"/>
              <w:rPr>
                <w:kern w:val="0"/>
                <w:sz w:val="18"/>
                <w:szCs w:val="18"/>
              </w:rPr>
            </w:pPr>
            <w:r>
              <w:rPr>
                <w:kern w:val="0"/>
                <w:sz w:val="18"/>
                <w:szCs w:val="18"/>
              </w:rPr>
              <w:t>1.36</w:t>
            </w:r>
          </w:p>
        </w:tc>
        <w:tc>
          <w:tcPr>
            <w:tcW w:w="277" w:type="pct"/>
            <w:shd w:val="clear" w:color="auto" w:fill="auto"/>
            <w:noWrap/>
            <w:vAlign w:val="center"/>
          </w:tcPr>
          <w:p>
            <w:pPr>
              <w:widowControl/>
              <w:jc w:val="center"/>
              <w:rPr>
                <w:kern w:val="0"/>
                <w:sz w:val="18"/>
                <w:szCs w:val="18"/>
              </w:rPr>
            </w:pPr>
            <w:r>
              <w:rPr>
                <w:kern w:val="0"/>
                <w:sz w:val="18"/>
                <w:szCs w:val="18"/>
              </w:rPr>
              <w:t>1.36</w:t>
            </w:r>
          </w:p>
        </w:tc>
        <w:tc>
          <w:tcPr>
            <w:tcW w:w="277" w:type="pct"/>
            <w:shd w:val="clear" w:color="auto" w:fill="auto"/>
            <w:noWrap/>
            <w:vAlign w:val="center"/>
          </w:tcPr>
          <w:p>
            <w:pPr>
              <w:widowControl/>
              <w:jc w:val="center"/>
              <w:rPr>
                <w:kern w:val="0"/>
                <w:sz w:val="18"/>
                <w:szCs w:val="18"/>
              </w:rPr>
            </w:pPr>
            <w:r>
              <w:rPr>
                <w:kern w:val="0"/>
                <w:sz w:val="18"/>
                <w:szCs w:val="18"/>
              </w:rPr>
              <w:t>1.55</w:t>
            </w:r>
          </w:p>
        </w:tc>
        <w:tc>
          <w:tcPr>
            <w:tcW w:w="277" w:type="pct"/>
            <w:shd w:val="clear" w:color="auto" w:fill="auto"/>
            <w:noWrap/>
            <w:vAlign w:val="center"/>
          </w:tcPr>
          <w:p>
            <w:pPr>
              <w:widowControl/>
              <w:jc w:val="center"/>
              <w:rPr>
                <w:kern w:val="0"/>
                <w:sz w:val="18"/>
                <w:szCs w:val="18"/>
              </w:rPr>
            </w:pPr>
            <w:r>
              <w:rPr>
                <w:kern w:val="0"/>
                <w:sz w:val="18"/>
                <w:szCs w:val="18"/>
              </w:rPr>
              <w:t>2.13</w:t>
            </w:r>
          </w:p>
        </w:tc>
        <w:tc>
          <w:tcPr>
            <w:tcW w:w="277" w:type="pct"/>
            <w:shd w:val="clear" w:color="auto" w:fill="auto"/>
            <w:noWrap/>
            <w:vAlign w:val="center"/>
          </w:tcPr>
          <w:p>
            <w:pPr>
              <w:widowControl/>
              <w:jc w:val="center"/>
              <w:rPr>
                <w:kern w:val="0"/>
                <w:sz w:val="18"/>
                <w:szCs w:val="18"/>
              </w:rPr>
            </w:pPr>
            <w:r>
              <w:rPr>
                <w:kern w:val="0"/>
                <w:sz w:val="18"/>
                <w:szCs w:val="18"/>
              </w:rPr>
              <w:t>2.43</w:t>
            </w:r>
          </w:p>
        </w:tc>
        <w:tc>
          <w:tcPr>
            <w:tcW w:w="277" w:type="pct"/>
            <w:shd w:val="clear" w:color="auto" w:fill="auto"/>
            <w:noWrap/>
            <w:vAlign w:val="center"/>
          </w:tcPr>
          <w:p>
            <w:pPr>
              <w:widowControl/>
              <w:jc w:val="center"/>
              <w:rPr>
                <w:kern w:val="0"/>
                <w:sz w:val="18"/>
                <w:szCs w:val="18"/>
              </w:rPr>
            </w:pPr>
            <w:r>
              <w:rPr>
                <w:kern w:val="0"/>
                <w:sz w:val="18"/>
                <w:szCs w:val="18"/>
              </w:rPr>
              <w:t>1.91</w:t>
            </w:r>
          </w:p>
        </w:tc>
        <w:tc>
          <w:tcPr>
            <w:tcW w:w="277" w:type="pct"/>
            <w:shd w:val="clear" w:color="auto" w:fill="auto"/>
            <w:noWrap/>
            <w:vAlign w:val="center"/>
          </w:tcPr>
          <w:p>
            <w:pPr>
              <w:widowControl/>
              <w:jc w:val="center"/>
              <w:rPr>
                <w:kern w:val="0"/>
                <w:sz w:val="18"/>
                <w:szCs w:val="18"/>
              </w:rPr>
            </w:pPr>
            <w:r>
              <w:rPr>
                <w:kern w:val="0"/>
                <w:sz w:val="18"/>
                <w:szCs w:val="18"/>
              </w:rPr>
              <w:t>1.61</w:t>
            </w:r>
          </w:p>
        </w:tc>
        <w:tc>
          <w:tcPr>
            <w:tcW w:w="277" w:type="pct"/>
            <w:shd w:val="clear" w:color="auto" w:fill="auto"/>
            <w:noWrap/>
            <w:vAlign w:val="center"/>
          </w:tcPr>
          <w:p>
            <w:pPr>
              <w:widowControl/>
              <w:jc w:val="center"/>
              <w:rPr>
                <w:kern w:val="0"/>
                <w:sz w:val="18"/>
                <w:szCs w:val="18"/>
              </w:rPr>
            </w:pPr>
            <w:r>
              <w:rPr>
                <w:kern w:val="0"/>
                <w:sz w:val="18"/>
                <w:szCs w:val="18"/>
              </w:rPr>
              <w:t>1.45</w:t>
            </w:r>
          </w:p>
        </w:tc>
        <w:tc>
          <w:tcPr>
            <w:tcW w:w="277" w:type="pct"/>
            <w:shd w:val="clear" w:color="auto" w:fill="auto"/>
            <w:noWrap/>
            <w:vAlign w:val="center"/>
          </w:tcPr>
          <w:p>
            <w:pPr>
              <w:widowControl/>
              <w:jc w:val="center"/>
              <w:rPr>
                <w:kern w:val="0"/>
                <w:sz w:val="18"/>
                <w:szCs w:val="18"/>
              </w:rPr>
            </w:pPr>
            <w:r>
              <w:rPr>
                <w:kern w:val="0"/>
                <w:sz w:val="18"/>
                <w:szCs w:val="18"/>
              </w:rPr>
              <w:t>1.58</w:t>
            </w:r>
          </w:p>
        </w:tc>
        <w:tc>
          <w:tcPr>
            <w:tcW w:w="277" w:type="pct"/>
            <w:shd w:val="clear" w:color="auto" w:fill="auto"/>
            <w:noWrap/>
            <w:vAlign w:val="center"/>
          </w:tcPr>
          <w:p>
            <w:pPr>
              <w:widowControl/>
              <w:jc w:val="center"/>
              <w:rPr>
                <w:kern w:val="0"/>
                <w:sz w:val="18"/>
                <w:szCs w:val="18"/>
              </w:rPr>
            </w:pPr>
            <w:r>
              <w:rPr>
                <w:kern w:val="0"/>
                <w:sz w:val="18"/>
                <w:szCs w:val="18"/>
              </w:rPr>
              <w:t>2.09</w:t>
            </w:r>
          </w:p>
        </w:tc>
        <w:tc>
          <w:tcPr>
            <w:tcW w:w="277" w:type="pct"/>
            <w:shd w:val="clear" w:color="auto" w:fill="auto"/>
            <w:noWrap/>
            <w:vAlign w:val="center"/>
          </w:tcPr>
          <w:p>
            <w:pPr>
              <w:widowControl/>
              <w:jc w:val="center"/>
              <w:rPr>
                <w:kern w:val="0"/>
                <w:sz w:val="18"/>
                <w:szCs w:val="18"/>
              </w:rPr>
            </w:pPr>
            <w:r>
              <w:rPr>
                <w:kern w:val="0"/>
                <w:sz w:val="18"/>
                <w:szCs w:val="18"/>
              </w:rPr>
              <w:t>2.13</w:t>
            </w:r>
          </w:p>
        </w:tc>
        <w:tc>
          <w:tcPr>
            <w:tcW w:w="270" w:type="pct"/>
            <w:shd w:val="clear" w:color="auto" w:fill="auto"/>
            <w:noWrap/>
            <w:vAlign w:val="center"/>
          </w:tcPr>
          <w:p>
            <w:pPr>
              <w:widowControl/>
              <w:jc w:val="center"/>
              <w:rPr>
                <w:kern w:val="0"/>
                <w:sz w:val="18"/>
                <w:szCs w:val="18"/>
              </w:rPr>
            </w:pPr>
            <w:r>
              <w:rPr>
                <w:kern w:val="0"/>
                <w:sz w:val="18"/>
                <w:szCs w:val="18"/>
              </w:rPr>
              <w:t>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auto"/>
            <w:noWrap/>
            <w:vAlign w:val="center"/>
          </w:tcPr>
          <w:p>
            <w:pPr>
              <w:widowControl/>
              <w:jc w:val="center"/>
              <w:rPr>
                <w:kern w:val="0"/>
                <w:sz w:val="18"/>
                <w:szCs w:val="18"/>
              </w:rPr>
            </w:pPr>
            <w:r>
              <w:rPr>
                <w:kern w:val="0"/>
                <w:sz w:val="18"/>
                <w:szCs w:val="18"/>
              </w:rPr>
              <w:t>冬季</w:t>
            </w:r>
          </w:p>
        </w:tc>
        <w:tc>
          <w:tcPr>
            <w:tcW w:w="277" w:type="pct"/>
            <w:shd w:val="clear" w:color="auto" w:fill="auto"/>
            <w:noWrap/>
            <w:vAlign w:val="center"/>
          </w:tcPr>
          <w:p>
            <w:pPr>
              <w:widowControl/>
              <w:jc w:val="center"/>
              <w:rPr>
                <w:kern w:val="0"/>
                <w:sz w:val="18"/>
                <w:szCs w:val="18"/>
              </w:rPr>
            </w:pPr>
            <w:r>
              <w:rPr>
                <w:kern w:val="0"/>
                <w:sz w:val="18"/>
                <w:szCs w:val="18"/>
              </w:rPr>
              <w:t>2.4</w:t>
            </w:r>
          </w:p>
        </w:tc>
        <w:tc>
          <w:tcPr>
            <w:tcW w:w="277" w:type="pct"/>
            <w:shd w:val="clear" w:color="auto" w:fill="auto"/>
            <w:noWrap/>
            <w:vAlign w:val="center"/>
          </w:tcPr>
          <w:p>
            <w:pPr>
              <w:widowControl/>
              <w:jc w:val="center"/>
              <w:rPr>
                <w:kern w:val="0"/>
                <w:sz w:val="18"/>
                <w:szCs w:val="18"/>
              </w:rPr>
            </w:pPr>
            <w:r>
              <w:rPr>
                <w:kern w:val="0"/>
                <w:sz w:val="18"/>
                <w:szCs w:val="18"/>
              </w:rPr>
              <w:t>2.69</w:t>
            </w:r>
          </w:p>
        </w:tc>
        <w:tc>
          <w:tcPr>
            <w:tcW w:w="277" w:type="pct"/>
            <w:shd w:val="clear" w:color="auto" w:fill="auto"/>
            <w:noWrap/>
            <w:vAlign w:val="center"/>
          </w:tcPr>
          <w:p>
            <w:pPr>
              <w:widowControl/>
              <w:jc w:val="center"/>
              <w:rPr>
                <w:kern w:val="0"/>
                <w:sz w:val="18"/>
                <w:szCs w:val="18"/>
              </w:rPr>
            </w:pPr>
            <w:r>
              <w:rPr>
                <w:kern w:val="0"/>
                <w:sz w:val="18"/>
                <w:szCs w:val="18"/>
              </w:rPr>
              <w:t>2.33</w:t>
            </w:r>
          </w:p>
        </w:tc>
        <w:tc>
          <w:tcPr>
            <w:tcW w:w="277" w:type="pct"/>
            <w:shd w:val="clear" w:color="auto" w:fill="auto"/>
            <w:noWrap/>
            <w:vAlign w:val="center"/>
          </w:tcPr>
          <w:p>
            <w:pPr>
              <w:widowControl/>
              <w:jc w:val="center"/>
              <w:rPr>
                <w:kern w:val="0"/>
                <w:sz w:val="18"/>
                <w:szCs w:val="18"/>
              </w:rPr>
            </w:pPr>
            <w:r>
              <w:rPr>
                <w:kern w:val="0"/>
                <w:sz w:val="18"/>
                <w:szCs w:val="18"/>
              </w:rPr>
              <w:t>2.26</w:t>
            </w:r>
          </w:p>
        </w:tc>
        <w:tc>
          <w:tcPr>
            <w:tcW w:w="277" w:type="pct"/>
            <w:shd w:val="clear" w:color="auto" w:fill="auto"/>
            <w:noWrap/>
            <w:vAlign w:val="center"/>
          </w:tcPr>
          <w:p>
            <w:pPr>
              <w:widowControl/>
              <w:jc w:val="center"/>
              <w:rPr>
                <w:kern w:val="0"/>
                <w:sz w:val="18"/>
                <w:szCs w:val="18"/>
              </w:rPr>
            </w:pPr>
            <w:r>
              <w:rPr>
                <w:kern w:val="0"/>
                <w:sz w:val="18"/>
                <w:szCs w:val="18"/>
              </w:rPr>
              <w:t>1.87</w:t>
            </w:r>
          </w:p>
        </w:tc>
        <w:tc>
          <w:tcPr>
            <w:tcW w:w="277" w:type="pct"/>
            <w:shd w:val="clear" w:color="auto" w:fill="auto"/>
            <w:noWrap/>
            <w:vAlign w:val="center"/>
          </w:tcPr>
          <w:p>
            <w:pPr>
              <w:widowControl/>
              <w:jc w:val="center"/>
              <w:rPr>
                <w:kern w:val="0"/>
                <w:sz w:val="18"/>
                <w:szCs w:val="18"/>
              </w:rPr>
            </w:pPr>
            <w:r>
              <w:rPr>
                <w:kern w:val="0"/>
                <w:sz w:val="18"/>
                <w:szCs w:val="18"/>
              </w:rPr>
              <w:t>1.51</w:t>
            </w:r>
          </w:p>
        </w:tc>
        <w:tc>
          <w:tcPr>
            <w:tcW w:w="277" w:type="pct"/>
            <w:shd w:val="clear" w:color="auto" w:fill="auto"/>
            <w:noWrap/>
            <w:vAlign w:val="center"/>
          </w:tcPr>
          <w:p>
            <w:pPr>
              <w:widowControl/>
              <w:jc w:val="center"/>
              <w:rPr>
                <w:kern w:val="0"/>
                <w:sz w:val="18"/>
                <w:szCs w:val="18"/>
              </w:rPr>
            </w:pPr>
            <w:r>
              <w:rPr>
                <w:kern w:val="0"/>
                <w:sz w:val="18"/>
                <w:szCs w:val="18"/>
              </w:rPr>
              <w:t>1.44</w:t>
            </w:r>
          </w:p>
        </w:tc>
        <w:tc>
          <w:tcPr>
            <w:tcW w:w="277" w:type="pct"/>
            <w:shd w:val="clear" w:color="auto" w:fill="auto"/>
            <w:noWrap/>
            <w:vAlign w:val="center"/>
          </w:tcPr>
          <w:p>
            <w:pPr>
              <w:widowControl/>
              <w:jc w:val="center"/>
              <w:rPr>
                <w:kern w:val="0"/>
                <w:sz w:val="18"/>
                <w:szCs w:val="18"/>
              </w:rPr>
            </w:pPr>
            <w:r>
              <w:rPr>
                <w:kern w:val="0"/>
                <w:sz w:val="18"/>
                <w:szCs w:val="18"/>
              </w:rPr>
              <w:t>1.61</w:t>
            </w:r>
          </w:p>
        </w:tc>
        <w:tc>
          <w:tcPr>
            <w:tcW w:w="277" w:type="pct"/>
            <w:shd w:val="clear" w:color="auto" w:fill="auto"/>
            <w:noWrap/>
            <w:vAlign w:val="center"/>
          </w:tcPr>
          <w:p>
            <w:pPr>
              <w:widowControl/>
              <w:jc w:val="center"/>
              <w:rPr>
                <w:kern w:val="0"/>
                <w:sz w:val="18"/>
                <w:szCs w:val="18"/>
              </w:rPr>
            </w:pPr>
            <w:r>
              <w:rPr>
                <w:kern w:val="0"/>
                <w:sz w:val="18"/>
                <w:szCs w:val="18"/>
              </w:rPr>
              <w:t>2.48</w:t>
            </w:r>
          </w:p>
        </w:tc>
        <w:tc>
          <w:tcPr>
            <w:tcW w:w="277" w:type="pct"/>
            <w:shd w:val="clear" w:color="auto" w:fill="auto"/>
            <w:noWrap/>
            <w:vAlign w:val="center"/>
          </w:tcPr>
          <w:p>
            <w:pPr>
              <w:widowControl/>
              <w:jc w:val="center"/>
              <w:rPr>
                <w:kern w:val="0"/>
                <w:sz w:val="18"/>
                <w:szCs w:val="18"/>
              </w:rPr>
            </w:pPr>
            <w:r>
              <w:rPr>
                <w:kern w:val="0"/>
                <w:sz w:val="18"/>
                <w:szCs w:val="18"/>
              </w:rPr>
              <w:t>2.68</w:t>
            </w:r>
          </w:p>
        </w:tc>
        <w:tc>
          <w:tcPr>
            <w:tcW w:w="277" w:type="pct"/>
            <w:shd w:val="clear" w:color="auto" w:fill="auto"/>
            <w:noWrap/>
            <w:vAlign w:val="center"/>
          </w:tcPr>
          <w:p>
            <w:pPr>
              <w:widowControl/>
              <w:jc w:val="center"/>
              <w:rPr>
                <w:kern w:val="0"/>
                <w:sz w:val="18"/>
                <w:szCs w:val="18"/>
              </w:rPr>
            </w:pPr>
            <w:r>
              <w:rPr>
                <w:kern w:val="0"/>
                <w:sz w:val="18"/>
                <w:szCs w:val="18"/>
              </w:rPr>
              <w:t>1.6</w:t>
            </w:r>
          </w:p>
        </w:tc>
        <w:tc>
          <w:tcPr>
            <w:tcW w:w="277" w:type="pct"/>
            <w:shd w:val="clear" w:color="auto" w:fill="auto"/>
            <w:noWrap/>
            <w:vAlign w:val="center"/>
          </w:tcPr>
          <w:p>
            <w:pPr>
              <w:widowControl/>
              <w:jc w:val="center"/>
              <w:rPr>
                <w:kern w:val="0"/>
                <w:sz w:val="18"/>
                <w:szCs w:val="18"/>
              </w:rPr>
            </w:pPr>
            <w:r>
              <w:rPr>
                <w:kern w:val="0"/>
                <w:sz w:val="18"/>
                <w:szCs w:val="18"/>
              </w:rPr>
              <w:t>1.53</w:t>
            </w:r>
          </w:p>
        </w:tc>
        <w:tc>
          <w:tcPr>
            <w:tcW w:w="277" w:type="pct"/>
            <w:shd w:val="clear" w:color="auto" w:fill="auto"/>
            <w:noWrap/>
            <w:vAlign w:val="center"/>
          </w:tcPr>
          <w:p>
            <w:pPr>
              <w:widowControl/>
              <w:jc w:val="center"/>
              <w:rPr>
                <w:kern w:val="0"/>
                <w:sz w:val="18"/>
                <w:szCs w:val="18"/>
              </w:rPr>
            </w:pPr>
            <w:r>
              <w:rPr>
                <w:kern w:val="0"/>
                <w:sz w:val="18"/>
                <w:szCs w:val="18"/>
              </w:rPr>
              <w:t>1.37</w:t>
            </w:r>
          </w:p>
        </w:tc>
        <w:tc>
          <w:tcPr>
            <w:tcW w:w="277" w:type="pct"/>
            <w:shd w:val="clear" w:color="auto" w:fill="auto"/>
            <w:noWrap/>
            <w:vAlign w:val="center"/>
          </w:tcPr>
          <w:p>
            <w:pPr>
              <w:widowControl/>
              <w:jc w:val="center"/>
              <w:rPr>
                <w:kern w:val="0"/>
                <w:sz w:val="18"/>
                <w:szCs w:val="18"/>
              </w:rPr>
            </w:pPr>
            <w:r>
              <w:rPr>
                <w:kern w:val="0"/>
                <w:sz w:val="18"/>
                <w:szCs w:val="18"/>
              </w:rPr>
              <w:t>1.58</w:t>
            </w:r>
          </w:p>
        </w:tc>
        <w:tc>
          <w:tcPr>
            <w:tcW w:w="277" w:type="pct"/>
            <w:shd w:val="clear" w:color="auto" w:fill="auto"/>
            <w:noWrap/>
            <w:vAlign w:val="center"/>
          </w:tcPr>
          <w:p>
            <w:pPr>
              <w:widowControl/>
              <w:jc w:val="center"/>
              <w:rPr>
                <w:kern w:val="0"/>
                <w:sz w:val="18"/>
                <w:szCs w:val="18"/>
              </w:rPr>
            </w:pPr>
            <w:r>
              <w:rPr>
                <w:kern w:val="0"/>
                <w:sz w:val="18"/>
                <w:szCs w:val="18"/>
              </w:rPr>
              <w:t>2.24</w:t>
            </w:r>
          </w:p>
        </w:tc>
        <w:tc>
          <w:tcPr>
            <w:tcW w:w="277" w:type="pct"/>
            <w:shd w:val="clear" w:color="auto" w:fill="auto"/>
            <w:noWrap/>
            <w:vAlign w:val="center"/>
          </w:tcPr>
          <w:p>
            <w:pPr>
              <w:widowControl/>
              <w:jc w:val="center"/>
              <w:rPr>
                <w:kern w:val="0"/>
                <w:sz w:val="18"/>
                <w:szCs w:val="18"/>
              </w:rPr>
            </w:pPr>
            <w:r>
              <w:rPr>
                <w:kern w:val="0"/>
                <w:sz w:val="18"/>
                <w:szCs w:val="18"/>
              </w:rPr>
              <w:t>1.96</w:t>
            </w:r>
          </w:p>
        </w:tc>
        <w:tc>
          <w:tcPr>
            <w:tcW w:w="270" w:type="pct"/>
            <w:shd w:val="clear" w:color="auto" w:fill="auto"/>
            <w:noWrap/>
            <w:vAlign w:val="center"/>
          </w:tcPr>
          <w:p>
            <w:pPr>
              <w:widowControl/>
              <w:jc w:val="center"/>
              <w:rPr>
                <w:kern w:val="0"/>
                <w:sz w:val="18"/>
                <w:szCs w:val="18"/>
              </w:rPr>
            </w:pPr>
            <w:r>
              <w:rPr>
                <w:kern w:val="0"/>
                <w:sz w:val="18"/>
                <w:szCs w:val="18"/>
              </w:rPr>
              <w:t>2.11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98" w:type="pct"/>
            <w:shd w:val="clear" w:color="auto" w:fill="D6E3BC"/>
            <w:noWrap/>
            <w:vAlign w:val="center"/>
          </w:tcPr>
          <w:p>
            <w:pPr>
              <w:widowControl/>
              <w:jc w:val="center"/>
              <w:rPr>
                <w:kern w:val="0"/>
                <w:sz w:val="18"/>
                <w:szCs w:val="18"/>
              </w:rPr>
            </w:pPr>
            <w:r>
              <w:rPr>
                <w:kern w:val="0"/>
                <w:sz w:val="18"/>
                <w:szCs w:val="18"/>
              </w:rPr>
              <w:t>全年</w:t>
            </w:r>
          </w:p>
        </w:tc>
        <w:tc>
          <w:tcPr>
            <w:tcW w:w="277" w:type="pct"/>
            <w:shd w:val="clear" w:color="auto" w:fill="D6E3BC"/>
            <w:noWrap/>
            <w:vAlign w:val="center"/>
          </w:tcPr>
          <w:p>
            <w:pPr>
              <w:widowControl/>
              <w:jc w:val="center"/>
              <w:rPr>
                <w:kern w:val="0"/>
                <w:sz w:val="18"/>
                <w:szCs w:val="18"/>
              </w:rPr>
            </w:pPr>
            <w:r>
              <w:rPr>
                <w:kern w:val="0"/>
                <w:sz w:val="18"/>
                <w:szCs w:val="18"/>
              </w:rPr>
              <w:t>2.35</w:t>
            </w:r>
          </w:p>
        </w:tc>
        <w:tc>
          <w:tcPr>
            <w:tcW w:w="277" w:type="pct"/>
            <w:shd w:val="clear" w:color="auto" w:fill="D6E3BC"/>
            <w:noWrap/>
            <w:vAlign w:val="center"/>
          </w:tcPr>
          <w:p>
            <w:pPr>
              <w:widowControl/>
              <w:jc w:val="center"/>
              <w:rPr>
                <w:kern w:val="0"/>
                <w:sz w:val="18"/>
                <w:szCs w:val="18"/>
              </w:rPr>
            </w:pPr>
            <w:r>
              <w:rPr>
                <w:kern w:val="0"/>
                <w:sz w:val="18"/>
                <w:szCs w:val="18"/>
              </w:rPr>
              <w:t>2.47</w:t>
            </w:r>
          </w:p>
        </w:tc>
        <w:tc>
          <w:tcPr>
            <w:tcW w:w="277" w:type="pct"/>
            <w:shd w:val="clear" w:color="auto" w:fill="D6E3BC"/>
            <w:noWrap/>
            <w:vAlign w:val="center"/>
          </w:tcPr>
          <w:p>
            <w:pPr>
              <w:widowControl/>
              <w:jc w:val="center"/>
              <w:rPr>
                <w:kern w:val="0"/>
                <w:sz w:val="18"/>
                <w:szCs w:val="18"/>
              </w:rPr>
            </w:pPr>
            <w:r>
              <w:rPr>
                <w:kern w:val="0"/>
                <w:sz w:val="18"/>
                <w:szCs w:val="18"/>
              </w:rPr>
              <w:t>2.21</w:t>
            </w:r>
          </w:p>
        </w:tc>
        <w:tc>
          <w:tcPr>
            <w:tcW w:w="277" w:type="pct"/>
            <w:shd w:val="clear" w:color="auto" w:fill="D6E3BC"/>
            <w:noWrap/>
            <w:vAlign w:val="center"/>
          </w:tcPr>
          <w:p>
            <w:pPr>
              <w:widowControl/>
              <w:jc w:val="center"/>
              <w:rPr>
                <w:kern w:val="0"/>
                <w:sz w:val="18"/>
                <w:szCs w:val="18"/>
              </w:rPr>
            </w:pPr>
            <w:r>
              <w:rPr>
                <w:kern w:val="0"/>
                <w:sz w:val="18"/>
                <w:szCs w:val="18"/>
              </w:rPr>
              <w:t>1.91</w:t>
            </w:r>
          </w:p>
        </w:tc>
        <w:tc>
          <w:tcPr>
            <w:tcW w:w="277" w:type="pct"/>
            <w:shd w:val="clear" w:color="auto" w:fill="D6E3BC"/>
            <w:noWrap/>
            <w:vAlign w:val="center"/>
          </w:tcPr>
          <w:p>
            <w:pPr>
              <w:widowControl/>
              <w:jc w:val="center"/>
              <w:rPr>
                <w:kern w:val="0"/>
                <w:sz w:val="18"/>
                <w:szCs w:val="18"/>
              </w:rPr>
            </w:pPr>
            <w:r>
              <w:rPr>
                <w:kern w:val="0"/>
                <w:sz w:val="18"/>
                <w:szCs w:val="18"/>
              </w:rPr>
              <w:t>1.72</w:t>
            </w:r>
          </w:p>
        </w:tc>
        <w:tc>
          <w:tcPr>
            <w:tcW w:w="277" w:type="pct"/>
            <w:shd w:val="clear" w:color="auto" w:fill="D6E3BC"/>
            <w:noWrap/>
            <w:vAlign w:val="center"/>
          </w:tcPr>
          <w:p>
            <w:pPr>
              <w:widowControl/>
              <w:jc w:val="center"/>
              <w:rPr>
                <w:kern w:val="0"/>
                <w:sz w:val="18"/>
                <w:szCs w:val="18"/>
              </w:rPr>
            </w:pPr>
            <w:r>
              <w:rPr>
                <w:kern w:val="0"/>
                <w:sz w:val="18"/>
                <w:szCs w:val="18"/>
              </w:rPr>
              <w:t>1.48</w:t>
            </w:r>
          </w:p>
        </w:tc>
        <w:tc>
          <w:tcPr>
            <w:tcW w:w="277" w:type="pct"/>
            <w:shd w:val="clear" w:color="auto" w:fill="D6E3BC"/>
            <w:noWrap/>
            <w:vAlign w:val="center"/>
          </w:tcPr>
          <w:p>
            <w:pPr>
              <w:widowControl/>
              <w:jc w:val="center"/>
              <w:rPr>
                <w:kern w:val="0"/>
                <w:sz w:val="18"/>
                <w:szCs w:val="18"/>
              </w:rPr>
            </w:pPr>
            <w:r>
              <w:rPr>
                <w:kern w:val="0"/>
                <w:sz w:val="18"/>
                <w:szCs w:val="18"/>
              </w:rPr>
              <w:t>1.44</w:t>
            </w:r>
          </w:p>
        </w:tc>
        <w:tc>
          <w:tcPr>
            <w:tcW w:w="277" w:type="pct"/>
            <w:shd w:val="clear" w:color="auto" w:fill="D6E3BC"/>
            <w:noWrap/>
            <w:vAlign w:val="center"/>
          </w:tcPr>
          <w:p>
            <w:pPr>
              <w:widowControl/>
              <w:jc w:val="center"/>
              <w:rPr>
                <w:kern w:val="0"/>
                <w:sz w:val="18"/>
                <w:szCs w:val="18"/>
              </w:rPr>
            </w:pPr>
            <w:r>
              <w:rPr>
                <w:kern w:val="0"/>
                <w:sz w:val="18"/>
                <w:szCs w:val="18"/>
              </w:rPr>
              <w:t>1.63</w:t>
            </w:r>
          </w:p>
        </w:tc>
        <w:tc>
          <w:tcPr>
            <w:tcW w:w="277" w:type="pct"/>
            <w:shd w:val="clear" w:color="auto" w:fill="D6E3BC"/>
            <w:noWrap/>
            <w:vAlign w:val="center"/>
          </w:tcPr>
          <w:p>
            <w:pPr>
              <w:widowControl/>
              <w:jc w:val="center"/>
              <w:rPr>
                <w:kern w:val="0"/>
                <w:sz w:val="18"/>
                <w:szCs w:val="18"/>
              </w:rPr>
            </w:pPr>
            <w:r>
              <w:rPr>
                <w:kern w:val="0"/>
                <w:sz w:val="18"/>
                <w:szCs w:val="18"/>
              </w:rPr>
              <w:t>2.92</w:t>
            </w:r>
          </w:p>
        </w:tc>
        <w:tc>
          <w:tcPr>
            <w:tcW w:w="277" w:type="pct"/>
            <w:shd w:val="clear" w:color="auto" w:fill="D6E3BC"/>
            <w:noWrap/>
            <w:vAlign w:val="center"/>
          </w:tcPr>
          <w:p>
            <w:pPr>
              <w:widowControl/>
              <w:jc w:val="center"/>
              <w:rPr>
                <w:kern w:val="0"/>
                <w:sz w:val="18"/>
                <w:szCs w:val="18"/>
              </w:rPr>
            </w:pPr>
            <w:r>
              <w:rPr>
                <w:kern w:val="0"/>
                <w:sz w:val="18"/>
                <w:szCs w:val="18"/>
              </w:rPr>
              <w:t>3.28</w:t>
            </w:r>
          </w:p>
        </w:tc>
        <w:tc>
          <w:tcPr>
            <w:tcW w:w="277" w:type="pct"/>
            <w:shd w:val="clear" w:color="auto" w:fill="D6E3BC"/>
            <w:noWrap/>
            <w:vAlign w:val="center"/>
          </w:tcPr>
          <w:p>
            <w:pPr>
              <w:widowControl/>
              <w:jc w:val="center"/>
              <w:rPr>
                <w:kern w:val="0"/>
                <w:sz w:val="18"/>
                <w:szCs w:val="18"/>
              </w:rPr>
            </w:pPr>
            <w:r>
              <w:rPr>
                <w:kern w:val="0"/>
                <w:sz w:val="18"/>
                <w:szCs w:val="18"/>
              </w:rPr>
              <w:t>1.95</w:t>
            </w:r>
          </w:p>
        </w:tc>
        <w:tc>
          <w:tcPr>
            <w:tcW w:w="277" w:type="pct"/>
            <w:shd w:val="clear" w:color="auto" w:fill="D6E3BC"/>
            <w:noWrap/>
            <w:vAlign w:val="center"/>
          </w:tcPr>
          <w:p>
            <w:pPr>
              <w:widowControl/>
              <w:jc w:val="center"/>
              <w:rPr>
                <w:kern w:val="0"/>
                <w:sz w:val="18"/>
                <w:szCs w:val="18"/>
              </w:rPr>
            </w:pPr>
            <w:r>
              <w:rPr>
                <w:kern w:val="0"/>
                <w:sz w:val="18"/>
                <w:szCs w:val="18"/>
              </w:rPr>
              <w:t>1.55</w:t>
            </w:r>
          </w:p>
        </w:tc>
        <w:tc>
          <w:tcPr>
            <w:tcW w:w="277" w:type="pct"/>
            <w:shd w:val="clear" w:color="auto" w:fill="D6E3BC"/>
            <w:noWrap/>
            <w:vAlign w:val="center"/>
          </w:tcPr>
          <w:p>
            <w:pPr>
              <w:widowControl/>
              <w:jc w:val="center"/>
              <w:rPr>
                <w:kern w:val="0"/>
                <w:sz w:val="18"/>
                <w:szCs w:val="18"/>
              </w:rPr>
            </w:pPr>
            <w:r>
              <w:rPr>
                <w:kern w:val="0"/>
                <w:sz w:val="18"/>
                <w:szCs w:val="18"/>
              </w:rPr>
              <w:t>1.4</w:t>
            </w:r>
          </w:p>
        </w:tc>
        <w:tc>
          <w:tcPr>
            <w:tcW w:w="277" w:type="pct"/>
            <w:shd w:val="clear" w:color="auto" w:fill="D6E3BC"/>
            <w:noWrap/>
            <w:vAlign w:val="center"/>
          </w:tcPr>
          <w:p>
            <w:pPr>
              <w:widowControl/>
              <w:jc w:val="center"/>
              <w:rPr>
                <w:kern w:val="0"/>
                <w:sz w:val="18"/>
                <w:szCs w:val="18"/>
              </w:rPr>
            </w:pPr>
            <w:r>
              <w:rPr>
                <w:kern w:val="0"/>
                <w:sz w:val="18"/>
                <w:szCs w:val="18"/>
              </w:rPr>
              <w:t>1.5</w:t>
            </w:r>
          </w:p>
        </w:tc>
        <w:tc>
          <w:tcPr>
            <w:tcW w:w="277" w:type="pct"/>
            <w:shd w:val="clear" w:color="auto" w:fill="D6E3BC"/>
            <w:noWrap/>
            <w:vAlign w:val="center"/>
          </w:tcPr>
          <w:p>
            <w:pPr>
              <w:widowControl/>
              <w:jc w:val="center"/>
              <w:rPr>
                <w:kern w:val="0"/>
                <w:sz w:val="18"/>
                <w:szCs w:val="18"/>
              </w:rPr>
            </w:pPr>
            <w:r>
              <w:rPr>
                <w:kern w:val="0"/>
                <w:sz w:val="18"/>
                <w:szCs w:val="18"/>
              </w:rPr>
              <w:t>2.12</w:t>
            </w:r>
          </w:p>
        </w:tc>
        <w:tc>
          <w:tcPr>
            <w:tcW w:w="277" w:type="pct"/>
            <w:shd w:val="clear" w:color="auto" w:fill="D6E3BC"/>
            <w:noWrap/>
            <w:vAlign w:val="center"/>
          </w:tcPr>
          <w:p>
            <w:pPr>
              <w:widowControl/>
              <w:jc w:val="center"/>
              <w:rPr>
                <w:kern w:val="0"/>
                <w:sz w:val="18"/>
                <w:szCs w:val="18"/>
              </w:rPr>
            </w:pPr>
            <w:r>
              <w:rPr>
                <w:kern w:val="0"/>
                <w:sz w:val="18"/>
                <w:szCs w:val="18"/>
              </w:rPr>
              <w:t>2.01</w:t>
            </w:r>
          </w:p>
        </w:tc>
        <w:tc>
          <w:tcPr>
            <w:tcW w:w="270" w:type="pct"/>
            <w:shd w:val="clear" w:color="auto" w:fill="D6E3BC"/>
            <w:noWrap/>
            <w:vAlign w:val="center"/>
          </w:tcPr>
          <w:p>
            <w:pPr>
              <w:widowControl/>
              <w:jc w:val="center"/>
              <w:rPr>
                <w:kern w:val="0"/>
                <w:sz w:val="18"/>
                <w:szCs w:val="18"/>
              </w:rPr>
            </w:pPr>
            <w:r>
              <w:rPr>
                <w:kern w:val="0"/>
                <w:sz w:val="18"/>
                <w:szCs w:val="18"/>
              </w:rPr>
              <w:t>2.29</w:t>
            </w:r>
          </w:p>
        </w:tc>
      </w:tr>
    </w:tbl>
    <w:p>
      <w:pPr>
        <w:jc w:val="center"/>
        <w:rPr>
          <w:b/>
          <w:bCs/>
          <w:sz w:val="24"/>
          <w:szCs w:val="24"/>
        </w:rPr>
      </w:pPr>
    </w:p>
    <w:p>
      <w:pPr>
        <w:jc w:val="center"/>
        <w:rPr>
          <w:b/>
          <w:bCs/>
          <w:sz w:val="24"/>
          <w:szCs w:val="24"/>
        </w:rPr>
      </w:pPr>
      <w:r>
        <w:rPr>
          <w:b/>
          <w:bCs/>
          <w:sz w:val="24"/>
          <w:szCs w:val="24"/>
        </w:rPr>
        <w:t xml:space="preserve">表5.2-8  围场县2019年平均风速月变化统计表   </w:t>
      </w:r>
    </w:p>
    <w:tbl>
      <w:tblPr>
        <w:tblStyle w:val="39"/>
        <w:tblW w:w="502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48"/>
        <w:gridCol w:w="977"/>
        <w:gridCol w:w="977"/>
        <w:gridCol w:w="1026"/>
        <w:gridCol w:w="1029"/>
        <w:gridCol w:w="1029"/>
        <w:gridCol w:w="1029"/>
        <w:gridCol w:w="977"/>
        <w:gridCol w:w="1029"/>
        <w:gridCol w:w="1029"/>
        <w:gridCol w:w="1029"/>
        <w:gridCol w:w="1017"/>
        <w:gridCol w:w="1029"/>
        <w:gridCol w:w="10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7" w:hRule="atLeast"/>
          <w:jc w:val="center"/>
        </w:trPr>
        <w:tc>
          <w:tcPr>
            <w:tcW w:w="368" w:type="pct"/>
            <w:vAlign w:val="center"/>
          </w:tcPr>
          <w:p>
            <w:pPr>
              <w:adjustRightInd w:val="0"/>
              <w:snapToGrid w:val="0"/>
              <w:jc w:val="center"/>
              <w:rPr>
                <w:sz w:val="18"/>
                <w:szCs w:val="18"/>
              </w:rPr>
            </w:pPr>
            <w:r>
              <w:rPr>
                <w:sz w:val="18"/>
                <w:szCs w:val="18"/>
              </w:rPr>
              <w:t>月份</w:t>
            </w:r>
          </w:p>
        </w:tc>
        <w:tc>
          <w:tcPr>
            <w:tcW w:w="343" w:type="pct"/>
            <w:vAlign w:val="center"/>
          </w:tcPr>
          <w:p>
            <w:pPr>
              <w:adjustRightInd w:val="0"/>
              <w:snapToGrid w:val="0"/>
              <w:jc w:val="center"/>
              <w:rPr>
                <w:sz w:val="18"/>
                <w:szCs w:val="18"/>
              </w:rPr>
            </w:pPr>
            <w:r>
              <w:rPr>
                <w:sz w:val="18"/>
                <w:szCs w:val="18"/>
              </w:rPr>
              <w:t>1月</w:t>
            </w:r>
          </w:p>
        </w:tc>
        <w:tc>
          <w:tcPr>
            <w:tcW w:w="343" w:type="pct"/>
            <w:vAlign w:val="center"/>
          </w:tcPr>
          <w:p>
            <w:pPr>
              <w:adjustRightInd w:val="0"/>
              <w:snapToGrid w:val="0"/>
              <w:jc w:val="center"/>
              <w:rPr>
                <w:sz w:val="18"/>
                <w:szCs w:val="18"/>
              </w:rPr>
            </w:pPr>
            <w:r>
              <w:rPr>
                <w:sz w:val="18"/>
                <w:szCs w:val="18"/>
              </w:rPr>
              <w:t>2月</w:t>
            </w:r>
          </w:p>
        </w:tc>
        <w:tc>
          <w:tcPr>
            <w:tcW w:w="360" w:type="pct"/>
            <w:vAlign w:val="center"/>
          </w:tcPr>
          <w:p>
            <w:pPr>
              <w:adjustRightInd w:val="0"/>
              <w:snapToGrid w:val="0"/>
              <w:jc w:val="center"/>
              <w:rPr>
                <w:sz w:val="18"/>
                <w:szCs w:val="18"/>
              </w:rPr>
            </w:pPr>
            <w:r>
              <w:rPr>
                <w:sz w:val="18"/>
                <w:szCs w:val="18"/>
              </w:rPr>
              <w:t>3月</w:t>
            </w:r>
          </w:p>
        </w:tc>
        <w:tc>
          <w:tcPr>
            <w:tcW w:w="361" w:type="pct"/>
            <w:vAlign w:val="center"/>
          </w:tcPr>
          <w:p>
            <w:pPr>
              <w:adjustRightInd w:val="0"/>
              <w:snapToGrid w:val="0"/>
              <w:jc w:val="center"/>
              <w:rPr>
                <w:sz w:val="18"/>
                <w:szCs w:val="18"/>
              </w:rPr>
            </w:pPr>
            <w:r>
              <w:rPr>
                <w:sz w:val="18"/>
                <w:szCs w:val="18"/>
              </w:rPr>
              <w:t>4月</w:t>
            </w:r>
          </w:p>
        </w:tc>
        <w:tc>
          <w:tcPr>
            <w:tcW w:w="361" w:type="pct"/>
            <w:vAlign w:val="center"/>
          </w:tcPr>
          <w:p>
            <w:pPr>
              <w:adjustRightInd w:val="0"/>
              <w:snapToGrid w:val="0"/>
              <w:jc w:val="center"/>
              <w:rPr>
                <w:sz w:val="18"/>
                <w:szCs w:val="18"/>
              </w:rPr>
            </w:pPr>
            <w:r>
              <w:rPr>
                <w:sz w:val="18"/>
                <w:szCs w:val="18"/>
              </w:rPr>
              <w:t>5月</w:t>
            </w:r>
          </w:p>
        </w:tc>
        <w:tc>
          <w:tcPr>
            <w:tcW w:w="361" w:type="pct"/>
            <w:vAlign w:val="center"/>
          </w:tcPr>
          <w:p>
            <w:pPr>
              <w:adjustRightInd w:val="0"/>
              <w:snapToGrid w:val="0"/>
              <w:jc w:val="center"/>
              <w:rPr>
                <w:sz w:val="18"/>
                <w:szCs w:val="18"/>
              </w:rPr>
            </w:pPr>
            <w:r>
              <w:rPr>
                <w:sz w:val="18"/>
                <w:szCs w:val="18"/>
              </w:rPr>
              <w:t>6月</w:t>
            </w:r>
          </w:p>
        </w:tc>
        <w:tc>
          <w:tcPr>
            <w:tcW w:w="343" w:type="pct"/>
            <w:vAlign w:val="center"/>
          </w:tcPr>
          <w:p>
            <w:pPr>
              <w:adjustRightInd w:val="0"/>
              <w:snapToGrid w:val="0"/>
              <w:jc w:val="center"/>
              <w:rPr>
                <w:sz w:val="18"/>
                <w:szCs w:val="18"/>
              </w:rPr>
            </w:pPr>
            <w:r>
              <w:rPr>
                <w:sz w:val="18"/>
                <w:szCs w:val="18"/>
              </w:rPr>
              <w:t>7月</w:t>
            </w:r>
          </w:p>
        </w:tc>
        <w:tc>
          <w:tcPr>
            <w:tcW w:w="361" w:type="pct"/>
            <w:vAlign w:val="center"/>
          </w:tcPr>
          <w:p>
            <w:pPr>
              <w:adjustRightInd w:val="0"/>
              <w:snapToGrid w:val="0"/>
              <w:jc w:val="center"/>
              <w:rPr>
                <w:sz w:val="18"/>
                <w:szCs w:val="18"/>
              </w:rPr>
            </w:pPr>
            <w:r>
              <w:rPr>
                <w:sz w:val="18"/>
                <w:szCs w:val="18"/>
              </w:rPr>
              <w:t>8月</w:t>
            </w:r>
          </w:p>
        </w:tc>
        <w:tc>
          <w:tcPr>
            <w:tcW w:w="361" w:type="pct"/>
            <w:vAlign w:val="center"/>
          </w:tcPr>
          <w:p>
            <w:pPr>
              <w:adjustRightInd w:val="0"/>
              <w:snapToGrid w:val="0"/>
              <w:jc w:val="center"/>
              <w:rPr>
                <w:sz w:val="18"/>
                <w:szCs w:val="18"/>
              </w:rPr>
            </w:pPr>
            <w:r>
              <w:rPr>
                <w:sz w:val="18"/>
                <w:szCs w:val="18"/>
              </w:rPr>
              <w:t>9月</w:t>
            </w:r>
          </w:p>
        </w:tc>
        <w:tc>
          <w:tcPr>
            <w:tcW w:w="361" w:type="pct"/>
            <w:vAlign w:val="center"/>
          </w:tcPr>
          <w:p>
            <w:pPr>
              <w:adjustRightInd w:val="0"/>
              <w:snapToGrid w:val="0"/>
              <w:jc w:val="center"/>
              <w:rPr>
                <w:sz w:val="18"/>
                <w:szCs w:val="18"/>
              </w:rPr>
            </w:pPr>
            <w:r>
              <w:rPr>
                <w:sz w:val="18"/>
                <w:szCs w:val="18"/>
              </w:rPr>
              <w:t>10月</w:t>
            </w:r>
          </w:p>
        </w:tc>
        <w:tc>
          <w:tcPr>
            <w:tcW w:w="357" w:type="pct"/>
            <w:vAlign w:val="center"/>
          </w:tcPr>
          <w:p>
            <w:pPr>
              <w:adjustRightInd w:val="0"/>
              <w:snapToGrid w:val="0"/>
              <w:jc w:val="center"/>
              <w:rPr>
                <w:sz w:val="18"/>
                <w:szCs w:val="18"/>
              </w:rPr>
            </w:pPr>
            <w:r>
              <w:rPr>
                <w:sz w:val="18"/>
                <w:szCs w:val="18"/>
              </w:rPr>
              <w:t>11月</w:t>
            </w:r>
          </w:p>
        </w:tc>
        <w:tc>
          <w:tcPr>
            <w:tcW w:w="361" w:type="pct"/>
            <w:vAlign w:val="center"/>
          </w:tcPr>
          <w:p>
            <w:pPr>
              <w:adjustRightInd w:val="0"/>
              <w:snapToGrid w:val="0"/>
              <w:jc w:val="center"/>
              <w:rPr>
                <w:sz w:val="18"/>
                <w:szCs w:val="18"/>
              </w:rPr>
            </w:pPr>
            <w:r>
              <w:rPr>
                <w:sz w:val="18"/>
                <w:szCs w:val="18"/>
              </w:rPr>
              <w:t>12月</w:t>
            </w:r>
          </w:p>
        </w:tc>
        <w:tc>
          <w:tcPr>
            <w:tcW w:w="359" w:type="pct"/>
            <w:vAlign w:val="center"/>
          </w:tcPr>
          <w:p>
            <w:pPr>
              <w:adjustRightInd w:val="0"/>
              <w:snapToGrid w:val="0"/>
              <w:jc w:val="center"/>
              <w:rPr>
                <w:sz w:val="18"/>
                <w:szCs w:val="18"/>
              </w:rPr>
            </w:pPr>
            <w:r>
              <w:rPr>
                <w:sz w:val="18"/>
                <w:szCs w:val="18"/>
              </w:rPr>
              <w:t>全年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368" w:type="pct"/>
            <w:vAlign w:val="center"/>
          </w:tcPr>
          <w:p>
            <w:pPr>
              <w:adjustRightInd w:val="0"/>
              <w:snapToGrid w:val="0"/>
              <w:jc w:val="center"/>
              <w:rPr>
                <w:sz w:val="18"/>
                <w:szCs w:val="18"/>
              </w:rPr>
            </w:pPr>
            <w:r>
              <w:rPr>
                <w:sz w:val="18"/>
                <w:szCs w:val="18"/>
              </w:rPr>
              <w:t>风速</w:t>
            </w:r>
          </w:p>
          <w:p>
            <w:pPr>
              <w:adjustRightInd w:val="0"/>
              <w:snapToGrid w:val="0"/>
              <w:jc w:val="center"/>
              <w:rPr>
                <w:sz w:val="18"/>
                <w:szCs w:val="18"/>
              </w:rPr>
            </w:pPr>
            <w:r>
              <w:rPr>
                <w:sz w:val="18"/>
                <w:szCs w:val="18"/>
              </w:rPr>
              <w:t>(m/s)</w:t>
            </w:r>
          </w:p>
        </w:tc>
        <w:tc>
          <w:tcPr>
            <w:tcW w:w="343" w:type="pct"/>
            <w:vAlign w:val="center"/>
          </w:tcPr>
          <w:p>
            <w:pPr>
              <w:adjustRightInd w:val="0"/>
              <w:snapToGrid w:val="0"/>
              <w:jc w:val="center"/>
              <w:rPr>
                <w:sz w:val="18"/>
                <w:szCs w:val="18"/>
              </w:rPr>
            </w:pPr>
            <w:r>
              <w:t>1.92</w:t>
            </w:r>
          </w:p>
        </w:tc>
        <w:tc>
          <w:tcPr>
            <w:tcW w:w="343" w:type="pct"/>
            <w:vAlign w:val="center"/>
          </w:tcPr>
          <w:p>
            <w:pPr>
              <w:adjustRightInd w:val="0"/>
              <w:snapToGrid w:val="0"/>
              <w:jc w:val="center"/>
              <w:rPr>
                <w:sz w:val="18"/>
                <w:szCs w:val="18"/>
              </w:rPr>
            </w:pPr>
            <w:r>
              <w:t>2.55</w:t>
            </w:r>
          </w:p>
        </w:tc>
        <w:tc>
          <w:tcPr>
            <w:tcW w:w="360" w:type="pct"/>
            <w:vAlign w:val="center"/>
          </w:tcPr>
          <w:p>
            <w:pPr>
              <w:adjustRightInd w:val="0"/>
              <w:snapToGrid w:val="0"/>
              <w:jc w:val="center"/>
              <w:rPr>
                <w:sz w:val="18"/>
                <w:szCs w:val="18"/>
              </w:rPr>
            </w:pPr>
            <w:r>
              <w:t>3.11</w:t>
            </w:r>
          </w:p>
        </w:tc>
        <w:tc>
          <w:tcPr>
            <w:tcW w:w="361" w:type="pct"/>
            <w:vAlign w:val="center"/>
          </w:tcPr>
          <w:p>
            <w:pPr>
              <w:adjustRightInd w:val="0"/>
              <w:snapToGrid w:val="0"/>
              <w:jc w:val="center"/>
              <w:rPr>
                <w:sz w:val="18"/>
                <w:szCs w:val="18"/>
              </w:rPr>
            </w:pPr>
            <w:r>
              <w:t>3.44</w:t>
            </w:r>
          </w:p>
        </w:tc>
        <w:tc>
          <w:tcPr>
            <w:tcW w:w="361" w:type="pct"/>
            <w:vAlign w:val="center"/>
          </w:tcPr>
          <w:p>
            <w:pPr>
              <w:adjustRightInd w:val="0"/>
              <w:snapToGrid w:val="0"/>
              <w:jc w:val="center"/>
              <w:rPr>
                <w:sz w:val="18"/>
                <w:szCs w:val="18"/>
              </w:rPr>
            </w:pPr>
            <w:r>
              <w:t>2.58</w:t>
            </w:r>
          </w:p>
        </w:tc>
        <w:tc>
          <w:tcPr>
            <w:tcW w:w="361" w:type="pct"/>
            <w:vAlign w:val="center"/>
          </w:tcPr>
          <w:p>
            <w:pPr>
              <w:adjustRightInd w:val="0"/>
              <w:snapToGrid w:val="0"/>
              <w:jc w:val="center"/>
              <w:rPr>
                <w:sz w:val="18"/>
                <w:szCs w:val="18"/>
              </w:rPr>
            </w:pPr>
            <w:r>
              <w:t>2.57</w:t>
            </w:r>
          </w:p>
        </w:tc>
        <w:tc>
          <w:tcPr>
            <w:tcW w:w="343" w:type="pct"/>
            <w:vAlign w:val="center"/>
          </w:tcPr>
          <w:p>
            <w:pPr>
              <w:adjustRightInd w:val="0"/>
              <w:snapToGrid w:val="0"/>
              <w:jc w:val="center"/>
              <w:rPr>
                <w:sz w:val="18"/>
                <w:szCs w:val="18"/>
              </w:rPr>
            </w:pPr>
            <w:r>
              <w:t>2.06</w:t>
            </w:r>
          </w:p>
        </w:tc>
        <w:tc>
          <w:tcPr>
            <w:tcW w:w="361" w:type="pct"/>
            <w:vAlign w:val="center"/>
          </w:tcPr>
          <w:p>
            <w:pPr>
              <w:adjustRightInd w:val="0"/>
              <w:snapToGrid w:val="0"/>
              <w:jc w:val="center"/>
              <w:rPr>
                <w:sz w:val="18"/>
                <w:szCs w:val="18"/>
              </w:rPr>
            </w:pPr>
            <w:r>
              <w:t>1.89</w:t>
            </w:r>
          </w:p>
        </w:tc>
        <w:tc>
          <w:tcPr>
            <w:tcW w:w="361" w:type="pct"/>
            <w:vAlign w:val="center"/>
          </w:tcPr>
          <w:p>
            <w:pPr>
              <w:adjustRightInd w:val="0"/>
              <w:snapToGrid w:val="0"/>
              <w:jc w:val="center"/>
              <w:rPr>
                <w:sz w:val="18"/>
                <w:szCs w:val="18"/>
              </w:rPr>
            </w:pPr>
            <w:r>
              <w:t>1.8</w:t>
            </w:r>
          </w:p>
        </w:tc>
        <w:tc>
          <w:tcPr>
            <w:tcW w:w="361" w:type="pct"/>
            <w:vAlign w:val="center"/>
          </w:tcPr>
          <w:p>
            <w:pPr>
              <w:adjustRightInd w:val="0"/>
              <w:snapToGrid w:val="0"/>
              <w:jc w:val="center"/>
              <w:rPr>
                <w:sz w:val="18"/>
                <w:szCs w:val="18"/>
              </w:rPr>
            </w:pPr>
            <w:r>
              <w:t>1.72</w:t>
            </w:r>
          </w:p>
        </w:tc>
        <w:tc>
          <w:tcPr>
            <w:tcW w:w="357" w:type="pct"/>
            <w:vAlign w:val="center"/>
          </w:tcPr>
          <w:p>
            <w:pPr>
              <w:adjustRightInd w:val="0"/>
              <w:snapToGrid w:val="0"/>
              <w:jc w:val="center"/>
              <w:rPr>
                <w:sz w:val="18"/>
                <w:szCs w:val="18"/>
              </w:rPr>
            </w:pPr>
            <w:r>
              <w:t>1.97</w:t>
            </w:r>
          </w:p>
        </w:tc>
        <w:tc>
          <w:tcPr>
            <w:tcW w:w="361" w:type="pct"/>
            <w:vAlign w:val="center"/>
          </w:tcPr>
          <w:p>
            <w:pPr>
              <w:adjustRightInd w:val="0"/>
              <w:snapToGrid w:val="0"/>
              <w:jc w:val="center"/>
              <w:rPr>
                <w:sz w:val="18"/>
                <w:szCs w:val="18"/>
              </w:rPr>
            </w:pPr>
            <w:r>
              <w:t>1.89</w:t>
            </w:r>
          </w:p>
        </w:tc>
        <w:tc>
          <w:tcPr>
            <w:tcW w:w="359" w:type="pct"/>
            <w:vAlign w:val="center"/>
          </w:tcPr>
          <w:p>
            <w:pPr>
              <w:adjustRightInd w:val="0"/>
              <w:snapToGrid w:val="0"/>
              <w:jc w:val="center"/>
              <w:rPr>
                <w:sz w:val="18"/>
                <w:szCs w:val="18"/>
              </w:rPr>
            </w:pPr>
            <w:r>
              <w:t>2.29</w:t>
            </w:r>
          </w:p>
        </w:tc>
      </w:tr>
    </w:tbl>
    <w:p>
      <w:pPr>
        <w:spacing w:line="360" w:lineRule="auto"/>
        <w:ind w:firstLine="480" w:firstLineChars="200"/>
        <w:rPr>
          <w:sz w:val="24"/>
          <w:szCs w:val="24"/>
        </w:rPr>
        <w:sectPr>
          <w:pgSz w:w="16838" w:h="11906" w:orient="landscape"/>
          <w:pgMar w:top="1797" w:right="1440" w:bottom="1797" w:left="1440" w:header="851" w:footer="992" w:gutter="0"/>
          <w:cols w:space="720" w:num="1"/>
          <w:docGrid w:type="linesAndChars" w:linePitch="312" w:charSpace="0"/>
        </w:sectPr>
      </w:pPr>
    </w:p>
    <w:p>
      <w:pPr>
        <w:spacing w:line="360" w:lineRule="auto"/>
        <w:rPr>
          <w:sz w:val="24"/>
          <w:szCs w:val="24"/>
        </w:rPr>
      </w:pPr>
      <w:r>
        <w:rPr>
          <w:sz w:val="24"/>
          <w:szCs w:val="24"/>
        </w:rPr>
        <w:drawing>
          <wp:inline distT="0" distB="0" distL="0" distR="0">
            <wp:extent cx="5256530" cy="2026920"/>
            <wp:effectExtent l="0" t="0" r="127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2601" cy="2032995"/>
                    </a:xfrm>
                    <a:prstGeom prst="rect">
                      <a:avLst/>
                    </a:prstGeom>
                    <a:noFill/>
                  </pic:spPr>
                </pic:pic>
              </a:graphicData>
            </a:graphic>
          </wp:inline>
        </w:drawing>
      </w:r>
    </w:p>
    <w:p>
      <w:pPr>
        <w:spacing w:line="360" w:lineRule="auto"/>
        <w:jc w:val="center"/>
        <w:rPr>
          <w:b/>
          <w:sz w:val="24"/>
          <w:szCs w:val="24"/>
        </w:rPr>
      </w:pPr>
      <w:r>
        <w:rPr>
          <w:b/>
          <w:sz w:val="24"/>
          <w:szCs w:val="24"/>
        </w:rPr>
        <w:t>图5.2-6  围场县2019年平均风速月变化曲线图</w:t>
      </w:r>
    </w:p>
    <w:p>
      <w:pPr>
        <w:spacing w:line="360" w:lineRule="auto"/>
        <w:jc w:val="center"/>
        <w:rPr>
          <w:b/>
          <w:sz w:val="24"/>
          <w:szCs w:val="24"/>
        </w:rPr>
      </w:pPr>
      <w:r>
        <w:rPr>
          <w:b/>
          <w:sz w:val="24"/>
          <w:szCs w:val="24"/>
        </w:rPr>
        <w:t>表5.2-9    围场县2019年季小时平均风速日变化统计表</w:t>
      </w:r>
    </w:p>
    <w:tbl>
      <w:tblPr>
        <w:tblStyle w:val="39"/>
        <w:tblW w:w="5023"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64"/>
        <w:gridCol w:w="657"/>
        <w:gridCol w:w="657"/>
        <w:gridCol w:w="657"/>
        <w:gridCol w:w="657"/>
        <w:gridCol w:w="657"/>
        <w:gridCol w:w="657"/>
        <w:gridCol w:w="659"/>
        <w:gridCol w:w="659"/>
        <w:gridCol w:w="660"/>
        <w:gridCol w:w="660"/>
        <w:gridCol w:w="660"/>
        <w:gridCol w:w="6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9" w:hRule="atLeast"/>
        </w:trPr>
        <w:tc>
          <w:tcPr>
            <w:tcW w:w="388" w:type="pct"/>
            <w:shd w:val="clear" w:color="auto" w:fill="auto"/>
            <w:vAlign w:val="center"/>
          </w:tcPr>
          <w:p>
            <w:pPr>
              <w:adjustRightInd w:val="0"/>
              <w:snapToGrid w:val="0"/>
              <w:rPr>
                <w:sz w:val="18"/>
                <w:szCs w:val="18"/>
              </w:rPr>
            </w:pPr>
            <w:r>
              <w:rPr>
                <w:sz w:val="18"/>
                <w:szCs w:val="18"/>
              </w:rPr>
              <w:t>风速</w:t>
            </w:r>
          </w:p>
          <w:p>
            <w:pPr>
              <w:adjustRightInd w:val="0"/>
              <w:snapToGrid w:val="0"/>
              <w:rPr>
                <w:sz w:val="18"/>
                <w:szCs w:val="18"/>
              </w:rPr>
            </w:pPr>
            <w:r>
              <w:rPr>
                <w:sz w:val="18"/>
                <w:szCs w:val="18"/>
              </w:rPr>
              <w:t>(m/s)</w:t>
            </w:r>
          </w:p>
        </w:tc>
        <w:tc>
          <w:tcPr>
            <w:tcW w:w="384" w:type="pct"/>
            <w:shd w:val="clear" w:color="auto" w:fill="auto"/>
            <w:vAlign w:val="center"/>
          </w:tcPr>
          <w:p>
            <w:pPr>
              <w:adjustRightInd w:val="0"/>
              <w:snapToGrid w:val="0"/>
              <w:rPr>
                <w:sz w:val="18"/>
                <w:szCs w:val="18"/>
              </w:rPr>
            </w:pPr>
            <w:r>
              <w:rPr>
                <w:sz w:val="18"/>
                <w:szCs w:val="18"/>
              </w:rPr>
              <w:t>0时</w:t>
            </w:r>
          </w:p>
        </w:tc>
        <w:tc>
          <w:tcPr>
            <w:tcW w:w="384" w:type="pct"/>
            <w:shd w:val="clear" w:color="auto" w:fill="auto"/>
            <w:vAlign w:val="center"/>
          </w:tcPr>
          <w:p>
            <w:pPr>
              <w:adjustRightInd w:val="0"/>
              <w:snapToGrid w:val="0"/>
              <w:rPr>
                <w:sz w:val="18"/>
                <w:szCs w:val="18"/>
              </w:rPr>
            </w:pPr>
            <w:r>
              <w:rPr>
                <w:sz w:val="18"/>
                <w:szCs w:val="18"/>
              </w:rPr>
              <w:t>1时</w:t>
            </w:r>
          </w:p>
        </w:tc>
        <w:tc>
          <w:tcPr>
            <w:tcW w:w="384" w:type="pct"/>
            <w:shd w:val="clear" w:color="auto" w:fill="auto"/>
            <w:vAlign w:val="center"/>
          </w:tcPr>
          <w:p>
            <w:pPr>
              <w:adjustRightInd w:val="0"/>
              <w:snapToGrid w:val="0"/>
              <w:rPr>
                <w:sz w:val="18"/>
                <w:szCs w:val="18"/>
              </w:rPr>
            </w:pPr>
            <w:r>
              <w:rPr>
                <w:sz w:val="18"/>
                <w:szCs w:val="18"/>
              </w:rPr>
              <w:t>2时</w:t>
            </w:r>
          </w:p>
        </w:tc>
        <w:tc>
          <w:tcPr>
            <w:tcW w:w="384" w:type="pct"/>
            <w:shd w:val="clear" w:color="auto" w:fill="auto"/>
            <w:vAlign w:val="center"/>
          </w:tcPr>
          <w:p>
            <w:pPr>
              <w:adjustRightInd w:val="0"/>
              <w:snapToGrid w:val="0"/>
              <w:rPr>
                <w:sz w:val="18"/>
                <w:szCs w:val="18"/>
              </w:rPr>
            </w:pPr>
            <w:r>
              <w:rPr>
                <w:sz w:val="18"/>
                <w:szCs w:val="18"/>
              </w:rPr>
              <w:t>3时</w:t>
            </w:r>
          </w:p>
        </w:tc>
        <w:tc>
          <w:tcPr>
            <w:tcW w:w="384" w:type="pct"/>
            <w:shd w:val="clear" w:color="auto" w:fill="auto"/>
            <w:vAlign w:val="center"/>
          </w:tcPr>
          <w:p>
            <w:pPr>
              <w:adjustRightInd w:val="0"/>
              <w:snapToGrid w:val="0"/>
              <w:rPr>
                <w:sz w:val="18"/>
                <w:szCs w:val="18"/>
              </w:rPr>
            </w:pPr>
            <w:r>
              <w:rPr>
                <w:sz w:val="18"/>
                <w:szCs w:val="18"/>
              </w:rPr>
              <w:t>4时</w:t>
            </w:r>
          </w:p>
        </w:tc>
        <w:tc>
          <w:tcPr>
            <w:tcW w:w="384" w:type="pct"/>
            <w:shd w:val="clear" w:color="auto" w:fill="auto"/>
            <w:vAlign w:val="center"/>
          </w:tcPr>
          <w:p>
            <w:pPr>
              <w:adjustRightInd w:val="0"/>
              <w:snapToGrid w:val="0"/>
              <w:rPr>
                <w:sz w:val="18"/>
                <w:szCs w:val="18"/>
              </w:rPr>
            </w:pPr>
            <w:r>
              <w:rPr>
                <w:sz w:val="18"/>
                <w:szCs w:val="18"/>
              </w:rPr>
              <w:t>5时</w:t>
            </w:r>
          </w:p>
        </w:tc>
        <w:tc>
          <w:tcPr>
            <w:tcW w:w="385" w:type="pct"/>
            <w:shd w:val="clear" w:color="auto" w:fill="auto"/>
            <w:vAlign w:val="center"/>
          </w:tcPr>
          <w:p>
            <w:pPr>
              <w:adjustRightInd w:val="0"/>
              <w:snapToGrid w:val="0"/>
              <w:rPr>
                <w:sz w:val="18"/>
                <w:szCs w:val="18"/>
              </w:rPr>
            </w:pPr>
            <w:r>
              <w:rPr>
                <w:sz w:val="18"/>
                <w:szCs w:val="18"/>
              </w:rPr>
              <w:t>6时</w:t>
            </w:r>
          </w:p>
        </w:tc>
        <w:tc>
          <w:tcPr>
            <w:tcW w:w="385" w:type="pct"/>
            <w:shd w:val="clear" w:color="auto" w:fill="auto"/>
            <w:vAlign w:val="center"/>
          </w:tcPr>
          <w:p>
            <w:pPr>
              <w:adjustRightInd w:val="0"/>
              <w:snapToGrid w:val="0"/>
              <w:rPr>
                <w:sz w:val="18"/>
                <w:szCs w:val="18"/>
              </w:rPr>
            </w:pPr>
            <w:r>
              <w:rPr>
                <w:sz w:val="18"/>
                <w:szCs w:val="18"/>
              </w:rPr>
              <w:t>7时</w:t>
            </w:r>
          </w:p>
        </w:tc>
        <w:tc>
          <w:tcPr>
            <w:tcW w:w="385" w:type="pct"/>
            <w:shd w:val="clear" w:color="auto" w:fill="auto"/>
            <w:vAlign w:val="center"/>
          </w:tcPr>
          <w:p>
            <w:pPr>
              <w:adjustRightInd w:val="0"/>
              <w:snapToGrid w:val="0"/>
              <w:rPr>
                <w:sz w:val="18"/>
                <w:szCs w:val="18"/>
              </w:rPr>
            </w:pPr>
            <w:r>
              <w:rPr>
                <w:sz w:val="18"/>
                <w:szCs w:val="18"/>
              </w:rPr>
              <w:t>8时</w:t>
            </w:r>
          </w:p>
        </w:tc>
        <w:tc>
          <w:tcPr>
            <w:tcW w:w="385" w:type="pct"/>
            <w:shd w:val="clear" w:color="auto" w:fill="auto"/>
            <w:vAlign w:val="center"/>
          </w:tcPr>
          <w:p>
            <w:pPr>
              <w:adjustRightInd w:val="0"/>
              <w:snapToGrid w:val="0"/>
              <w:rPr>
                <w:sz w:val="18"/>
                <w:szCs w:val="18"/>
              </w:rPr>
            </w:pPr>
            <w:r>
              <w:rPr>
                <w:sz w:val="18"/>
                <w:szCs w:val="18"/>
              </w:rPr>
              <w:t>9时</w:t>
            </w:r>
          </w:p>
        </w:tc>
        <w:tc>
          <w:tcPr>
            <w:tcW w:w="385" w:type="pct"/>
            <w:shd w:val="clear" w:color="auto" w:fill="auto"/>
            <w:vAlign w:val="center"/>
          </w:tcPr>
          <w:p>
            <w:pPr>
              <w:adjustRightInd w:val="0"/>
              <w:snapToGrid w:val="0"/>
              <w:rPr>
                <w:sz w:val="18"/>
                <w:szCs w:val="18"/>
              </w:rPr>
            </w:pPr>
            <w:r>
              <w:rPr>
                <w:sz w:val="18"/>
                <w:szCs w:val="18"/>
              </w:rPr>
              <w:t>10时</w:t>
            </w:r>
          </w:p>
        </w:tc>
        <w:tc>
          <w:tcPr>
            <w:tcW w:w="383" w:type="pct"/>
            <w:shd w:val="clear" w:color="auto" w:fill="auto"/>
            <w:vAlign w:val="center"/>
          </w:tcPr>
          <w:p>
            <w:pPr>
              <w:adjustRightInd w:val="0"/>
              <w:snapToGrid w:val="0"/>
              <w:rPr>
                <w:sz w:val="18"/>
                <w:szCs w:val="18"/>
              </w:rPr>
            </w:pPr>
            <w:r>
              <w:rPr>
                <w:sz w:val="18"/>
                <w:szCs w:val="18"/>
              </w:rPr>
              <w:t>11时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388" w:type="pct"/>
            <w:shd w:val="clear" w:color="auto" w:fill="auto"/>
            <w:vAlign w:val="center"/>
          </w:tcPr>
          <w:p>
            <w:pPr>
              <w:adjustRightInd w:val="0"/>
              <w:snapToGrid w:val="0"/>
              <w:rPr>
                <w:sz w:val="18"/>
                <w:szCs w:val="18"/>
              </w:rPr>
            </w:pPr>
            <w:r>
              <w:rPr>
                <w:sz w:val="18"/>
                <w:szCs w:val="18"/>
              </w:rPr>
              <w:t>春季</w:t>
            </w:r>
          </w:p>
        </w:tc>
        <w:tc>
          <w:tcPr>
            <w:tcW w:w="384" w:type="pct"/>
            <w:shd w:val="clear" w:color="auto" w:fill="auto"/>
            <w:vAlign w:val="center"/>
          </w:tcPr>
          <w:p>
            <w:pPr>
              <w:adjustRightInd w:val="0"/>
              <w:snapToGrid w:val="0"/>
              <w:rPr>
                <w:sz w:val="18"/>
                <w:szCs w:val="18"/>
              </w:rPr>
            </w:pPr>
            <w:r>
              <w:rPr>
                <w:rFonts w:hint="eastAsia"/>
                <w:sz w:val="18"/>
              </w:rPr>
              <w:t xml:space="preserve">1.8 </w:t>
            </w:r>
          </w:p>
        </w:tc>
        <w:tc>
          <w:tcPr>
            <w:tcW w:w="384" w:type="pct"/>
            <w:shd w:val="clear" w:color="auto" w:fill="auto"/>
            <w:vAlign w:val="center"/>
          </w:tcPr>
          <w:p>
            <w:pPr>
              <w:adjustRightInd w:val="0"/>
              <w:snapToGrid w:val="0"/>
              <w:rPr>
                <w:sz w:val="18"/>
                <w:szCs w:val="18"/>
              </w:rPr>
            </w:pPr>
            <w:r>
              <w:rPr>
                <w:rFonts w:hint="eastAsia"/>
                <w:sz w:val="18"/>
              </w:rPr>
              <w:t xml:space="preserve">1.7 </w:t>
            </w:r>
          </w:p>
        </w:tc>
        <w:tc>
          <w:tcPr>
            <w:tcW w:w="384" w:type="pct"/>
            <w:shd w:val="clear" w:color="auto" w:fill="auto"/>
            <w:vAlign w:val="center"/>
          </w:tcPr>
          <w:p>
            <w:pPr>
              <w:adjustRightInd w:val="0"/>
              <w:snapToGrid w:val="0"/>
              <w:rPr>
                <w:sz w:val="18"/>
                <w:szCs w:val="18"/>
              </w:rPr>
            </w:pPr>
            <w:r>
              <w:rPr>
                <w:rFonts w:hint="eastAsia"/>
                <w:sz w:val="18"/>
              </w:rPr>
              <w:t xml:space="preserve">1.9 </w:t>
            </w:r>
          </w:p>
        </w:tc>
        <w:tc>
          <w:tcPr>
            <w:tcW w:w="384" w:type="pct"/>
            <w:shd w:val="clear" w:color="auto" w:fill="auto"/>
            <w:vAlign w:val="center"/>
          </w:tcPr>
          <w:p>
            <w:pPr>
              <w:adjustRightInd w:val="0"/>
              <w:snapToGrid w:val="0"/>
              <w:rPr>
                <w:sz w:val="18"/>
                <w:szCs w:val="18"/>
              </w:rPr>
            </w:pPr>
            <w:r>
              <w:rPr>
                <w:rFonts w:hint="eastAsia"/>
                <w:sz w:val="18"/>
              </w:rPr>
              <w:t xml:space="preserve">1.9 </w:t>
            </w:r>
          </w:p>
        </w:tc>
        <w:tc>
          <w:tcPr>
            <w:tcW w:w="384" w:type="pct"/>
            <w:shd w:val="clear" w:color="auto" w:fill="auto"/>
            <w:vAlign w:val="center"/>
          </w:tcPr>
          <w:p>
            <w:pPr>
              <w:adjustRightInd w:val="0"/>
              <w:snapToGrid w:val="0"/>
              <w:rPr>
                <w:sz w:val="18"/>
                <w:szCs w:val="18"/>
              </w:rPr>
            </w:pPr>
            <w:r>
              <w:rPr>
                <w:rFonts w:hint="eastAsia"/>
                <w:sz w:val="18"/>
              </w:rPr>
              <w:t xml:space="preserve">1.9 </w:t>
            </w:r>
          </w:p>
        </w:tc>
        <w:tc>
          <w:tcPr>
            <w:tcW w:w="384"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1.9 </w:t>
            </w:r>
          </w:p>
        </w:tc>
        <w:tc>
          <w:tcPr>
            <w:tcW w:w="385" w:type="pct"/>
            <w:shd w:val="clear" w:color="auto" w:fill="auto"/>
            <w:vAlign w:val="center"/>
          </w:tcPr>
          <w:p>
            <w:pPr>
              <w:adjustRightInd w:val="0"/>
              <w:snapToGrid w:val="0"/>
              <w:rPr>
                <w:sz w:val="18"/>
                <w:szCs w:val="18"/>
              </w:rPr>
            </w:pPr>
            <w:r>
              <w:rPr>
                <w:rFonts w:hint="eastAsia"/>
                <w:sz w:val="18"/>
              </w:rPr>
              <w:t xml:space="preserve">1.9 </w:t>
            </w:r>
          </w:p>
        </w:tc>
        <w:tc>
          <w:tcPr>
            <w:tcW w:w="385" w:type="pct"/>
            <w:shd w:val="clear" w:color="auto" w:fill="auto"/>
            <w:vAlign w:val="center"/>
          </w:tcPr>
          <w:p>
            <w:pPr>
              <w:adjustRightInd w:val="0"/>
              <w:snapToGrid w:val="0"/>
              <w:rPr>
                <w:sz w:val="18"/>
                <w:szCs w:val="18"/>
              </w:rPr>
            </w:pPr>
            <w:r>
              <w:rPr>
                <w:rFonts w:hint="eastAsia"/>
                <w:sz w:val="18"/>
              </w:rPr>
              <w:t xml:space="preserve">2.6 </w:t>
            </w:r>
          </w:p>
        </w:tc>
        <w:tc>
          <w:tcPr>
            <w:tcW w:w="385" w:type="pct"/>
            <w:shd w:val="clear" w:color="auto" w:fill="auto"/>
            <w:vAlign w:val="center"/>
          </w:tcPr>
          <w:p>
            <w:pPr>
              <w:adjustRightInd w:val="0"/>
              <w:snapToGrid w:val="0"/>
              <w:rPr>
                <w:sz w:val="18"/>
                <w:szCs w:val="18"/>
              </w:rPr>
            </w:pPr>
            <w:r>
              <w:rPr>
                <w:rFonts w:hint="eastAsia"/>
                <w:sz w:val="18"/>
              </w:rPr>
              <w:t xml:space="preserve">3.1 </w:t>
            </w:r>
          </w:p>
        </w:tc>
        <w:tc>
          <w:tcPr>
            <w:tcW w:w="383" w:type="pct"/>
            <w:shd w:val="clear" w:color="auto" w:fill="auto"/>
            <w:vAlign w:val="center"/>
          </w:tcPr>
          <w:p>
            <w:pPr>
              <w:adjustRightInd w:val="0"/>
              <w:snapToGrid w:val="0"/>
              <w:rPr>
                <w:sz w:val="18"/>
                <w:szCs w:val="18"/>
              </w:rPr>
            </w:pPr>
            <w:r>
              <w:rPr>
                <w:rFonts w:hint="eastAsia"/>
                <w:sz w:val="18"/>
              </w:rPr>
              <w:t xml:space="preserve">3.8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6" w:hRule="atLeast"/>
        </w:trPr>
        <w:tc>
          <w:tcPr>
            <w:tcW w:w="388" w:type="pct"/>
            <w:shd w:val="clear" w:color="auto" w:fill="auto"/>
            <w:vAlign w:val="center"/>
          </w:tcPr>
          <w:p>
            <w:pPr>
              <w:adjustRightInd w:val="0"/>
              <w:snapToGrid w:val="0"/>
              <w:rPr>
                <w:sz w:val="18"/>
                <w:szCs w:val="18"/>
              </w:rPr>
            </w:pPr>
            <w:r>
              <w:rPr>
                <w:sz w:val="18"/>
                <w:szCs w:val="18"/>
              </w:rPr>
              <w:t>夏季</w:t>
            </w:r>
          </w:p>
        </w:tc>
        <w:tc>
          <w:tcPr>
            <w:tcW w:w="384" w:type="pct"/>
            <w:shd w:val="clear" w:color="auto" w:fill="auto"/>
            <w:vAlign w:val="center"/>
          </w:tcPr>
          <w:p>
            <w:pPr>
              <w:adjustRightInd w:val="0"/>
              <w:snapToGrid w:val="0"/>
              <w:rPr>
                <w:sz w:val="18"/>
                <w:szCs w:val="18"/>
              </w:rPr>
            </w:pPr>
            <w:r>
              <w:rPr>
                <w:rFonts w:hint="eastAsia"/>
                <w:sz w:val="18"/>
              </w:rPr>
              <w:t xml:space="preserve">1.6 </w:t>
            </w:r>
          </w:p>
        </w:tc>
        <w:tc>
          <w:tcPr>
            <w:tcW w:w="384" w:type="pct"/>
            <w:shd w:val="clear" w:color="auto" w:fill="auto"/>
            <w:vAlign w:val="center"/>
          </w:tcPr>
          <w:p>
            <w:pPr>
              <w:adjustRightInd w:val="0"/>
              <w:snapToGrid w:val="0"/>
              <w:rPr>
                <w:sz w:val="18"/>
                <w:szCs w:val="18"/>
              </w:rPr>
            </w:pPr>
            <w:r>
              <w:rPr>
                <w:rFonts w:hint="eastAsia"/>
                <w:sz w:val="18"/>
              </w:rPr>
              <w:t xml:space="preserve">1.7 </w:t>
            </w:r>
          </w:p>
        </w:tc>
        <w:tc>
          <w:tcPr>
            <w:tcW w:w="384" w:type="pct"/>
            <w:shd w:val="clear" w:color="auto" w:fill="auto"/>
            <w:vAlign w:val="center"/>
          </w:tcPr>
          <w:p>
            <w:pPr>
              <w:adjustRightInd w:val="0"/>
              <w:snapToGrid w:val="0"/>
              <w:rPr>
                <w:sz w:val="18"/>
                <w:szCs w:val="18"/>
              </w:rPr>
            </w:pPr>
            <w:r>
              <w:rPr>
                <w:rFonts w:hint="eastAsia"/>
                <w:sz w:val="18"/>
              </w:rPr>
              <w:t xml:space="preserve">1.6 </w:t>
            </w:r>
          </w:p>
        </w:tc>
        <w:tc>
          <w:tcPr>
            <w:tcW w:w="384" w:type="pct"/>
            <w:shd w:val="clear" w:color="auto" w:fill="auto"/>
            <w:vAlign w:val="center"/>
          </w:tcPr>
          <w:p>
            <w:pPr>
              <w:adjustRightInd w:val="0"/>
              <w:snapToGrid w:val="0"/>
              <w:rPr>
                <w:sz w:val="18"/>
                <w:szCs w:val="18"/>
              </w:rPr>
            </w:pPr>
            <w:r>
              <w:rPr>
                <w:rFonts w:hint="eastAsia"/>
                <w:sz w:val="18"/>
              </w:rPr>
              <w:t xml:space="preserve">1.8 </w:t>
            </w:r>
          </w:p>
        </w:tc>
        <w:tc>
          <w:tcPr>
            <w:tcW w:w="384" w:type="pct"/>
            <w:shd w:val="clear" w:color="auto" w:fill="auto"/>
            <w:vAlign w:val="center"/>
          </w:tcPr>
          <w:p>
            <w:pPr>
              <w:adjustRightInd w:val="0"/>
              <w:snapToGrid w:val="0"/>
              <w:rPr>
                <w:sz w:val="18"/>
                <w:szCs w:val="18"/>
              </w:rPr>
            </w:pPr>
            <w:r>
              <w:rPr>
                <w:rFonts w:hint="eastAsia"/>
                <w:sz w:val="18"/>
              </w:rPr>
              <w:t xml:space="preserve">1.6 </w:t>
            </w:r>
          </w:p>
        </w:tc>
        <w:tc>
          <w:tcPr>
            <w:tcW w:w="384"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1.5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2.3 </w:t>
            </w:r>
          </w:p>
        </w:tc>
        <w:tc>
          <w:tcPr>
            <w:tcW w:w="383" w:type="pct"/>
            <w:shd w:val="clear" w:color="auto" w:fill="auto"/>
            <w:vAlign w:val="center"/>
          </w:tcPr>
          <w:p>
            <w:pPr>
              <w:adjustRightInd w:val="0"/>
              <w:snapToGrid w:val="0"/>
              <w:rPr>
                <w:sz w:val="18"/>
                <w:szCs w:val="18"/>
              </w:rPr>
            </w:pPr>
            <w:r>
              <w:rPr>
                <w:rFonts w:hint="eastAsia"/>
                <w:sz w:val="18"/>
              </w:rPr>
              <w:t xml:space="preserve">2.7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6" w:hRule="atLeast"/>
        </w:trPr>
        <w:tc>
          <w:tcPr>
            <w:tcW w:w="388" w:type="pct"/>
            <w:shd w:val="clear" w:color="auto" w:fill="auto"/>
            <w:vAlign w:val="center"/>
          </w:tcPr>
          <w:p>
            <w:pPr>
              <w:adjustRightInd w:val="0"/>
              <w:snapToGrid w:val="0"/>
              <w:rPr>
                <w:sz w:val="18"/>
                <w:szCs w:val="18"/>
              </w:rPr>
            </w:pPr>
            <w:r>
              <w:rPr>
                <w:sz w:val="18"/>
                <w:szCs w:val="18"/>
              </w:rPr>
              <w:t>秋季</w:t>
            </w:r>
          </w:p>
        </w:tc>
        <w:tc>
          <w:tcPr>
            <w:tcW w:w="384" w:type="pct"/>
            <w:shd w:val="clear" w:color="auto" w:fill="auto"/>
            <w:vAlign w:val="center"/>
          </w:tcPr>
          <w:p>
            <w:pPr>
              <w:adjustRightInd w:val="0"/>
              <w:snapToGrid w:val="0"/>
              <w:rPr>
                <w:sz w:val="18"/>
                <w:szCs w:val="18"/>
              </w:rPr>
            </w:pPr>
            <w:r>
              <w:rPr>
                <w:rFonts w:hint="eastAsia"/>
                <w:sz w:val="18"/>
              </w:rPr>
              <w:t xml:space="preserve">1.8 </w:t>
            </w:r>
          </w:p>
        </w:tc>
        <w:tc>
          <w:tcPr>
            <w:tcW w:w="384" w:type="pct"/>
            <w:shd w:val="clear" w:color="auto" w:fill="auto"/>
            <w:vAlign w:val="center"/>
          </w:tcPr>
          <w:p>
            <w:pPr>
              <w:adjustRightInd w:val="0"/>
              <w:snapToGrid w:val="0"/>
              <w:rPr>
                <w:sz w:val="18"/>
                <w:szCs w:val="18"/>
              </w:rPr>
            </w:pPr>
            <w:r>
              <w:rPr>
                <w:rFonts w:hint="eastAsia"/>
                <w:sz w:val="18"/>
              </w:rPr>
              <w:t xml:space="preserve">1.7 </w:t>
            </w:r>
          </w:p>
        </w:tc>
        <w:tc>
          <w:tcPr>
            <w:tcW w:w="384" w:type="pct"/>
            <w:shd w:val="clear" w:color="auto" w:fill="auto"/>
            <w:vAlign w:val="center"/>
          </w:tcPr>
          <w:p>
            <w:pPr>
              <w:adjustRightInd w:val="0"/>
              <w:snapToGrid w:val="0"/>
              <w:rPr>
                <w:sz w:val="18"/>
                <w:szCs w:val="18"/>
              </w:rPr>
            </w:pPr>
            <w:r>
              <w:rPr>
                <w:rFonts w:hint="eastAsia"/>
                <w:sz w:val="18"/>
              </w:rPr>
              <w:t xml:space="preserve">1.7 </w:t>
            </w:r>
          </w:p>
        </w:tc>
        <w:tc>
          <w:tcPr>
            <w:tcW w:w="384" w:type="pct"/>
            <w:shd w:val="clear" w:color="auto" w:fill="auto"/>
            <w:vAlign w:val="center"/>
          </w:tcPr>
          <w:p>
            <w:pPr>
              <w:adjustRightInd w:val="0"/>
              <w:snapToGrid w:val="0"/>
              <w:rPr>
                <w:sz w:val="18"/>
                <w:szCs w:val="18"/>
              </w:rPr>
            </w:pPr>
            <w:r>
              <w:rPr>
                <w:rFonts w:hint="eastAsia"/>
                <w:sz w:val="18"/>
              </w:rPr>
              <w:t xml:space="preserve">1.7 </w:t>
            </w:r>
          </w:p>
        </w:tc>
        <w:tc>
          <w:tcPr>
            <w:tcW w:w="384" w:type="pct"/>
            <w:shd w:val="clear" w:color="auto" w:fill="auto"/>
            <w:vAlign w:val="center"/>
          </w:tcPr>
          <w:p>
            <w:pPr>
              <w:adjustRightInd w:val="0"/>
              <w:snapToGrid w:val="0"/>
              <w:rPr>
                <w:sz w:val="18"/>
                <w:szCs w:val="18"/>
              </w:rPr>
            </w:pPr>
            <w:r>
              <w:rPr>
                <w:rFonts w:hint="eastAsia"/>
                <w:sz w:val="18"/>
              </w:rPr>
              <w:t xml:space="preserve">1.7 </w:t>
            </w:r>
          </w:p>
        </w:tc>
        <w:tc>
          <w:tcPr>
            <w:tcW w:w="384"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1.7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2.3 </w:t>
            </w:r>
          </w:p>
        </w:tc>
        <w:tc>
          <w:tcPr>
            <w:tcW w:w="383" w:type="pct"/>
            <w:shd w:val="clear" w:color="auto" w:fill="auto"/>
            <w:vAlign w:val="center"/>
          </w:tcPr>
          <w:p>
            <w:pPr>
              <w:adjustRightInd w:val="0"/>
              <w:snapToGrid w:val="0"/>
              <w:rPr>
                <w:sz w:val="18"/>
                <w:szCs w:val="18"/>
              </w:rPr>
            </w:pPr>
            <w:r>
              <w:rPr>
                <w:rFonts w:hint="eastAsia"/>
                <w:sz w:val="18"/>
              </w:rPr>
              <w:t xml:space="preserve">2.5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388" w:type="pct"/>
            <w:tcBorders>
              <w:bottom w:val="single" w:color="auto" w:sz="12" w:space="0"/>
            </w:tcBorders>
            <w:shd w:val="clear" w:color="auto" w:fill="auto"/>
            <w:vAlign w:val="center"/>
          </w:tcPr>
          <w:p>
            <w:pPr>
              <w:adjustRightInd w:val="0"/>
              <w:snapToGrid w:val="0"/>
              <w:rPr>
                <w:sz w:val="18"/>
                <w:szCs w:val="18"/>
              </w:rPr>
            </w:pPr>
            <w:r>
              <w:rPr>
                <w:sz w:val="18"/>
                <w:szCs w:val="18"/>
              </w:rPr>
              <w:t>冬季</w:t>
            </w:r>
          </w:p>
        </w:tc>
        <w:tc>
          <w:tcPr>
            <w:tcW w:w="384"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2.0 </w:t>
            </w:r>
          </w:p>
        </w:tc>
        <w:tc>
          <w:tcPr>
            <w:tcW w:w="384"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1.9 </w:t>
            </w:r>
          </w:p>
        </w:tc>
        <w:tc>
          <w:tcPr>
            <w:tcW w:w="384"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1.9 </w:t>
            </w:r>
          </w:p>
        </w:tc>
        <w:tc>
          <w:tcPr>
            <w:tcW w:w="384"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1.7 </w:t>
            </w:r>
          </w:p>
        </w:tc>
        <w:tc>
          <w:tcPr>
            <w:tcW w:w="384"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2.0 </w:t>
            </w:r>
          </w:p>
        </w:tc>
        <w:tc>
          <w:tcPr>
            <w:tcW w:w="384"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1.9 </w:t>
            </w:r>
          </w:p>
        </w:tc>
        <w:tc>
          <w:tcPr>
            <w:tcW w:w="385"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1.8 </w:t>
            </w:r>
          </w:p>
        </w:tc>
        <w:tc>
          <w:tcPr>
            <w:tcW w:w="385"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2.0 </w:t>
            </w:r>
          </w:p>
        </w:tc>
        <w:tc>
          <w:tcPr>
            <w:tcW w:w="385"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2.0 </w:t>
            </w:r>
          </w:p>
        </w:tc>
        <w:tc>
          <w:tcPr>
            <w:tcW w:w="385"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1.9 </w:t>
            </w:r>
          </w:p>
        </w:tc>
        <w:tc>
          <w:tcPr>
            <w:tcW w:w="385"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2.3 </w:t>
            </w:r>
          </w:p>
        </w:tc>
        <w:tc>
          <w:tcPr>
            <w:tcW w:w="383" w:type="pct"/>
            <w:tcBorders>
              <w:bottom w:val="single" w:color="auto" w:sz="12" w:space="0"/>
            </w:tcBorders>
            <w:shd w:val="clear" w:color="auto" w:fill="auto"/>
            <w:vAlign w:val="center"/>
          </w:tcPr>
          <w:p>
            <w:pPr>
              <w:adjustRightInd w:val="0"/>
              <w:snapToGrid w:val="0"/>
              <w:rPr>
                <w:sz w:val="18"/>
                <w:szCs w:val="18"/>
              </w:rPr>
            </w:pPr>
            <w:r>
              <w:rPr>
                <w:rFonts w:hint="eastAsia"/>
                <w:sz w:val="18"/>
              </w:rPr>
              <w:t xml:space="preserve">2.7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0" w:hRule="atLeast"/>
        </w:trPr>
        <w:tc>
          <w:tcPr>
            <w:tcW w:w="388" w:type="pct"/>
            <w:tcBorders>
              <w:top w:val="single" w:color="auto" w:sz="12" w:space="0"/>
            </w:tcBorders>
            <w:shd w:val="clear" w:color="auto" w:fill="auto"/>
            <w:vAlign w:val="center"/>
          </w:tcPr>
          <w:p>
            <w:pPr>
              <w:adjustRightInd w:val="0"/>
              <w:snapToGrid w:val="0"/>
              <w:rPr>
                <w:sz w:val="18"/>
                <w:szCs w:val="18"/>
              </w:rPr>
            </w:pPr>
            <w:r>
              <w:rPr>
                <w:sz w:val="18"/>
                <w:szCs w:val="18"/>
              </w:rPr>
              <w:t>风速</w:t>
            </w:r>
          </w:p>
          <w:p>
            <w:pPr>
              <w:adjustRightInd w:val="0"/>
              <w:snapToGrid w:val="0"/>
              <w:rPr>
                <w:sz w:val="18"/>
                <w:szCs w:val="18"/>
              </w:rPr>
            </w:pPr>
            <w:r>
              <w:rPr>
                <w:sz w:val="18"/>
                <w:szCs w:val="18"/>
              </w:rPr>
              <w:t>(m/s)</w:t>
            </w:r>
          </w:p>
        </w:tc>
        <w:tc>
          <w:tcPr>
            <w:tcW w:w="384" w:type="pct"/>
            <w:tcBorders>
              <w:top w:val="single" w:color="auto" w:sz="12" w:space="0"/>
            </w:tcBorders>
            <w:shd w:val="clear" w:color="auto" w:fill="auto"/>
            <w:vAlign w:val="center"/>
          </w:tcPr>
          <w:p>
            <w:pPr>
              <w:adjustRightInd w:val="0"/>
              <w:snapToGrid w:val="0"/>
              <w:rPr>
                <w:sz w:val="18"/>
                <w:szCs w:val="18"/>
              </w:rPr>
            </w:pPr>
            <w:r>
              <w:rPr>
                <w:sz w:val="18"/>
                <w:szCs w:val="18"/>
              </w:rPr>
              <w:t>12时</w:t>
            </w:r>
          </w:p>
        </w:tc>
        <w:tc>
          <w:tcPr>
            <w:tcW w:w="384" w:type="pct"/>
            <w:tcBorders>
              <w:top w:val="single" w:color="auto" w:sz="12" w:space="0"/>
            </w:tcBorders>
            <w:shd w:val="clear" w:color="auto" w:fill="auto"/>
            <w:vAlign w:val="center"/>
          </w:tcPr>
          <w:p>
            <w:pPr>
              <w:adjustRightInd w:val="0"/>
              <w:snapToGrid w:val="0"/>
              <w:rPr>
                <w:sz w:val="18"/>
                <w:szCs w:val="18"/>
              </w:rPr>
            </w:pPr>
            <w:r>
              <w:rPr>
                <w:sz w:val="18"/>
                <w:szCs w:val="18"/>
              </w:rPr>
              <w:t>13时</w:t>
            </w:r>
          </w:p>
        </w:tc>
        <w:tc>
          <w:tcPr>
            <w:tcW w:w="384" w:type="pct"/>
            <w:tcBorders>
              <w:top w:val="single" w:color="auto" w:sz="12" w:space="0"/>
            </w:tcBorders>
            <w:shd w:val="clear" w:color="auto" w:fill="auto"/>
            <w:vAlign w:val="center"/>
          </w:tcPr>
          <w:p>
            <w:pPr>
              <w:adjustRightInd w:val="0"/>
              <w:snapToGrid w:val="0"/>
              <w:rPr>
                <w:sz w:val="18"/>
                <w:szCs w:val="18"/>
              </w:rPr>
            </w:pPr>
            <w:r>
              <w:rPr>
                <w:sz w:val="18"/>
                <w:szCs w:val="18"/>
              </w:rPr>
              <w:t>14时</w:t>
            </w:r>
          </w:p>
        </w:tc>
        <w:tc>
          <w:tcPr>
            <w:tcW w:w="384" w:type="pct"/>
            <w:tcBorders>
              <w:top w:val="single" w:color="auto" w:sz="12" w:space="0"/>
            </w:tcBorders>
            <w:shd w:val="clear" w:color="auto" w:fill="auto"/>
            <w:vAlign w:val="center"/>
          </w:tcPr>
          <w:p>
            <w:pPr>
              <w:adjustRightInd w:val="0"/>
              <w:snapToGrid w:val="0"/>
              <w:rPr>
                <w:sz w:val="18"/>
                <w:szCs w:val="18"/>
              </w:rPr>
            </w:pPr>
            <w:r>
              <w:rPr>
                <w:sz w:val="18"/>
                <w:szCs w:val="18"/>
              </w:rPr>
              <w:t>15时</w:t>
            </w:r>
          </w:p>
        </w:tc>
        <w:tc>
          <w:tcPr>
            <w:tcW w:w="384" w:type="pct"/>
            <w:tcBorders>
              <w:top w:val="single" w:color="auto" w:sz="12" w:space="0"/>
            </w:tcBorders>
            <w:shd w:val="clear" w:color="auto" w:fill="auto"/>
            <w:vAlign w:val="center"/>
          </w:tcPr>
          <w:p>
            <w:pPr>
              <w:adjustRightInd w:val="0"/>
              <w:snapToGrid w:val="0"/>
              <w:rPr>
                <w:sz w:val="18"/>
                <w:szCs w:val="18"/>
              </w:rPr>
            </w:pPr>
            <w:r>
              <w:rPr>
                <w:sz w:val="18"/>
                <w:szCs w:val="18"/>
              </w:rPr>
              <w:t>16时</w:t>
            </w:r>
          </w:p>
        </w:tc>
        <w:tc>
          <w:tcPr>
            <w:tcW w:w="384" w:type="pct"/>
            <w:tcBorders>
              <w:top w:val="single" w:color="auto" w:sz="12" w:space="0"/>
            </w:tcBorders>
            <w:shd w:val="clear" w:color="auto" w:fill="auto"/>
            <w:vAlign w:val="center"/>
          </w:tcPr>
          <w:p>
            <w:pPr>
              <w:adjustRightInd w:val="0"/>
              <w:snapToGrid w:val="0"/>
              <w:rPr>
                <w:sz w:val="18"/>
                <w:szCs w:val="18"/>
              </w:rPr>
            </w:pPr>
            <w:r>
              <w:rPr>
                <w:sz w:val="18"/>
                <w:szCs w:val="18"/>
              </w:rPr>
              <w:t>17时</w:t>
            </w:r>
          </w:p>
        </w:tc>
        <w:tc>
          <w:tcPr>
            <w:tcW w:w="385" w:type="pct"/>
            <w:tcBorders>
              <w:top w:val="single" w:color="auto" w:sz="12" w:space="0"/>
            </w:tcBorders>
            <w:shd w:val="clear" w:color="auto" w:fill="auto"/>
            <w:vAlign w:val="center"/>
          </w:tcPr>
          <w:p>
            <w:pPr>
              <w:adjustRightInd w:val="0"/>
              <w:snapToGrid w:val="0"/>
              <w:rPr>
                <w:sz w:val="18"/>
                <w:szCs w:val="18"/>
              </w:rPr>
            </w:pPr>
            <w:r>
              <w:rPr>
                <w:sz w:val="18"/>
                <w:szCs w:val="18"/>
              </w:rPr>
              <w:t>18时</w:t>
            </w:r>
          </w:p>
        </w:tc>
        <w:tc>
          <w:tcPr>
            <w:tcW w:w="385" w:type="pct"/>
            <w:tcBorders>
              <w:top w:val="single" w:color="auto" w:sz="12" w:space="0"/>
            </w:tcBorders>
            <w:shd w:val="clear" w:color="auto" w:fill="auto"/>
            <w:vAlign w:val="center"/>
          </w:tcPr>
          <w:p>
            <w:pPr>
              <w:adjustRightInd w:val="0"/>
              <w:snapToGrid w:val="0"/>
              <w:rPr>
                <w:sz w:val="18"/>
                <w:szCs w:val="18"/>
              </w:rPr>
            </w:pPr>
            <w:r>
              <w:rPr>
                <w:sz w:val="18"/>
                <w:szCs w:val="18"/>
              </w:rPr>
              <w:t>19时</w:t>
            </w:r>
          </w:p>
        </w:tc>
        <w:tc>
          <w:tcPr>
            <w:tcW w:w="385" w:type="pct"/>
            <w:tcBorders>
              <w:top w:val="single" w:color="auto" w:sz="12" w:space="0"/>
            </w:tcBorders>
            <w:shd w:val="clear" w:color="auto" w:fill="auto"/>
            <w:vAlign w:val="center"/>
          </w:tcPr>
          <w:p>
            <w:pPr>
              <w:adjustRightInd w:val="0"/>
              <w:snapToGrid w:val="0"/>
              <w:rPr>
                <w:sz w:val="18"/>
                <w:szCs w:val="18"/>
              </w:rPr>
            </w:pPr>
            <w:r>
              <w:rPr>
                <w:sz w:val="18"/>
                <w:szCs w:val="18"/>
              </w:rPr>
              <w:t>20时</w:t>
            </w:r>
          </w:p>
        </w:tc>
        <w:tc>
          <w:tcPr>
            <w:tcW w:w="385" w:type="pct"/>
            <w:tcBorders>
              <w:top w:val="single" w:color="auto" w:sz="12" w:space="0"/>
            </w:tcBorders>
            <w:shd w:val="clear" w:color="auto" w:fill="auto"/>
            <w:vAlign w:val="center"/>
          </w:tcPr>
          <w:p>
            <w:pPr>
              <w:adjustRightInd w:val="0"/>
              <w:snapToGrid w:val="0"/>
              <w:rPr>
                <w:sz w:val="18"/>
                <w:szCs w:val="18"/>
              </w:rPr>
            </w:pPr>
            <w:r>
              <w:rPr>
                <w:sz w:val="18"/>
                <w:szCs w:val="18"/>
              </w:rPr>
              <w:t>21时</w:t>
            </w:r>
          </w:p>
        </w:tc>
        <w:tc>
          <w:tcPr>
            <w:tcW w:w="385" w:type="pct"/>
            <w:tcBorders>
              <w:top w:val="single" w:color="auto" w:sz="12" w:space="0"/>
            </w:tcBorders>
            <w:shd w:val="clear" w:color="auto" w:fill="auto"/>
            <w:vAlign w:val="center"/>
          </w:tcPr>
          <w:p>
            <w:pPr>
              <w:adjustRightInd w:val="0"/>
              <w:snapToGrid w:val="0"/>
              <w:rPr>
                <w:sz w:val="18"/>
                <w:szCs w:val="18"/>
              </w:rPr>
            </w:pPr>
            <w:r>
              <w:rPr>
                <w:sz w:val="18"/>
                <w:szCs w:val="18"/>
              </w:rPr>
              <w:t>22时</w:t>
            </w:r>
          </w:p>
        </w:tc>
        <w:tc>
          <w:tcPr>
            <w:tcW w:w="383" w:type="pct"/>
            <w:tcBorders>
              <w:top w:val="single" w:color="auto" w:sz="12" w:space="0"/>
            </w:tcBorders>
            <w:shd w:val="clear" w:color="auto" w:fill="auto"/>
            <w:vAlign w:val="center"/>
          </w:tcPr>
          <w:p>
            <w:pPr>
              <w:adjustRightInd w:val="0"/>
              <w:snapToGrid w:val="0"/>
              <w:rPr>
                <w:sz w:val="18"/>
                <w:szCs w:val="18"/>
              </w:rPr>
            </w:pPr>
            <w:r>
              <w:rPr>
                <w:sz w:val="18"/>
                <w:szCs w:val="18"/>
              </w:rPr>
              <w:t>23时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388" w:type="pct"/>
            <w:shd w:val="clear" w:color="auto" w:fill="auto"/>
            <w:vAlign w:val="center"/>
          </w:tcPr>
          <w:p>
            <w:pPr>
              <w:adjustRightInd w:val="0"/>
              <w:snapToGrid w:val="0"/>
              <w:rPr>
                <w:sz w:val="18"/>
                <w:szCs w:val="18"/>
              </w:rPr>
            </w:pPr>
            <w:r>
              <w:rPr>
                <w:sz w:val="18"/>
                <w:szCs w:val="18"/>
              </w:rPr>
              <w:t>春季</w:t>
            </w:r>
          </w:p>
        </w:tc>
        <w:tc>
          <w:tcPr>
            <w:tcW w:w="384" w:type="pct"/>
            <w:shd w:val="clear" w:color="auto" w:fill="auto"/>
            <w:vAlign w:val="center"/>
          </w:tcPr>
          <w:p>
            <w:pPr>
              <w:adjustRightInd w:val="0"/>
              <w:snapToGrid w:val="0"/>
              <w:rPr>
                <w:sz w:val="18"/>
                <w:szCs w:val="18"/>
              </w:rPr>
            </w:pPr>
            <w:r>
              <w:rPr>
                <w:rFonts w:hint="eastAsia"/>
                <w:sz w:val="18"/>
              </w:rPr>
              <w:t xml:space="preserve">4.1 </w:t>
            </w:r>
          </w:p>
        </w:tc>
        <w:tc>
          <w:tcPr>
            <w:tcW w:w="384" w:type="pct"/>
            <w:shd w:val="clear" w:color="auto" w:fill="auto"/>
            <w:vAlign w:val="center"/>
          </w:tcPr>
          <w:p>
            <w:pPr>
              <w:adjustRightInd w:val="0"/>
              <w:snapToGrid w:val="0"/>
              <w:rPr>
                <w:sz w:val="18"/>
                <w:szCs w:val="18"/>
              </w:rPr>
            </w:pPr>
            <w:r>
              <w:rPr>
                <w:rFonts w:hint="eastAsia"/>
                <w:sz w:val="18"/>
              </w:rPr>
              <w:t xml:space="preserve">3.9 </w:t>
            </w:r>
          </w:p>
        </w:tc>
        <w:tc>
          <w:tcPr>
            <w:tcW w:w="384" w:type="pct"/>
            <w:shd w:val="clear" w:color="auto" w:fill="auto"/>
            <w:vAlign w:val="center"/>
          </w:tcPr>
          <w:p>
            <w:pPr>
              <w:adjustRightInd w:val="0"/>
              <w:snapToGrid w:val="0"/>
              <w:rPr>
                <w:sz w:val="18"/>
                <w:szCs w:val="18"/>
              </w:rPr>
            </w:pPr>
            <w:r>
              <w:rPr>
                <w:rFonts w:hint="eastAsia"/>
                <w:sz w:val="18"/>
              </w:rPr>
              <w:t xml:space="preserve">4.1 </w:t>
            </w:r>
          </w:p>
        </w:tc>
        <w:tc>
          <w:tcPr>
            <w:tcW w:w="384" w:type="pct"/>
            <w:shd w:val="clear" w:color="auto" w:fill="auto"/>
            <w:vAlign w:val="center"/>
          </w:tcPr>
          <w:p>
            <w:pPr>
              <w:adjustRightInd w:val="0"/>
              <w:snapToGrid w:val="0"/>
              <w:rPr>
                <w:sz w:val="18"/>
                <w:szCs w:val="18"/>
              </w:rPr>
            </w:pPr>
            <w:r>
              <w:rPr>
                <w:rFonts w:hint="eastAsia"/>
                <w:sz w:val="18"/>
              </w:rPr>
              <w:t xml:space="preserve">4.0 </w:t>
            </w:r>
          </w:p>
        </w:tc>
        <w:tc>
          <w:tcPr>
            <w:tcW w:w="384" w:type="pct"/>
            <w:shd w:val="clear" w:color="auto" w:fill="auto"/>
            <w:vAlign w:val="center"/>
          </w:tcPr>
          <w:p>
            <w:pPr>
              <w:adjustRightInd w:val="0"/>
              <w:snapToGrid w:val="0"/>
              <w:rPr>
                <w:sz w:val="18"/>
                <w:szCs w:val="18"/>
              </w:rPr>
            </w:pPr>
            <w:r>
              <w:rPr>
                <w:rFonts w:hint="eastAsia"/>
                <w:sz w:val="18"/>
              </w:rPr>
              <w:t xml:space="preserve">3.5 </w:t>
            </w:r>
          </w:p>
        </w:tc>
        <w:tc>
          <w:tcPr>
            <w:tcW w:w="384" w:type="pct"/>
            <w:shd w:val="clear" w:color="auto" w:fill="auto"/>
            <w:vAlign w:val="center"/>
          </w:tcPr>
          <w:p>
            <w:pPr>
              <w:adjustRightInd w:val="0"/>
              <w:snapToGrid w:val="0"/>
              <w:rPr>
                <w:sz w:val="18"/>
                <w:szCs w:val="18"/>
              </w:rPr>
            </w:pPr>
            <w:r>
              <w:rPr>
                <w:rFonts w:hint="eastAsia"/>
                <w:sz w:val="18"/>
              </w:rPr>
              <w:t xml:space="preserve">3.0 </w:t>
            </w:r>
          </w:p>
        </w:tc>
        <w:tc>
          <w:tcPr>
            <w:tcW w:w="385" w:type="pct"/>
            <w:shd w:val="clear" w:color="auto" w:fill="auto"/>
            <w:vAlign w:val="center"/>
          </w:tcPr>
          <w:p>
            <w:pPr>
              <w:adjustRightInd w:val="0"/>
              <w:snapToGrid w:val="0"/>
              <w:rPr>
                <w:sz w:val="18"/>
                <w:szCs w:val="18"/>
              </w:rPr>
            </w:pPr>
            <w:r>
              <w:rPr>
                <w:rFonts w:hint="eastAsia"/>
                <w:sz w:val="18"/>
              </w:rPr>
              <w:t xml:space="preserve">2.2 </w:t>
            </w:r>
          </w:p>
        </w:tc>
        <w:tc>
          <w:tcPr>
            <w:tcW w:w="385" w:type="pct"/>
            <w:shd w:val="clear" w:color="auto" w:fill="auto"/>
            <w:vAlign w:val="center"/>
          </w:tcPr>
          <w:p>
            <w:pPr>
              <w:adjustRightInd w:val="0"/>
              <w:snapToGrid w:val="0"/>
              <w:rPr>
                <w:sz w:val="18"/>
                <w:szCs w:val="18"/>
              </w:rPr>
            </w:pPr>
            <w:r>
              <w:rPr>
                <w:rFonts w:hint="eastAsia"/>
                <w:sz w:val="18"/>
              </w:rPr>
              <w:t xml:space="preserve">1.9 </w:t>
            </w:r>
          </w:p>
        </w:tc>
        <w:tc>
          <w:tcPr>
            <w:tcW w:w="385" w:type="pct"/>
            <w:shd w:val="clear" w:color="auto" w:fill="auto"/>
            <w:vAlign w:val="center"/>
          </w:tcPr>
          <w:p>
            <w:pPr>
              <w:adjustRightInd w:val="0"/>
              <w:snapToGrid w:val="0"/>
              <w:rPr>
                <w:sz w:val="18"/>
                <w:szCs w:val="18"/>
              </w:rPr>
            </w:pPr>
            <w:r>
              <w:rPr>
                <w:rFonts w:hint="eastAsia"/>
                <w:sz w:val="18"/>
              </w:rPr>
              <w:t xml:space="preserve">1.9 </w:t>
            </w:r>
          </w:p>
        </w:tc>
        <w:tc>
          <w:tcPr>
            <w:tcW w:w="385" w:type="pct"/>
            <w:shd w:val="clear" w:color="auto" w:fill="auto"/>
            <w:vAlign w:val="center"/>
          </w:tcPr>
          <w:p>
            <w:pPr>
              <w:adjustRightInd w:val="0"/>
              <w:snapToGrid w:val="0"/>
              <w:rPr>
                <w:sz w:val="18"/>
                <w:szCs w:val="18"/>
              </w:rPr>
            </w:pPr>
            <w:r>
              <w:rPr>
                <w:rFonts w:hint="eastAsia"/>
                <w:sz w:val="18"/>
              </w:rPr>
              <w:t xml:space="preserve">1.7 </w:t>
            </w:r>
          </w:p>
        </w:tc>
        <w:tc>
          <w:tcPr>
            <w:tcW w:w="385" w:type="pct"/>
            <w:shd w:val="clear" w:color="auto" w:fill="auto"/>
            <w:vAlign w:val="center"/>
          </w:tcPr>
          <w:p>
            <w:pPr>
              <w:adjustRightInd w:val="0"/>
              <w:snapToGrid w:val="0"/>
              <w:rPr>
                <w:sz w:val="18"/>
                <w:szCs w:val="18"/>
              </w:rPr>
            </w:pPr>
            <w:r>
              <w:rPr>
                <w:rFonts w:hint="eastAsia"/>
                <w:sz w:val="18"/>
              </w:rPr>
              <w:t xml:space="preserve">1.9 </w:t>
            </w:r>
          </w:p>
        </w:tc>
        <w:tc>
          <w:tcPr>
            <w:tcW w:w="383" w:type="pct"/>
            <w:shd w:val="clear" w:color="auto" w:fill="auto"/>
            <w:vAlign w:val="center"/>
          </w:tcPr>
          <w:p>
            <w:pPr>
              <w:adjustRightInd w:val="0"/>
              <w:snapToGrid w:val="0"/>
              <w:rPr>
                <w:sz w:val="18"/>
                <w:szCs w:val="18"/>
              </w:rPr>
            </w:pPr>
            <w:r>
              <w:rPr>
                <w:rFonts w:hint="eastAsia"/>
                <w:sz w:val="18"/>
              </w:rPr>
              <w:t xml:space="preserve">1.9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6" w:hRule="atLeast"/>
        </w:trPr>
        <w:tc>
          <w:tcPr>
            <w:tcW w:w="388" w:type="pct"/>
            <w:shd w:val="clear" w:color="auto" w:fill="auto"/>
            <w:vAlign w:val="center"/>
          </w:tcPr>
          <w:p>
            <w:pPr>
              <w:adjustRightInd w:val="0"/>
              <w:snapToGrid w:val="0"/>
              <w:rPr>
                <w:sz w:val="18"/>
                <w:szCs w:val="18"/>
              </w:rPr>
            </w:pPr>
            <w:r>
              <w:rPr>
                <w:sz w:val="18"/>
                <w:szCs w:val="18"/>
              </w:rPr>
              <w:t>夏季</w:t>
            </w:r>
          </w:p>
        </w:tc>
        <w:tc>
          <w:tcPr>
            <w:tcW w:w="384" w:type="pct"/>
            <w:shd w:val="clear" w:color="auto" w:fill="auto"/>
            <w:vAlign w:val="center"/>
          </w:tcPr>
          <w:p>
            <w:pPr>
              <w:adjustRightInd w:val="0"/>
              <w:snapToGrid w:val="0"/>
              <w:rPr>
                <w:sz w:val="18"/>
                <w:szCs w:val="18"/>
              </w:rPr>
            </w:pPr>
            <w:r>
              <w:rPr>
                <w:rFonts w:hint="eastAsia"/>
                <w:sz w:val="18"/>
              </w:rPr>
              <w:t xml:space="preserve">2.8 </w:t>
            </w:r>
          </w:p>
        </w:tc>
        <w:tc>
          <w:tcPr>
            <w:tcW w:w="384" w:type="pct"/>
            <w:shd w:val="clear" w:color="auto" w:fill="auto"/>
            <w:vAlign w:val="center"/>
          </w:tcPr>
          <w:p>
            <w:pPr>
              <w:adjustRightInd w:val="0"/>
              <w:snapToGrid w:val="0"/>
              <w:rPr>
                <w:sz w:val="18"/>
                <w:szCs w:val="18"/>
              </w:rPr>
            </w:pPr>
            <w:r>
              <w:rPr>
                <w:rFonts w:hint="eastAsia"/>
                <w:sz w:val="18"/>
              </w:rPr>
              <w:t xml:space="preserve">2.8 </w:t>
            </w:r>
          </w:p>
        </w:tc>
        <w:tc>
          <w:tcPr>
            <w:tcW w:w="384" w:type="pct"/>
            <w:shd w:val="clear" w:color="auto" w:fill="auto"/>
            <w:vAlign w:val="center"/>
          </w:tcPr>
          <w:p>
            <w:pPr>
              <w:adjustRightInd w:val="0"/>
              <w:snapToGrid w:val="0"/>
              <w:rPr>
                <w:sz w:val="18"/>
                <w:szCs w:val="18"/>
              </w:rPr>
            </w:pPr>
            <w:r>
              <w:rPr>
                <w:rFonts w:hint="eastAsia"/>
                <w:sz w:val="18"/>
              </w:rPr>
              <w:t xml:space="preserve">2.8 </w:t>
            </w:r>
          </w:p>
        </w:tc>
        <w:tc>
          <w:tcPr>
            <w:tcW w:w="384" w:type="pct"/>
            <w:shd w:val="clear" w:color="auto" w:fill="auto"/>
            <w:vAlign w:val="center"/>
          </w:tcPr>
          <w:p>
            <w:pPr>
              <w:adjustRightInd w:val="0"/>
              <w:snapToGrid w:val="0"/>
              <w:rPr>
                <w:sz w:val="18"/>
                <w:szCs w:val="18"/>
              </w:rPr>
            </w:pPr>
            <w:r>
              <w:rPr>
                <w:rFonts w:hint="eastAsia"/>
                <w:sz w:val="18"/>
              </w:rPr>
              <w:t xml:space="preserve">2.8 </w:t>
            </w:r>
          </w:p>
        </w:tc>
        <w:tc>
          <w:tcPr>
            <w:tcW w:w="384" w:type="pct"/>
            <w:shd w:val="clear" w:color="auto" w:fill="auto"/>
            <w:vAlign w:val="center"/>
          </w:tcPr>
          <w:p>
            <w:pPr>
              <w:adjustRightInd w:val="0"/>
              <w:snapToGrid w:val="0"/>
              <w:rPr>
                <w:sz w:val="18"/>
                <w:szCs w:val="18"/>
              </w:rPr>
            </w:pPr>
            <w:r>
              <w:rPr>
                <w:rFonts w:hint="eastAsia"/>
                <w:sz w:val="18"/>
              </w:rPr>
              <w:t xml:space="preserve">2.6 </w:t>
            </w:r>
          </w:p>
        </w:tc>
        <w:tc>
          <w:tcPr>
            <w:tcW w:w="384" w:type="pct"/>
            <w:shd w:val="clear" w:color="auto" w:fill="auto"/>
            <w:vAlign w:val="center"/>
          </w:tcPr>
          <w:p>
            <w:pPr>
              <w:adjustRightInd w:val="0"/>
              <w:snapToGrid w:val="0"/>
              <w:rPr>
                <w:sz w:val="18"/>
                <w:szCs w:val="18"/>
              </w:rPr>
            </w:pPr>
            <w:r>
              <w:rPr>
                <w:rFonts w:hint="eastAsia"/>
                <w:sz w:val="18"/>
              </w:rPr>
              <w:t xml:space="preserve">2.3 </w:t>
            </w:r>
          </w:p>
        </w:tc>
        <w:tc>
          <w:tcPr>
            <w:tcW w:w="385" w:type="pct"/>
            <w:shd w:val="clear" w:color="auto" w:fill="auto"/>
            <w:vAlign w:val="center"/>
          </w:tcPr>
          <w:p>
            <w:pPr>
              <w:adjustRightInd w:val="0"/>
              <w:snapToGrid w:val="0"/>
              <w:rPr>
                <w:sz w:val="18"/>
                <w:szCs w:val="18"/>
              </w:rPr>
            </w:pPr>
            <w:r>
              <w:rPr>
                <w:rFonts w:hint="eastAsia"/>
                <w:sz w:val="18"/>
              </w:rPr>
              <w:t xml:space="preserve">1.5 </w:t>
            </w:r>
          </w:p>
        </w:tc>
        <w:tc>
          <w:tcPr>
            <w:tcW w:w="385" w:type="pct"/>
            <w:shd w:val="clear" w:color="auto" w:fill="auto"/>
            <w:vAlign w:val="center"/>
          </w:tcPr>
          <w:p>
            <w:pPr>
              <w:adjustRightInd w:val="0"/>
              <w:snapToGrid w:val="0"/>
              <w:rPr>
                <w:sz w:val="18"/>
                <w:szCs w:val="18"/>
              </w:rPr>
            </w:pPr>
            <w:r>
              <w:rPr>
                <w:rFonts w:hint="eastAsia"/>
                <w:sz w:val="18"/>
              </w:rPr>
              <w:t xml:space="preserve">1.5 </w:t>
            </w:r>
          </w:p>
        </w:tc>
        <w:tc>
          <w:tcPr>
            <w:tcW w:w="385" w:type="pct"/>
            <w:shd w:val="clear" w:color="auto" w:fill="auto"/>
            <w:vAlign w:val="center"/>
          </w:tcPr>
          <w:p>
            <w:pPr>
              <w:adjustRightInd w:val="0"/>
              <w:snapToGrid w:val="0"/>
              <w:rPr>
                <w:sz w:val="18"/>
                <w:szCs w:val="18"/>
              </w:rPr>
            </w:pPr>
            <w:r>
              <w:rPr>
                <w:rFonts w:hint="eastAsia"/>
                <w:sz w:val="18"/>
              </w:rPr>
              <w:t xml:space="preserve">1.4 </w:t>
            </w:r>
          </w:p>
        </w:tc>
        <w:tc>
          <w:tcPr>
            <w:tcW w:w="385" w:type="pct"/>
            <w:shd w:val="clear" w:color="auto" w:fill="auto"/>
            <w:vAlign w:val="center"/>
          </w:tcPr>
          <w:p>
            <w:pPr>
              <w:adjustRightInd w:val="0"/>
              <w:snapToGrid w:val="0"/>
              <w:rPr>
                <w:sz w:val="18"/>
                <w:szCs w:val="18"/>
              </w:rPr>
            </w:pPr>
            <w:r>
              <w:rPr>
                <w:rFonts w:hint="eastAsia"/>
                <w:sz w:val="18"/>
              </w:rPr>
              <w:t xml:space="preserve">1.3 </w:t>
            </w:r>
          </w:p>
        </w:tc>
        <w:tc>
          <w:tcPr>
            <w:tcW w:w="385" w:type="pct"/>
            <w:shd w:val="clear" w:color="auto" w:fill="auto"/>
            <w:vAlign w:val="center"/>
          </w:tcPr>
          <w:p>
            <w:pPr>
              <w:adjustRightInd w:val="0"/>
              <w:snapToGrid w:val="0"/>
              <w:rPr>
                <w:sz w:val="18"/>
                <w:szCs w:val="18"/>
              </w:rPr>
            </w:pPr>
            <w:r>
              <w:rPr>
                <w:rFonts w:hint="eastAsia"/>
                <w:sz w:val="18"/>
              </w:rPr>
              <w:t xml:space="preserve">1.5 </w:t>
            </w:r>
          </w:p>
        </w:tc>
        <w:tc>
          <w:tcPr>
            <w:tcW w:w="383" w:type="pct"/>
            <w:shd w:val="clear" w:color="auto" w:fill="auto"/>
            <w:vAlign w:val="center"/>
          </w:tcPr>
          <w:p>
            <w:pPr>
              <w:adjustRightInd w:val="0"/>
              <w:snapToGrid w:val="0"/>
              <w:rPr>
                <w:sz w:val="18"/>
                <w:szCs w:val="18"/>
              </w:rPr>
            </w:pPr>
            <w:r>
              <w:rPr>
                <w:rFonts w:hint="eastAsia"/>
                <w:sz w:val="18"/>
              </w:rPr>
              <w:t xml:space="preserve">1.5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388" w:type="pct"/>
            <w:shd w:val="clear" w:color="auto" w:fill="auto"/>
            <w:vAlign w:val="center"/>
          </w:tcPr>
          <w:p>
            <w:pPr>
              <w:adjustRightInd w:val="0"/>
              <w:snapToGrid w:val="0"/>
              <w:rPr>
                <w:sz w:val="18"/>
                <w:szCs w:val="18"/>
              </w:rPr>
            </w:pPr>
            <w:r>
              <w:rPr>
                <w:sz w:val="18"/>
                <w:szCs w:val="18"/>
              </w:rPr>
              <w:t>秋季</w:t>
            </w:r>
          </w:p>
        </w:tc>
        <w:tc>
          <w:tcPr>
            <w:tcW w:w="384" w:type="pct"/>
            <w:shd w:val="clear" w:color="auto" w:fill="auto"/>
            <w:vAlign w:val="center"/>
          </w:tcPr>
          <w:p>
            <w:pPr>
              <w:adjustRightInd w:val="0"/>
              <w:snapToGrid w:val="0"/>
              <w:rPr>
                <w:sz w:val="18"/>
                <w:szCs w:val="18"/>
              </w:rPr>
            </w:pPr>
            <w:r>
              <w:rPr>
                <w:rFonts w:hint="eastAsia"/>
                <w:sz w:val="18"/>
              </w:rPr>
              <w:t xml:space="preserve">2.8 </w:t>
            </w:r>
          </w:p>
        </w:tc>
        <w:tc>
          <w:tcPr>
            <w:tcW w:w="384" w:type="pct"/>
            <w:shd w:val="clear" w:color="auto" w:fill="auto"/>
            <w:vAlign w:val="center"/>
          </w:tcPr>
          <w:p>
            <w:pPr>
              <w:adjustRightInd w:val="0"/>
              <w:snapToGrid w:val="0"/>
              <w:rPr>
                <w:sz w:val="18"/>
                <w:szCs w:val="18"/>
              </w:rPr>
            </w:pPr>
            <w:r>
              <w:rPr>
                <w:rFonts w:hint="eastAsia"/>
                <w:sz w:val="18"/>
              </w:rPr>
              <w:t xml:space="preserve">3.0 </w:t>
            </w:r>
          </w:p>
        </w:tc>
        <w:tc>
          <w:tcPr>
            <w:tcW w:w="384" w:type="pct"/>
            <w:shd w:val="clear" w:color="auto" w:fill="auto"/>
            <w:vAlign w:val="center"/>
          </w:tcPr>
          <w:p>
            <w:pPr>
              <w:adjustRightInd w:val="0"/>
              <w:snapToGrid w:val="0"/>
              <w:rPr>
                <w:sz w:val="18"/>
                <w:szCs w:val="18"/>
              </w:rPr>
            </w:pPr>
            <w:r>
              <w:rPr>
                <w:rFonts w:hint="eastAsia"/>
                <w:sz w:val="18"/>
              </w:rPr>
              <w:t xml:space="preserve">3.2 </w:t>
            </w:r>
          </w:p>
        </w:tc>
        <w:tc>
          <w:tcPr>
            <w:tcW w:w="384" w:type="pct"/>
            <w:shd w:val="clear" w:color="auto" w:fill="auto"/>
            <w:vAlign w:val="center"/>
          </w:tcPr>
          <w:p>
            <w:pPr>
              <w:adjustRightInd w:val="0"/>
              <w:snapToGrid w:val="0"/>
              <w:rPr>
                <w:sz w:val="18"/>
                <w:szCs w:val="18"/>
              </w:rPr>
            </w:pPr>
            <w:r>
              <w:rPr>
                <w:rFonts w:hint="eastAsia"/>
                <w:sz w:val="18"/>
              </w:rPr>
              <w:t xml:space="preserve">3.1 </w:t>
            </w:r>
          </w:p>
        </w:tc>
        <w:tc>
          <w:tcPr>
            <w:tcW w:w="384" w:type="pct"/>
            <w:shd w:val="clear" w:color="auto" w:fill="auto"/>
            <w:vAlign w:val="center"/>
          </w:tcPr>
          <w:p>
            <w:pPr>
              <w:adjustRightInd w:val="0"/>
              <w:snapToGrid w:val="0"/>
              <w:rPr>
                <w:sz w:val="18"/>
                <w:szCs w:val="18"/>
              </w:rPr>
            </w:pPr>
            <w:r>
              <w:rPr>
                <w:rFonts w:hint="eastAsia"/>
                <w:sz w:val="18"/>
              </w:rPr>
              <w:t xml:space="preserve">2.4 </w:t>
            </w:r>
          </w:p>
        </w:tc>
        <w:tc>
          <w:tcPr>
            <w:tcW w:w="384"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1.6 </w:t>
            </w:r>
          </w:p>
        </w:tc>
        <w:tc>
          <w:tcPr>
            <w:tcW w:w="385" w:type="pct"/>
            <w:shd w:val="clear" w:color="auto" w:fill="auto"/>
            <w:vAlign w:val="center"/>
          </w:tcPr>
          <w:p>
            <w:pPr>
              <w:adjustRightInd w:val="0"/>
              <w:snapToGrid w:val="0"/>
              <w:rPr>
                <w:sz w:val="18"/>
                <w:szCs w:val="18"/>
              </w:rPr>
            </w:pPr>
            <w:r>
              <w:rPr>
                <w:rFonts w:hint="eastAsia"/>
                <w:sz w:val="18"/>
              </w:rPr>
              <w:t xml:space="preserve">1.7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1.8 </w:t>
            </w:r>
          </w:p>
        </w:tc>
        <w:tc>
          <w:tcPr>
            <w:tcW w:w="383" w:type="pct"/>
            <w:shd w:val="clear" w:color="auto" w:fill="auto"/>
            <w:vAlign w:val="center"/>
          </w:tcPr>
          <w:p>
            <w:pPr>
              <w:adjustRightInd w:val="0"/>
              <w:snapToGrid w:val="0"/>
              <w:rPr>
                <w:sz w:val="18"/>
                <w:szCs w:val="18"/>
              </w:rPr>
            </w:pPr>
            <w:r>
              <w:rPr>
                <w:rFonts w:hint="eastAsia"/>
                <w:sz w:val="18"/>
              </w:rPr>
              <w:t xml:space="preserve">1.7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6" w:hRule="atLeast"/>
        </w:trPr>
        <w:tc>
          <w:tcPr>
            <w:tcW w:w="388" w:type="pct"/>
            <w:shd w:val="clear" w:color="auto" w:fill="auto"/>
            <w:vAlign w:val="center"/>
          </w:tcPr>
          <w:p>
            <w:pPr>
              <w:adjustRightInd w:val="0"/>
              <w:snapToGrid w:val="0"/>
              <w:rPr>
                <w:sz w:val="18"/>
                <w:szCs w:val="18"/>
              </w:rPr>
            </w:pPr>
            <w:r>
              <w:rPr>
                <w:sz w:val="18"/>
                <w:szCs w:val="18"/>
              </w:rPr>
              <w:t>冬季</w:t>
            </w:r>
          </w:p>
        </w:tc>
        <w:tc>
          <w:tcPr>
            <w:tcW w:w="384" w:type="pct"/>
            <w:shd w:val="clear" w:color="auto" w:fill="auto"/>
            <w:vAlign w:val="center"/>
          </w:tcPr>
          <w:p>
            <w:pPr>
              <w:adjustRightInd w:val="0"/>
              <w:snapToGrid w:val="0"/>
              <w:rPr>
                <w:sz w:val="18"/>
                <w:szCs w:val="18"/>
              </w:rPr>
            </w:pPr>
            <w:r>
              <w:rPr>
                <w:rFonts w:hint="eastAsia"/>
                <w:sz w:val="18"/>
              </w:rPr>
              <w:t xml:space="preserve">2.8 </w:t>
            </w:r>
          </w:p>
        </w:tc>
        <w:tc>
          <w:tcPr>
            <w:tcW w:w="384" w:type="pct"/>
            <w:shd w:val="clear" w:color="auto" w:fill="auto"/>
            <w:vAlign w:val="center"/>
          </w:tcPr>
          <w:p>
            <w:pPr>
              <w:adjustRightInd w:val="0"/>
              <w:snapToGrid w:val="0"/>
              <w:rPr>
                <w:sz w:val="18"/>
                <w:szCs w:val="18"/>
              </w:rPr>
            </w:pPr>
            <w:r>
              <w:rPr>
                <w:rFonts w:hint="eastAsia"/>
                <w:sz w:val="18"/>
              </w:rPr>
              <w:t xml:space="preserve">3.0 </w:t>
            </w:r>
          </w:p>
        </w:tc>
        <w:tc>
          <w:tcPr>
            <w:tcW w:w="384" w:type="pct"/>
            <w:shd w:val="clear" w:color="auto" w:fill="auto"/>
            <w:vAlign w:val="center"/>
          </w:tcPr>
          <w:p>
            <w:pPr>
              <w:adjustRightInd w:val="0"/>
              <w:snapToGrid w:val="0"/>
              <w:rPr>
                <w:sz w:val="18"/>
                <w:szCs w:val="18"/>
              </w:rPr>
            </w:pPr>
            <w:r>
              <w:rPr>
                <w:rFonts w:hint="eastAsia"/>
                <w:sz w:val="18"/>
              </w:rPr>
              <w:t xml:space="preserve">3.2 </w:t>
            </w:r>
          </w:p>
        </w:tc>
        <w:tc>
          <w:tcPr>
            <w:tcW w:w="384" w:type="pct"/>
            <w:shd w:val="clear" w:color="auto" w:fill="auto"/>
            <w:vAlign w:val="center"/>
          </w:tcPr>
          <w:p>
            <w:pPr>
              <w:adjustRightInd w:val="0"/>
              <w:snapToGrid w:val="0"/>
              <w:rPr>
                <w:sz w:val="18"/>
                <w:szCs w:val="18"/>
              </w:rPr>
            </w:pPr>
            <w:r>
              <w:rPr>
                <w:rFonts w:hint="eastAsia"/>
                <w:sz w:val="18"/>
              </w:rPr>
              <w:t xml:space="preserve">3.1 </w:t>
            </w:r>
          </w:p>
        </w:tc>
        <w:tc>
          <w:tcPr>
            <w:tcW w:w="384" w:type="pct"/>
            <w:shd w:val="clear" w:color="auto" w:fill="auto"/>
            <w:vAlign w:val="center"/>
          </w:tcPr>
          <w:p>
            <w:pPr>
              <w:adjustRightInd w:val="0"/>
              <w:snapToGrid w:val="0"/>
              <w:rPr>
                <w:sz w:val="18"/>
                <w:szCs w:val="18"/>
              </w:rPr>
            </w:pPr>
            <w:r>
              <w:rPr>
                <w:rFonts w:hint="eastAsia"/>
                <w:sz w:val="18"/>
              </w:rPr>
              <w:t xml:space="preserve">2.3 </w:t>
            </w:r>
          </w:p>
        </w:tc>
        <w:tc>
          <w:tcPr>
            <w:tcW w:w="384" w:type="pct"/>
            <w:shd w:val="clear" w:color="auto" w:fill="auto"/>
            <w:vAlign w:val="center"/>
          </w:tcPr>
          <w:p>
            <w:pPr>
              <w:adjustRightInd w:val="0"/>
              <w:snapToGrid w:val="0"/>
              <w:rPr>
                <w:sz w:val="18"/>
                <w:szCs w:val="18"/>
              </w:rPr>
            </w:pPr>
            <w:r>
              <w:rPr>
                <w:rFonts w:hint="eastAsia"/>
                <w:sz w:val="18"/>
              </w:rPr>
              <w:t xml:space="preserve">1.8 </w:t>
            </w:r>
          </w:p>
        </w:tc>
        <w:tc>
          <w:tcPr>
            <w:tcW w:w="385" w:type="pct"/>
            <w:shd w:val="clear" w:color="auto" w:fill="auto"/>
            <w:vAlign w:val="center"/>
          </w:tcPr>
          <w:p>
            <w:pPr>
              <w:adjustRightInd w:val="0"/>
              <w:snapToGrid w:val="0"/>
              <w:rPr>
                <w:sz w:val="18"/>
                <w:szCs w:val="18"/>
              </w:rPr>
            </w:pPr>
            <w:r>
              <w:rPr>
                <w:rFonts w:hint="eastAsia"/>
                <w:sz w:val="18"/>
              </w:rPr>
              <w:t xml:space="preserve">1.9 </w:t>
            </w:r>
          </w:p>
        </w:tc>
        <w:tc>
          <w:tcPr>
            <w:tcW w:w="385" w:type="pct"/>
            <w:shd w:val="clear" w:color="auto" w:fill="auto"/>
            <w:vAlign w:val="center"/>
          </w:tcPr>
          <w:p>
            <w:pPr>
              <w:adjustRightInd w:val="0"/>
              <w:snapToGrid w:val="0"/>
              <w:rPr>
                <w:sz w:val="18"/>
                <w:szCs w:val="18"/>
              </w:rPr>
            </w:pPr>
            <w:r>
              <w:rPr>
                <w:rFonts w:hint="eastAsia"/>
                <w:sz w:val="18"/>
              </w:rPr>
              <w:t xml:space="preserve">2.0 </w:t>
            </w:r>
          </w:p>
        </w:tc>
        <w:tc>
          <w:tcPr>
            <w:tcW w:w="385" w:type="pct"/>
            <w:shd w:val="clear" w:color="auto" w:fill="auto"/>
            <w:vAlign w:val="center"/>
          </w:tcPr>
          <w:p>
            <w:pPr>
              <w:adjustRightInd w:val="0"/>
              <w:snapToGrid w:val="0"/>
              <w:rPr>
                <w:sz w:val="18"/>
                <w:szCs w:val="18"/>
              </w:rPr>
            </w:pPr>
            <w:r>
              <w:rPr>
                <w:rFonts w:hint="eastAsia"/>
                <w:sz w:val="18"/>
              </w:rPr>
              <w:t xml:space="preserve">2.0 </w:t>
            </w:r>
          </w:p>
        </w:tc>
        <w:tc>
          <w:tcPr>
            <w:tcW w:w="385" w:type="pct"/>
            <w:shd w:val="clear" w:color="auto" w:fill="auto"/>
            <w:vAlign w:val="center"/>
          </w:tcPr>
          <w:p>
            <w:pPr>
              <w:adjustRightInd w:val="0"/>
              <w:snapToGrid w:val="0"/>
              <w:rPr>
                <w:sz w:val="18"/>
                <w:szCs w:val="18"/>
              </w:rPr>
            </w:pPr>
            <w:r>
              <w:rPr>
                <w:rFonts w:hint="eastAsia"/>
                <w:sz w:val="18"/>
              </w:rPr>
              <w:t xml:space="preserve">2.1 </w:t>
            </w:r>
          </w:p>
        </w:tc>
        <w:tc>
          <w:tcPr>
            <w:tcW w:w="385" w:type="pct"/>
            <w:shd w:val="clear" w:color="auto" w:fill="auto"/>
            <w:vAlign w:val="center"/>
          </w:tcPr>
          <w:p>
            <w:pPr>
              <w:adjustRightInd w:val="0"/>
              <w:snapToGrid w:val="0"/>
              <w:rPr>
                <w:sz w:val="18"/>
                <w:szCs w:val="18"/>
              </w:rPr>
            </w:pPr>
            <w:r>
              <w:rPr>
                <w:rFonts w:hint="eastAsia"/>
                <w:sz w:val="18"/>
              </w:rPr>
              <w:t xml:space="preserve">2.1 </w:t>
            </w:r>
          </w:p>
        </w:tc>
        <w:tc>
          <w:tcPr>
            <w:tcW w:w="383" w:type="pct"/>
            <w:shd w:val="clear" w:color="auto" w:fill="auto"/>
            <w:vAlign w:val="center"/>
          </w:tcPr>
          <w:p>
            <w:pPr>
              <w:adjustRightInd w:val="0"/>
              <w:snapToGrid w:val="0"/>
              <w:rPr>
                <w:sz w:val="18"/>
                <w:szCs w:val="18"/>
              </w:rPr>
            </w:pPr>
            <w:r>
              <w:rPr>
                <w:rFonts w:hint="eastAsia"/>
                <w:sz w:val="18"/>
              </w:rPr>
              <w:t xml:space="preserve">2.1 </w:t>
            </w:r>
          </w:p>
        </w:tc>
      </w:tr>
    </w:tbl>
    <w:p>
      <w:pPr>
        <w:spacing w:line="360" w:lineRule="auto"/>
        <w:rPr>
          <w:sz w:val="24"/>
          <w:szCs w:val="24"/>
        </w:rPr>
      </w:pPr>
      <w:r>
        <w:rPr>
          <w:sz w:val="24"/>
          <w:szCs w:val="24"/>
        </w:rPr>
        <w:drawing>
          <wp:inline distT="0" distB="0" distL="0" distR="0">
            <wp:extent cx="4895850" cy="204724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903492" cy="2050494"/>
                    </a:xfrm>
                    <a:prstGeom prst="rect">
                      <a:avLst/>
                    </a:prstGeom>
                    <a:noFill/>
                  </pic:spPr>
                </pic:pic>
              </a:graphicData>
            </a:graphic>
          </wp:inline>
        </w:drawing>
      </w:r>
    </w:p>
    <w:p>
      <w:pPr>
        <w:spacing w:line="360" w:lineRule="auto"/>
        <w:jc w:val="center"/>
        <w:rPr>
          <w:b/>
          <w:sz w:val="24"/>
          <w:szCs w:val="24"/>
        </w:rPr>
      </w:pPr>
      <w:r>
        <w:rPr>
          <w:b/>
          <w:sz w:val="24"/>
          <w:szCs w:val="24"/>
        </w:rPr>
        <w:t xml:space="preserve">图5.2-7   全年季小时平均风速日变化图 </w:t>
      </w:r>
    </w:p>
    <w:p>
      <w:pPr>
        <w:pStyle w:val="62"/>
        <w:numPr>
          <w:ilvl w:val="3"/>
          <w:numId w:val="5"/>
        </w:numPr>
        <w:tabs>
          <w:tab w:val="left" w:pos="851"/>
          <w:tab w:val="clear" w:pos="1021"/>
        </w:tabs>
        <w:spacing w:before="156" w:after="156"/>
        <w:outlineLvl w:val="3"/>
        <w:rPr>
          <w:rFonts w:ascii="Times New Roman" w:hAnsi="Times New Roman"/>
        </w:rPr>
      </w:pPr>
      <w:r>
        <w:rPr>
          <w:rFonts w:ascii="Times New Roman" w:hAnsi="Times New Roman"/>
        </w:rPr>
        <w:t>小结</w:t>
      </w:r>
    </w:p>
    <w:p>
      <w:pPr>
        <w:adjustRightInd w:val="0"/>
        <w:snapToGrid w:val="0"/>
        <w:spacing w:line="360" w:lineRule="auto"/>
        <w:ind w:firstLine="480" w:firstLineChars="200"/>
        <w:rPr>
          <w:rFonts w:eastAsiaTheme="minorEastAsia"/>
          <w:sz w:val="24"/>
          <w:szCs w:val="24"/>
        </w:rPr>
      </w:pPr>
      <w:r>
        <w:rPr>
          <w:sz w:val="24"/>
          <w:szCs w:val="24"/>
        </w:rPr>
        <w:t xml:space="preserve"> </w:t>
      </w:r>
      <w:r>
        <w:rPr>
          <w:rFonts w:eastAsiaTheme="minorEastAsia"/>
          <w:sz w:val="24"/>
          <w:szCs w:val="24"/>
        </w:rPr>
        <w:t>（1）多年常规气象资料统计结果分析</w:t>
      </w:r>
    </w:p>
    <w:p>
      <w:pPr>
        <w:adjustRightInd w:val="0"/>
        <w:snapToGrid w:val="0"/>
        <w:spacing w:line="360" w:lineRule="auto"/>
        <w:ind w:firstLine="480" w:firstLineChars="200"/>
        <w:rPr>
          <w:rFonts w:eastAsiaTheme="minorEastAsia"/>
          <w:sz w:val="24"/>
          <w:szCs w:val="24"/>
        </w:rPr>
      </w:pPr>
      <w:r>
        <w:rPr>
          <w:rFonts w:eastAsiaTheme="minorEastAsia"/>
          <w:sz w:val="24"/>
          <w:szCs w:val="24"/>
        </w:rPr>
        <w:t xml:space="preserve"> </w:t>
      </w:r>
      <w:r>
        <w:rPr>
          <w:rFonts w:hint="eastAsia" w:ascii="宋体" w:hAnsi="宋体" w:cs="宋体"/>
          <w:sz w:val="24"/>
          <w:szCs w:val="24"/>
        </w:rPr>
        <w:t>①</w:t>
      </w:r>
      <w:r>
        <w:rPr>
          <w:rFonts w:eastAsiaTheme="minorEastAsia"/>
          <w:sz w:val="24"/>
          <w:szCs w:val="24"/>
        </w:rPr>
        <w:t>多年平均风速 2.2m/s，平均相对湿度56%，平均气温6.5℃，极端最高气温 39.4℃, 极端最低气温-29.7℃，年平均降水量448mm。</w:t>
      </w:r>
    </w:p>
    <w:p>
      <w:pPr>
        <w:adjustRightInd w:val="0"/>
        <w:snapToGrid w:val="0"/>
        <w:spacing w:line="360" w:lineRule="auto"/>
        <w:ind w:firstLine="480" w:firstLineChars="200"/>
        <w:rPr>
          <w:rFonts w:eastAsiaTheme="minorEastAsia"/>
          <w:sz w:val="24"/>
          <w:szCs w:val="24"/>
        </w:rPr>
      </w:pPr>
      <w:r>
        <w:rPr>
          <w:rFonts w:eastAsiaTheme="minorEastAsia"/>
          <w:sz w:val="24"/>
          <w:szCs w:val="24"/>
        </w:rPr>
        <w:t xml:space="preserve"> </w:t>
      </w:r>
      <w:r>
        <w:rPr>
          <w:rFonts w:hint="eastAsia" w:ascii="宋体" w:hAnsi="宋体" w:cs="宋体"/>
          <w:sz w:val="24"/>
          <w:szCs w:val="24"/>
        </w:rPr>
        <w:t>②</w:t>
      </w:r>
      <w:r>
        <w:rPr>
          <w:rFonts w:eastAsiaTheme="minorEastAsia"/>
          <w:sz w:val="24"/>
          <w:szCs w:val="24"/>
        </w:rPr>
        <w:t>4-10 月月平均气温均高于多年平均值，其它月份均低于多年均值，7 月份平均气温最高为21.4℃，1 月份平均温度最低为-12.7℃。</w:t>
      </w:r>
    </w:p>
    <w:p>
      <w:pPr>
        <w:pStyle w:val="76"/>
        <w:adjustRightInd w:val="0"/>
        <w:snapToGrid w:val="0"/>
        <w:spacing w:line="360" w:lineRule="auto"/>
        <w:ind w:firstLine="480"/>
        <w:rPr>
          <w:rFonts w:eastAsiaTheme="minorEastAsia"/>
          <w:sz w:val="24"/>
          <w:szCs w:val="24"/>
        </w:rPr>
      </w:pPr>
      <w:r>
        <w:rPr>
          <w:rFonts w:hint="eastAsia" w:ascii="宋体" w:hAnsi="宋体" w:cs="宋体"/>
          <w:sz w:val="24"/>
          <w:szCs w:val="24"/>
        </w:rPr>
        <w:t>③</w:t>
      </w:r>
      <w:r>
        <w:rPr>
          <w:rFonts w:eastAsiaTheme="minorEastAsia"/>
          <w:sz w:val="24"/>
          <w:szCs w:val="24"/>
        </w:rPr>
        <w:t>4 月份平均风速最大为2.5m/s，8月份平均风速最小为 1.8m/s。</w:t>
      </w:r>
    </w:p>
    <w:p>
      <w:pPr>
        <w:adjustRightInd w:val="0"/>
        <w:snapToGrid w:val="0"/>
        <w:spacing w:line="360" w:lineRule="auto"/>
        <w:ind w:firstLine="480" w:firstLineChars="200"/>
        <w:rPr>
          <w:rFonts w:eastAsiaTheme="minorEastAsia"/>
          <w:sz w:val="24"/>
          <w:szCs w:val="24"/>
        </w:rPr>
      </w:pPr>
      <w:r>
        <w:rPr>
          <w:rFonts w:hint="eastAsia" w:ascii="宋体" w:hAnsi="宋体" w:cs="宋体"/>
          <w:sz w:val="24"/>
          <w:szCs w:val="24"/>
        </w:rPr>
        <w:t>④</w:t>
      </w:r>
      <w:r>
        <w:rPr>
          <w:rFonts w:eastAsiaTheme="minorEastAsia"/>
          <w:sz w:val="24"/>
          <w:szCs w:val="24"/>
        </w:rPr>
        <w:t xml:space="preserve">全多年资料统计结果表明，全年主导风向为NNE，出现频率为17.4%，静风频率为2.9%。 </w:t>
      </w:r>
    </w:p>
    <w:p>
      <w:pPr>
        <w:adjustRightInd w:val="0"/>
        <w:snapToGrid w:val="0"/>
        <w:spacing w:line="360" w:lineRule="auto"/>
        <w:ind w:firstLine="480" w:firstLineChars="200"/>
        <w:rPr>
          <w:rFonts w:eastAsiaTheme="minorEastAsia"/>
          <w:sz w:val="24"/>
          <w:szCs w:val="24"/>
        </w:rPr>
      </w:pPr>
      <w:r>
        <w:rPr>
          <w:rFonts w:eastAsiaTheme="minorEastAsia"/>
          <w:sz w:val="24"/>
          <w:szCs w:val="24"/>
        </w:rPr>
        <w:t xml:space="preserve">（2）2019年常规地面气象资料统计结果 </w:t>
      </w:r>
    </w:p>
    <w:p>
      <w:pPr>
        <w:adjustRightInd w:val="0"/>
        <w:snapToGrid w:val="0"/>
        <w:spacing w:line="360" w:lineRule="auto"/>
        <w:ind w:firstLine="600" w:firstLineChars="250"/>
        <w:rPr>
          <w:rFonts w:eastAsiaTheme="minorEastAsia"/>
          <w:sz w:val="24"/>
          <w:szCs w:val="24"/>
        </w:rPr>
      </w:pPr>
      <w:r>
        <w:rPr>
          <w:rFonts w:hint="eastAsia" w:ascii="宋体" w:hAnsi="宋体" w:cs="宋体"/>
          <w:sz w:val="24"/>
          <w:szCs w:val="24"/>
        </w:rPr>
        <w:t>①</w:t>
      </w:r>
      <w:r>
        <w:rPr>
          <w:rFonts w:eastAsiaTheme="minorEastAsia"/>
          <w:sz w:val="24"/>
          <w:szCs w:val="24"/>
        </w:rPr>
        <w:t xml:space="preserve">2019年平均温度为5.6℃，4-10 月份各月平均气温均高于全年均值，其它各月份均低于全年平均值，7月份月平均气温最高为21.1℃，12月份月平均气温最低为-11.5℃。 </w:t>
      </w:r>
    </w:p>
    <w:p>
      <w:pPr>
        <w:adjustRightInd w:val="0"/>
        <w:snapToGrid w:val="0"/>
        <w:spacing w:line="360" w:lineRule="auto"/>
        <w:ind w:firstLine="600" w:firstLineChars="250"/>
        <w:rPr>
          <w:rFonts w:eastAsiaTheme="minorEastAsia"/>
          <w:sz w:val="24"/>
          <w:szCs w:val="24"/>
        </w:rPr>
      </w:pPr>
      <w:r>
        <w:rPr>
          <w:rFonts w:hint="eastAsia" w:ascii="宋体" w:hAnsi="宋体" w:cs="宋体"/>
          <w:sz w:val="24"/>
          <w:szCs w:val="24"/>
        </w:rPr>
        <w:t>②</w:t>
      </w:r>
      <w:r>
        <w:rPr>
          <w:rFonts w:eastAsiaTheme="minorEastAsia"/>
          <w:sz w:val="24"/>
          <w:szCs w:val="24"/>
        </w:rPr>
        <w:t xml:space="preserve">2019年平均风速为2.2m/s，5月份平均风速最大为 2.8m/s，7月份平均风速最小为 1.8m/s。。 </w:t>
      </w:r>
    </w:p>
    <w:p>
      <w:pPr>
        <w:adjustRightInd w:val="0"/>
        <w:snapToGrid w:val="0"/>
        <w:spacing w:line="360" w:lineRule="auto"/>
        <w:ind w:firstLine="600" w:firstLineChars="250"/>
        <w:rPr>
          <w:rFonts w:eastAsiaTheme="minorEastAsia"/>
          <w:b/>
          <w:sz w:val="24"/>
          <w:szCs w:val="24"/>
        </w:rPr>
      </w:pPr>
      <w:r>
        <w:rPr>
          <w:rFonts w:hint="eastAsia" w:ascii="宋体" w:hAnsi="宋体" w:cs="宋体"/>
          <w:sz w:val="24"/>
          <w:szCs w:val="24"/>
        </w:rPr>
        <w:t>③</w:t>
      </w:r>
      <w:r>
        <w:rPr>
          <w:rFonts w:eastAsiaTheme="minorEastAsia"/>
          <w:sz w:val="24"/>
          <w:szCs w:val="24"/>
        </w:rPr>
        <w:t>风向、风频： 根据2019年资料统计结果表明，评价区域2019年平均风速为2.2m/s，NNE风频最高，为18.48%，主导风向为N-NNE-NE,与多年统计资料风频数据较为接近。</w:t>
      </w:r>
    </w:p>
    <w:p>
      <w:pPr>
        <w:pStyle w:val="62"/>
        <w:numPr>
          <w:ilvl w:val="2"/>
          <w:numId w:val="5"/>
        </w:numPr>
        <w:tabs>
          <w:tab w:val="left" w:pos="567"/>
          <w:tab w:val="left" w:pos="1304"/>
        </w:tabs>
        <w:spacing w:before="156" w:after="156"/>
        <w:ind w:left="0" w:firstLine="0"/>
        <w:rPr>
          <w:rFonts w:ascii="Times New Roman" w:hAnsi="Times New Roman"/>
        </w:rPr>
      </w:pPr>
      <w:r>
        <w:rPr>
          <w:rFonts w:hint="eastAsia" w:ascii="Times New Roman" w:hAnsi="Times New Roman"/>
        </w:rPr>
        <w:t>大气环境影响评价</w:t>
      </w:r>
    </w:p>
    <w:p>
      <w:pPr>
        <w:spacing w:line="360" w:lineRule="auto"/>
        <w:ind w:firstLine="480" w:firstLineChars="200"/>
        <w:rPr>
          <w:sz w:val="24"/>
          <w:szCs w:val="24"/>
        </w:rPr>
      </w:pPr>
      <w:r>
        <w:rPr>
          <w:rFonts w:hint="eastAsia"/>
          <w:sz w:val="24"/>
          <w:szCs w:val="24"/>
        </w:rPr>
        <w:t>根据《环境影响评价技术导则大气环境》（</w:t>
      </w:r>
      <w:r>
        <w:rPr>
          <w:sz w:val="24"/>
          <w:szCs w:val="24"/>
        </w:rPr>
        <w:t>HJ2.2-2018</w:t>
      </w:r>
      <w:r>
        <w:rPr>
          <w:rFonts w:hint="eastAsia"/>
          <w:sz w:val="24"/>
          <w:szCs w:val="24"/>
        </w:rPr>
        <w:t>）分级判定，本项目大气影响评价等级为二级，依据导则要求，二级评价不需要进一步预测和评价，只对污染物排放量进行核算。</w:t>
      </w:r>
    </w:p>
    <w:p>
      <w:pPr>
        <w:pStyle w:val="62"/>
        <w:numPr>
          <w:ilvl w:val="3"/>
          <w:numId w:val="5"/>
        </w:numPr>
        <w:tabs>
          <w:tab w:val="left" w:pos="851"/>
          <w:tab w:val="left" w:pos="1247"/>
          <w:tab w:val="clear" w:pos="1021"/>
        </w:tabs>
        <w:spacing w:before="156" w:after="156"/>
        <w:outlineLvl w:val="3"/>
        <w:rPr>
          <w:rFonts w:ascii="Times New Roman" w:hAnsi="Times New Roman"/>
        </w:rPr>
      </w:pPr>
      <w:r>
        <w:rPr>
          <w:rFonts w:hint="eastAsia" w:ascii="Times New Roman" w:hAnsi="Times New Roman"/>
        </w:rPr>
        <w:t>污染影响分析</w:t>
      </w:r>
    </w:p>
    <w:p>
      <w:pPr>
        <w:spacing w:line="360" w:lineRule="auto"/>
        <w:ind w:firstLine="480" w:firstLineChars="200"/>
        <w:rPr>
          <w:sz w:val="24"/>
          <w:szCs w:val="24"/>
        </w:rPr>
      </w:pPr>
      <w:r>
        <w:rPr>
          <w:rFonts w:hint="eastAsia"/>
          <w:sz w:val="24"/>
          <w:szCs w:val="24"/>
        </w:rPr>
        <w:t>本项目营运期主要废气为运输车辆行驶在路面上产生的扬尘、运输车辆排放的尾气和填埋作业</w:t>
      </w:r>
      <w:r>
        <w:rPr>
          <w:sz w:val="24"/>
          <w:szCs w:val="24"/>
        </w:rPr>
        <w:t>(</w:t>
      </w:r>
      <w:r>
        <w:rPr>
          <w:rFonts w:hint="eastAsia"/>
          <w:sz w:val="24"/>
          <w:szCs w:val="24"/>
        </w:rPr>
        <w:t>卸料</w:t>
      </w:r>
      <w:r>
        <w:rPr>
          <w:sz w:val="24"/>
          <w:szCs w:val="24"/>
        </w:rPr>
        <w:t>)</w:t>
      </w:r>
      <w:r>
        <w:rPr>
          <w:rFonts w:hint="eastAsia"/>
          <w:sz w:val="24"/>
          <w:szCs w:val="24"/>
        </w:rPr>
        <w:t>扬尘，其对环境影响具体如下：</w:t>
      </w:r>
    </w:p>
    <w:p>
      <w:pPr>
        <w:spacing w:line="360" w:lineRule="auto"/>
        <w:ind w:firstLine="480" w:firstLineChars="200"/>
        <w:rPr>
          <w:sz w:val="24"/>
          <w:szCs w:val="24"/>
        </w:rPr>
      </w:pPr>
      <w:r>
        <w:rPr>
          <w:rFonts w:hint="eastAsia"/>
          <w:sz w:val="24"/>
          <w:szCs w:val="24"/>
        </w:rPr>
        <w:t>（1）运输车辆行驶在路面上造成的扬尘</w:t>
      </w:r>
    </w:p>
    <w:p>
      <w:pPr>
        <w:spacing w:line="360" w:lineRule="auto"/>
        <w:ind w:firstLine="480" w:firstLineChars="200"/>
        <w:rPr>
          <w:sz w:val="24"/>
          <w:szCs w:val="24"/>
        </w:rPr>
      </w:pPr>
      <w:r>
        <w:rPr>
          <w:rFonts w:hint="eastAsia"/>
          <w:sz w:val="24"/>
          <w:szCs w:val="24"/>
        </w:rPr>
        <w:t>运输车辆道路扬尘强度除了与风速、湿度等因素有关，还与路面状况有关。本项目固化飞灰由生活垃圾焚烧厂运输，基本全部为水泥路面，浮土较少，产生道路扬尘不大；且经过敏感点处适当降低车速，运输车辆采用遮盖覆盖，可以有效降低扬尘对沿途敏感点和环境空气的影响。</w:t>
      </w:r>
    </w:p>
    <w:p>
      <w:pPr>
        <w:pStyle w:val="76"/>
        <w:spacing w:line="360" w:lineRule="auto"/>
        <w:ind w:left="360" w:firstLine="0" w:firstLineChars="0"/>
        <w:rPr>
          <w:sz w:val="24"/>
          <w:szCs w:val="24"/>
        </w:rPr>
      </w:pPr>
      <w:r>
        <w:rPr>
          <w:rFonts w:hint="eastAsia"/>
          <w:sz w:val="24"/>
          <w:szCs w:val="24"/>
        </w:rPr>
        <w:t>（2）本项目填埋区的装卸扬尘影响</w:t>
      </w:r>
    </w:p>
    <w:p>
      <w:pPr>
        <w:adjustRightInd w:val="0"/>
        <w:snapToGrid w:val="0"/>
        <w:spacing w:line="360" w:lineRule="auto"/>
        <w:ind w:firstLine="480" w:firstLineChars="200"/>
        <w:rPr>
          <w:rFonts w:ascii="宋体" w:cs="宋体"/>
          <w:kern w:val="0"/>
          <w:sz w:val="24"/>
          <w:szCs w:val="24"/>
        </w:rPr>
      </w:pPr>
      <w:r>
        <w:rPr>
          <w:rFonts w:hint="eastAsia"/>
          <w:sz w:val="24"/>
          <w:szCs w:val="24"/>
        </w:rPr>
        <w:t>根据导则要求，二级评价可直接引用采用</w:t>
      </w:r>
      <w:r>
        <w:rPr>
          <w:sz w:val="24"/>
          <w:szCs w:val="24"/>
        </w:rPr>
        <w:t xml:space="preserve">AERSCREEN </w:t>
      </w:r>
      <w:r>
        <w:rPr>
          <w:rFonts w:hint="eastAsia"/>
          <w:sz w:val="24"/>
          <w:szCs w:val="24"/>
        </w:rPr>
        <w:t>估算模式结果分析，本项目面源排放源强及参数见表5</w:t>
      </w:r>
      <w:r>
        <w:rPr>
          <w:sz w:val="24"/>
          <w:szCs w:val="24"/>
        </w:rPr>
        <w:t>.2-10</w:t>
      </w:r>
      <w:r>
        <w:rPr>
          <w:rFonts w:hint="eastAsia"/>
          <w:sz w:val="24"/>
          <w:szCs w:val="24"/>
        </w:rPr>
        <w:t>，预测计算结果见表5</w:t>
      </w:r>
      <w:r>
        <w:rPr>
          <w:sz w:val="24"/>
          <w:szCs w:val="24"/>
        </w:rPr>
        <w:t>.2-11</w:t>
      </w:r>
      <w:r>
        <w:rPr>
          <w:rFonts w:hint="eastAsia"/>
          <w:sz w:val="24"/>
          <w:szCs w:val="24"/>
        </w:rPr>
        <w:t>。</w:t>
      </w:r>
      <w:r>
        <w:rPr>
          <w:rFonts w:hint="eastAsia" w:ascii="宋体" w:cs="宋体"/>
          <w:kern w:val="0"/>
          <w:sz w:val="24"/>
          <w:szCs w:val="24"/>
        </w:rPr>
        <w:t>由</w:t>
      </w:r>
      <w:r>
        <w:rPr>
          <w:rFonts w:ascii="宋体" w:cs="宋体"/>
          <w:spacing w:val="-94"/>
          <w:kern w:val="0"/>
          <w:sz w:val="24"/>
          <w:szCs w:val="24"/>
        </w:rPr>
        <w:t xml:space="preserve">  </w:t>
      </w:r>
      <w:r>
        <w:rPr>
          <w:rFonts w:hint="eastAsia" w:ascii="宋体" w:cs="宋体"/>
          <w:kern w:val="0"/>
          <w:sz w:val="24"/>
          <w:szCs w:val="24"/>
        </w:rPr>
        <w:t>表</w:t>
      </w:r>
      <w:r>
        <w:rPr>
          <w:rFonts w:ascii="宋体" w:cs="宋体"/>
          <w:spacing w:val="-94"/>
          <w:kern w:val="0"/>
          <w:sz w:val="24"/>
          <w:szCs w:val="24"/>
        </w:rPr>
        <w:t xml:space="preserve"> </w:t>
      </w:r>
      <w:r>
        <w:rPr>
          <w:rFonts w:hint="eastAsia" w:ascii="宋体" w:cs="宋体"/>
          <w:kern w:val="0"/>
          <w:sz w:val="24"/>
          <w:szCs w:val="24"/>
        </w:rPr>
        <w:t>预</w:t>
      </w:r>
      <w:r>
        <w:rPr>
          <w:rFonts w:ascii="宋体" w:cs="宋体"/>
          <w:spacing w:val="-97"/>
          <w:kern w:val="0"/>
          <w:sz w:val="24"/>
          <w:szCs w:val="24"/>
        </w:rPr>
        <w:t xml:space="preserve"> </w:t>
      </w:r>
      <w:r>
        <w:rPr>
          <w:rFonts w:hint="eastAsia" w:ascii="宋体" w:cs="宋体"/>
          <w:kern w:val="0"/>
          <w:sz w:val="24"/>
          <w:szCs w:val="24"/>
        </w:rPr>
        <w:t>测</w:t>
      </w:r>
      <w:r>
        <w:rPr>
          <w:rFonts w:ascii="宋体" w:cs="宋体"/>
          <w:spacing w:val="-94"/>
          <w:kern w:val="0"/>
          <w:sz w:val="24"/>
          <w:szCs w:val="24"/>
        </w:rPr>
        <w:t xml:space="preserve"> </w:t>
      </w:r>
      <w:r>
        <w:rPr>
          <w:rFonts w:hint="eastAsia" w:ascii="宋体" w:cs="宋体"/>
          <w:kern w:val="0"/>
          <w:sz w:val="24"/>
          <w:szCs w:val="24"/>
        </w:rPr>
        <w:t>结</w:t>
      </w:r>
      <w:r>
        <w:rPr>
          <w:rFonts w:ascii="宋体" w:cs="宋体"/>
          <w:spacing w:val="-94"/>
          <w:kern w:val="0"/>
          <w:sz w:val="24"/>
          <w:szCs w:val="24"/>
        </w:rPr>
        <w:t xml:space="preserve"> </w:t>
      </w:r>
      <w:r>
        <w:rPr>
          <w:rFonts w:hint="eastAsia" w:ascii="宋体" w:cs="宋体"/>
          <w:kern w:val="0"/>
          <w:sz w:val="24"/>
          <w:szCs w:val="24"/>
        </w:rPr>
        <w:t>果</w:t>
      </w:r>
      <w:r>
        <w:rPr>
          <w:rFonts w:ascii="宋体" w:cs="宋体"/>
          <w:spacing w:val="-94"/>
          <w:kern w:val="0"/>
          <w:sz w:val="24"/>
          <w:szCs w:val="24"/>
        </w:rPr>
        <w:t xml:space="preserve"> </w:t>
      </w:r>
      <w:r>
        <w:rPr>
          <w:rFonts w:hint="eastAsia" w:ascii="宋体" w:cs="宋体"/>
          <w:kern w:val="0"/>
          <w:sz w:val="24"/>
          <w:szCs w:val="24"/>
        </w:rPr>
        <w:t>可</w:t>
      </w:r>
      <w:r>
        <w:rPr>
          <w:rFonts w:ascii="宋体" w:cs="宋体"/>
          <w:spacing w:val="-97"/>
          <w:kern w:val="0"/>
          <w:sz w:val="24"/>
          <w:szCs w:val="24"/>
        </w:rPr>
        <w:t xml:space="preserve"> </w:t>
      </w:r>
      <w:r>
        <w:rPr>
          <w:rFonts w:hint="eastAsia" w:ascii="宋体" w:cs="宋体"/>
          <w:kern w:val="0"/>
          <w:sz w:val="24"/>
          <w:szCs w:val="24"/>
        </w:rPr>
        <w:t>知</w:t>
      </w:r>
      <w:r>
        <w:rPr>
          <w:rFonts w:ascii="宋体" w:cs="宋体"/>
          <w:spacing w:val="-94"/>
          <w:kern w:val="0"/>
          <w:sz w:val="24"/>
          <w:szCs w:val="24"/>
        </w:rPr>
        <w:t xml:space="preserve"> </w:t>
      </w:r>
      <w:r>
        <w:rPr>
          <w:rFonts w:hint="eastAsia" w:ascii="宋体" w:cs="宋体"/>
          <w:spacing w:val="19"/>
          <w:kern w:val="0"/>
          <w:sz w:val="24"/>
          <w:szCs w:val="24"/>
        </w:rPr>
        <w:t>，填埋场</w:t>
      </w:r>
      <w:r>
        <w:rPr>
          <w:spacing w:val="-1"/>
          <w:kern w:val="0"/>
          <w:sz w:val="24"/>
          <w:szCs w:val="24"/>
        </w:rPr>
        <w:t>TSP</w:t>
      </w:r>
      <w:r>
        <w:rPr>
          <w:rFonts w:hint="eastAsia" w:ascii="宋体" w:cs="宋体"/>
          <w:kern w:val="0"/>
          <w:sz w:val="24"/>
          <w:szCs w:val="24"/>
        </w:rPr>
        <w:t>无</w:t>
      </w:r>
      <w:r>
        <w:rPr>
          <w:rFonts w:ascii="宋体" w:cs="宋体"/>
          <w:spacing w:val="-94"/>
          <w:kern w:val="0"/>
          <w:sz w:val="24"/>
          <w:szCs w:val="24"/>
        </w:rPr>
        <w:t xml:space="preserve"> </w:t>
      </w:r>
      <w:r>
        <w:rPr>
          <w:rFonts w:hint="eastAsia" w:ascii="宋体" w:cs="宋体"/>
          <w:kern w:val="0"/>
          <w:sz w:val="24"/>
          <w:szCs w:val="24"/>
        </w:rPr>
        <w:t>组</w:t>
      </w:r>
      <w:r>
        <w:rPr>
          <w:rFonts w:ascii="宋体" w:cs="宋体"/>
          <w:spacing w:val="-97"/>
          <w:kern w:val="0"/>
          <w:sz w:val="24"/>
          <w:szCs w:val="24"/>
        </w:rPr>
        <w:t xml:space="preserve"> </w:t>
      </w:r>
      <w:r>
        <w:rPr>
          <w:rFonts w:hint="eastAsia" w:ascii="宋体" w:cs="宋体"/>
          <w:kern w:val="0"/>
          <w:sz w:val="24"/>
          <w:szCs w:val="24"/>
        </w:rPr>
        <w:t>织</w:t>
      </w:r>
      <w:r>
        <w:rPr>
          <w:rFonts w:ascii="宋体" w:cs="宋体"/>
          <w:spacing w:val="-94"/>
          <w:kern w:val="0"/>
          <w:sz w:val="24"/>
          <w:szCs w:val="24"/>
        </w:rPr>
        <w:t xml:space="preserve"> </w:t>
      </w:r>
      <w:r>
        <w:rPr>
          <w:rFonts w:hint="eastAsia" w:ascii="宋体" w:cs="宋体"/>
          <w:spacing w:val="13"/>
          <w:kern w:val="0"/>
          <w:sz w:val="24"/>
          <w:szCs w:val="24"/>
        </w:rPr>
        <w:t>排放</w:t>
      </w:r>
      <w:r>
        <w:rPr>
          <w:rFonts w:ascii="宋体" w:cs="宋体"/>
          <w:spacing w:val="-93"/>
          <w:kern w:val="0"/>
          <w:sz w:val="24"/>
          <w:szCs w:val="24"/>
        </w:rPr>
        <w:t xml:space="preserve"> </w:t>
      </w:r>
      <w:r>
        <w:rPr>
          <w:rFonts w:hint="eastAsia" w:ascii="宋体" w:cs="宋体"/>
          <w:kern w:val="0"/>
          <w:sz w:val="24"/>
          <w:szCs w:val="24"/>
        </w:rPr>
        <w:t>最</w:t>
      </w:r>
      <w:r>
        <w:rPr>
          <w:rFonts w:ascii="宋体" w:cs="宋体"/>
          <w:spacing w:val="-97"/>
          <w:kern w:val="0"/>
          <w:sz w:val="24"/>
          <w:szCs w:val="24"/>
        </w:rPr>
        <w:t xml:space="preserve"> </w:t>
      </w:r>
      <w:r>
        <w:rPr>
          <w:rFonts w:hint="eastAsia" w:ascii="宋体" w:cs="宋体"/>
          <w:kern w:val="0"/>
          <w:sz w:val="24"/>
          <w:szCs w:val="24"/>
        </w:rPr>
        <w:t>大</w:t>
      </w:r>
      <w:r>
        <w:rPr>
          <w:rFonts w:ascii="宋体" w:cs="宋体"/>
          <w:spacing w:val="-94"/>
          <w:kern w:val="0"/>
          <w:sz w:val="24"/>
          <w:szCs w:val="24"/>
        </w:rPr>
        <w:t xml:space="preserve"> </w:t>
      </w:r>
      <w:r>
        <w:rPr>
          <w:rFonts w:hint="eastAsia" w:ascii="宋体" w:cs="宋体"/>
          <w:kern w:val="0"/>
          <w:sz w:val="24"/>
          <w:szCs w:val="24"/>
        </w:rPr>
        <w:t>落</w:t>
      </w:r>
      <w:r>
        <w:rPr>
          <w:rFonts w:ascii="宋体" w:cs="宋体"/>
          <w:spacing w:val="-94"/>
          <w:kern w:val="0"/>
          <w:sz w:val="24"/>
          <w:szCs w:val="24"/>
        </w:rPr>
        <w:t xml:space="preserve"> </w:t>
      </w:r>
      <w:r>
        <w:rPr>
          <w:rFonts w:hint="eastAsia" w:ascii="宋体" w:cs="宋体"/>
          <w:kern w:val="0"/>
          <w:sz w:val="24"/>
          <w:szCs w:val="24"/>
        </w:rPr>
        <w:t>地</w:t>
      </w:r>
      <w:r>
        <w:rPr>
          <w:rFonts w:ascii="宋体" w:cs="宋体"/>
          <w:spacing w:val="-94"/>
          <w:kern w:val="0"/>
          <w:sz w:val="24"/>
          <w:szCs w:val="24"/>
        </w:rPr>
        <w:t xml:space="preserve"> </w:t>
      </w:r>
      <w:r>
        <w:rPr>
          <w:rFonts w:hint="eastAsia" w:ascii="宋体" w:cs="宋体"/>
          <w:kern w:val="0"/>
          <w:sz w:val="24"/>
          <w:szCs w:val="24"/>
        </w:rPr>
        <w:t>浓</w:t>
      </w:r>
      <w:r>
        <w:rPr>
          <w:rFonts w:ascii="宋体" w:cs="宋体"/>
          <w:spacing w:val="-97"/>
          <w:kern w:val="0"/>
          <w:sz w:val="24"/>
          <w:szCs w:val="24"/>
        </w:rPr>
        <w:t xml:space="preserve"> </w:t>
      </w:r>
      <w:r>
        <w:rPr>
          <w:rFonts w:hint="eastAsia" w:ascii="宋体" w:cs="宋体"/>
          <w:kern w:val="0"/>
          <w:sz w:val="24"/>
          <w:szCs w:val="24"/>
        </w:rPr>
        <w:t>度别</w:t>
      </w:r>
      <w:r>
        <w:rPr>
          <w:rFonts w:ascii="宋体" w:cs="宋体"/>
          <w:spacing w:val="-94"/>
          <w:kern w:val="0"/>
          <w:sz w:val="24"/>
          <w:szCs w:val="24"/>
        </w:rPr>
        <w:t xml:space="preserve"> </w:t>
      </w:r>
      <w:r>
        <w:rPr>
          <w:rFonts w:hint="eastAsia" w:ascii="宋体" w:cs="宋体"/>
          <w:kern w:val="0"/>
          <w:sz w:val="24"/>
          <w:szCs w:val="24"/>
        </w:rPr>
        <w:t>为</w:t>
      </w:r>
      <w:r>
        <w:rPr>
          <w:kern w:val="0"/>
          <w:sz w:val="24"/>
          <w:szCs w:val="24"/>
        </w:rPr>
        <w:t>0.0184mg/m</w:t>
      </w:r>
      <w:r>
        <w:rPr>
          <w:kern w:val="0"/>
          <w:position w:val="9"/>
          <w:sz w:val="16"/>
          <w:szCs w:val="16"/>
        </w:rPr>
        <w:t>3</w:t>
      </w:r>
      <w:r>
        <w:rPr>
          <w:rFonts w:hint="eastAsia" w:ascii="宋体" w:cs="宋体"/>
          <w:kern w:val="0"/>
          <w:sz w:val="24"/>
          <w:szCs w:val="24"/>
        </w:rPr>
        <w:t>，占标率为</w:t>
      </w:r>
      <w:r>
        <w:rPr>
          <w:spacing w:val="1"/>
          <w:kern w:val="0"/>
          <w:sz w:val="24"/>
          <w:szCs w:val="24"/>
        </w:rPr>
        <w:t>2.05%</w:t>
      </w:r>
      <w:r>
        <w:rPr>
          <w:rFonts w:hint="eastAsia" w:ascii="宋体" w:cs="宋体"/>
          <w:spacing w:val="1"/>
          <w:kern w:val="0"/>
          <w:sz w:val="24"/>
          <w:szCs w:val="24"/>
        </w:rPr>
        <w:t>，符合环境空气质量标准，对周围环境空气质</w:t>
      </w:r>
      <w:r>
        <w:rPr>
          <w:rFonts w:hint="eastAsia" w:ascii="宋体" w:cs="宋体"/>
          <w:kern w:val="0"/>
          <w:sz w:val="24"/>
          <w:szCs w:val="24"/>
        </w:rPr>
        <w:t>量影响较小。</w:t>
      </w:r>
    </w:p>
    <w:p>
      <w:pPr>
        <w:adjustRightInd w:val="0"/>
        <w:snapToGrid w:val="0"/>
        <w:spacing w:line="360" w:lineRule="auto"/>
        <w:ind w:firstLine="492" w:firstLineChars="200"/>
        <w:rPr>
          <w:rFonts w:ascii="宋体" w:cs="宋体"/>
          <w:kern w:val="0"/>
          <w:sz w:val="24"/>
          <w:szCs w:val="24"/>
        </w:rPr>
      </w:pPr>
      <w:r>
        <w:rPr>
          <w:rFonts w:hint="eastAsia" w:ascii="宋体" w:cs="宋体"/>
          <w:spacing w:val="3"/>
          <w:kern w:val="0"/>
          <w:sz w:val="24"/>
          <w:szCs w:val="24"/>
        </w:rPr>
        <w:t>本项目位于山坳，整个填埋区相对封闭，周围有山体林地，可阻隔和滞纳</w:t>
      </w:r>
      <w:r>
        <w:rPr>
          <w:rFonts w:hint="eastAsia" w:ascii="宋体" w:cs="宋体"/>
          <w:kern w:val="0"/>
          <w:sz w:val="24"/>
          <w:szCs w:val="24"/>
        </w:rPr>
        <w:t>扬尘，使其不易扩散，周边</w:t>
      </w:r>
      <w:r>
        <w:rPr>
          <w:rFonts w:ascii="宋体" w:cs="宋体"/>
          <w:spacing w:val="-36"/>
          <w:kern w:val="0"/>
          <w:sz w:val="24"/>
          <w:szCs w:val="24"/>
        </w:rPr>
        <w:t xml:space="preserve"> </w:t>
      </w:r>
      <w:r>
        <w:rPr>
          <w:kern w:val="0"/>
          <w:sz w:val="24"/>
          <w:szCs w:val="24"/>
        </w:rPr>
        <w:t>300m</w:t>
      </w:r>
      <w:r>
        <w:rPr>
          <w:rFonts w:hint="eastAsia" w:ascii="宋体" w:cs="宋体"/>
          <w:kern w:val="0"/>
          <w:sz w:val="24"/>
          <w:szCs w:val="24"/>
        </w:rPr>
        <w:t>内没有居民区，因此本项目对区域的环境空气</w:t>
      </w:r>
      <w:r>
        <w:rPr>
          <w:rFonts w:hint="eastAsia" w:ascii="宋体" w:cs="宋体"/>
          <w:spacing w:val="2"/>
          <w:kern w:val="0"/>
          <w:sz w:val="24"/>
          <w:szCs w:val="24"/>
        </w:rPr>
        <w:t>影响不大。但营运期仍应采取相应的污染防治措施防治，如定时洒水，留足防</w:t>
      </w:r>
      <w:r>
        <w:rPr>
          <w:rFonts w:hint="eastAsia" w:ascii="宋体" w:cs="宋体"/>
          <w:kern w:val="0"/>
          <w:sz w:val="24"/>
          <w:szCs w:val="24"/>
        </w:rPr>
        <w:t>护隔离带，尽量选择无风时间作业等。</w:t>
      </w:r>
    </w:p>
    <w:p>
      <w:pPr>
        <w:jc w:val="center"/>
        <w:rPr>
          <w:b/>
          <w:sz w:val="24"/>
        </w:rPr>
      </w:pPr>
      <w:r>
        <w:rPr>
          <w:b/>
          <w:sz w:val="24"/>
        </w:rPr>
        <w:t xml:space="preserve">表5.2-10   </w:t>
      </w:r>
      <w:r>
        <w:rPr>
          <w:rFonts w:hint="eastAsia"/>
          <w:b/>
          <w:sz w:val="24"/>
        </w:rPr>
        <w:t>本项目</w:t>
      </w:r>
      <w:r>
        <w:rPr>
          <w:b/>
          <w:sz w:val="24"/>
        </w:rPr>
        <w:t>面源连续排放</w:t>
      </w:r>
      <w:r>
        <w:rPr>
          <w:rFonts w:hint="eastAsia"/>
          <w:b/>
          <w:sz w:val="24"/>
        </w:rPr>
        <w:t>源强参数表</w:t>
      </w:r>
    </w:p>
    <w:tbl>
      <w:tblPr>
        <w:tblStyle w:val="39"/>
        <w:tblW w:w="508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987"/>
        <w:gridCol w:w="822"/>
        <w:gridCol w:w="822"/>
        <w:gridCol w:w="931"/>
        <w:gridCol w:w="1562"/>
        <w:gridCol w:w="1269"/>
        <w:gridCol w:w="607"/>
        <w:gridCol w:w="15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44" w:hRule="atLeast"/>
          <w:jc w:val="center"/>
        </w:trPr>
        <w:tc>
          <w:tcPr>
            <w:tcW w:w="580" w:type="pct"/>
            <w:vMerge w:val="restart"/>
            <w:shd w:val="clear" w:color="auto" w:fill="auto"/>
            <w:vAlign w:val="center"/>
          </w:tcPr>
          <w:p>
            <w:pPr>
              <w:jc w:val="center"/>
              <w:rPr>
                <w:b/>
                <w:bCs/>
                <w:sz w:val="18"/>
                <w:szCs w:val="18"/>
              </w:rPr>
            </w:pPr>
            <w:r>
              <w:rPr>
                <w:b/>
                <w:bCs/>
                <w:sz w:val="18"/>
                <w:szCs w:val="18"/>
              </w:rPr>
              <w:t>污染源名称</w:t>
            </w:r>
          </w:p>
        </w:tc>
        <w:tc>
          <w:tcPr>
            <w:tcW w:w="3177" w:type="pct"/>
            <w:gridSpan w:val="5"/>
            <w:shd w:val="clear" w:color="auto" w:fill="auto"/>
            <w:vAlign w:val="center"/>
          </w:tcPr>
          <w:p>
            <w:pPr>
              <w:snapToGrid w:val="0"/>
              <w:jc w:val="center"/>
              <w:rPr>
                <w:b/>
                <w:bCs/>
                <w:sz w:val="18"/>
                <w:szCs w:val="18"/>
              </w:rPr>
            </w:pPr>
            <w:r>
              <w:rPr>
                <w:b/>
                <w:bCs/>
                <w:sz w:val="18"/>
                <w:szCs w:val="18"/>
              </w:rPr>
              <w:t>面源参数</w:t>
            </w:r>
          </w:p>
        </w:tc>
        <w:tc>
          <w:tcPr>
            <w:tcW w:w="357" w:type="pct"/>
            <w:vMerge w:val="restart"/>
            <w:shd w:val="clear" w:color="auto" w:fill="auto"/>
            <w:vAlign w:val="center"/>
          </w:tcPr>
          <w:p>
            <w:pPr>
              <w:snapToGrid w:val="0"/>
              <w:jc w:val="center"/>
              <w:rPr>
                <w:sz w:val="18"/>
                <w:szCs w:val="18"/>
              </w:rPr>
            </w:pPr>
            <w:r>
              <w:rPr>
                <w:b/>
                <w:bCs/>
                <w:sz w:val="18"/>
                <w:szCs w:val="18"/>
              </w:rPr>
              <w:t>排放工况</w:t>
            </w:r>
          </w:p>
        </w:tc>
        <w:tc>
          <w:tcPr>
            <w:tcW w:w="887" w:type="pct"/>
            <w:vAlign w:val="center"/>
          </w:tcPr>
          <w:p>
            <w:pPr>
              <w:snapToGrid w:val="0"/>
              <w:jc w:val="center"/>
              <w:rPr>
                <w:sz w:val="18"/>
                <w:szCs w:val="18"/>
              </w:rPr>
            </w:pPr>
            <w:r>
              <w:rPr>
                <w:b/>
                <w:bCs/>
                <w:sz w:val="18"/>
                <w:szCs w:val="18"/>
              </w:rPr>
              <w:t>评价因子源强（kg/h）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2" w:hRule="atLeast"/>
          <w:jc w:val="center"/>
        </w:trPr>
        <w:tc>
          <w:tcPr>
            <w:tcW w:w="580" w:type="pct"/>
            <w:vMerge w:val="continue"/>
            <w:shd w:val="clear" w:color="auto" w:fill="auto"/>
            <w:vAlign w:val="center"/>
          </w:tcPr>
          <w:p>
            <w:pPr>
              <w:snapToGrid w:val="0"/>
              <w:jc w:val="center"/>
              <w:rPr>
                <w:b/>
                <w:bCs/>
                <w:sz w:val="18"/>
                <w:szCs w:val="18"/>
              </w:rPr>
            </w:pPr>
          </w:p>
        </w:tc>
        <w:tc>
          <w:tcPr>
            <w:tcW w:w="483" w:type="pct"/>
            <w:shd w:val="clear" w:color="auto" w:fill="auto"/>
            <w:vAlign w:val="center"/>
          </w:tcPr>
          <w:p>
            <w:pPr>
              <w:snapToGrid w:val="0"/>
              <w:jc w:val="center"/>
              <w:rPr>
                <w:b/>
                <w:bCs/>
                <w:sz w:val="18"/>
                <w:szCs w:val="18"/>
              </w:rPr>
            </w:pPr>
            <w:r>
              <w:rPr>
                <w:b/>
                <w:bCs/>
                <w:sz w:val="18"/>
                <w:szCs w:val="18"/>
              </w:rPr>
              <w:t>面源长度(m)</w:t>
            </w:r>
          </w:p>
        </w:tc>
        <w:tc>
          <w:tcPr>
            <w:tcW w:w="483" w:type="pct"/>
            <w:shd w:val="clear" w:color="auto" w:fill="auto"/>
            <w:vAlign w:val="center"/>
          </w:tcPr>
          <w:p>
            <w:pPr>
              <w:snapToGrid w:val="0"/>
              <w:jc w:val="center"/>
              <w:rPr>
                <w:b/>
                <w:bCs/>
                <w:sz w:val="18"/>
                <w:szCs w:val="18"/>
              </w:rPr>
            </w:pPr>
            <w:r>
              <w:rPr>
                <w:b/>
                <w:bCs/>
                <w:sz w:val="18"/>
                <w:szCs w:val="18"/>
              </w:rPr>
              <w:t>面源宽度(m)</w:t>
            </w:r>
          </w:p>
        </w:tc>
        <w:tc>
          <w:tcPr>
            <w:tcW w:w="547" w:type="pct"/>
            <w:shd w:val="clear" w:color="auto" w:fill="auto"/>
            <w:vAlign w:val="center"/>
          </w:tcPr>
          <w:p>
            <w:pPr>
              <w:snapToGrid w:val="0"/>
              <w:jc w:val="center"/>
              <w:rPr>
                <w:b/>
                <w:bCs/>
                <w:sz w:val="18"/>
                <w:szCs w:val="18"/>
              </w:rPr>
            </w:pPr>
            <w:r>
              <w:rPr>
                <w:b/>
                <w:bCs/>
                <w:sz w:val="18"/>
                <w:szCs w:val="18"/>
              </w:rPr>
              <w:t>面源与正北向°</w:t>
            </w:r>
          </w:p>
        </w:tc>
        <w:tc>
          <w:tcPr>
            <w:tcW w:w="918" w:type="pct"/>
            <w:shd w:val="clear" w:color="auto" w:fill="auto"/>
            <w:vAlign w:val="center"/>
          </w:tcPr>
          <w:p>
            <w:pPr>
              <w:snapToGrid w:val="0"/>
              <w:jc w:val="center"/>
              <w:rPr>
                <w:b/>
                <w:bCs/>
                <w:sz w:val="18"/>
                <w:szCs w:val="18"/>
              </w:rPr>
            </w:pPr>
            <w:r>
              <w:rPr>
                <w:b/>
                <w:bCs/>
                <w:sz w:val="18"/>
                <w:szCs w:val="18"/>
              </w:rPr>
              <w:t>面源有效排放高度（m）</w:t>
            </w:r>
          </w:p>
        </w:tc>
        <w:tc>
          <w:tcPr>
            <w:tcW w:w="745" w:type="pct"/>
            <w:shd w:val="clear" w:color="auto" w:fill="auto"/>
            <w:vAlign w:val="center"/>
          </w:tcPr>
          <w:p>
            <w:pPr>
              <w:snapToGrid w:val="0"/>
              <w:jc w:val="center"/>
              <w:rPr>
                <w:b/>
                <w:bCs/>
                <w:sz w:val="18"/>
                <w:szCs w:val="18"/>
              </w:rPr>
            </w:pPr>
            <w:r>
              <w:rPr>
                <w:b/>
                <w:bCs/>
                <w:sz w:val="18"/>
                <w:szCs w:val="18"/>
              </w:rPr>
              <w:t>年排放小时数（h）</w:t>
            </w:r>
          </w:p>
        </w:tc>
        <w:tc>
          <w:tcPr>
            <w:tcW w:w="357" w:type="pct"/>
            <w:vMerge w:val="continue"/>
            <w:shd w:val="clear" w:color="auto" w:fill="auto"/>
            <w:vAlign w:val="center"/>
          </w:tcPr>
          <w:p>
            <w:pPr>
              <w:snapToGrid w:val="0"/>
              <w:jc w:val="center"/>
              <w:rPr>
                <w:sz w:val="18"/>
                <w:szCs w:val="18"/>
              </w:rPr>
            </w:pPr>
          </w:p>
        </w:tc>
        <w:tc>
          <w:tcPr>
            <w:tcW w:w="887" w:type="pct"/>
            <w:shd w:val="clear" w:color="auto" w:fill="auto"/>
            <w:vAlign w:val="center"/>
          </w:tcPr>
          <w:p>
            <w:pPr>
              <w:adjustRightInd w:val="0"/>
              <w:snapToGrid w:val="0"/>
              <w:jc w:val="center"/>
              <w:rPr>
                <w:b/>
                <w:bCs/>
                <w:sz w:val="18"/>
                <w:szCs w:val="18"/>
              </w:rPr>
            </w:pPr>
            <w:r>
              <w:rPr>
                <w:bCs/>
                <w:sz w:val="18"/>
                <w:szCs w:val="18"/>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1" w:hRule="atLeast"/>
          <w:jc w:val="center"/>
        </w:trPr>
        <w:tc>
          <w:tcPr>
            <w:tcW w:w="580" w:type="pct"/>
            <w:vAlign w:val="center"/>
          </w:tcPr>
          <w:p>
            <w:pPr>
              <w:adjustRightInd w:val="0"/>
              <w:snapToGrid w:val="0"/>
              <w:jc w:val="center"/>
              <w:rPr>
                <w:sz w:val="18"/>
                <w:szCs w:val="18"/>
              </w:rPr>
            </w:pPr>
            <w:r>
              <w:rPr>
                <w:rFonts w:eastAsiaTheme="minorEastAsia"/>
              </w:rPr>
              <w:t>飞灰填埋作业</w:t>
            </w:r>
          </w:p>
        </w:tc>
        <w:tc>
          <w:tcPr>
            <w:tcW w:w="483" w:type="pct"/>
            <w:shd w:val="clear" w:color="auto" w:fill="auto"/>
            <w:vAlign w:val="center"/>
          </w:tcPr>
          <w:p>
            <w:pPr>
              <w:adjustRightInd w:val="0"/>
              <w:snapToGrid w:val="0"/>
              <w:jc w:val="center"/>
              <w:rPr>
                <w:sz w:val="18"/>
                <w:szCs w:val="18"/>
              </w:rPr>
            </w:pPr>
            <w:r>
              <w:rPr>
                <w:rFonts w:hint="eastAsia"/>
                <w:sz w:val="18"/>
                <w:szCs w:val="18"/>
              </w:rPr>
              <w:t>1</w:t>
            </w:r>
            <w:r>
              <w:rPr>
                <w:sz w:val="18"/>
                <w:szCs w:val="18"/>
              </w:rPr>
              <w:t>0</w:t>
            </w:r>
          </w:p>
        </w:tc>
        <w:tc>
          <w:tcPr>
            <w:tcW w:w="483" w:type="pct"/>
            <w:shd w:val="clear" w:color="auto" w:fill="auto"/>
            <w:vAlign w:val="center"/>
          </w:tcPr>
          <w:p>
            <w:pPr>
              <w:adjustRightInd w:val="0"/>
              <w:snapToGrid w:val="0"/>
              <w:jc w:val="center"/>
              <w:rPr>
                <w:sz w:val="18"/>
                <w:szCs w:val="18"/>
              </w:rPr>
            </w:pPr>
            <w:r>
              <w:rPr>
                <w:rFonts w:hint="eastAsia"/>
                <w:sz w:val="18"/>
                <w:szCs w:val="18"/>
              </w:rPr>
              <w:t>5</w:t>
            </w:r>
          </w:p>
        </w:tc>
        <w:tc>
          <w:tcPr>
            <w:tcW w:w="547" w:type="pct"/>
            <w:shd w:val="clear" w:color="auto" w:fill="auto"/>
            <w:vAlign w:val="center"/>
          </w:tcPr>
          <w:p>
            <w:pPr>
              <w:jc w:val="center"/>
              <w:rPr>
                <w:sz w:val="18"/>
                <w:szCs w:val="18"/>
              </w:rPr>
            </w:pPr>
            <w:r>
              <w:rPr>
                <w:rFonts w:hint="eastAsia"/>
                <w:sz w:val="18"/>
                <w:szCs w:val="18"/>
              </w:rPr>
              <w:t>0</w:t>
            </w:r>
          </w:p>
        </w:tc>
        <w:tc>
          <w:tcPr>
            <w:tcW w:w="918" w:type="pct"/>
            <w:shd w:val="clear" w:color="auto" w:fill="auto"/>
            <w:vAlign w:val="center"/>
          </w:tcPr>
          <w:p>
            <w:pPr>
              <w:adjustRightInd w:val="0"/>
              <w:snapToGrid w:val="0"/>
              <w:jc w:val="center"/>
              <w:rPr>
                <w:sz w:val="18"/>
                <w:szCs w:val="18"/>
              </w:rPr>
            </w:pPr>
            <w:r>
              <w:rPr>
                <w:rFonts w:hint="eastAsia"/>
                <w:sz w:val="18"/>
                <w:szCs w:val="18"/>
              </w:rPr>
              <w:t>1</w:t>
            </w:r>
            <w:r>
              <w:rPr>
                <w:sz w:val="18"/>
                <w:szCs w:val="18"/>
              </w:rPr>
              <w:t>.5</w:t>
            </w:r>
          </w:p>
        </w:tc>
        <w:tc>
          <w:tcPr>
            <w:tcW w:w="745" w:type="pct"/>
            <w:shd w:val="clear" w:color="auto" w:fill="auto"/>
            <w:vAlign w:val="center"/>
          </w:tcPr>
          <w:p>
            <w:pPr>
              <w:jc w:val="center"/>
              <w:rPr>
                <w:sz w:val="18"/>
                <w:szCs w:val="18"/>
              </w:rPr>
            </w:pPr>
            <w:r>
              <w:rPr>
                <w:rFonts w:hint="eastAsia"/>
                <w:sz w:val="18"/>
                <w:szCs w:val="18"/>
              </w:rPr>
              <w:t>3</w:t>
            </w:r>
            <w:r>
              <w:rPr>
                <w:sz w:val="18"/>
                <w:szCs w:val="18"/>
              </w:rPr>
              <w:t>65</w:t>
            </w:r>
          </w:p>
        </w:tc>
        <w:tc>
          <w:tcPr>
            <w:tcW w:w="357" w:type="pct"/>
            <w:shd w:val="clear" w:color="auto" w:fill="auto"/>
            <w:vAlign w:val="center"/>
          </w:tcPr>
          <w:p>
            <w:pPr>
              <w:jc w:val="center"/>
              <w:rPr>
                <w:sz w:val="18"/>
                <w:szCs w:val="18"/>
              </w:rPr>
            </w:pPr>
            <w:r>
              <w:rPr>
                <w:sz w:val="18"/>
                <w:szCs w:val="18"/>
              </w:rPr>
              <w:t>正常</w:t>
            </w:r>
          </w:p>
        </w:tc>
        <w:tc>
          <w:tcPr>
            <w:tcW w:w="887" w:type="pct"/>
            <w:shd w:val="clear" w:color="auto" w:fill="auto"/>
            <w:vAlign w:val="center"/>
          </w:tcPr>
          <w:p>
            <w:pPr>
              <w:adjustRightInd w:val="0"/>
              <w:snapToGrid w:val="0"/>
              <w:jc w:val="center"/>
              <w:rPr>
                <w:sz w:val="18"/>
                <w:szCs w:val="18"/>
              </w:rPr>
            </w:pPr>
            <w:r>
              <w:rPr>
                <w:rFonts w:eastAsia="等线"/>
                <w:szCs w:val="21"/>
              </w:rPr>
              <w:t>0.0006</w:t>
            </w:r>
          </w:p>
        </w:tc>
      </w:tr>
    </w:tbl>
    <w:p>
      <w:pPr>
        <w:adjustRightInd w:val="0"/>
        <w:snapToGrid w:val="0"/>
        <w:spacing w:line="360" w:lineRule="auto"/>
        <w:ind w:firstLine="480" w:firstLineChars="200"/>
        <w:rPr>
          <w:sz w:val="24"/>
          <w:szCs w:val="24"/>
        </w:rPr>
      </w:pPr>
    </w:p>
    <w:p>
      <w:pPr>
        <w:adjustRightInd w:val="0"/>
        <w:snapToGrid w:val="0"/>
        <w:jc w:val="center"/>
        <w:rPr>
          <w:b/>
          <w:sz w:val="24"/>
        </w:rPr>
      </w:pPr>
      <w:r>
        <w:rPr>
          <w:b/>
          <w:sz w:val="24"/>
        </w:rPr>
        <w:t>表5.2-11  本项目</w:t>
      </w:r>
      <w:r>
        <w:rPr>
          <w:rFonts w:hint="eastAsia"/>
          <w:b/>
          <w:sz w:val="24"/>
        </w:rPr>
        <w:t>污染源排放</w:t>
      </w:r>
      <w:r>
        <w:rPr>
          <w:b/>
          <w:sz w:val="24"/>
        </w:rPr>
        <w:t>浓度</w:t>
      </w:r>
      <w:r>
        <w:rPr>
          <w:rFonts w:hint="eastAsia"/>
          <w:b/>
          <w:sz w:val="24"/>
        </w:rPr>
        <w:t>预测结果表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13"/>
        <w:gridCol w:w="2725"/>
        <w:gridCol w:w="22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vMerge w:val="restar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离源距离(m)</w:t>
            </w:r>
          </w:p>
        </w:tc>
        <w:tc>
          <w:tcPr>
            <w:tcW w:w="2939" w:type="pct"/>
            <w:gridSpan w:val="2"/>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飞灰填埋场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vMerge w:val="continue"/>
            <w:vAlign w:val="center"/>
          </w:tcPr>
          <w:p>
            <w:pPr>
              <w:widowControl/>
              <w:adjustRightInd w:val="0"/>
              <w:snapToGrid w:val="0"/>
              <w:jc w:val="left"/>
              <w:rPr>
                <w:rFonts w:ascii="宋体" w:hAnsi="宋体" w:cs="宋体"/>
                <w:kern w:val="0"/>
                <w:sz w:val="22"/>
                <w:szCs w:val="22"/>
              </w:rPr>
            </w:pP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浓度（ug/m</w:t>
            </w:r>
            <w:r>
              <w:rPr>
                <w:rFonts w:hint="eastAsia" w:ascii="宋体" w:hAnsi="宋体" w:cs="宋体"/>
                <w:kern w:val="0"/>
                <w:sz w:val="22"/>
                <w:szCs w:val="22"/>
                <w:vertAlign w:val="superscript"/>
              </w:rPr>
              <w:t>3</w:t>
            </w:r>
            <w:r>
              <w:rPr>
                <w:rFonts w:hint="eastAsia" w:ascii="宋体" w:hAnsi="宋体" w:cs="宋体"/>
                <w:kern w:val="0"/>
                <w:sz w:val="22"/>
                <w:szCs w:val="22"/>
              </w:rPr>
              <w:t>）</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25</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11.73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1.31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50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6.61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0.73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75</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3.04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0.34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2.31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125</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1.84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150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1.51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1.09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250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0.83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300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0.67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350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0.55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400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0.47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500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0.35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600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0.28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700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0.23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800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0.19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0.14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1500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0.08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0.06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3000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0.03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4000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0.02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5000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0.02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10000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0.01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15000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20000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25000</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sz w:val="22"/>
                <w:szCs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下风向最大浓度占标率（%）</w:t>
            </w:r>
          </w:p>
        </w:tc>
        <w:tc>
          <w:tcPr>
            <w:tcW w:w="1599"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 xml:space="preserve">18.40 </w:t>
            </w:r>
          </w:p>
        </w:tc>
        <w:tc>
          <w:tcPr>
            <w:tcW w:w="1340" w:type="pct"/>
            <w:shd w:val="clear" w:color="auto" w:fill="auto"/>
            <w:noWrap/>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 xml:space="preserve">2.05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下风向最大浓度出现距离（m）</w:t>
            </w:r>
          </w:p>
        </w:tc>
        <w:tc>
          <w:tcPr>
            <w:tcW w:w="2939" w:type="pct"/>
            <w:gridSpan w:val="2"/>
            <w:shd w:val="clear" w:color="auto" w:fill="auto"/>
            <w:noWrap/>
            <w:vAlign w:val="center"/>
          </w:tcPr>
          <w:p>
            <w:pPr>
              <w:widowControl/>
              <w:adjustRightInd w:val="0"/>
              <w:snapToGrid w:val="0"/>
              <w:jc w:val="center"/>
              <w:rPr>
                <w:rFonts w:ascii="宋体" w:hAnsi="宋体" w:cs="宋体"/>
                <w:kern w:val="0"/>
                <w:sz w:val="22"/>
                <w:szCs w:val="22"/>
              </w:rPr>
            </w:pPr>
            <w:r>
              <w:rPr>
                <w:rFonts w:ascii="宋体" w:hAnsi="宋体" w:cs="宋体"/>
                <w:kern w:val="0"/>
                <w:sz w:val="22"/>
                <w:szCs w:val="22"/>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061" w:type="pct"/>
            <w:shd w:val="clear" w:color="auto" w:fill="auto"/>
            <w:vAlign w:val="center"/>
          </w:tcPr>
          <w:p>
            <w:pPr>
              <w:widowControl/>
              <w:adjustRightInd w:val="0"/>
              <w:snapToGrid w:val="0"/>
              <w:jc w:val="center"/>
              <w:rPr>
                <w:rFonts w:ascii="宋体" w:hAnsi="宋体" w:cs="宋体"/>
                <w:kern w:val="0"/>
                <w:sz w:val="22"/>
                <w:szCs w:val="22"/>
              </w:rPr>
            </w:pPr>
            <w:r>
              <w:rPr>
                <w:rFonts w:hint="eastAsia" w:ascii="宋体" w:hAnsi="宋体" w:cs="宋体"/>
                <w:kern w:val="0"/>
                <w:sz w:val="22"/>
                <w:szCs w:val="22"/>
              </w:rPr>
              <w:t>D10%最远距离（m）</w:t>
            </w:r>
          </w:p>
        </w:tc>
        <w:tc>
          <w:tcPr>
            <w:tcW w:w="2939" w:type="pct"/>
            <w:gridSpan w:val="2"/>
            <w:shd w:val="clear" w:color="auto" w:fill="auto"/>
            <w:noWrap/>
            <w:vAlign w:val="center"/>
          </w:tcPr>
          <w:p>
            <w:pPr>
              <w:widowControl/>
              <w:adjustRightInd w:val="0"/>
              <w:snapToGrid w:val="0"/>
              <w:jc w:val="center"/>
              <w:rPr>
                <w:kern w:val="0"/>
                <w:szCs w:val="21"/>
              </w:rPr>
            </w:pPr>
            <w:r>
              <w:rPr>
                <w:kern w:val="0"/>
                <w:szCs w:val="21"/>
              </w:rPr>
              <w:t>/</w:t>
            </w:r>
          </w:p>
        </w:tc>
      </w:tr>
    </w:tbl>
    <w:p>
      <w:pPr>
        <w:pStyle w:val="5"/>
        <w:rPr>
          <w:color w:val="auto"/>
        </w:rPr>
      </w:pPr>
    </w:p>
    <w:p>
      <w:pPr>
        <w:spacing w:line="360" w:lineRule="auto"/>
        <w:ind w:firstLine="482" w:firstLineChars="200"/>
        <w:rPr>
          <w:b/>
          <w:bCs/>
          <w:sz w:val="24"/>
          <w:szCs w:val="24"/>
        </w:rPr>
      </w:pPr>
      <w:r>
        <w:rPr>
          <w:rFonts w:hint="eastAsia"/>
          <w:b/>
          <w:bCs/>
          <w:sz w:val="24"/>
          <w:szCs w:val="24"/>
        </w:rPr>
        <w:t>（3）恶臭气体影响分析</w:t>
      </w:r>
    </w:p>
    <w:p>
      <w:pPr>
        <w:spacing w:line="360" w:lineRule="auto"/>
        <w:ind w:firstLine="482"/>
        <w:rPr>
          <w:b/>
          <w:bCs/>
          <w:sz w:val="24"/>
          <w:szCs w:val="24"/>
        </w:rPr>
      </w:pPr>
      <w:r>
        <w:rPr>
          <w:rFonts w:hint="eastAsia"/>
          <w:b/>
          <w:bCs/>
          <w:sz w:val="24"/>
          <w:szCs w:val="24"/>
        </w:rPr>
        <w:t>①调节池恶臭气体</w:t>
      </w:r>
    </w:p>
    <w:p>
      <w:pPr>
        <w:spacing w:line="360" w:lineRule="auto"/>
        <w:ind w:firstLine="480" w:firstLineChars="200"/>
        <w:rPr>
          <w:sz w:val="24"/>
          <w:szCs w:val="24"/>
        </w:rPr>
      </w:pPr>
      <w:r>
        <w:rPr>
          <w:rFonts w:hint="eastAsia"/>
          <w:sz w:val="24"/>
          <w:szCs w:val="24"/>
        </w:rPr>
        <w:t>本项目配套建设容积为</w:t>
      </w:r>
      <w:r>
        <w:rPr>
          <w:sz w:val="24"/>
          <w:szCs w:val="24"/>
        </w:rPr>
        <w:t>3000m</w:t>
      </w:r>
      <w:r>
        <w:rPr>
          <w:sz w:val="24"/>
          <w:szCs w:val="24"/>
          <w:vertAlign w:val="superscript"/>
        </w:rPr>
        <w:t>3</w:t>
      </w:r>
      <w:r>
        <w:rPr>
          <w:rFonts w:hint="eastAsia"/>
          <w:sz w:val="24"/>
          <w:szCs w:val="24"/>
        </w:rPr>
        <w:t>的调节池，用于收集填埋区固废渗滤液。本项目填埋物主要为固化飞灰，产生的渗滤液污染因子主要为重金属和悬浮物，其渗滤液可生化性差，不存在可产生大量沼气的生物降解性物质以及相互通过化学反应产生气体的物质，废水中有机物含量低，基本不产生恶臭气体，同时渗滤液调节池通过加盖后可以更加减少恶臭气体的影响，本评价不再进行定量分析。</w:t>
      </w:r>
    </w:p>
    <w:p>
      <w:pPr>
        <w:spacing w:line="360" w:lineRule="auto"/>
        <w:ind w:firstLine="482" w:firstLineChars="200"/>
        <w:rPr>
          <w:b/>
          <w:bCs/>
          <w:sz w:val="24"/>
          <w:szCs w:val="24"/>
        </w:rPr>
      </w:pPr>
      <w:r>
        <w:rPr>
          <w:rFonts w:hint="eastAsia"/>
          <w:b/>
          <w:bCs/>
          <w:sz w:val="24"/>
          <w:szCs w:val="24"/>
        </w:rPr>
        <w:t>②渗滤液预处理车间恶臭</w:t>
      </w:r>
      <w:r>
        <w:rPr>
          <w:b/>
          <w:bCs/>
          <w:sz w:val="24"/>
          <w:szCs w:val="24"/>
        </w:rPr>
        <w:t xml:space="preserve"> </w:t>
      </w:r>
    </w:p>
    <w:p>
      <w:pPr>
        <w:spacing w:line="360" w:lineRule="auto"/>
        <w:ind w:firstLine="480" w:firstLineChars="200"/>
        <w:rPr>
          <w:sz w:val="24"/>
          <w:szCs w:val="24"/>
        </w:rPr>
      </w:pPr>
      <w:r>
        <w:rPr>
          <w:rFonts w:hint="eastAsia"/>
          <w:sz w:val="24"/>
          <w:szCs w:val="24"/>
        </w:rPr>
        <w:t>本项目填埋物为固化后飞灰，生活垃圾经高温焚烧后飞灰含有的有机物基本燃尽，其渗滤液可生化性极差，污染因子主要为重金属和悬浮物，污水处理过程采用物理化学方法处理不涉及生化反应，因此在渗滤液处理过程中基本不会产生恶臭气体，本评价不进行定量分析。</w:t>
      </w:r>
    </w:p>
    <w:p>
      <w:pPr>
        <w:pStyle w:val="62"/>
        <w:numPr>
          <w:ilvl w:val="3"/>
          <w:numId w:val="5"/>
        </w:numPr>
        <w:tabs>
          <w:tab w:val="left" w:pos="851"/>
          <w:tab w:val="left" w:pos="1247"/>
          <w:tab w:val="clear" w:pos="1021"/>
        </w:tabs>
        <w:spacing w:before="156" w:after="156"/>
        <w:outlineLvl w:val="3"/>
        <w:rPr>
          <w:rFonts w:ascii="Times New Roman" w:hAnsi="Times New Roman"/>
        </w:rPr>
      </w:pPr>
      <w:r>
        <w:rPr>
          <w:rFonts w:hint="eastAsia" w:ascii="Times New Roman" w:hAnsi="Times New Roman"/>
        </w:rPr>
        <w:t>污染物排放量核算</w:t>
      </w:r>
    </w:p>
    <w:p>
      <w:pPr>
        <w:adjustRightInd w:val="0"/>
        <w:snapToGrid w:val="0"/>
        <w:spacing w:line="360" w:lineRule="auto"/>
        <w:ind w:firstLine="480" w:firstLineChars="200"/>
        <w:rPr>
          <w:sz w:val="24"/>
          <w:szCs w:val="22"/>
        </w:rPr>
      </w:pPr>
      <w:r>
        <w:rPr>
          <w:rFonts w:hint="eastAsia"/>
          <w:sz w:val="24"/>
          <w:szCs w:val="22"/>
        </w:rPr>
        <w:t>本项目大气污染物全部为有组织排放，无组织排放量核算见表5.2-</w:t>
      </w:r>
      <w:r>
        <w:rPr>
          <w:sz w:val="24"/>
          <w:szCs w:val="22"/>
        </w:rPr>
        <w:t>12</w:t>
      </w:r>
      <w:r>
        <w:rPr>
          <w:rFonts w:hint="eastAsia"/>
          <w:sz w:val="24"/>
          <w:szCs w:val="22"/>
        </w:rPr>
        <w:t>。</w:t>
      </w:r>
    </w:p>
    <w:p>
      <w:pPr>
        <w:adjustRightInd w:val="0"/>
        <w:snapToGrid w:val="0"/>
        <w:spacing w:line="360" w:lineRule="auto"/>
        <w:ind w:firstLine="200"/>
        <w:jc w:val="center"/>
        <w:rPr>
          <w:rFonts w:hAnsi="宋体"/>
          <w:b/>
          <w:kern w:val="0"/>
          <w:sz w:val="24"/>
          <w:szCs w:val="24"/>
        </w:rPr>
      </w:pPr>
      <w:r>
        <w:rPr>
          <w:rFonts w:hint="eastAsia" w:hAnsi="宋体"/>
          <w:b/>
          <w:kern w:val="0"/>
          <w:sz w:val="24"/>
          <w:szCs w:val="24"/>
        </w:rPr>
        <w:t>表</w:t>
      </w:r>
      <w:r>
        <w:rPr>
          <w:rFonts w:hAnsi="宋体"/>
          <w:b/>
          <w:kern w:val="0"/>
          <w:sz w:val="24"/>
          <w:szCs w:val="24"/>
        </w:rPr>
        <w:t xml:space="preserve"> 5.2-12 </w:t>
      </w:r>
      <w:r>
        <w:rPr>
          <w:rFonts w:hint="eastAsia" w:hAnsi="宋体"/>
          <w:b/>
          <w:kern w:val="0"/>
          <w:sz w:val="24"/>
          <w:szCs w:val="24"/>
        </w:rPr>
        <w:t>无组织废气污染源产生排放情况一览表</w:t>
      </w:r>
    </w:p>
    <w:tbl>
      <w:tblPr>
        <w:tblStyle w:val="39"/>
        <w:tblW w:w="5033"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155"/>
        <w:gridCol w:w="2163"/>
        <w:gridCol w:w="2193"/>
        <w:gridCol w:w="188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19" w:hRule="atLeast"/>
          <w:jc w:val="center"/>
        </w:trPr>
        <w:tc>
          <w:tcPr>
            <w:tcW w:w="1284" w:type="pct"/>
            <w:vMerge w:val="restart"/>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b/>
                <w:bCs/>
                <w:sz w:val="21"/>
                <w:szCs w:val="21"/>
              </w:rPr>
              <w:t>污染源</w:t>
            </w:r>
          </w:p>
        </w:tc>
        <w:tc>
          <w:tcPr>
            <w:tcW w:w="1289" w:type="pct"/>
            <w:vMerge w:val="restart"/>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b/>
                <w:bCs/>
                <w:sz w:val="21"/>
                <w:szCs w:val="21"/>
              </w:rPr>
              <w:t>污染因子</w:t>
            </w:r>
          </w:p>
        </w:tc>
        <w:tc>
          <w:tcPr>
            <w:tcW w:w="2427" w:type="pct"/>
            <w:gridSpan w:val="2"/>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b/>
                <w:bCs/>
                <w:sz w:val="21"/>
                <w:szCs w:val="21"/>
              </w:rPr>
              <w:t>排放量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32" w:hRule="atLeast"/>
          <w:jc w:val="center"/>
        </w:trPr>
        <w:tc>
          <w:tcPr>
            <w:tcW w:w="1284" w:type="pct"/>
            <w:vMerge w:val="continue"/>
            <w:vAlign w:val="center"/>
          </w:tcPr>
          <w:p>
            <w:pPr>
              <w:pStyle w:val="67"/>
              <w:kinsoku w:val="0"/>
              <w:overflowPunct w:val="0"/>
              <w:adjustRightInd w:val="0"/>
              <w:snapToGrid w:val="0"/>
              <w:jc w:val="center"/>
              <w:rPr>
                <w:rFonts w:ascii="Times New Roman" w:hAnsi="Times New Roman"/>
                <w:sz w:val="21"/>
                <w:szCs w:val="21"/>
              </w:rPr>
            </w:pPr>
          </w:p>
        </w:tc>
        <w:tc>
          <w:tcPr>
            <w:tcW w:w="1289" w:type="pct"/>
            <w:vMerge w:val="continue"/>
            <w:vAlign w:val="center"/>
          </w:tcPr>
          <w:p>
            <w:pPr>
              <w:pStyle w:val="67"/>
              <w:kinsoku w:val="0"/>
              <w:overflowPunct w:val="0"/>
              <w:adjustRightInd w:val="0"/>
              <w:snapToGrid w:val="0"/>
              <w:jc w:val="center"/>
              <w:rPr>
                <w:rFonts w:ascii="Times New Roman" w:hAnsi="Times New Roman"/>
                <w:sz w:val="21"/>
                <w:szCs w:val="21"/>
              </w:rPr>
            </w:pPr>
          </w:p>
        </w:tc>
        <w:tc>
          <w:tcPr>
            <w:tcW w:w="1307" w:type="pct"/>
            <w:vAlign w:val="center"/>
          </w:tcPr>
          <w:p>
            <w:pPr>
              <w:adjustRightInd w:val="0"/>
              <w:snapToGrid w:val="0"/>
              <w:jc w:val="center"/>
              <w:rPr>
                <w:szCs w:val="21"/>
              </w:rPr>
            </w:pPr>
            <w:r>
              <w:rPr>
                <w:rFonts w:eastAsiaTheme="minorEastAsia"/>
                <w:szCs w:val="21"/>
              </w:rPr>
              <w:t>小时</w:t>
            </w:r>
            <w:r>
              <w:rPr>
                <w:rFonts w:hint="eastAsia" w:eastAsiaTheme="minorEastAsia"/>
                <w:szCs w:val="21"/>
              </w:rPr>
              <w:t>（</w:t>
            </w:r>
            <w:r>
              <w:rPr>
                <w:rFonts w:eastAsiaTheme="minorEastAsia"/>
                <w:szCs w:val="21"/>
              </w:rPr>
              <w:t>kg/h</w:t>
            </w:r>
            <w:r>
              <w:rPr>
                <w:rFonts w:hint="eastAsia" w:eastAsiaTheme="minorEastAsia"/>
                <w:szCs w:val="21"/>
              </w:rPr>
              <w:t>）</w:t>
            </w:r>
          </w:p>
        </w:tc>
        <w:tc>
          <w:tcPr>
            <w:tcW w:w="1120" w:type="pct"/>
            <w:vAlign w:val="center"/>
          </w:tcPr>
          <w:p>
            <w:pPr>
              <w:adjustRightInd w:val="0"/>
              <w:snapToGrid w:val="0"/>
              <w:jc w:val="center"/>
              <w:rPr>
                <w:szCs w:val="21"/>
              </w:rPr>
            </w:pPr>
            <w:r>
              <w:rPr>
                <w:rFonts w:eastAsiaTheme="minorEastAsia"/>
                <w:szCs w:val="21"/>
              </w:rPr>
              <w:t>全年</w:t>
            </w:r>
            <w:r>
              <w:rPr>
                <w:rFonts w:hint="eastAsia" w:eastAsiaTheme="minorEastAsia"/>
                <w:szCs w:val="21"/>
              </w:rPr>
              <w:t>（</w:t>
            </w:r>
            <w:r>
              <w:rPr>
                <w:rFonts w:eastAsiaTheme="minorEastAsia"/>
                <w:szCs w:val="21"/>
              </w:rPr>
              <w:t>t/a</w:t>
            </w:r>
            <w:r>
              <w:rPr>
                <w:rFonts w:hint="eastAsia" w:eastAsiaTheme="minorEastAsia"/>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32" w:hRule="atLeast"/>
          <w:jc w:val="center"/>
        </w:trPr>
        <w:tc>
          <w:tcPr>
            <w:tcW w:w="1284" w:type="pct"/>
            <w:vAlign w:val="center"/>
          </w:tcPr>
          <w:p>
            <w:pPr>
              <w:pStyle w:val="67"/>
              <w:kinsoku w:val="0"/>
              <w:overflowPunct w:val="0"/>
              <w:adjustRightInd w:val="0"/>
              <w:snapToGrid w:val="0"/>
              <w:jc w:val="center"/>
              <w:rPr>
                <w:rFonts w:ascii="Times New Roman" w:hAnsi="Times New Roman" w:eastAsiaTheme="minorEastAsia"/>
                <w:sz w:val="21"/>
                <w:szCs w:val="21"/>
              </w:rPr>
            </w:pPr>
            <w:r>
              <w:rPr>
                <w:rFonts w:ascii="Times New Roman" w:hAnsi="Times New Roman" w:eastAsiaTheme="minorEastAsia"/>
                <w:sz w:val="21"/>
                <w:szCs w:val="21"/>
              </w:rPr>
              <w:t>飞灰填埋作业</w:t>
            </w:r>
          </w:p>
        </w:tc>
        <w:tc>
          <w:tcPr>
            <w:tcW w:w="1289" w:type="pct"/>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sz w:val="21"/>
                <w:szCs w:val="21"/>
              </w:rPr>
              <w:t>颗粒物</w:t>
            </w:r>
          </w:p>
        </w:tc>
        <w:tc>
          <w:tcPr>
            <w:tcW w:w="1307" w:type="pct"/>
            <w:shd w:val="clear" w:color="auto" w:fill="auto"/>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eastAsia="等线"/>
                <w:sz w:val="21"/>
                <w:szCs w:val="21"/>
              </w:rPr>
              <w:t>0.0006</w:t>
            </w:r>
          </w:p>
        </w:tc>
        <w:tc>
          <w:tcPr>
            <w:tcW w:w="1120" w:type="pct"/>
            <w:shd w:val="clear" w:color="auto" w:fill="auto"/>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eastAsia="等线"/>
                <w:sz w:val="21"/>
                <w:szCs w:val="21"/>
              </w:rPr>
              <w:t>0.00022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32" w:hRule="atLeast"/>
          <w:jc w:val="center"/>
        </w:trPr>
        <w:tc>
          <w:tcPr>
            <w:tcW w:w="1284" w:type="pct"/>
            <w:vAlign w:val="center"/>
          </w:tcPr>
          <w:p>
            <w:pPr>
              <w:pStyle w:val="67"/>
              <w:kinsoku w:val="0"/>
              <w:overflowPunct w:val="0"/>
              <w:adjustRightInd w:val="0"/>
              <w:snapToGrid w:val="0"/>
              <w:jc w:val="center"/>
              <w:rPr>
                <w:rFonts w:ascii="Times New Roman" w:hAnsi="Times New Roman"/>
                <w:spacing w:val="-1"/>
                <w:sz w:val="21"/>
                <w:szCs w:val="21"/>
              </w:rPr>
            </w:pPr>
            <w:r>
              <w:rPr>
                <w:rFonts w:ascii="Times New Roman" w:hAnsi="Times New Roman" w:eastAsiaTheme="minorEastAsia"/>
                <w:sz w:val="21"/>
                <w:szCs w:val="21"/>
              </w:rPr>
              <w:t>运输车辆</w:t>
            </w:r>
          </w:p>
        </w:tc>
        <w:tc>
          <w:tcPr>
            <w:tcW w:w="1289" w:type="pct"/>
            <w:vAlign w:val="center"/>
          </w:tcPr>
          <w:p>
            <w:pPr>
              <w:pStyle w:val="67"/>
              <w:kinsoku w:val="0"/>
              <w:overflowPunct w:val="0"/>
              <w:adjustRightInd w:val="0"/>
              <w:snapToGrid w:val="0"/>
              <w:jc w:val="center"/>
              <w:rPr>
                <w:rFonts w:ascii="Times New Roman" w:hAnsi="Times New Roman"/>
                <w:sz w:val="21"/>
                <w:szCs w:val="21"/>
              </w:rPr>
            </w:pPr>
            <w:r>
              <w:rPr>
                <w:rFonts w:ascii="Times New Roman" w:hAnsi="Times New Roman"/>
                <w:sz w:val="21"/>
                <w:szCs w:val="21"/>
              </w:rPr>
              <w:t>颗粒物</w:t>
            </w:r>
          </w:p>
        </w:tc>
        <w:tc>
          <w:tcPr>
            <w:tcW w:w="1307" w:type="pct"/>
            <w:vAlign w:val="center"/>
          </w:tcPr>
          <w:p>
            <w:pPr>
              <w:pStyle w:val="67"/>
              <w:kinsoku w:val="0"/>
              <w:overflowPunct w:val="0"/>
              <w:adjustRightInd w:val="0"/>
              <w:snapToGrid w:val="0"/>
              <w:jc w:val="center"/>
              <w:rPr>
                <w:rFonts w:ascii="Times New Roman" w:hAnsi="Times New Roman"/>
                <w:spacing w:val="-1"/>
                <w:sz w:val="21"/>
                <w:szCs w:val="21"/>
              </w:rPr>
            </w:pPr>
            <w:r>
              <w:rPr>
                <w:rFonts w:ascii="Times New Roman" w:hAnsi="Times New Roman" w:eastAsiaTheme="minorEastAsia"/>
                <w:sz w:val="21"/>
                <w:szCs w:val="21"/>
              </w:rPr>
              <w:t>0.038</w:t>
            </w:r>
          </w:p>
        </w:tc>
        <w:tc>
          <w:tcPr>
            <w:tcW w:w="1120" w:type="pct"/>
            <w:vAlign w:val="center"/>
          </w:tcPr>
          <w:p>
            <w:pPr>
              <w:pStyle w:val="67"/>
              <w:kinsoku w:val="0"/>
              <w:overflowPunct w:val="0"/>
              <w:adjustRightInd w:val="0"/>
              <w:snapToGrid w:val="0"/>
              <w:jc w:val="center"/>
              <w:rPr>
                <w:rFonts w:ascii="Times New Roman" w:hAnsi="Times New Roman"/>
                <w:spacing w:val="-1"/>
                <w:sz w:val="21"/>
                <w:szCs w:val="21"/>
              </w:rPr>
            </w:pPr>
            <w:r>
              <w:rPr>
                <w:rFonts w:ascii="Times New Roman" w:hAnsi="Times New Roman" w:eastAsiaTheme="minorEastAsia"/>
                <w:sz w:val="21"/>
                <w:szCs w:val="21"/>
              </w:rPr>
              <w:t>0.056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32" w:hRule="atLeast"/>
          <w:jc w:val="center"/>
        </w:trPr>
        <w:tc>
          <w:tcPr>
            <w:tcW w:w="2573" w:type="pct"/>
            <w:gridSpan w:val="2"/>
            <w:vAlign w:val="center"/>
          </w:tcPr>
          <w:p>
            <w:pPr>
              <w:pStyle w:val="67"/>
              <w:kinsoku w:val="0"/>
              <w:overflowPunct w:val="0"/>
              <w:adjustRightInd w:val="0"/>
              <w:snapToGrid w:val="0"/>
              <w:jc w:val="center"/>
              <w:rPr>
                <w:rFonts w:ascii="Times New Roman" w:hAnsi="Times New Roman" w:eastAsia="等线"/>
                <w:sz w:val="21"/>
                <w:szCs w:val="21"/>
              </w:rPr>
            </w:pPr>
            <w:r>
              <w:rPr>
                <w:rFonts w:hint="eastAsia" w:ascii="Times New Roman" w:hAnsi="Times New Roman" w:eastAsia="等线"/>
                <w:sz w:val="21"/>
                <w:szCs w:val="21"/>
              </w:rPr>
              <w:t>合计</w:t>
            </w:r>
          </w:p>
        </w:tc>
        <w:tc>
          <w:tcPr>
            <w:tcW w:w="1307" w:type="pct"/>
            <w:shd w:val="clear" w:color="auto" w:fill="auto"/>
            <w:vAlign w:val="center"/>
          </w:tcPr>
          <w:p>
            <w:pPr>
              <w:pStyle w:val="67"/>
              <w:kinsoku w:val="0"/>
              <w:overflowPunct w:val="0"/>
              <w:adjustRightInd w:val="0"/>
              <w:snapToGrid w:val="0"/>
              <w:jc w:val="center"/>
              <w:rPr>
                <w:rFonts w:ascii="Times New Roman" w:hAnsi="Times New Roman" w:eastAsia="等线"/>
                <w:sz w:val="21"/>
                <w:szCs w:val="21"/>
              </w:rPr>
            </w:pPr>
            <w:r>
              <w:rPr>
                <w:rFonts w:hint="eastAsia" w:ascii="Times New Roman" w:hAnsi="Times New Roman" w:eastAsia="等线"/>
                <w:sz w:val="21"/>
                <w:szCs w:val="21"/>
              </w:rPr>
              <w:t>0.0386</w:t>
            </w:r>
          </w:p>
        </w:tc>
        <w:tc>
          <w:tcPr>
            <w:tcW w:w="1120" w:type="pct"/>
            <w:shd w:val="clear" w:color="auto" w:fill="auto"/>
            <w:vAlign w:val="center"/>
          </w:tcPr>
          <w:p>
            <w:pPr>
              <w:pStyle w:val="67"/>
              <w:kinsoku w:val="0"/>
              <w:overflowPunct w:val="0"/>
              <w:adjustRightInd w:val="0"/>
              <w:snapToGrid w:val="0"/>
              <w:jc w:val="center"/>
              <w:rPr>
                <w:rFonts w:ascii="Times New Roman" w:hAnsi="Times New Roman" w:eastAsia="等线"/>
                <w:sz w:val="21"/>
                <w:szCs w:val="21"/>
              </w:rPr>
            </w:pPr>
            <w:r>
              <w:rPr>
                <w:rFonts w:hint="eastAsia" w:ascii="Times New Roman" w:hAnsi="Times New Roman" w:eastAsia="等线"/>
                <w:sz w:val="21"/>
                <w:szCs w:val="21"/>
              </w:rPr>
              <w:t>0.05622</w:t>
            </w:r>
          </w:p>
        </w:tc>
      </w:tr>
    </w:tbl>
    <w:p>
      <w:pPr>
        <w:pStyle w:val="62"/>
        <w:numPr>
          <w:ilvl w:val="2"/>
          <w:numId w:val="5"/>
        </w:numPr>
        <w:tabs>
          <w:tab w:val="left" w:pos="567"/>
          <w:tab w:val="left" w:pos="1304"/>
        </w:tabs>
        <w:spacing w:before="156" w:after="156"/>
        <w:ind w:left="0" w:firstLine="0"/>
        <w:rPr>
          <w:rFonts w:ascii="Times New Roman" w:hAnsi="Times New Roman"/>
        </w:rPr>
      </w:pPr>
      <w:bookmarkStart w:id="131" w:name="_Toc1171362"/>
      <w:r>
        <w:rPr>
          <w:rFonts w:ascii="Times New Roman" w:hAnsi="Times New Roman"/>
        </w:rPr>
        <w:t>环境防护距离</w:t>
      </w:r>
      <w:bookmarkEnd w:id="131"/>
    </w:p>
    <w:p>
      <w:pPr>
        <w:pStyle w:val="62"/>
        <w:numPr>
          <w:ilvl w:val="3"/>
          <w:numId w:val="5"/>
        </w:numPr>
        <w:tabs>
          <w:tab w:val="left" w:pos="851"/>
          <w:tab w:val="left" w:pos="1247"/>
          <w:tab w:val="clear" w:pos="1021"/>
        </w:tabs>
        <w:spacing w:before="156" w:after="156"/>
        <w:outlineLvl w:val="3"/>
        <w:rPr>
          <w:rFonts w:ascii="Times New Roman" w:hAnsi="Times New Roman"/>
        </w:rPr>
      </w:pPr>
      <w:r>
        <w:rPr>
          <w:rFonts w:ascii="Times New Roman" w:hAnsi="Times New Roman"/>
        </w:rPr>
        <w:t>大气环境防护距离</w:t>
      </w:r>
    </w:p>
    <w:p>
      <w:pPr>
        <w:adjustRightInd w:val="0"/>
        <w:snapToGrid w:val="0"/>
        <w:spacing w:line="360" w:lineRule="auto"/>
        <w:ind w:firstLine="480" w:firstLineChars="200"/>
        <w:rPr>
          <w:sz w:val="24"/>
          <w:szCs w:val="24"/>
        </w:rPr>
      </w:pPr>
      <w:r>
        <w:rPr>
          <w:rFonts w:hint="eastAsia"/>
          <w:sz w:val="24"/>
          <w:szCs w:val="24"/>
        </w:rPr>
        <w:t>按照《大气环境影响评价技术导则》（</w:t>
      </w:r>
      <w:r>
        <w:rPr>
          <w:sz w:val="24"/>
          <w:szCs w:val="24"/>
        </w:rPr>
        <w:t>HJ2.2-2018</w:t>
      </w:r>
      <w:r>
        <w:rPr>
          <w:rFonts w:hint="eastAsia"/>
          <w:sz w:val="24"/>
          <w:szCs w:val="24"/>
        </w:rPr>
        <w:t>）规定，项目厂界正常排放计算出的距离是以污染源为中心点为起点的控制距离，并结合厂区平面布置，确定控制距离范围，超出厂界以外的范围即为大气环境防护区域。预测拟建项目所有污染源对厂址附近网格点短期浓度占标率，核定是否存在环境防护距离。</w:t>
      </w:r>
    </w:p>
    <w:p>
      <w:pPr>
        <w:adjustRightInd w:val="0"/>
        <w:snapToGrid w:val="0"/>
        <w:spacing w:line="360" w:lineRule="auto"/>
        <w:ind w:firstLine="480" w:firstLineChars="200"/>
        <w:rPr>
          <w:sz w:val="24"/>
          <w:szCs w:val="24"/>
        </w:rPr>
      </w:pPr>
      <w:r>
        <w:rPr>
          <w:rFonts w:hint="eastAsia"/>
          <w:sz w:val="24"/>
          <w:szCs w:val="24"/>
        </w:rPr>
        <w:t>根据《环境影响评价技术导则大气环境》</w:t>
      </w:r>
      <w:r>
        <w:rPr>
          <w:sz w:val="24"/>
          <w:szCs w:val="24"/>
        </w:rPr>
        <w:t>(HJ2.2-2018)</w:t>
      </w:r>
      <w:r>
        <w:rPr>
          <w:rFonts w:hint="eastAsia"/>
          <w:sz w:val="24"/>
          <w:szCs w:val="24"/>
        </w:rPr>
        <w:t>，根据</w:t>
      </w:r>
      <w:r>
        <w:rPr>
          <w:sz w:val="24"/>
          <w:szCs w:val="24"/>
        </w:rPr>
        <w:t>AERSCREEN</w:t>
      </w:r>
      <w:r>
        <w:rPr>
          <w:rFonts w:hint="eastAsia"/>
          <w:sz w:val="24"/>
          <w:szCs w:val="24"/>
        </w:rPr>
        <w:t>估算模式可知本项目最大占标率小于</w:t>
      </w:r>
      <w:r>
        <w:rPr>
          <w:sz w:val="24"/>
          <w:szCs w:val="24"/>
        </w:rPr>
        <w:t>10%</w:t>
      </w:r>
      <w:r>
        <w:rPr>
          <w:rFonts w:hint="eastAsia"/>
          <w:sz w:val="24"/>
          <w:szCs w:val="24"/>
        </w:rPr>
        <w:t>，本项目所有污染源对厂址附近网格点及厂界外不存在超标点，因此大气环境防护距离为</w:t>
      </w:r>
      <w:r>
        <w:rPr>
          <w:sz w:val="24"/>
          <w:szCs w:val="24"/>
        </w:rPr>
        <w:t>0</w:t>
      </w:r>
      <w:r>
        <w:rPr>
          <w:rFonts w:hint="eastAsia"/>
          <w:sz w:val="24"/>
          <w:szCs w:val="24"/>
        </w:rPr>
        <w:t>。</w:t>
      </w:r>
    </w:p>
    <w:p>
      <w:pPr>
        <w:pStyle w:val="62"/>
        <w:numPr>
          <w:ilvl w:val="3"/>
          <w:numId w:val="5"/>
        </w:numPr>
        <w:tabs>
          <w:tab w:val="left" w:pos="851"/>
          <w:tab w:val="left" w:pos="1247"/>
          <w:tab w:val="clear" w:pos="1021"/>
        </w:tabs>
        <w:spacing w:before="156" w:after="156"/>
        <w:outlineLvl w:val="3"/>
        <w:rPr>
          <w:rFonts w:ascii="Times New Roman" w:hAnsi="Times New Roman"/>
        </w:rPr>
      </w:pPr>
      <w:r>
        <w:rPr>
          <w:rFonts w:ascii="Times New Roman" w:hAnsi="Times New Roman"/>
        </w:rPr>
        <w:t>卫生防护距离</w:t>
      </w:r>
    </w:p>
    <w:p>
      <w:pPr>
        <w:spacing w:line="360" w:lineRule="auto"/>
        <w:ind w:firstLine="480" w:firstLineChars="200"/>
        <w:rPr>
          <w:sz w:val="24"/>
        </w:rPr>
      </w:pPr>
      <w:r>
        <w:rPr>
          <w:rFonts w:hint="eastAsia"/>
          <w:sz w:val="24"/>
        </w:rPr>
        <w:t>本项目无组织排放，其卫生防护距离按</w:t>
      </w:r>
      <w:r>
        <w:rPr>
          <w:sz w:val="24"/>
        </w:rPr>
        <w:t>《制定地方大气污染物排放标准的技术方法》(GB/T13201-91)对“各类工业企业卫生防护距离标准的制定方法”的规定，采用下式计算：</w:t>
      </w:r>
    </w:p>
    <w:p>
      <w:pPr>
        <w:spacing w:line="360" w:lineRule="auto"/>
        <w:ind w:firstLine="420" w:firstLineChars="200"/>
        <w:jc w:val="center"/>
        <w:rPr>
          <w:rFonts w:eastAsia="仿宋_GB2312"/>
        </w:rPr>
      </w:pPr>
      <w:r>
        <w:rPr>
          <w:rFonts w:eastAsia="仿宋_GB2312"/>
          <w:position w:val="-30"/>
        </w:rPr>
        <w:drawing>
          <wp:inline distT="0" distB="0" distL="0" distR="0">
            <wp:extent cx="1803400" cy="448945"/>
            <wp:effectExtent l="0" t="0" r="635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803400" cy="448945"/>
                    </a:xfrm>
                    <a:prstGeom prst="rect">
                      <a:avLst/>
                    </a:prstGeom>
                    <a:noFill/>
                    <a:ln>
                      <a:noFill/>
                    </a:ln>
                  </pic:spPr>
                </pic:pic>
              </a:graphicData>
            </a:graphic>
          </wp:inline>
        </w:drawing>
      </w:r>
      <w:r>
        <w:rPr>
          <w:rFonts w:eastAsia="仿宋_GB2312"/>
        </w:rPr>
        <w:t xml:space="preserve">      </w:t>
      </w:r>
      <w:r>
        <w:rPr>
          <w:rFonts w:eastAsia="仿宋_GB2312"/>
          <w:sz w:val="24"/>
          <w:szCs w:val="24"/>
        </w:rPr>
        <w:t>其中</w:t>
      </w:r>
      <w:r>
        <w:rPr>
          <w:rFonts w:eastAsia="仿宋_GB2312"/>
        </w:rPr>
        <w:t xml:space="preserve">： </w:t>
      </w:r>
      <w:r>
        <w:rPr>
          <w:rFonts w:eastAsia="仿宋_GB2312"/>
          <w:position w:val="-28"/>
        </w:rPr>
        <w:drawing>
          <wp:inline distT="0" distB="0" distL="0" distR="0">
            <wp:extent cx="617855" cy="46545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17855" cy="465455"/>
                    </a:xfrm>
                    <a:prstGeom prst="rect">
                      <a:avLst/>
                    </a:prstGeom>
                    <a:noFill/>
                    <a:ln>
                      <a:noFill/>
                    </a:ln>
                  </pic:spPr>
                </pic:pic>
              </a:graphicData>
            </a:graphic>
          </wp:inline>
        </w:drawing>
      </w:r>
    </w:p>
    <w:p>
      <w:pPr>
        <w:tabs>
          <w:tab w:val="left" w:pos="0"/>
        </w:tabs>
        <w:adjustRightInd w:val="0"/>
        <w:snapToGrid w:val="0"/>
        <w:spacing w:line="360" w:lineRule="auto"/>
        <w:ind w:firstLine="480" w:firstLineChars="200"/>
        <w:rPr>
          <w:sz w:val="24"/>
        </w:rPr>
      </w:pPr>
      <w:r>
        <w:rPr>
          <w:sz w:val="24"/>
        </w:rPr>
        <w:t>式中：C</w:t>
      </w:r>
      <w:r>
        <w:rPr>
          <w:sz w:val="24"/>
          <w:vertAlign w:val="subscript"/>
        </w:rPr>
        <w:t>m</w:t>
      </w:r>
      <w:r>
        <w:rPr>
          <w:sz w:val="24"/>
        </w:rPr>
        <w:t xml:space="preserve"> —— 标准浓度限值，mg/m</w:t>
      </w:r>
      <w:r>
        <w:rPr>
          <w:sz w:val="24"/>
          <w:vertAlign w:val="superscript"/>
        </w:rPr>
        <w:t>3</w:t>
      </w:r>
      <w:r>
        <w:rPr>
          <w:sz w:val="24"/>
        </w:rPr>
        <w:t>。</w:t>
      </w:r>
      <w:r>
        <w:rPr>
          <w:sz w:val="24"/>
        </w:rPr>
        <w:br w:type="textWrapping"/>
      </w:r>
      <w:r>
        <w:rPr>
          <w:sz w:val="24"/>
        </w:rPr>
        <w:t xml:space="preserve">           L —— 工业企业所需卫生防护距离，m。</w:t>
      </w:r>
      <w:r>
        <w:rPr>
          <w:sz w:val="24"/>
        </w:rPr>
        <w:br w:type="textWrapping"/>
      </w:r>
      <w:r>
        <w:rPr>
          <w:sz w:val="24"/>
        </w:rPr>
        <w:t xml:space="preserve">           Q</w:t>
      </w:r>
      <w:r>
        <w:rPr>
          <w:sz w:val="24"/>
          <w:vertAlign w:val="subscript"/>
        </w:rPr>
        <w:t>c</w:t>
      </w:r>
      <w:r>
        <w:rPr>
          <w:sz w:val="24"/>
        </w:rPr>
        <w:t xml:space="preserve"> —— 有害气体无组织排放量，kg/h。</w:t>
      </w:r>
    </w:p>
    <w:p>
      <w:pPr>
        <w:tabs>
          <w:tab w:val="left" w:pos="0"/>
        </w:tabs>
        <w:adjustRightInd w:val="0"/>
        <w:snapToGrid w:val="0"/>
        <w:spacing w:line="360" w:lineRule="auto"/>
        <w:ind w:firstLine="480" w:firstLineChars="200"/>
        <w:rPr>
          <w:sz w:val="24"/>
        </w:rPr>
      </w:pPr>
      <w:r>
        <w:rPr>
          <w:sz w:val="24"/>
        </w:rPr>
        <w:t xml:space="preserve">       r —— 有害气体无组织排放源所在单元的等效半径，m。</w:t>
      </w:r>
    </w:p>
    <w:p>
      <w:pPr>
        <w:tabs>
          <w:tab w:val="left" w:pos="0"/>
        </w:tabs>
        <w:adjustRightInd w:val="0"/>
        <w:snapToGrid w:val="0"/>
        <w:spacing w:line="360" w:lineRule="auto"/>
        <w:ind w:firstLine="480" w:firstLineChars="200"/>
        <w:rPr>
          <w:sz w:val="24"/>
        </w:rPr>
      </w:pPr>
      <w:r>
        <w:rPr>
          <w:sz w:val="24"/>
        </w:rPr>
        <w:t xml:space="preserve">       A、B、C、D —— 卫生防护距离计算系数，详见表5.2-13。</w:t>
      </w:r>
    </w:p>
    <w:p>
      <w:pPr>
        <w:spacing w:line="360" w:lineRule="auto"/>
        <w:jc w:val="center"/>
        <w:rPr>
          <w:sz w:val="24"/>
          <w:szCs w:val="24"/>
        </w:rPr>
      </w:pPr>
      <w:r>
        <w:rPr>
          <w:b/>
          <w:bCs/>
          <w:sz w:val="24"/>
          <w:szCs w:val="24"/>
        </w:rPr>
        <w:t>表5.2-13 卫生防护距离计算系数</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74"/>
        <w:gridCol w:w="1585"/>
        <w:gridCol w:w="738"/>
        <w:gridCol w:w="678"/>
        <w:gridCol w:w="682"/>
        <w:gridCol w:w="678"/>
        <w:gridCol w:w="678"/>
        <w:gridCol w:w="683"/>
        <w:gridCol w:w="678"/>
        <w:gridCol w:w="679"/>
        <w:gridCol w:w="66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54" w:type="pct"/>
            <w:vMerge w:val="restart"/>
            <w:vAlign w:val="center"/>
          </w:tcPr>
          <w:p>
            <w:pPr>
              <w:spacing w:line="240" w:lineRule="exact"/>
              <w:jc w:val="center"/>
              <w:rPr>
                <w:rFonts w:eastAsia="长城中隶体"/>
                <w:szCs w:val="21"/>
              </w:rPr>
            </w:pPr>
            <w:r>
              <w:t>计算系数</w:t>
            </w:r>
          </w:p>
        </w:tc>
        <w:tc>
          <w:tcPr>
            <w:tcW w:w="930" w:type="pct"/>
            <w:vMerge w:val="restart"/>
            <w:vAlign w:val="center"/>
          </w:tcPr>
          <w:p>
            <w:pPr>
              <w:spacing w:line="240" w:lineRule="exact"/>
              <w:jc w:val="center"/>
              <w:rPr>
                <w:rFonts w:eastAsia="长城中隶体"/>
                <w:szCs w:val="21"/>
              </w:rPr>
            </w:pPr>
            <w:r>
              <w:t>工业企业所在地区近五年平均风速</w:t>
            </w:r>
            <w:r>
              <w:rPr>
                <w:rFonts w:eastAsia="长城中隶体"/>
              </w:rPr>
              <w:t>m/s</w:t>
            </w:r>
          </w:p>
        </w:tc>
        <w:tc>
          <w:tcPr>
            <w:tcW w:w="1231" w:type="pct"/>
            <w:gridSpan w:val="3"/>
            <w:vAlign w:val="center"/>
          </w:tcPr>
          <w:p>
            <w:pPr>
              <w:spacing w:line="240" w:lineRule="exact"/>
              <w:jc w:val="center"/>
              <w:rPr>
                <w:rFonts w:eastAsia="长城中隶体"/>
                <w:szCs w:val="21"/>
              </w:rPr>
            </w:pPr>
            <w:r>
              <w:rPr>
                <w:rFonts w:eastAsia="长城中隶体"/>
              </w:rPr>
              <w:t>L≤1000</w:t>
            </w:r>
          </w:p>
        </w:tc>
        <w:tc>
          <w:tcPr>
            <w:tcW w:w="1197" w:type="pct"/>
            <w:gridSpan w:val="3"/>
            <w:vAlign w:val="center"/>
          </w:tcPr>
          <w:p>
            <w:pPr>
              <w:spacing w:line="240" w:lineRule="exact"/>
              <w:jc w:val="center"/>
              <w:rPr>
                <w:rFonts w:eastAsia="长城中隶体"/>
                <w:szCs w:val="21"/>
              </w:rPr>
            </w:pPr>
            <w:r>
              <w:rPr>
                <w:rFonts w:eastAsia="长城中隶体"/>
              </w:rPr>
              <w:t>1000&lt;L&lt;2000</w:t>
            </w:r>
          </w:p>
        </w:tc>
        <w:tc>
          <w:tcPr>
            <w:tcW w:w="1189" w:type="pct"/>
            <w:gridSpan w:val="3"/>
            <w:vAlign w:val="center"/>
          </w:tcPr>
          <w:p>
            <w:pPr>
              <w:spacing w:line="240" w:lineRule="exact"/>
              <w:jc w:val="center"/>
              <w:rPr>
                <w:rFonts w:eastAsia="长城中隶体"/>
                <w:szCs w:val="21"/>
              </w:rPr>
            </w:pPr>
            <w:r>
              <w:rPr>
                <w:rFonts w:eastAsia="长城中隶体"/>
              </w:rPr>
              <w:t>L&gt;2000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0" w:type="auto"/>
            <w:vMerge w:val="continue"/>
            <w:vAlign w:val="center"/>
          </w:tcPr>
          <w:p>
            <w:pPr>
              <w:widowControl/>
              <w:jc w:val="left"/>
              <w:rPr>
                <w:rFonts w:eastAsia="长城中隶体"/>
                <w:szCs w:val="21"/>
              </w:rPr>
            </w:pPr>
          </w:p>
        </w:tc>
        <w:tc>
          <w:tcPr>
            <w:tcW w:w="0" w:type="auto"/>
            <w:vMerge w:val="continue"/>
            <w:vAlign w:val="center"/>
          </w:tcPr>
          <w:p>
            <w:pPr>
              <w:widowControl/>
              <w:jc w:val="left"/>
              <w:rPr>
                <w:rFonts w:eastAsia="长城中隶体"/>
                <w:szCs w:val="21"/>
              </w:rPr>
            </w:pPr>
          </w:p>
        </w:tc>
        <w:tc>
          <w:tcPr>
            <w:tcW w:w="3616" w:type="pct"/>
            <w:gridSpan w:val="9"/>
            <w:vAlign w:val="center"/>
          </w:tcPr>
          <w:p>
            <w:pPr>
              <w:spacing w:line="240" w:lineRule="exact"/>
              <w:jc w:val="center"/>
              <w:rPr>
                <w:rFonts w:eastAsia="长城中隶体"/>
                <w:szCs w:val="21"/>
              </w:rPr>
            </w:pPr>
            <w:r>
              <w:t>工业企业大气污染源构成类别</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0" w:type="auto"/>
            <w:vMerge w:val="continue"/>
            <w:vAlign w:val="center"/>
          </w:tcPr>
          <w:p>
            <w:pPr>
              <w:widowControl/>
              <w:jc w:val="left"/>
              <w:rPr>
                <w:rFonts w:eastAsia="长城中隶体"/>
                <w:szCs w:val="21"/>
              </w:rPr>
            </w:pPr>
          </w:p>
        </w:tc>
        <w:tc>
          <w:tcPr>
            <w:tcW w:w="0" w:type="auto"/>
            <w:vMerge w:val="continue"/>
            <w:vAlign w:val="center"/>
          </w:tcPr>
          <w:p>
            <w:pPr>
              <w:widowControl/>
              <w:jc w:val="left"/>
              <w:rPr>
                <w:rFonts w:eastAsia="长城中隶体"/>
                <w:szCs w:val="21"/>
              </w:rPr>
            </w:pPr>
          </w:p>
        </w:tc>
        <w:tc>
          <w:tcPr>
            <w:tcW w:w="433" w:type="pct"/>
            <w:vAlign w:val="center"/>
          </w:tcPr>
          <w:p>
            <w:pPr>
              <w:spacing w:line="240" w:lineRule="exact"/>
              <w:jc w:val="center"/>
              <w:rPr>
                <w:rFonts w:eastAsia="长城中隶体"/>
                <w:szCs w:val="21"/>
              </w:rPr>
            </w:pPr>
            <w:r>
              <w:t>Ⅰ</w:t>
            </w:r>
          </w:p>
        </w:tc>
        <w:tc>
          <w:tcPr>
            <w:tcW w:w="398" w:type="pct"/>
            <w:vAlign w:val="center"/>
          </w:tcPr>
          <w:p>
            <w:pPr>
              <w:spacing w:line="240" w:lineRule="exact"/>
              <w:jc w:val="center"/>
              <w:rPr>
                <w:rFonts w:eastAsia="长城中隶体"/>
                <w:szCs w:val="21"/>
              </w:rPr>
            </w:pPr>
            <w:r>
              <w:t>Ⅱ</w:t>
            </w:r>
          </w:p>
        </w:tc>
        <w:tc>
          <w:tcPr>
            <w:tcW w:w="399" w:type="pct"/>
            <w:vAlign w:val="center"/>
          </w:tcPr>
          <w:p>
            <w:pPr>
              <w:spacing w:line="240" w:lineRule="exact"/>
              <w:jc w:val="center"/>
              <w:rPr>
                <w:rFonts w:eastAsia="长城中隶体"/>
                <w:szCs w:val="21"/>
              </w:rPr>
            </w:pPr>
            <w:r>
              <w:t>Ⅲ</w:t>
            </w:r>
          </w:p>
        </w:tc>
        <w:tc>
          <w:tcPr>
            <w:tcW w:w="398" w:type="pct"/>
            <w:vAlign w:val="center"/>
          </w:tcPr>
          <w:p>
            <w:pPr>
              <w:spacing w:line="240" w:lineRule="exact"/>
              <w:jc w:val="center"/>
              <w:rPr>
                <w:rFonts w:eastAsia="长城中隶体"/>
                <w:szCs w:val="21"/>
              </w:rPr>
            </w:pPr>
            <w:r>
              <w:t>Ⅰ</w:t>
            </w:r>
          </w:p>
        </w:tc>
        <w:tc>
          <w:tcPr>
            <w:tcW w:w="398" w:type="pct"/>
            <w:vAlign w:val="center"/>
          </w:tcPr>
          <w:p>
            <w:pPr>
              <w:spacing w:line="240" w:lineRule="exact"/>
              <w:jc w:val="center"/>
              <w:rPr>
                <w:rFonts w:eastAsia="长城中隶体"/>
                <w:szCs w:val="21"/>
              </w:rPr>
            </w:pPr>
            <w:r>
              <w:t>Ⅱ</w:t>
            </w:r>
          </w:p>
        </w:tc>
        <w:tc>
          <w:tcPr>
            <w:tcW w:w="400" w:type="pct"/>
            <w:vAlign w:val="center"/>
          </w:tcPr>
          <w:p>
            <w:pPr>
              <w:spacing w:line="240" w:lineRule="exact"/>
              <w:jc w:val="center"/>
              <w:rPr>
                <w:rFonts w:eastAsia="长城中隶体"/>
                <w:szCs w:val="21"/>
              </w:rPr>
            </w:pPr>
            <w:r>
              <w:t>Ⅲ</w:t>
            </w:r>
          </w:p>
        </w:tc>
        <w:tc>
          <w:tcPr>
            <w:tcW w:w="398" w:type="pct"/>
            <w:vAlign w:val="center"/>
          </w:tcPr>
          <w:p>
            <w:pPr>
              <w:spacing w:line="240" w:lineRule="exact"/>
              <w:jc w:val="center"/>
              <w:rPr>
                <w:rFonts w:eastAsia="长城中隶体"/>
                <w:szCs w:val="21"/>
              </w:rPr>
            </w:pPr>
            <w:r>
              <w:t>Ⅰ</w:t>
            </w:r>
          </w:p>
        </w:tc>
        <w:tc>
          <w:tcPr>
            <w:tcW w:w="398" w:type="pct"/>
            <w:vAlign w:val="center"/>
          </w:tcPr>
          <w:p>
            <w:pPr>
              <w:spacing w:line="240" w:lineRule="exact"/>
              <w:jc w:val="center"/>
              <w:rPr>
                <w:rFonts w:eastAsia="长城中隶体"/>
                <w:szCs w:val="21"/>
              </w:rPr>
            </w:pPr>
            <w:r>
              <w:t>Ⅱ</w:t>
            </w:r>
          </w:p>
        </w:tc>
        <w:tc>
          <w:tcPr>
            <w:tcW w:w="392" w:type="pct"/>
            <w:vAlign w:val="center"/>
          </w:tcPr>
          <w:p>
            <w:pPr>
              <w:spacing w:line="240" w:lineRule="exact"/>
              <w:jc w:val="center"/>
              <w:rPr>
                <w:rFonts w:eastAsia="长城中隶体"/>
                <w:szCs w:val="21"/>
              </w:rPr>
            </w:pPr>
            <w:r>
              <w:t>Ⅲ</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54" w:type="pct"/>
            <w:vMerge w:val="restart"/>
            <w:vAlign w:val="center"/>
          </w:tcPr>
          <w:p>
            <w:pPr>
              <w:spacing w:line="240" w:lineRule="exact"/>
              <w:jc w:val="center"/>
              <w:rPr>
                <w:rFonts w:eastAsia="长城中隶体"/>
                <w:szCs w:val="21"/>
              </w:rPr>
            </w:pPr>
            <w:r>
              <w:rPr>
                <w:rFonts w:eastAsia="长城中隶体"/>
              </w:rPr>
              <w:t>A</w:t>
            </w:r>
          </w:p>
        </w:tc>
        <w:tc>
          <w:tcPr>
            <w:tcW w:w="930" w:type="pct"/>
            <w:vAlign w:val="center"/>
          </w:tcPr>
          <w:p>
            <w:pPr>
              <w:spacing w:line="240" w:lineRule="exact"/>
              <w:jc w:val="center"/>
              <w:rPr>
                <w:rFonts w:eastAsia="长城中隶体"/>
                <w:szCs w:val="21"/>
              </w:rPr>
            </w:pPr>
            <w:r>
              <w:rPr>
                <w:rFonts w:eastAsia="长城中隶体"/>
              </w:rPr>
              <w:t>&lt;2</w:t>
            </w:r>
          </w:p>
        </w:tc>
        <w:tc>
          <w:tcPr>
            <w:tcW w:w="433" w:type="pct"/>
            <w:vAlign w:val="center"/>
          </w:tcPr>
          <w:p>
            <w:pPr>
              <w:spacing w:line="240" w:lineRule="exact"/>
              <w:jc w:val="center"/>
              <w:rPr>
                <w:rFonts w:eastAsia="长城中隶体"/>
                <w:szCs w:val="21"/>
              </w:rPr>
            </w:pPr>
            <w:r>
              <w:rPr>
                <w:rFonts w:eastAsia="长城中隶体"/>
              </w:rPr>
              <w:t>400</w:t>
            </w:r>
          </w:p>
        </w:tc>
        <w:tc>
          <w:tcPr>
            <w:tcW w:w="398" w:type="pct"/>
            <w:vAlign w:val="center"/>
          </w:tcPr>
          <w:p>
            <w:pPr>
              <w:spacing w:line="240" w:lineRule="exact"/>
              <w:jc w:val="center"/>
              <w:rPr>
                <w:rFonts w:eastAsia="长城中隶体"/>
                <w:szCs w:val="21"/>
              </w:rPr>
            </w:pPr>
            <w:r>
              <w:rPr>
                <w:rFonts w:eastAsia="长城中隶体"/>
              </w:rPr>
              <w:t>400</w:t>
            </w:r>
          </w:p>
        </w:tc>
        <w:tc>
          <w:tcPr>
            <w:tcW w:w="399" w:type="pct"/>
            <w:vAlign w:val="center"/>
          </w:tcPr>
          <w:p>
            <w:pPr>
              <w:spacing w:line="240" w:lineRule="exact"/>
              <w:jc w:val="center"/>
              <w:rPr>
                <w:rFonts w:eastAsia="长城中隶体"/>
                <w:szCs w:val="21"/>
              </w:rPr>
            </w:pPr>
            <w:r>
              <w:rPr>
                <w:rFonts w:eastAsia="长城中隶体"/>
              </w:rPr>
              <w:t>400</w:t>
            </w:r>
          </w:p>
        </w:tc>
        <w:tc>
          <w:tcPr>
            <w:tcW w:w="398" w:type="pct"/>
            <w:vAlign w:val="center"/>
          </w:tcPr>
          <w:p>
            <w:pPr>
              <w:spacing w:line="240" w:lineRule="exact"/>
              <w:jc w:val="center"/>
              <w:rPr>
                <w:rFonts w:eastAsia="长城中隶体"/>
                <w:szCs w:val="21"/>
              </w:rPr>
            </w:pPr>
            <w:r>
              <w:rPr>
                <w:rFonts w:eastAsia="长城中隶体"/>
              </w:rPr>
              <w:t>400</w:t>
            </w:r>
          </w:p>
        </w:tc>
        <w:tc>
          <w:tcPr>
            <w:tcW w:w="398" w:type="pct"/>
            <w:vAlign w:val="center"/>
          </w:tcPr>
          <w:p>
            <w:pPr>
              <w:spacing w:line="240" w:lineRule="exact"/>
              <w:jc w:val="center"/>
              <w:rPr>
                <w:rFonts w:eastAsia="长城中隶体"/>
                <w:szCs w:val="21"/>
              </w:rPr>
            </w:pPr>
            <w:r>
              <w:rPr>
                <w:rFonts w:eastAsia="长城中隶体"/>
              </w:rPr>
              <w:t>400</w:t>
            </w:r>
          </w:p>
        </w:tc>
        <w:tc>
          <w:tcPr>
            <w:tcW w:w="400" w:type="pct"/>
            <w:vAlign w:val="center"/>
          </w:tcPr>
          <w:p>
            <w:pPr>
              <w:spacing w:line="240" w:lineRule="exact"/>
              <w:jc w:val="center"/>
              <w:rPr>
                <w:rFonts w:eastAsia="长城中隶体"/>
                <w:szCs w:val="21"/>
              </w:rPr>
            </w:pPr>
            <w:r>
              <w:rPr>
                <w:rFonts w:eastAsia="长城中隶体"/>
              </w:rPr>
              <w:t>400</w:t>
            </w:r>
          </w:p>
        </w:tc>
        <w:tc>
          <w:tcPr>
            <w:tcW w:w="398" w:type="pct"/>
            <w:vAlign w:val="center"/>
          </w:tcPr>
          <w:p>
            <w:pPr>
              <w:spacing w:line="240" w:lineRule="exact"/>
              <w:jc w:val="center"/>
              <w:rPr>
                <w:rFonts w:eastAsia="长城中隶体"/>
                <w:szCs w:val="21"/>
              </w:rPr>
            </w:pPr>
            <w:r>
              <w:rPr>
                <w:rFonts w:eastAsia="长城中隶体"/>
              </w:rPr>
              <w:t>80</w:t>
            </w:r>
          </w:p>
        </w:tc>
        <w:tc>
          <w:tcPr>
            <w:tcW w:w="398" w:type="pct"/>
            <w:vAlign w:val="center"/>
          </w:tcPr>
          <w:p>
            <w:pPr>
              <w:spacing w:line="240" w:lineRule="exact"/>
              <w:jc w:val="center"/>
              <w:rPr>
                <w:rFonts w:eastAsia="长城中隶体"/>
                <w:szCs w:val="21"/>
              </w:rPr>
            </w:pPr>
            <w:r>
              <w:rPr>
                <w:rFonts w:eastAsia="长城中隶体"/>
              </w:rPr>
              <w:t>80</w:t>
            </w:r>
          </w:p>
        </w:tc>
        <w:tc>
          <w:tcPr>
            <w:tcW w:w="392" w:type="pct"/>
            <w:vAlign w:val="center"/>
          </w:tcPr>
          <w:p>
            <w:pPr>
              <w:spacing w:line="240" w:lineRule="exact"/>
              <w:jc w:val="center"/>
              <w:rPr>
                <w:rFonts w:eastAsia="长城中隶体"/>
                <w:szCs w:val="21"/>
              </w:rPr>
            </w:pPr>
            <w:r>
              <w:rPr>
                <w:rFonts w:eastAsia="长城中隶体"/>
              </w:rPr>
              <w:t>80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0" w:type="auto"/>
            <w:vMerge w:val="continue"/>
            <w:vAlign w:val="center"/>
          </w:tcPr>
          <w:p>
            <w:pPr>
              <w:widowControl/>
              <w:jc w:val="left"/>
              <w:rPr>
                <w:rFonts w:eastAsia="长城中隶体"/>
                <w:szCs w:val="21"/>
              </w:rPr>
            </w:pPr>
          </w:p>
        </w:tc>
        <w:tc>
          <w:tcPr>
            <w:tcW w:w="930" w:type="pct"/>
            <w:vAlign w:val="center"/>
          </w:tcPr>
          <w:p>
            <w:pPr>
              <w:spacing w:line="240" w:lineRule="exact"/>
              <w:jc w:val="center"/>
              <w:rPr>
                <w:rFonts w:eastAsia="长城中隶体"/>
                <w:szCs w:val="21"/>
              </w:rPr>
            </w:pPr>
            <w:r>
              <w:rPr>
                <w:rFonts w:eastAsia="长城中隶体"/>
              </w:rPr>
              <w:t>2-4</w:t>
            </w:r>
          </w:p>
        </w:tc>
        <w:tc>
          <w:tcPr>
            <w:tcW w:w="433" w:type="pct"/>
            <w:vAlign w:val="center"/>
          </w:tcPr>
          <w:p>
            <w:pPr>
              <w:spacing w:line="240" w:lineRule="exact"/>
              <w:jc w:val="center"/>
              <w:rPr>
                <w:rFonts w:eastAsia="长城中隶体"/>
                <w:szCs w:val="21"/>
              </w:rPr>
            </w:pPr>
            <w:r>
              <w:rPr>
                <w:rFonts w:eastAsia="长城中隶体"/>
              </w:rPr>
              <w:t>700</w:t>
            </w:r>
          </w:p>
        </w:tc>
        <w:tc>
          <w:tcPr>
            <w:tcW w:w="398" w:type="pct"/>
            <w:vAlign w:val="center"/>
          </w:tcPr>
          <w:p>
            <w:pPr>
              <w:spacing w:line="240" w:lineRule="exact"/>
              <w:jc w:val="center"/>
              <w:rPr>
                <w:rFonts w:eastAsia="长城中隶体"/>
                <w:bCs/>
                <w:szCs w:val="21"/>
              </w:rPr>
            </w:pPr>
            <w:r>
              <w:rPr>
                <w:rFonts w:eastAsia="长城中隶体"/>
                <w:bCs/>
              </w:rPr>
              <w:t>470</w:t>
            </w:r>
          </w:p>
        </w:tc>
        <w:tc>
          <w:tcPr>
            <w:tcW w:w="399" w:type="pct"/>
            <w:vAlign w:val="center"/>
          </w:tcPr>
          <w:p>
            <w:pPr>
              <w:spacing w:line="240" w:lineRule="exact"/>
              <w:jc w:val="center"/>
              <w:rPr>
                <w:rFonts w:eastAsia="长城中隶体"/>
                <w:b/>
                <w:bCs/>
                <w:szCs w:val="21"/>
              </w:rPr>
            </w:pPr>
            <w:r>
              <w:rPr>
                <w:rFonts w:eastAsia="长城中隶体"/>
                <w:b/>
                <w:bCs/>
              </w:rPr>
              <w:t>350</w:t>
            </w:r>
          </w:p>
        </w:tc>
        <w:tc>
          <w:tcPr>
            <w:tcW w:w="398" w:type="pct"/>
            <w:vAlign w:val="center"/>
          </w:tcPr>
          <w:p>
            <w:pPr>
              <w:spacing w:line="240" w:lineRule="exact"/>
              <w:jc w:val="center"/>
              <w:rPr>
                <w:rFonts w:eastAsia="长城中隶体"/>
                <w:szCs w:val="21"/>
              </w:rPr>
            </w:pPr>
            <w:r>
              <w:rPr>
                <w:rFonts w:eastAsia="长城中隶体"/>
              </w:rPr>
              <w:t>700</w:t>
            </w:r>
          </w:p>
        </w:tc>
        <w:tc>
          <w:tcPr>
            <w:tcW w:w="398" w:type="pct"/>
            <w:vAlign w:val="center"/>
          </w:tcPr>
          <w:p>
            <w:pPr>
              <w:spacing w:line="240" w:lineRule="exact"/>
              <w:jc w:val="center"/>
              <w:rPr>
                <w:rFonts w:eastAsia="长城中隶体"/>
                <w:szCs w:val="21"/>
              </w:rPr>
            </w:pPr>
            <w:r>
              <w:rPr>
                <w:rFonts w:eastAsia="长城中隶体"/>
              </w:rPr>
              <w:t>470</w:t>
            </w:r>
          </w:p>
        </w:tc>
        <w:tc>
          <w:tcPr>
            <w:tcW w:w="400" w:type="pct"/>
            <w:vAlign w:val="center"/>
          </w:tcPr>
          <w:p>
            <w:pPr>
              <w:spacing w:line="240" w:lineRule="exact"/>
              <w:jc w:val="center"/>
              <w:rPr>
                <w:rFonts w:eastAsia="长城中隶体"/>
                <w:szCs w:val="21"/>
              </w:rPr>
            </w:pPr>
            <w:r>
              <w:rPr>
                <w:rFonts w:eastAsia="长城中隶体"/>
              </w:rPr>
              <w:t>350</w:t>
            </w:r>
          </w:p>
        </w:tc>
        <w:tc>
          <w:tcPr>
            <w:tcW w:w="398" w:type="pct"/>
            <w:vAlign w:val="center"/>
          </w:tcPr>
          <w:p>
            <w:pPr>
              <w:spacing w:line="240" w:lineRule="exact"/>
              <w:jc w:val="center"/>
              <w:rPr>
                <w:rFonts w:eastAsia="长城中隶体"/>
                <w:szCs w:val="21"/>
              </w:rPr>
            </w:pPr>
            <w:r>
              <w:rPr>
                <w:rFonts w:eastAsia="长城中隶体"/>
              </w:rPr>
              <w:t>380</w:t>
            </w:r>
          </w:p>
        </w:tc>
        <w:tc>
          <w:tcPr>
            <w:tcW w:w="398" w:type="pct"/>
            <w:vAlign w:val="center"/>
          </w:tcPr>
          <w:p>
            <w:pPr>
              <w:spacing w:line="240" w:lineRule="exact"/>
              <w:jc w:val="center"/>
              <w:rPr>
                <w:rFonts w:eastAsia="长城中隶体"/>
                <w:szCs w:val="21"/>
              </w:rPr>
            </w:pPr>
            <w:r>
              <w:rPr>
                <w:rFonts w:eastAsia="长城中隶体"/>
              </w:rPr>
              <w:t>250</w:t>
            </w:r>
          </w:p>
        </w:tc>
        <w:tc>
          <w:tcPr>
            <w:tcW w:w="392" w:type="pct"/>
            <w:vAlign w:val="center"/>
          </w:tcPr>
          <w:p>
            <w:pPr>
              <w:spacing w:line="240" w:lineRule="exact"/>
              <w:jc w:val="center"/>
              <w:rPr>
                <w:rFonts w:eastAsia="长城中隶体"/>
                <w:szCs w:val="21"/>
              </w:rPr>
            </w:pPr>
            <w:r>
              <w:rPr>
                <w:rFonts w:eastAsia="长城中隶体"/>
              </w:rPr>
              <w:t>190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0" w:type="auto"/>
            <w:vMerge w:val="continue"/>
            <w:vAlign w:val="center"/>
          </w:tcPr>
          <w:p>
            <w:pPr>
              <w:widowControl/>
              <w:jc w:val="left"/>
              <w:rPr>
                <w:rFonts w:eastAsia="长城中隶体"/>
                <w:szCs w:val="21"/>
              </w:rPr>
            </w:pPr>
          </w:p>
        </w:tc>
        <w:tc>
          <w:tcPr>
            <w:tcW w:w="930" w:type="pct"/>
            <w:vAlign w:val="center"/>
          </w:tcPr>
          <w:p>
            <w:pPr>
              <w:spacing w:line="240" w:lineRule="exact"/>
              <w:jc w:val="center"/>
              <w:rPr>
                <w:rFonts w:eastAsia="长城中隶体"/>
                <w:szCs w:val="21"/>
              </w:rPr>
            </w:pPr>
            <w:r>
              <w:rPr>
                <w:rFonts w:eastAsia="长城中隶体"/>
              </w:rPr>
              <w:t>&gt;4</w:t>
            </w:r>
          </w:p>
        </w:tc>
        <w:tc>
          <w:tcPr>
            <w:tcW w:w="433" w:type="pct"/>
            <w:vAlign w:val="center"/>
          </w:tcPr>
          <w:p>
            <w:pPr>
              <w:spacing w:line="240" w:lineRule="exact"/>
              <w:jc w:val="center"/>
              <w:rPr>
                <w:rFonts w:eastAsia="长城中隶体"/>
                <w:szCs w:val="21"/>
              </w:rPr>
            </w:pPr>
            <w:r>
              <w:rPr>
                <w:rFonts w:eastAsia="长城中隶体"/>
              </w:rPr>
              <w:t>530</w:t>
            </w:r>
          </w:p>
        </w:tc>
        <w:tc>
          <w:tcPr>
            <w:tcW w:w="398" w:type="pct"/>
            <w:vAlign w:val="center"/>
          </w:tcPr>
          <w:p>
            <w:pPr>
              <w:spacing w:line="240" w:lineRule="exact"/>
              <w:jc w:val="center"/>
              <w:rPr>
                <w:rFonts w:eastAsia="长城中隶体"/>
                <w:szCs w:val="21"/>
              </w:rPr>
            </w:pPr>
            <w:r>
              <w:rPr>
                <w:rFonts w:eastAsia="长城中隶体"/>
              </w:rPr>
              <w:t>350</w:t>
            </w:r>
          </w:p>
        </w:tc>
        <w:tc>
          <w:tcPr>
            <w:tcW w:w="399" w:type="pct"/>
            <w:vAlign w:val="center"/>
          </w:tcPr>
          <w:p>
            <w:pPr>
              <w:spacing w:line="240" w:lineRule="exact"/>
              <w:jc w:val="center"/>
              <w:rPr>
                <w:rFonts w:eastAsia="长城中隶体"/>
                <w:szCs w:val="21"/>
              </w:rPr>
            </w:pPr>
            <w:r>
              <w:rPr>
                <w:rFonts w:eastAsia="长城中隶体"/>
              </w:rPr>
              <w:t>260</w:t>
            </w:r>
          </w:p>
        </w:tc>
        <w:tc>
          <w:tcPr>
            <w:tcW w:w="398" w:type="pct"/>
            <w:vAlign w:val="center"/>
          </w:tcPr>
          <w:p>
            <w:pPr>
              <w:spacing w:line="240" w:lineRule="exact"/>
              <w:jc w:val="center"/>
              <w:rPr>
                <w:rFonts w:eastAsia="长城中隶体"/>
                <w:szCs w:val="21"/>
              </w:rPr>
            </w:pPr>
            <w:r>
              <w:rPr>
                <w:rFonts w:eastAsia="长城中隶体"/>
              </w:rPr>
              <w:t>530</w:t>
            </w:r>
          </w:p>
        </w:tc>
        <w:tc>
          <w:tcPr>
            <w:tcW w:w="398" w:type="pct"/>
            <w:vAlign w:val="center"/>
          </w:tcPr>
          <w:p>
            <w:pPr>
              <w:spacing w:line="240" w:lineRule="exact"/>
              <w:jc w:val="center"/>
              <w:rPr>
                <w:rFonts w:eastAsia="长城中隶体"/>
                <w:szCs w:val="21"/>
              </w:rPr>
            </w:pPr>
            <w:r>
              <w:rPr>
                <w:rFonts w:eastAsia="长城中隶体"/>
              </w:rPr>
              <w:t>350</w:t>
            </w:r>
          </w:p>
        </w:tc>
        <w:tc>
          <w:tcPr>
            <w:tcW w:w="400" w:type="pct"/>
            <w:vAlign w:val="center"/>
          </w:tcPr>
          <w:p>
            <w:pPr>
              <w:spacing w:line="240" w:lineRule="exact"/>
              <w:jc w:val="center"/>
              <w:rPr>
                <w:rFonts w:eastAsia="长城中隶体"/>
                <w:szCs w:val="21"/>
              </w:rPr>
            </w:pPr>
            <w:r>
              <w:rPr>
                <w:rFonts w:eastAsia="长城中隶体"/>
              </w:rPr>
              <w:t>260</w:t>
            </w:r>
          </w:p>
        </w:tc>
        <w:tc>
          <w:tcPr>
            <w:tcW w:w="398" w:type="pct"/>
            <w:vAlign w:val="center"/>
          </w:tcPr>
          <w:p>
            <w:pPr>
              <w:spacing w:line="240" w:lineRule="exact"/>
              <w:jc w:val="center"/>
              <w:rPr>
                <w:rFonts w:eastAsia="长城中隶体"/>
                <w:szCs w:val="21"/>
              </w:rPr>
            </w:pPr>
            <w:r>
              <w:rPr>
                <w:rFonts w:eastAsia="长城中隶体"/>
              </w:rPr>
              <w:t>290</w:t>
            </w:r>
          </w:p>
        </w:tc>
        <w:tc>
          <w:tcPr>
            <w:tcW w:w="398" w:type="pct"/>
            <w:vAlign w:val="center"/>
          </w:tcPr>
          <w:p>
            <w:pPr>
              <w:spacing w:line="240" w:lineRule="exact"/>
              <w:jc w:val="center"/>
              <w:rPr>
                <w:rFonts w:eastAsia="长城中隶体"/>
                <w:szCs w:val="21"/>
              </w:rPr>
            </w:pPr>
            <w:r>
              <w:rPr>
                <w:rFonts w:eastAsia="长城中隶体"/>
              </w:rPr>
              <w:t>190</w:t>
            </w:r>
          </w:p>
        </w:tc>
        <w:tc>
          <w:tcPr>
            <w:tcW w:w="392" w:type="pct"/>
            <w:vAlign w:val="center"/>
          </w:tcPr>
          <w:p>
            <w:pPr>
              <w:spacing w:line="240" w:lineRule="exact"/>
              <w:jc w:val="center"/>
              <w:rPr>
                <w:rFonts w:eastAsia="长城中隶体"/>
                <w:szCs w:val="21"/>
              </w:rPr>
            </w:pPr>
            <w:r>
              <w:rPr>
                <w:rFonts w:eastAsia="长城中隶体"/>
              </w:rPr>
              <w:t>140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54" w:type="pct"/>
            <w:vMerge w:val="restart"/>
            <w:vAlign w:val="center"/>
          </w:tcPr>
          <w:p>
            <w:pPr>
              <w:spacing w:line="240" w:lineRule="exact"/>
              <w:jc w:val="center"/>
              <w:rPr>
                <w:rFonts w:eastAsia="长城中隶体"/>
                <w:szCs w:val="21"/>
              </w:rPr>
            </w:pPr>
            <w:r>
              <w:rPr>
                <w:rFonts w:eastAsia="长城中隶体"/>
              </w:rPr>
              <w:t>B</w:t>
            </w:r>
          </w:p>
        </w:tc>
        <w:tc>
          <w:tcPr>
            <w:tcW w:w="930" w:type="pct"/>
            <w:vAlign w:val="center"/>
          </w:tcPr>
          <w:p>
            <w:pPr>
              <w:spacing w:line="240" w:lineRule="exact"/>
              <w:jc w:val="center"/>
              <w:rPr>
                <w:rFonts w:eastAsia="长城中隶体"/>
                <w:szCs w:val="21"/>
              </w:rPr>
            </w:pPr>
            <w:r>
              <w:rPr>
                <w:rFonts w:eastAsia="长城中隶体"/>
              </w:rPr>
              <w:t>&lt;2</w:t>
            </w:r>
          </w:p>
        </w:tc>
        <w:tc>
          <w:tcPr>
            <w:tcW w:w="1231" w:type="pct"/>
            <w:gridSpan w:val="3"/>
            <w:vAlign w:val="center"/>
          </w:tcPr>
          <w:p>
            <w:pPr>
              <w:spacing w:line="240" w:lineRule="exact"/>
              <w:jc w:val="center"/>
              <w:rPr>
                <w:rFonts w:eastAsia="长城中隶体"/>
                <w:szCs w:val="21"/>
              </w:rPr>
            </w:pPr>
            <w:r>
              <w:rPr>
                <w:rFonts w:eastAsia="长城中隶体"/>
              </w:rPr>
              <w:t>0.01</w:t>
            </w:r>
          </w:p>
        </w:tc>
        <w:tc>
          <w:tcPr>
            <w:tcW w:w="1197" w:type="pct"/>
            <w:gridSpan w:val="3"/>
            <w:vAlign w:val="center"/>
          </w:tcPr>
          <w:p>
            <w:pPr>
              <w:spacing w:line="240" w:lineRule="exact"/>
              <w:jc w:val="center"/>
              <w:rPr>
                <w:rFonts w:eastAsia="长城中隶体"/>
                <w:szCs w:val="21"/>
              </w:rPr>
            </w:pPr>
            <w:r>
              <w:rPr>
                <w:rFonts w:eastAsia="长城中隶体"/>
              </w:rPr>
              <w:t>0.015</w:t>
            </w:r>
          </w:p>
        </w:tc>
        <w:tc>
          <w:tcPr>
            <w:tcW w:w="1189" w:type="pct"/>
            <w:gridSpan w:val="3"/>
            <w:vAlign w:val="center"/>
          </w:tcPr>
          <w:p>
            <w:pPr>
              <w:spacing w:line="240" w:lineRule="exact"/>
              <w:jc w:val="center"/>
              <w:rPr>
                <w:rFonts w:eastAsia="长城中隶体"/>
                <w:szCs w:val="21"/>
              </w:rPr>
            </w:pPr>
            <w:r>
              <w:rPr>
                <w:rFonts w:eastAsia="长城中隶体"/>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0" w:type="auto"/>
            <w:vMerge w:val="continue"/>
            <w:vAlign w:val="center"/>
          </w:tcPr>
          <w:p>
            <w:pPr>
              <w:widowControl/>
              <w:jc w:val="left"/>
              <w:rPr>
                <w:rFonts w:eastAsia="长城中隶体"/>
                <w:szCs w:val="21"/>
              </w:rPr>
            </w:pPr>
          </w:p>
        </w:tc>
        <w:tc>
          <w:tcPr>
            <w:tcW w:w="930" w:type="pct"/>
            <w:vAlign w:val="center"/>
          </w:tcPr>
          <w:p>
            <w:pPr>
              <w:spacing w:line="240" w:lineRule="exact"/>
              <w:jc w:val="center"/>
              <w:rPr>
                <w:rFonts w:eastAsia="长城中隶体"/>
                <w:szCs w:val="21"/>
              </w:rPr>
            </w:pPr>
            <w:r>
              <w:rPr>
                <w:rFonts w:eastAsia="长城中隶体"/>
              </w:rPr>
              <w:t>&gt;2</w:t>
            </w:r>
          </w:p>
        </w:tc>
        <w:tc>
          <w:tcPr>
            <w:tcW w:w="1231" w:type="pct"/>
            <w:gridSpan w:val="3"/>
            <w:vAlign w:val="center"/>
          </w:tcPr>
          <w:p>
            <w:pPr>
              <w:spacing w:line="240" w:lineRule="exact"/>
              <w:jc w:val="center"/>
              <w:rPr>
                <w:rFonts w:eastAsia="长城中隶体"/>
                <w:b/>
                <w:szCs w:val="21"/>
              </w:rPr>
            </w:pPr>
            <w:r>
              <w:rPr>
                <w:rFonts w:eastAsia="长城中隶体"/>
                <w:b/>
              </w:rPr>
              <w:t>0.021</w:t>
            </w:r>
          </w:p>
        </w:tc>
        <w:tc>
          <w:tcPr>
            <w:tcW w:w="1197" w:type="pct"/>
            <w:gridSpan w:val="3"/>
            <w:vAlign w:val="center"/>
          </w:tcPr>
          <w:p>
            <w:pPr>
              <w:spacing w:line="240" w:lineRule="exact"/>
              <w:jc w:val="center"/>
              <w:rPr>
                <w:rFonts w:eastAsia="长城中隶体"/>
                <w:szCs w:val="21"/>
              </w:rPr>
            </w:pPr>
            <w:r>
              <w:rPr>
                <w:rFonts w:eastAsia="长城中隶体"/>
              </w:rPr>
              <w:t>0.036</w:t>
            </w:r>
          </w:p>
        </w:tc>
        <w:tc>
          <w:tcPr>
            <w:tcW w:w="1189" w:type="pct"/>
            <w:gridSpan w:val="3"/>
            <w:vAlign w:val="center"/>
          </w:tcPr>
          <w:p>
            <w:pPr>
              <w:spacing w:line="240" w:lineRule="exact"/>
              <w:jc w:val="center"/>
              <w:rPr>
                <w:rFonts w:eastAsia="长城中隶体"/>
                <w:szCs w:val="21"/>
              </w:rPr>
            </w:pPr>
            <w:r>
              <w:rPr>
                <w:rFonts w:eastAsia="长城中隶体"/>
              </w:rPr>
              <w:t>0.036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54" w:type="pct"/>
            <w:vMerge w:val="restart"/>
            <w:vAlign w:val="center"/>
          </w:tcPr>
          <w:p>
            <w:pPr>
              <w:spacing w:line="240" w:lineRule="exact"/>
              <w:jc w:val="center"/>
              <w:rPr>
                <w:rFonts w:eastAsia="长城中隶体"/>
                <w:szCs w:val="21"/>
              </w:rPr>
            </w:pPr>
            <w:r>
              <w:rPr>
                <w:rFonts w:eastAsia="长城中隶体"/>
              </w:rPr>
              <w:t>C</w:t>
            </w:r>
          </w:p>
        </w:tc>
        <w:tc>
          <w:tcPr>
            <w:tcW w:w="930" w:type="pct"/>
            <w:vAlign w:val="center"/>
          </w:tcPr>
          <w:p>
            <w:pPr>
              <w:spacing w:line="240" w:lineRule="exact"/>
              <w:jc w:val="center"/>
              <w:rPr>
                <w:rFonts w:eastAsia="长城中隶体"/>
                <w:szCs w:val="21"/>
              </w:rPr>
            </w:pPr>
            <w:r>
              <w:rPr>
                <w:rFonts w:eastAsia="长城中隶体"/>
              </w:rPr>
              <w:t>&lt;2</w:t>
            </w:r>
          </w:p>
        </w:tc>
        <w:tc>
          <w:tcPr>
            <w:tcW w:w="1231" w:type="pct"/>
            <w:gridSpan w:val="3"/>
            <w:vAlign w:val="center"/>
          </w:tcPr>
          <w:p>
            <w:pPr>
              <w:spacing w:line="240" w:lineRule="exact"/>
              <w:jc w:val="center"/>
              <w:rPr>
                <w:rFonts w:eastAsia="长城中隶体"/>
                <w:szCs w:val="21"/>
              </w:rPr>
            </w:pPr>
            <w:r>
              <w:rPr>
                <w:rFonts w:eastAsia="长城中隶体"/>
              </w:rPr>
              <w:t>1.85</w:t>
            </w:r>
          </w:p>
        </w:tc>
        <w:tc>
          <w:tcPr>
            <w:tcW w:w="1197" w:type="pct"/>
            <w:gridSpan w:val="3"/>
            <w:vAlign w:val="center"/>
          </w:tcPr>
          <w:p>
            <w:pPr>
              <w:spacing w:line="240" w:lineRule="exact"/>
              <w:jc w:val="center"/>
              <w:rPr>
                <w:rFonts w:eastAsia="长城中隶体"/>
                <w:szCs w:val="21"/>
              </w:rPr>
            </w:pPr>
            <w:r>
              <w:rPr>
                <w:rFonts w:eastAsia="长城中隶体"/>
              </w:rPr>
              <w:t>1.79</w:t>
            </w:r>
          </w:p>
        </w:tc>
        <w:tc>
          <w:tcPr>
            <w:tcW w:w="1189" w:type="pct"/>
            <w:gridSpan w:val="3"/>
            <w:vAlign w:val="center"/>
          </w:tcPr>
          <w:p>
            <w:pPr>
              <w:spacing w:line="240" w:lineRule="exact"/>
              <w:jc w:val="center"/>
              <w:rPr>
                <w:rFonts w:eastAsia="长城中隶体"/>
                <w:szCs w:val="21"/>
              </w:rPr>
            </w:pPr>
            <w:r>
              <w:rPr>
                <w:rFonts w:eastAsia="长城中隶体"/>
              </w:rPr>
              <w:t>1.79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0" w:type="auto"/>
            <w:vMerge w:val="continue"/>
            <w:vAlign w:val="center"/>
          </w:tcPr>
          <w:p>
            <w:pPr>
              <w:widowControl/>
              <w:jc w:val="left"/>
              <w:rPr>
                <w:rFonts w:eastAsia="长城中隶体"/>
                <w:szCs w:val="21"/>
              </w:rPr>
            </w:pPr>
          </w:p>
        </w:tc>
        <w:tc>
          <w:tcPr>
            <w:tcW w:w="930" w:type="pct"/>
            <w:vAlign w:val="center"/>
          </w:tcPr>
          <w:p>
            <w:pPr>
              <w:spacing w:line="240" w:lineRule="exact"/>
              <w:jc w:val="center"/>
              <w:rPr>
                <w:rFonts w:eastAsia="长城中隶体"/>
                <w:szCs w:val="21"/>
              </w:rPr>
            </w:pPr>
            <w:r>
              <w:rPr>
                <w:rFonts w:eastAsia="长城中隶体"/>
              </w:rPr>
              <w:t>&gt;2</w:t>
            </w:r>
          </w:p>
        </w:tc>
        <w:tc>
          <w:tcPr>
            <w:tcW w:w="1231" w:type="pct"/>
            <w:gridSpan w:val="3"/>
            <w:vAlign w:val="center"/>
          </w:tcPr>
          <w:p>
            <w:pPr>
              <w:spacing w:line="240" w:lineRule="exact"/>
              <w:jc w:val="center"/>
              <w:rPr>
                <w:rFonts w:eastAsia="长城中隶体"/>
                <w:b/>
                <w:szCs w:val="21"/>
              </w:rPr>
            </w:pPr>
            <w:r>
              <w:rPr>
                <w:rFonts w:eastAsia="长城中隶体"/>
                <w:b/>
              </w:rPr>
              <w:t>1.85</w:t>
            </w:r>
          </w:p>
        </w:tc>
        <w:tc>
          <w:tcPr>
            <w:tcW w:w="1197" w:type="pct"/>
            <w:gridSpan w:val="3"/>
            <w:vAlign w:val="center"/>
          </w:tcPr>
          <w:p>
            <w:pPr>
              <w:spacing w:line="240" w:lineRule="exact"/>
              <w:jc w:val="center"/>
              <w:rPr>
                <w:rFonts w:eastAsia="长城中隶体"/>
                <w:szCs w:val="21"/>
              </w:rPr>
            </w:pPr>
            <w:r>
              <w:rPr>
                <w:rFonts w:eastAsia="长城中隶体"/>
              </w:rPr>
              <w:t>1.77</w:t>
            </w:r>
          </w:p>
        </w:tc>
        <w:tc>
          <w:tcPr>
            <w:tcW w:w="1189" w:type="pct"/>
            <w:gridSpan w:val="3"/>
            <w:vAlign w:val="center"/>
          </w:tcPr>
          <w:p>
            <w:pPr>
              <w:spacing w:line="240" w:lineRule="exact"/>
              <w:jc w:val="center"/>
              <w:rPr>
                <w:rFonts w:eastAsia="长城中隶体"/>
                <w:szCs w:val="21"/>
              </w:rPr>
            </w:pPr>
            <w:r>
              <w:rPr>
                <w:rFonts w:eastAsia="长城中隶体"/>
              </w:rPr>
              <w:t>1.7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54" w:type="pct"/>
            <w:vMerge w:val="restart"/>
            <w:vAlign w:val="center"/>
          </w:tcPr>
          <w:p>
            <w:pPr>
              <w:spacing w:line="240" w:lineRule="exact"/>
              <w:jc w:val="center"/>
              <w:rPr>
                <w:rFonts w:eastAsia="长城中隶体"/>
                <w:szCs w:val="21"/>
              </w:rPr>
            </w:pPr>
            <w:r>
              <w:rPr>
                <w:rFonts w:eastAsia="长城中隶体"/>
              </w:rPr>
              <w:t>D</w:t>
            </w:r>
          </w:p>
        </w:tc>
        <w:tc>
          <w:tcPr>
            <w:tcW w:w="930" w:type="pct"/>
            <w:vAlign w:val="center"/>
          </w:tcPr>
          <w:p>
            <w:pPr>
              <w:spacing w:line="240" w:lineRule="exact"/>
              <w:jc w:val="center"/>
              <w:rPr>
                <w:rFonts w:eastAsia="长城中隶体"/>
                <w:szCs w:val="21"/>
              </w:rPr>
            </w:pPr>
            <w:r>
              <w:rPr>
                <w:rFonts w:eastAsia="长城中隶体"/>
              </w:rPr>
              <w:t>&lt;2</w:t>
            </w:r>
          </w:p>
        </w:tc>
        <w:tc>
          <w:tcPr>
            <w:tcW w:w="1231" w:type="pct"/>
            <w:gridSpan w:val="3"/>
            <w:vAlign w:val="center"/>
          </w:tcPr>
          <w:p>
            <w:pPr>
              <w:spacing w:line="240" w:lineRule="exact"/>
              <w:jc w:val="center"/>
              <w:rPr>
                <w:rFonts w:eastAsia="长城中隶体"/>
                <w:szCs w:val="21"/>
              </w:rPr>
            </w:pPr>
            <w:r>
              <w:rPr>
                <w:rFonts w:eastAsia="长城中隶体"/>
              </w:rPr>
              <w:t>0.78</w:t>
            </w:r>
          </w:p>
        </w:tc>
        <w:tc>
          <w:tcPr>
            <w:tcW w:w="1197" w:type="pct"/>
            <w:gridSpan w:val="3"/>
            <w:vAlign w:val="center"/>
          </w:tcPr>
          <w:p>
            <w:pPr>
              <w:spacing w:line="240" w:lineRule="exact"/>
              <w:jc w:val="center"/>
              <w:rPr>
                <w:rFonts w:eastAsia="长城中隶体"/>
                <w:szCs w:val="21"/>
              </w:rPr>
            </w:pPr>
            <w:r>
              <w:rPr>
                <w:rFonts w:eastAsia="长城中隶体"/>
              </w:rPr>
              <w:t>0.78</w:t>
            </w:r>
          </w:p>
        </w:tc>
        <w:tc>
          <w:tcPr>
            <w:tcW w:w="1189" w:type="pct"/>
            <w:gridSpan w:val="3"/>
            <w:vAlign w:val="center"/>
          </w:tcPr>
          <w:p>
            <w:pPr>
              <w:spacing w:line="240" w:lineRule="exact"/>
              <w:jc w:val="center"/>
              <w:rPr>
                <w:rFonts w:eastAsia="长城中隶体"/>
                <w:szCs w:val="21"/>
              </w:rPr>
            </w:pPr>
            <w:r>
              <w:rPr>
                <w:rFonts w:eastAsia="长城中隶体"/>
              </w:rPr>
              <w:t>0.57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0" w:type="auto"/>
            <w:vMerge w:val="continue"/>
            <w:vAlign w:val="center"/>
          </w:tcPr>
          <w:p>
            <w:pPr>
              <w:widowControl/>
              <w:jc w:val="left"/>
              <w:rPr>
                <w:rFonts w:eastAsia="长城中隶体"/>
                <w:szCs w:val="21"/>
              </w:rPr>
            </w:pPr>
          </w:p>
        </w:tc>
        <w:tc>
          <w:tcPr>
            <w:tcW w:w="930" w:type="pct"/>
            <w:vAlign w:val="center"/>
          </w:tcPr>
          <w:p>
            <w:pPr>
              <w:spacing w:line="240" w:lineRule="exact"/>
              <w:jc w:val="center"/>
              <w:rPr>
                <w:rFonts w:eastAsia="长城中隶体"/>
                <w:szCs w:val="21"/>
              </w:rPr>
            </w:pPr>
            <w:r>
              <w:rPr>
                <w:rFonts w:eastAsia="长城中隶体"/>
              </w:rPr>
              <w:t>&gt;2</w:t>
            </w:r>
          </w:p>
        </w:tc>
        <w:tc>
          <w:tcPr>
            <w:tcW w:w="1231" w:type="pct"/>
            <w:gridSpan w:val="3"/>
            <w:vAlign w:val="center"/>
          </w:tcPr>
          <w:p>
            <w:pPr>
              <w:spacing w:line="240" w:lineRule="exact"/>
              <w:jc w:val="center"/>
              <w:rPr>
                <w:rFonts w:eastAsia="长城中隶体"/>
                <w:b/>
                <w:szCs w:val="21"/>
              </w:rPr>
            </w:pPr>
            <w:r>
              <w:rPr>
                <w:rFonts w:eastAsia="长城中隶体"/>
                <w:b/>
              </w:rPr>
              <w:t>0.84</w:t>
            </w:r>
          </w:p>
        </w:tc>
        <w:tc>
          <w:tcPr>
            <w:tcW w:w="1197" w:type="pct"/>
            <w:gridSpan w:val="3"/>
            <w:vAlign w:val="center"/>
          </w:tcPr>
          <w:p>
            <w:pPr>
              <w:spacing w:line="240" w:lineRule="exact"/>
              <w:jc w:val="center"/>
              <w:rPr>
                <w:rFonts w:eastAsia="长城中隶体"/>
                <w:szCs w:val="21"/>
              </w:rPr>
            </w:pPr>
            <w:r>
              <w:rPr>
                <w:rFonts w:eastAsia="长城中隶体"/>
              </w:rPr>
              <w:t>0.84</w:t>
            </w:r>
          </w:p>
        </w:tc>
        <w:tc>
          <w:tcPr>
            <w:tcW w:w="1189" w:type="pct"/>
            <w:gridSpan w:val="3"/>
            <w:vAlign w:val="center"/>
          </w:tcPr>
          <w:p>
            <w:pPr>
              <w:spacing w:line="240" w:lineRule="exact"/>
              <w:jc w:val="center"/>
              <w:rPr>
                <w:rFonts w:eastAsia="长城中隶体"/>
                <w:szCs w:val="21"/>
              </w:rPr>
            </w:pPr>
            <w:r>
              <w:rPr>
                <w:rFonts w:eastAsia="长城中隶体"/>
              </w:rPr>
              <w:t>0.76</w:t>
            </w:r>
          </w:p>
        </w:tc>
      </w:tr>
    </w:tbl>
    <w:p>
      <w:pPr>
        <w:adjustRightInd w:val="0"/>
        <w:snapToGrid w:val="0"/>
        <w:ind w:firstLine="352" w:firstLineChars="168"/>
        <w:rPr>
          <w:szCs w:val="21"/>
        </w:rPr>
      </w:pPr>
      <w:r>
        <w:rPr>
          <w:szCs w:val="21"/>
        </w:rPr>
        <w:t>注：工业企业大气污染源构成分为三类：</w:t>
      </w:r>
    </w:p>
    <w:p>
      <w:pPr>
        <w:adjustRightInd w:val="0"/>
        <w:snapToGrid w:val="0"/>
        <w:ind w:firstLine="352" w:firstLineChars="168"/>
        <w:rPr>
          <w:szCs w:val="21"/>
        </w:rPr>
      </w:pPr>
      <w:r>
        <w:rPr>
          <w:szCs w:val="21"/>
        </w:rPr>
        <w:t>I类：与无组织排放源共存的排放同种有害气体的排气筒的排放量，大于标准规定的允许排放量的三分之一。</w:t>
      </w:r>
    </w:p>
    <w:p>
      <w:pPr>
        <w:adjustRightInd w:val="0"/>
        <w:snapToGrid w:val="0"/>
        <w:ind w:firstLine="352" w:firstLineChars="168"/>
        <w:rPr>
          <w:szCs w:val="21"/>
        </w:rPr>
      </w:pPr>
      <w:r>
        <w:rPr>
          <w:szCs w:val="21"/>
        </w:rPr>
        <w:t>II类：与无组织排放源共存的排放同种有害气体的排气筒的排放量，小于标准规定的允许排放量的三分之一，或虽无排放同种大气污染物之排气筒共存，但无组织排放的有害物质的容许浓度指标是按急性反应指标确定者。</w:t>
      </w:r>
    </w:p>
    <w:p>
      <w:pPr>
        <w:adjustRightInd w:val="0"/>
        <w:snapToGrid w:val="0"/>
        <w:ind w:firstLine="352" w:firstLineChars="168"/>
        <w:rPr>
          <w:szCs w:val="21"/>
        </w:rPr>
      </w:pPr>
      <w:r>
        <w:rPr>
          <w:szCs w:val="21"/>
        </w:rPr>
        <w:t>III类：无排放同种有害物质的排气筒与无组织排放源共存，无组织排放的有害物质的容许浓度是按慢性反应指标确定者。</w:t>
      </w:r>
    </w:p>
    <w:p>
      <w:pPr>
        <w:adjustRightInd w:val="0"/>
        <w:snapToGrid w:val="0"/>
        <w:ind w:firstLine="352" w:firstLineChars="168"/>
        <w:rPr>
          <w:szCs w:val="21"/>
        </w:rPr>
      </w:pPr>
    </w:p>
    <w:p>
      <w:pPr>
        <w:adjustRightInd w:val="0"/>
        <w:snapToGrid w:val="0"/>
        <w:spacing w:line="360" w:lineRule="auto"/>
        <w:ind w:firstLine="480" w:firstLineChars="200"/>
        <w:rPr>
          <w:sz w:val="24"/>
          <w:szCs w:val="24"/>
        </w:rPr>
      </w:pPr>
      <w:r>
        <w:rPr>
          <w:sz w:val="24"/>
          <w:szCs w:val="24"/>
        </w:rPr>
        <w:t>本项目选址所在地年平均风速为2.17m/s，按上述计算公式，根据工程分析无组织污染物排放源强，计算得本项目各无组织排放源的卫生防护距离结果见表5.2-14。</w:t>
      </w:r>
    </w:p>
    <w:p>
      <w:pPr>
        <w:spacing w:line="360" w:lineRule="auto"/>
        <w:jc w:val="center"/>
        <w:rPr>
          <w:b/>
          <w:bCs/>
          <w:sz w:val="24"/>
          <w:szCs w:val="24"/>
        </w:rPr>
      </w:pPr>
      <w:r>
        <w:rPr>
          <w:b/>
          <w:bCs/>
          <w:sz w:val="24"/>
          <w:szCs w:val="24"/>
        </w:rPr>
        <w:t>表5.2-14 本项目卫生防护距离计算值表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082"/>
        <w:gridCol w:w="637"/>
        <w:gridCol w:w="732"/>
        <w:gridCol w:w="590"/>
        <w:gridCol w:w="645"/>
        <w:gridCol w:w="687"/>
        <w:gridCol w:w="722"/>
        <w:gridCol w:w="812"/>
        <w:gridCol w:w="812"/>
        <w:gridCol w:w="810"/>
        <w:gridCol w:w="8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649" w:type="pct"/>
            <w:vAlign w:val="center"/>
          </w:tcPr>
          <w:p>
            <w:pPr>
              <w:spacing w:line="240" w:lineRule="exact"/>
              <w:jc w:val="center"/>
              <w:rPr>
                <w:rFonts w:eastAsia="长城中隶体"/>
                <w:szCs w:val="21"/>
              </w:rPr>
            </w:pPr>
            <w:r>
              <w:t>排放源位置</w:t>
            </w:r>
          </w:p>
        </w:tc>
        <w:tc>
          <w:tcPr>
            <w:tcW w:w="382" w:type="pct"/>
            <w:vAlign w:val="center"/>
          </w:tcPr>
          <w:p>
            <w:pPr>
              <w:spacing w:line="240" w:lineRule="exact"/>
              <w:jc w:val="center"/>
              <w:rPr>
                <w:rFonts w:eastAsia="长城中隶体"/>
                <w:szCs w:val="21"/>
              </w:rPr>
            </w:pPr>
            <w:r>
              <w:t>污染物</w:t>
            </w:r>
          </w:p>
          <w:p>
            <w:pPr>
              <w:spacing w:line="240" w:lineRule="exact"/>
              <w:jc w:val="center"/>
              <w:rPr>
                <w:rFonts w:eastAsia="长城中隶体"/>
                <w:szCs w:val="21"/>
              </w:rPr>
            </w:pPr>
            <w:r>
              <w:t>类型</w:t>
            </w:r>
          </w:p>
        </w:tc>
        <w:tc>
          <w:tcPr>
            <w:tcW w:w="439" w:type="pct"/>
            <w:vAlign w:val="center"/>
          </w:tcPr>
          <w:p>
            <w:pPr>
              <w:spacing w:before="31" w:beforeLines="10" w:line="240" w:lineRule="exact"/>
              <w:jc w:val="center"/>
              <w:rPr>
                <w:rFonts w:eastAsia="长城中隶体"/>
                <w:szCs w:val="21"/>
              </w:rPr>
            </w:pPr>
            <w:r>
              <w:t>污染</w:t>
            </w:r>
          </w:p>
          <w:p>
            <w:pPr>
              <w:spacing w:before="31" w:beforeLines="10" w:line="240" w:lineRule="exact"/>
              <w:jc w:val="center"/>
              <w:rPr>
                <w:rFonts w:eastAsia="长城中隶体"/>
                <w:szCs w:val="21"/>
              </w:rPr>
            </w:pPr>
            <w:r>
              <w:t>因子</w:t>
            </w:r>
          </w:p>
        </w:tc>
        <w:tc>
          <w:tcPr>
            <w:tcW w:w="354" w:type="pct"/>
            <w:vAlign w:val="center"/>
          </w:tcPr>
          <w:p>
            <w:pPr>
              <w:spacing w:before="31" w:beforeLines="10" w:line="240" w:lineRule="exact"/>
              <w:jc w:val="center"/>
              <w:rPr>
                <w:rFonts w:eastAsia="长城中隶体"/>
                <w:szCs w:val="21"/>
              </w:rPr>
            </w:pPr>
            <w:r>
              <w:rPr>
                <w:rFonts w:eastAsia="长城中隶体"/>
              </w:rPr>
              <w:t>A</w:t>
            </w:r>
          </w:p>
        </w:tc>
        <w:tc>
          <w:tcPr>
            <w:tcW w:w="387" w:type="pct"/>
            <w:vAlign w:val="center"/>
          </w:tcPr>
          <w:p>
            <w:pPr>
              <w:spacing w:before="31" w:beforeLines="10" w:line="240" w:lineRule="exact"/>
              <w:jc w:val="center"/>
              <w:rPr>
                <w:rFonts w:eastAsia="长城中隶体"/>
                <w:szCs w:val="21"/>
              </w:rPr>
            </w:pPr>
            <w:r>
              <w:rPr>
                <w:rFonts w:eastAsia="长城中隶体"/>
              </w:rPr>
              <w:t>B</w:t>
            </w:r>
          </w:p>
        </w:tc>
        <w:tc>
          <w:tcPr>
            <w:tcW w:w="412" w:type="pct"/>
            <w:vAlign w:val="center"/>
          </w:tcPr>
          <w:p>
            <w:pPr>
              <w:spacing w:before="31" w:beforeLines="10" w:line="240" w:lineRule="exact"/>
              <w:jc w:val="center"/>
              <w:rPr>
                <w:rFonts w:eastAsia="长城中隶体"/>
                <w:szCs w:val="21"/>
              </w:rPr>
            </w:pPr>
            <w:r>
              <w:rPr>
                <w:rFonts w:eastAsia="长城中隶体"/>
              </w:rPr>
              <w:t>C</w:t>
            </w:r>
          </w:p>
        </w:tc>
        <w:tc>
          <w:tcPr>
            <w:tcW w:w="433" w:type="pct"/>
            <w:vAlign w:val="center"/>
          </w:tcPr>
          <w:p>
            <w:pPr>
              <w:spacing w:before="31" w:beforeLines="10" w:line="240" w:lineRule="exact"/>
              <w:jc w:val="center"/>
              <w:rPr>
                <w:rFonts w:eastAsia="长城中隶体"/>
                <w:szCs w:val="21"/>
              </w:rPr>
            </w:pPr>
            <w:r>
              <w:rPr>
                <w:rFonts w:eastAsia="长城中隶体"/>
              </w:rPr>
              <w:t>D</w:t>
            </w:r>
          </w:p>
        </w:tc>
        <w:tc>
          <w:tcPr>
            <w:tcW w:w="487" w:type="pct"/>
            <w:vAlign w:val="center"/>
          </w:tcPr>
          <w:p>
            <w:pPr>
              <w:spacing w:before="31" w:beforeLines="10" w:line="240" w:lineRule="exact"/>
              <w:jc w:val="center"/>
              <w:rPr>
                <w:rFonts w:eastAsia="长城中隶体"/>
                <w:szCs w:val="21"/>
              </w:rPr>
            </w:pPr>
            <w:r>
              <w:t>计算值</w:t>
            </w:r>
          </w:p>
          <w:p>
            <w:pPr>
              <w:spacing w:before="31" w:beforeLines="10" w:line="240" w:lineRule="exact"/>
              <w:jc w:val="center"/>
              <w:rPr>
                <w:rFonts w:eastAsia="长城中隶体"/>
                <w:szCs w:val="21"/>
              </w:rPr>
            </w:pPr>
            <w:r>
              <w:rPr>
                <w:rFonts w:eastAsia="长城中隶体"/>
              </w:rPr>
              <w:t>(m)</w:t>
            </w:r>
          </w:p>
        </w:tc>
        <w:tc>
          <w:tcPr>
            <w:tcW w:w="487" w:type="pct"/>
            <w:vAlign w:val="center"/>
          </w:tcPr>
          <w:p>
            <w:pPr>
              <w:spacing w:before="31" w:beforeLines="10" w:line="240" w:lineRule="exact"/>
              <w:jc w:val="center"/>
              <w:rPr>
                <w:rFonts w:eastAsia="长城中隶体"/>
                <w:szCs w:val="21"/>
              </w:rPr>
            </w:pPr>
            <w:r>
              <w:rPr>
                <w:rFonts w:eastAsia="长城中隶体"/>
              </w:rPr>
              <w:t>L</w:t>
            </w:r>
            <w:r>
              <w:t>值</w:t>
            </w:r>
          </w:p>
          <w:p>
            <w:pPr>
              <w:spacing w:before="31" w:beforeLines="10" w:line="240" w:lineRule="exact"/>
              <w:jc w:val="center"/>
              <w:rPr>
                <w:rFonts w:eastAsia="长城中隶体"/>
                <w:szCs w:val="21"/>
              </w:rPr>
            </w:pPr>
            <w:r>
              <w:rPr>
                <w:rFonts w:eastAsia="长城中隶体"/>
              </w:rPr>
              <w:t>(m)</w:t>
            </w:r>
          </w:p>
        </w:tc>
        <w:tc>
          <w:tcPr>
            <w:tcW w:w="486" w:type="pct"/>
            <w:vAlign w:val="center"/>
          </w:tcPr>
          <w:p>
            <w:pPr>
              <w:spacing w:before="31" w:beforeLines="10" w:line="240" w:lineRule="exact"/>
              <w:jc w:val="center"/>
            </w:pPr>
            <w:r>
              <w:t>是否需要提级</w:t>
            </w:r>
          </w:p>
        </w:tc>
        <w:tc>
          <w:tcPr>
            <w:tcW w:w="484" w:type="pct"/>
            <w:vAlign w:val="center"/>
          </w:tcPr>
          <w:p>
            <w:pPr>
              <w:spacing w:before="31" w:beforeLines="10" w:line="240" w:lineRule="exact"/>
              <w:jc w:val="center"/>
              <w:rPr>
                <w:rFonts w:eastAsia="长城中隶体"/>
                <w:szCs w:val="21"/>
              </w:rPr>
            </w:pPr>
            <w:r>
              <w:t>提级后的</w:t>
            </w:r>
            <w:r>
              <w:rPr>
                <w:rFonts w:eastAsia="长城中隶体"/>
              </w:rPr>
              <w:t>L</w:t>
            </w:r>
            <w:r>
              <w:t>值</w:t>
            </w:r>
          </w:p>
          <w:p>
            <w:pPr>
              <w:spacing w:before="31" w:beforeLines="10" w:line="240" w:lineRule="exact"/>
              <w:jc w:val="center"/>
              <w:rPr>
                <w:rFonts w:eastAsia="长城中隶体"/>
              </w:rPr>
            </w:pPr>
            <w:r>
              <w:rPr>
                <w:rFonts w:eastAsia="长城中隶体"/>
              </w:rPr>
              <w:t>(m)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649" w:type="pct"/>
            <w:vAlign w:val="center"/>
          </w:tcPr>
          <w:p>
            <w:pPr>
              <w:widowControl/>
              <w:jc w:val="center"/>
              <w:rPr>
                <w:rFonts w:eastAsiaTheme="minorEastAsia"/>
                <w:szCs w:val="21"/>
              </w:rPr>
            </w:pPr>
            <w:r>
              <w:rPr>
                <w:rFonts w:hint="eastAsia" w:eastAsiaTheme="minorEastAsia"/>
                <w:szCs w:val="21"/>
              </w:rPr>
              <w:t>飞灰填埋区</w:t>
            </w:r>
          </w:p>
        </w:tc>
        <w:tc>
          <w:tcPr>
            <w:tcW w:w="382" w:type="pct"/>
            <w:vAlign w:val="center"/>
          </w:tcPr>
          <w:p>
            <w:pPr>
              <w:widowControl/>
              <w:jc w:val="center"/>
              <w:rPr>
                <w:rFonts w:eastAsia="长城中隶体"/>
                <w:szCs w:val="21"/>
              </w:rPr>
            </w:pPr>
            <w:r>
              <w:t>面源</w:t>
            </w:r>
          </w:p>
        </w:tc>
        <w:tc>
          <w:tcPr>
            <w:tcW w:w="439" w:type="pct"/>
            <w:vAlign w:val="center"/>
          </w:tcPr>
          <w:p>
            <w:pPr>
              <w:jc w:val="center"/>
              <w:rPr>
                <w:rFonts w:eastAsiaTheme="minorEastAsia"/>
              </w:rPr>
            </w:pPr>
            <w:r>
              <w:rPr>
                <w:rFonts w:hint="eastAsia" w:eastAsiaTheme="minorEastAsia"/>
              </w:rPr>
              <w:t>TSP</w:t>
            </w:r>
          </w:p>
        </w:tc>
        <w:tc>
          <w:tcPr>
            <w:tcW w:w="354" w:type="pct"/>
            <w:vAlign w:val="center"/>
          </w:tcPr>
          <w:p>
            <w:pPr>
              <w:jc w:val="center"/>
            </w:pPr>
            <w:r>
              <w:rPr>
                <w:rFonts w:hint="eastAsia"/>
              </w:rPr>
              <w:t>3</w:t>
            </w:r>
            <w:r>
              <w:t>50</w:t>
            </w:r>
          </w:p>
        </w:tc>
        <w:tc>
          <w:tcPr>
            <w:tcW w:w="387" w:type="pct"/>
            <w:vAlign w:val="center"/>
          </w:tcPr>
          <w:p>
            <w:pPr>
              <w:jc w:val="center"/>
            </w:pPr>
            <w:r>
              <w:t>0.021</w:t>
            </w:r>
          </w:p>
        </w:tc>
        <w:tc>
          <w:tcPr>
            <w:tcW w:w="412" w:type="pct"/>
            <w:vAlign w:val="center"/>
          </w:tcPr>
          <w:p>
            <w:pPr>
              <w:jc w:val="center"/>
            </w:pPr>
            <w:r>
              <w:t>1.85</w:t>
            </w:r>
          </w:p>
        </w:tc>
        <w:tc>
          <w:tcPr>
            <w:tcW w:w="433" w:type="pct"/>
            <w:vAlign w:val="center"/>
          </w:tcPr>
          <w:p>
            <w:pPr>
              <w:jc w:val="center"/>
            </w:pPr>
            <w:r>
              <w:t>0.84</w:t>
            </w:r>
          </w:p>
        </w:tc>
        <w:tc>
          <w:tcPr>
            <w:tcW w:w="487" w:type="pct"/>
            <w:vAlign w:val="center"/>
          </w:tcPr>
          <w:p>
            <w:pPr>
              <w:jc w:val="center"/>
            </w:pPr>
            <w:r>
              <w:t>0.954</w:t>
            </w:r>
          </w:p>
        </w:tc>
        <w:tc>
          <w:tcPr>
            <w:tcW w:w="487" w:type="pct"/>
            <w:vAlign w:val="center"/>
          </w:tcPr>
          <w:p>
            <w:pPr>
              <w:jc w:val="center"/>
            </w:pPr>
            <w:r>
              <w:t>50</w:t>
            </w:r>
          </w:p>
        </w:tc>
        <w:tc>
          <w:tcPr>
            <w:tcW w:w="486" w:type="pct"/>
            <w:vAlign w:val="center"/>
          </w:tcPr>
          <w:p>
            <w:pPr>
              <w:jc w:val="center"/>
            </w:pPr>
            <w:r>
              <w:rPr>
                <w:rFonts w:hint="eastAsia"/>
              </w:rPr>
              <w:t>否</w:t>
            </w:r>
          </w:p>
        </w:tc>
        <w:tc>
          <w:tcPr>
            <w:tcW w:w="484" w:type="pct"/>
            <w:vAlign w:val="center"/>
          </w:tcPr>
          <w:p>
            <w:pPr>
              <w:jc w:val="center"/>
            </w:pPr>
            <w:r>
              <w:t>50</w:t>
            </w:r>
          </w:p>
        </w:tc>
      </w:tr>
    </w:tbl>
    <w:p>
      <w:pPr>
        <w:adjustRightInd w:val="0"/>
        <w:snapToGrid w:val="0"/>
        <w:spacing w:line="360" w:lineRule="auto"/>
        <w:ind w:firstLine="480" w:firstLineChars="200"/>
        <w:rPr>
          <w:sz w:val="24"/>
          <w:szCs w:val="24"/>
        </w:rPr>
      </w:pPr>
      <w:r>
        <w:rPr>
          <w:sz w:val="24"/>
          <w:szCs w:val="24"/>
        </w:rPr>
        <w:t>根据《制定地方大气污染物排放标准的技术方法》(GB/T 3840-91)中的规定：卫生防护距离在100m以内时，级差为50m；超过100m，但小于或等于1000m时，级差为100m；超过1000m以上，级差为200m。因此，本项目卫生防护距离设定为50m。</w:t>
      </w:r>
    </w:p>
    <w:p>
      <w:pPr>
        <w:pStyle w:val="62"/>
        <w:numPr>
          <w:ilvl w:val="3"/>
          <w:numId w:val="5"/>
        </w:numPr>
        <w:tabs>
          <w:tab w:val="left" w:pos="851"/>
          <w:tab w:val="left" w:pos="1247"/>
          <w:tab w:val="clear" w:pos="1021"/>
        </w:tabs>
        <w:spacing w:before="156" w:after="156"/>
        <w:outlineLvl w:val="3"/>
        <w:rPr>
          <w:rFonts w:ascii="Times New Roman" w:hAnsi="Times New Roman"/>
        </w:rPr>
      </w:pPr>
      <w:r>
        <w:rPr>
          <w:rFonts w:ascii="Times New Roman" w:hAnsi="Times New Roman"/>
        </w:rPr>
        <w:t>环境防护距离确定结论</w:t>
      </w:r>
    </w:p>
    <w:p>
      <w:pPr>
        <w:widowControl/>
        <w:adjustRightInd w:val="0"/>
        <w:snapToGrid w:val="0"/>
        <w:spacing w:line="360" w:lineRule="auto"/>
        <w:ind w:firstLine="482"/>
        <w:jc w:val="left"/>
        <w:rPr>
          <w:b/>
          <w:sz w:val="24"/>
          <w:szCs w:val="24"/>
        </w:rPr>
      </w:pPr>
      <w:r>
        <w:rPr>
          <w:sz w:val="24"/>
          <w:szCs w:val="24"/>
        </w:rPr>
        <w:t>综上所述，本项目环境防护距离为50m，即以厂界为起点外扩50m的范围区域。环境防护距离包络线示意图见图5.2-8。根据现场调查，</w:t>
      </w:r>
      <w:r>
        <w:rPr>
          <w:rFonts w:hint="eastAsia"/>
          <w:sz w:val="24"/>
          <w:szCs w:val="24"/>
        </w:rPr>
        <w:t>本项目防护距离内现状</w:t>
      </w:r>
      <w:r>
        <w:rPr>
          <w:sz w:val="24"/>
          <w:szCs w:val="24"/>
        </w:rPr>
        <w:t>无基本农田、居民区、学校、医院等环境敏感目标</w:t>
      </w:r>
      <w:r>
        <w:rPr>
          <w:rFonts w:hint="eastAsia"/>
          <w:sz w:val="24"/>
          <w:szCs w:val="24"/>
        </w:rPr>
        <w:t>。环评要求</w:t>
      </w:r>
      <w:r>
        <w:rPr>
          <w:sz w:val="24"/>
          <w:szCs w:val="24"/>
        </w:rPr>
        <w:t>环境防护距离内的土地禁止建设居住点、学校、医院等敏感目标。</w:t>
      </w:r>
      <w:r>
        <w:rPr>
          <w:rFonts w:ascii="宋体" w:hAnsi="宋体" w:cs="宋体"/>
          <w:kern w:val="0"/>
          <w:sz w:val="24"/>
          <w:szCs w:val="24"/>
        </w:rPr>
        <w:drawing>
          <wp:anchor distT="0" distB="0" distL="114300" distR="114300" simplePos="0" relativeHeight="251668480" behindDoc="0" locked="0" layoutInCell="1" allowOverlap="1">
            <wp:simplePos x="0" y="0"/>
            <wp:positionH relativeFrom="column">
              <wp:posOffset>3959225</wp:posOffset>
            </wp:positionH>
            <wp:positionV relativeFrom="paragraph">
              <wp:posOffset>75565</wp:posOffset>
            </wp:positionV>
            <wp:extent cx="1313815" cy="1313815"/>
            <wp:effectExtent l="0" t="0" r="635" b="635"/>
            <wp:wrapNone/>
            <wp:docPr id="1429" name="图片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图片 14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313815" cy="1313815"/>
                    </a:xfrm>
                    <a:prstGeom prst="rect">
                      <a:avLst/>
                    </a:prstGeom>
                    <a:noFill/>
                    <a:ln>
                      <a:noFill/>
                    </a:ln>
                  </pic:spPr>
                </pic:pic>
              </a:graphicData>
            </a:graphic>
          </wp:anchor>
        </w:drawing>
      </w:r>
      <w:r>
        <w:rPr>
          <w:rFonts w:ascii="宋体" w:hAnsi="宋体" w:cs="宋体"/>
          <w:kern w:val="0"/>
          <w:sz w:val="24"/>
          <w:szCs w:val="24"/>
        </w:rPr>
        <mc:AlternateContent>
          <mc:Choice Requires="wps">
            <w:drawing>
              <wp:anchor distT="0" distB="0" distL="114300" distR="114300" simplePos="0" relativeHeight="251676672" behindDoc="0" locked="0" layoutInCell="1" allowOverlap="1">
                <wp:simplePos x="0" y="0"/>
                <wp:positionH relativeFrom="column">
                  <wp:posOffset>2052955</wp:posOffset>
                </wp:positionH>
                <wp:positionV relativeFrom="paragraph">
                  <wp:posOffset>1376680</wp:posOffset>
                </wp:positionV>
                <wp:extent cx="1742440" cy="1108075"/>
                <wp:effectExtent l="0" t="0" r="10160" b="15875"/>
                <wp:wrapNone/>
                <wp:docPr id="1453" name="任意多边形: 形状 1453"/>
                <wp:cNvGraphicFramePr/>
                <a:graphic xmlns:a="http://schemas.openxmlformats.org/drawingml/2006/main">
                  <a:graphicData uri="http://schemas.microsoft.com/office/word/2010/wordprocessingShape">
                    <wps:wsp>
                      <wps:cNvSpPr/>
                      <wps:spPr>
                        <a:xfrm>
                          <a:off x="0" y="0"/>
                          <a:ext cx="1742440" cy="1108075"/>
                        </a:xfrm>
                        <a:custGeom>
                          <a:avLst/>
                          <a:gdLst>
                            <a:gd name="connsiteX0" fmla="*/ 0 w 1268169"/>
                            <a:gd name="connsiteY0" fmla="*/ 167142 h 586849"/>
                            <a:gd name="connsiteX1" fmla="*/ 712400 w 1268169"/>
                            <a:gd name="connsiteY1" fmla="*/ 586849 h 586849"/>
                            <a:gd name="connsiteX2" fmla="*/ 1171979 w 1268169"/>
                            <a:gd name="connsiteY2" fmla="*/ 334352 h 586849"/>
                            <a:gd name="connsiteX3" fmla="*/ 1252194 w 1268169"/>
                            <a:gd name="connsiteY3" fmla="*/ 124503 h 586849"/>
                            <a:gd name="connsiteX4" fmla="*/ 1268169 w 1268169"/>
                            <a:gd name="connsiteY4" fmla="*/ 11102 h 586849"/>
                            <a:gd name="connsiteX5" fmla="*/ 567574 w 1268169"/>
                            <a:gd name="connsiteY5" fmla="*/ 0 h 586849"/>
                            <a:gd name="connsiteX6" fmla="*/ 515687 w 1268169"/>
                            <a:gd name="connsiteY6" fmla="*/ 139096 h 586849"/>
                            <a:gd name="connsiteX7" fmla="*/ 365103 w 1268169"/>
                            <a:gd name="connsiteY7" fmla="*/ 128997 h 586849"/>
                            <a:gd name="connsiteX8" fmla="*/ 130673 w 1268169"/>
                            <a:gd name="connsiteY8" fmla="*/ 71400 h 586849"/>
                            <a:gd name="connsiteX9" fmla="*/ 0 w 1268169"/>
                            <a:gd name="connsiteY9" fmla="*/ 167142 h 586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68169" h="586849">
                              <a:moveTo>
                                <a:pt x="0" y="167142"/>
                              </a:moveTo>
                              <a:lnTo>
                                <a:pt x="712400" y="586849"/>
                              </a:lnTo>
                              <a:lnTo>
                                <a:pt x="1171979" y="334352"/>
                              </a:lnTo>
                              <a:lnTo>
                                <a:pt x="1252194" y="124503"/>
                              </a:lnTo>
                              <a:lnTo>
                                <a:pt x="1268169" y="11102"/>
                              </a:lnTo>
                              <a:lnTo>
                                <a:pt x="567574" y="0"/>
                              </a:lnTo>
                              <a:lnTo>
                                <a:pt x="515687" y="139096"/>
                              </a:lnTo>
                              <a:lnTo>
                                <a:pt x="365103" y="128997"/>
                              </a:lnTo>
                              <a:lnTo>
                                <a:pt x="130673" y="71400"/>
                              </a:lnTo>
                              <a:lnTo>
                                <a:pt x="0" y="167142"/>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53" o:spid="_x0000_s1026" o:spt="100" style="position:absolute;left:0pt;margin-left:161.65pt;margin-top:108.4pt;height:87.25pt;width:137.2pt;z-index:251676672;v-text-anchor:middle;mso-width-relative:page;mso-height-relative:page;" filled="f" stroked="t" coordsize="1268169,586849" o:gfxdata="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" path="m0,167142l712400,586849,1171979,334352,1252194,124503,1268169,11102,567574,0,515687,139096,365103,128997,130673,71400,0,167142xe">
                <v:path o:connectlocs="0,315593;978824,1108075;1610276,631315;1720490,235083;1742440,20962;779835,0;708544,262637;501644,243569;179542,134815;0,315593" o:connectangles="0,0,0,0,0,0,0,0,0,0"/>
                <v:fill on="f" focussize="0,0"/>
                <v:stroke weight="2pt" color="#FF0000 [3204]" joinstyle="round"/>
                <v:imagedata o:title=""/>
                <o:lock v:ext="edit" aspectratio="f"/>
              </v:shape>
            </w:pict>
          </mc:Fallback>
        </mc:AlternateContent>
      </w:r>
      <w:r>
        <w:rPr>
          <w:rFonts w:ascii="宋体" w:hAnsi="宋体" w:cs="宋体"/>
          <w:kern w:val="0"/>
          <w:sz w:val="24"/>
          <w:szCs w:val="24"/>
        </w:rPr>
        <mc:AlternateContent>
          <mc:Choice Requires="wps">
            <w:drawing>
              <wp:anchor distT="0" distB="0" distL="114300" distR="114300" simplePos="0" relativeHeight="251674624" behindDoc="0" locked="0" layoutInCell="1" allowOverlap="1">
                <wp:simplePos x="0" y="0"/>
                <wp:positionH relativeFrom="column">
                  <wp:posOffset>3584575</wp:posOffset>
                </wp:positionH>
                <wp:positionV relativeFrom="paragraph">
                  <wp:posOffset>3007360</wp:posOffset>
                </wp:positionV>
                <wp:extent cx="1517650" cy="394970"/>
                <wp:effectExtent l="400050" t="609600" r="25400" b="24130"/>
                <wp:wrapNone/>
                <wp:docPr id="1457" name="对话气泡: 圆角矩形 1457"/>
                <wp:cNvGraphicFramePr/>
                <a:graphic xmlns:a="http://schemas.openxmlformats.org/drawingml/2006/main">
                  <a:graphicData uri="http://schemas.microsoft.com/office/word/2010/wordprocessingShape">
                    <wps:wsp>
                      <wps:cNvSpPr/>
                      <wps:spPr>
                        <a:xfrm>
                          <a:off x="0" y="0"/>
                          <a:ext cx="1517650" cy="394970"/>
                        </a:xfrm>
                        <a:prstGeom prst="wedgeRoundRectCallout">
                          <a:avLst>
                            <a:gd name="adj1" fmla="val -75574"/>
                            <a:gd name="adj2" fmla="val -19773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FF00"/>
                              </w:rPr>
                            </w:pPr>
                            <w:r>
                              <w:rPr>
                                <w:rFonts w:hint="eastAsia"/>
                                <w:color w:val="FFFF00"/>
                              </w:rPr>
                              <w:t>环境防护距离包络线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57" o:spid="_x0000_s1026" o:spt="62" type="#_x0000_t62" style="position:absolute;left:0pt;margin-left:282.25pt;margin-top:236.8pt;height:31.1pt;width:119.5pt;z-index:251674624;v-text-anchor:middle;mso-width-relative:page;mso-height-relative:page;" filled="f" stroked="t" coordsize="21600,21600" o:gfxdata="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u8wPM9kAAAAL&#10;AQAADwAAAAAAAAABACAAAAAiAAAAZHJzL2Rvd25yZXYueG1sUEsBAhQAFAAAAAgAh07iQFTKK9zG&#10;AgAAYgUAAA4AAAAAAAAAAQAgAAAAKAEAAGRycy9lMm9Eb2MueG1sUEsFBgAAAAAGAAYAWQEAAGAG&#10;AAAAAA==&#10;" adj="-5524,-31911,14400">
                <v:fill on="f" focussize="0,0"/>
                <v:stroke weight="2pt" color="#FFFF00 [3204]" joinstyle="round"/>
                <v:imagedata o:title=""/>
                <o:lock v:ext="edit" aspectratio="f"/>
                <v:textbox>
                  <w:txbxContent>
                    <w:p>
                      <w:pPr>
                        <w:jc w:val="center"/>
                        <w:rPr>
                          <w:color w:val="FFFF00"/>
                        </w:rPr>
                      </w:pPr>
                      <w:r>
                        <w:rPr>
                          <w:rFonts w:hint="eastAsia"/>
                          <w:color w:val="FFFF00"/>
                        </w:rPr>
                        <w:t>环境防护距离包络线</w:t>
                      </w:r>
                    </w:p>
                  </w:txbxContent>
                </v:textbox>
              </v:shape>
            </w:pict>
          </mc:Fallback>
        </mc:AlternateContent>
      </w:r>
      <w:r>
        <w:rPr>
          <w:rFonts w:ascii="宋体" w:hAnsi="宋体" w:cs="宋体"/>
          <w:kern w:val="0"/>
          <w:sz w:val="24"/>
          <w:szCs w:val="24"/>
        </w:rPr>
        <w:drawing>
          <wp:anchor distT="0" distB="0" distL="114300" distR="114300" simplePos="0" relativeHeight="251671552" behindDoc="0" locked="0" layoutInCell="1" allowOverlap="1">
            <wp:simplePos x="0" y="0"/>
            <wp:positionH relativeFrom="column">
              <wp:posOffset>3993515</wp:posOffset>
            </wp:positionH>
            <wp:positionV relativeFrom="paragraph">
              <wp:posOffset>3873500</wp:posOffset>
            </wp:positionV>
            <wp:extent cx="1283335" cy="407035"/>
            <wp:effectExtent l="0" t="0" r="0" b="0"/>
            <wp:wrapNone/>
            <wp:docPr id="1452" name="图片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图片 14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283335" cy="407035"/>
                    </a:xfrm>
                    <a:prstGeom prst="rect">
                      <a:avLst/>
                    </a:prstGeom>
                    <a:noFill/>
                    <a:ln>
                      <a:noFill/>
                    </a:ln>
                  </pic:spPr>
                </pic:pic>
              </a:graphicData>
            </a:graphic>
          </wp:anchor>
        </w:drawing>
      </w:r>
      <w:r>
        <w:rPr>
          <w:b/>
          <w:sz w:val="24"/>
          <w:szCs w:val="24"/>
        </w:rPr>
        <w:drawing>
          <wp:inline distT="0" distB="0" distL="0" distR="0">
            <wp:extent cx="5274310" cy="4202430"/>
            <wp:effectExtent l="0" t="0" r="2540" b="7620"/>
            <wp:docPr id="1421" name="图片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4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74310" cy="4202430"/>
                    </a:xfrm>
                    <a:prstGeom prst="rect">
                      <a:avLst/>
                    </a:prstGeom>
                    <a:noFill/>
                    <a:ln>
                      <a:noFill/>
                    </a:ln>
                  </pic:spPr>
                </pic:pic>
              </a:graphicData>
            </a:graphic>
          </wp:inline>
        </w:drawing>
      </w:r>
      <w:r>
        <w:rPr>
          <w:b/>
          <w:sz w:val="24"/>
          <w:szCs w:val="24"/>
        </w:rPr>
        <w:t>图4.11-1  本项目环境防护距离包络线图</w:t>
      </w:r>
    </w:p>
    <w:p>
      <w:pPr>
        <w:pStyle w:val="62"/>
        <w:numPr>
          <w:ilvl w:val="3"/>
          <w:numId w:val="5"/>
        </w:numPr>
        <w:tabs>
          <w:tab w:val="left" w:pos="851"/>
          <w:tab w:val="left" w:pos="1247"/>
          <w:tab w:val="clear" w:pos="1021"/>
        </w:tabs>
        <w:spacing w:before="156" w:after="156"/>
        <w:outlineLvl w:val="3"/>
        <w:rPr>
          <w:rFonts w:ascii="Times New Roman" w:hAnsi="Times New Roman"/>
        </w:rPr>
      </w:pPr>
      <w:r>
        <w:rPr>
          <w:rFonts w:hint="eastAsia" w:ascii="Times New Roman" w:hAnsi="Times New Roman"/>
        </w:rPr>
        <w:t>大气环境影响自查表</w:t>
      </w:r>
    </w:p>
    <w:p>
      <w:pPr>
        <w:spacing w:line="360" w:lineRule="auto"/>
        <w:ind w:firstLine="480" w:firstLineChars="200"/>
        <w:rPr>
          <w:sz w:val="24"/>
          <w:szCs w:val="22"/>
        </w:rPr>
      </w:pPr>
      <w:r>
        <w:rPr>
          <w:rFonts w:ascii="宋体" w:hAnsi="宋体"/>
          <w:sz w:val="24"/>
          <w:szCs w:val="22"/>
        </w:rPr>
        <w:t>本项目的大气环境影响评价自查表见表</w:t>
      </w:r>
      <w:r>
        <w:rPr>
          <w:sz w:val="24"/>
          <w:szCs w:val="22"/>
        </w:rPr>
        <w:t>5.2</w:t>
      </w:r>
      <w:r>
        <w:rPr>
          <w:rFonts w:hint="eastAsia"/>
          <w:sz w:val="24"/>
          <w:szCs w:val="22"/>
        </w:rPr>
        <w:t>-</w:t>
      </w:r>
      <w:r>
        <w:rPr>
          <w:sz w:val="24"/>
          <w:szCs w:val="22"/>
        </w:rPr>
        <w:t>40。</w:t>
      </w:r>
    </w:p>
    <w:p>
      <w:pPr>
        <w:spacing w:line="360" w:lineRule="auto"/>
        <w:jc w:val="center"/>
        <w:rPr>
          <w:rFonts w:ascii="宋体" w:hAnsi="宋体"/>
          <w:b/>
          <w:bCs/>
          <w:sz w:val="24"/>
          <w:szCs w:val="22"/>
        </w:rPr>
      </w:pPr>
      <w:r>
        <w:rPr>
          <w:rFonts w:hint="eastAsia"/>
          <w:b/>
          <w:sz w:val="24"/>
        </w:rPr>
        <w:t>表5.2-</w:t>
      </w:r>
      <w:r>
        <w:rPr>
          <w:b/>
          <w:sz w:val="24"/>
        </w:rPr>
        <w:t>53</w:t>
      </w:r>
      <w:r>
        <w:rPr>
          <w:rFonts w:hint="eastAsia"/>
          <w:b/>
          <w:sz w:val="24"/>
        </w:rPr>
        <w:t xml:space="preserve">  </w:t>
      </w:r>
      <w:r>
        <w:rPr>
          <w:b/>
          <w:sz w:val="24"/>
        </w:rPr>
        <w:t>大气环境影响评价自查表</w:t>
      </w:r>
    </w:p>
    <w:tbl>
      <w:tblPr>
        <w:tblStyle w:val="39"/>
        <w:tblW w:w="828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710"/>
        <w:gridCol w:w="1414"/>
        <w:gridCol w:w="984"/>
        <w:gridCol w:w="377"/>
        <w:gridCol w:w="110"/>
        <w:gridCol w:w="386"/>
        <w:gridCol w:w="119"/>
        <w:gridCol w:w="578"/>
        <w:gridCol w:w="274"/>
        <w:gridCol w:w="230"/>
        <w:gridCol w:w="333"/>
        <w:gridCol w:w="287"/>
        <w:gridCol w:w="530"/>
        <w:gridCol w:w="321"/>
        <w:gridCol w:w="468"/>
        <w:gridCol w:w="524"/>
        <w:gridCol w:w="64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2124" w:type="dxa"/>
            <w:gridSpan w:val="2"/>
            <w:vAlign w:val="center"/>
          </w:tcPr>
          <w:p>
            <w:pPr>
              <w:overflowPunct w:val="0"/>
              <w:adjustRightInd w:val="0"/>
              <w:snapToGrid w:val="0"/>
              <w:jc w:val="center"/>
              <w:rPr>
                <w:rFonts w:eastAsia="等线"/>
                <w:spacing w:val="-4"/>
                <w:szCs w:val="21"/>
              </w:rPr>
            </w:pPr>
            <w:r>
              <w:rPr>
                <w:spacing w:val="-4"/>
                <w:szCs w:val="21"/>
              </w:rPr>
              <w:t>工作内容</w:t>
            </w:r>
          </w:p>
        </w:tc>
        <w:tc>
          <w:tcPr>
            <w:tcW w:w="6163" w:type="dxa"/>
            <w:gridSpan w:val="15"/>
            <w:vAlign w:val="center"/>
          </w:tcPr>
          <w:p>
            <w:pPr>
              <w:overflowPunct w:val="0"/>
              <w:adjustRightInd w:val="0"/>
              <w:snapToGrid w:val="0"/>
              <w:jc w:val="center"/>
              <w:rPr>
                <w:rFonts w:eastAsia="等线"/>
                <w:spacing w:val="-4"/>
                <w:szCs w:val="21"/>
              </w:rPr>
            </w:pPr>
            <w:r>
              <w:rPr>
                <w:spacing w:val="-4"/>
                <w:szCs w:val="21"/>
              </w:rPr>
              <w:t>自查项目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restart"/>
            <w:vAlign w:val="center"/>
          </w:tcPr>
          <w:p>
            <w:pPr>
              <w:overflowPunct w:val="0"/>
              <w:adjustRightInd w:val="0"/>
              <w:snapToGrid w:val="0"/>
              <w:jc w:val="center"/>
              <w:rPr>
                <w:rFonts w:eastAsia="等线"/>
                <w:spacing w:val="-4"/>
                <w:szCs w:val="21"/>
              </w:rPr>
            </w:pPr>
            <w:r>
              <w:rPr>
                <w:spacing w:val="-4"/>
                <w:szCs w:val="21"/>
              </w:rPr>
              <w:t>评价等级与范围</w:t>
            </w:r>
          </w:p>
        </w:tc>
        <w:tc>
          <w:tcPr>
            <w:tcW w:w="1414" w:type="dxa"/>
            <w:vAlign w:val="center"/>
          </w:tcPr>
          <w:p>
            <w:pPr>
              <w:overflowPunct w:val="0"/>
              <w:adjustRightInd w:val="0"/>
              <w:snapToGrid w:val="0"/>
              <w:jc w:val="center"/>
              <w:rPr>
                <w:rFonts w:eastAsia="等线"/>
                <w:spacing w:val="-4"/>
                <w:szCs w:val="21"/>
              </w:rPr>
            </w:pPr>
            <w:r>
              <w:rPr>
                <w:spacing w:val="-4"/>
                <w:szCs w:val="21"/>
              </w:rPr>
              <w:t>评价等级</w:t>
            </w:r>
          </w:p>
        </w:tc>
        <w:tc>
          <w:tcPr>
            <w:tcW w:w="2554" w:type="dxa"/>
            <w:gridSpan w:val="6"/>
            <w:vAlign w:val="center"/>
          </w:tcPr>
          <w:p>
            <w:pPr>
              <w:overflowPunct w:val="0"/>
              <w:adjustRightInd w:val="0"/>
              <w:snapToGrid w:val="0"/>
              <w:jc w:val="center"/>
              <w:rPr>
                <w:rFonts w:eastAsia="等线"/>
                <w:spacing w:val="-4"/>
                <w:szCs w:val="21"/>
              </w:rPr>
            </w:pPr>
            <w:r>
              <w:rPr>
                <w:spacing w:val="-4"/>
                <w:szCs w:val="21"/>
              </w:rPr>
              <w:t>一级□</w:t>
            </w:r>
          </w:p>
        </w:tc>
        <w:tc>
          <w:tcPr>
            <w:tcW w:w="1975" w:type="dxa"/>
            <w:gridSpan w:val="6"/>
            <w:vAlign w:val="center"/>
          </w:tcPr>
          <w:p>
            <w:pPr>
              <w:overflowPunct w:val="0"/>
              <w:adjustRightInd w:val="0"/>
              <w:snapToGrid w:val="0"/>
              <w:jc w:val="center"/>
              <w:rPr>
                <w:rFonts w:eastAsia="等线"/>
                <w:spacing w:val="-4"/>
                <w:szCs w:val="21"/>
              </w:rPr>
            </w:pPr>
            <w:r>
              <w:rPr>
                <w:spacing w:val="-4"/>
                <w:szCs w:val="21"/>
              </w:rPr>
              <w:t>二级□</w:t>
            </w:r>
          </w:p>
        </w:tc>
        <w:tc>
          <w:tcPr>
            <w:tcW w:w="1634" w:type="dxa"/>
            <w:gridSpan w:val="3"/>
            <w:vAlign w:val="center"/>
          </w:tcPr>
          <w:p>
            <w:pPr>
              <w:overflowPunct w:val="0"/>
              <w:adjustRightInd w:val="0"/>
              <w:snapToGrid w:val="0"/>
              <w:jc w:val="center"/>
              <w:rPr>
                <w:spacing w:val="-4"/>
                <w:szCs w:val="21"/>
              </w:rPr>
            </w:pPr>
            <w:r>
              <w:rPr>
                <w:spacing w:val="-4"/>
                <w:szCs w:val="21"/>
              </w:rPr>
              <w:t>三级</w:t>
            </w:r>
            <w:r>
              <w:rPr>
                <w:spacing w:val="-4"/>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评价范围</w:t>
            </w:r>
          </w:p>
        </w:tc>
        <w:tc>
          <w:tcPr>
            <w:tcW w:w="2554" w:type="dxa"/>
            <w:gridSpan w:val="6"/>
            <w:vAlign w:val="center"/>
          </w:tcPr>
          <w:p>
            <w:pPr>
              <w:overflowPunct w:val="0"/>
              <w:adjustRightInd w:val="0"/>
              <w:snapToGrid w:val="0"/>
              <w:jc w:val="center"/>
              <w:rPr>
                <w:rFonts w:eastAsia="等线"/>
                <w:spacing w:val="-4"/>
                <w:szCs w:val="21"/>
              </w:rPr>
            </w:pPr>
            <w:r>
              <w:rPr>
                <w:spacing w:val="-4"/>
                <w:szCs w:val="21"/>
              </w:rPr>
              <w:t>边长=50 km□</w:t>
            </w:r>
          </w:p>
        </w:tc>
        <w:tc>
          <w:tcPr>
            <w:tcW w:w="1975" w:type="dxa"/>
            <w:gridSpan w:val="6"/>
            <w:vAlign w:val="center"/>
          </w:tcPr>
          <w:p>
            <w:pPr>
              <w:overflowPunct w:val="0"/>
              <w:adjustRightInd w:val="0"/>
              <w:snapToGrid w:val="0"/>
              <w:jc w:val="center"/>
              <w:rPr>
                <w:rFonts w:eastAsia="等线"/>
                <w:spacing w:val="-4"/>
                <w:szCs w:val="21"/>
              </w:rPr>
            </w:pPr>
            <w:r>
              <w:rPr>
                <w:spacing w:val="-4"/>
                <w:szCs w:val="21"/>
              </w:rPr>
              <w:t>边长 5～50 km□</w:t>
            </w:r>
          </w:p>
        </w:tc>
        <w:tc>
          <w:tcPr>
            <w:tcW w:w="1634" w:type="dxa"/>
            <w:gridSpan w:val="3"/>
            <w:vAlign w:val="center"/>
          </w:tcPr>
          <w:p>
            <w:pPr>
              <w:overflowPunct w:val="0"/>
              <w:adjustRightInd w:val="0"/>
              <w:snapToGrid w:val="0"/>
              <w:jc w:val="left"/>
              <w:rPr>
                <w:rFonts w:eastAsia="等线"/>
                <w:spacing w:val="-4"/>
                <w:szCs w:val="21"/>
              </w:rPr>
            </w:pPr>
            <w:r>
              <w:rPr>
                <w:spacing w:val="-4"/>
                <w:szCs w:val="21"/>
              </w:rPr>
              <w:t>边长=5 km</w:t>
            </w:r>
            <w:r>
              <w:rPr>
                <w:spacing w:val="-4"/>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restart"/>
            <w:vAlign w:val="center"/>
          </w:tcPr>
          <w:p>
            <w:pPr>
              <w:overflowPunct w:val="0"/>
              <w:adjustRightInd w:val="0"/>
              <w:snapToGrid w:val="0"/>
              <w:jc w:val="center"/>
              <w:rPr>
                <w:rFonts w:eastAsia="等线"/>
                <w:spacing w:val="-4"/>
                <w:szCs w:val="21"/>
              </w:rPr>
            </w:pPr>
            <w:r>
              <w:rPr>
                <w:spacing w:val="-4"/>
                <w:szCs w:val="21"/>
              </w:rPr>
              <w:t>评价因子</w:t>
            </w:r>
          </w:p>
        </w:tc>
        <w:tc>
          <w:tcPr>
            <w:tcW w:w="1414" w:type="dxa"/>
            <w:vAlign w:val="center"/>
          </w:tcPr>
          <w:p>
            <w:pPr>
              <w:overflowPunct w:val="0"/>
              <w:adjustRightInd w:val="0"/>
              <w:snapToGrid w:val="0"/>
              <w:jc w:val="center"/>
              <w:rPr>
                <w:rFonts w:eastAsia="等线"/>
                <w:spacing w:val="-4"/>
                <w:szCs w:val="21"/>
              </w:rPr>
            </w:pPr>
            <w:r>
              <w:rPr>
                <w:rFonts w:eastAsia="等线"/>
                <w:spacing w:val="-4"/>
                <w:szCs w:val="21"/>
              </w:rPr>
              <w:t>SO</w:t>
            </w:r>
            <w:r>
              <w:rPr>
                <w:rFonts w:eastAsia="等线"/>
                <w:spacing w:val="-4"/>
                <w:szCs w:val="21"/>
                <w:vertAlign w:val="subscript"/>
              </w:rPr>
              <w:t>2</w:t>
            </w:r>
            <w:r>
              <w:rPr>
                <w:rFonts w:eastAsia="等线"/>
                <w:spacing w:val="-4"/>
                <w:szCs w:val="21"/>
              </w:rPr>
              <w:t xml:space="preserve"> +NO</w:t>
            </w:r>
            <w:r>
              <w:rPr>
                <w:rFonts w:eastAsia="等线"/>
                <w:i/>
                <w:iCs/>
                <w:spacing w:val="-4"/>
                <w:szCs w:val="21"/>
              </w:rPr>
              <w:t xml:space="preserve">x </w:t>
            </w:r>
            <w:r>
              <w:rPr>
                <w:spacing w:val="-4"/>
                <w:szCs w:val="21"/>
              </w:rPr>
              <w:t>排放量</w:t>
            </w:r>
          </w:p>
        </w:tc>
        <w:tc>
          <w:tcPr>
            <w:tcW w:w="1361" w:type="dxa"/>
            <w:gridSpan w:val="2"/>
            <w:vAlign w:val="center"/>
          </w:tcPr>
          <w:p>
            <w:pPr>
              <w:overflowPunct w:val="0"/>
              <w:adjustRightInd w:val="0"/>
              <w:snapToGrid w:val="0"/>
              <w:jc w:val="center"/>
              <w:rPr>
                <w:rFonts w:eastAsia="等线"/>
                <w:spacing w:val="-4"/>
                <w:szCs w:val="21"/>
              </w:rPr>
            </w:pPr>
            <w:r>
              <w:rPr>
                <w:spacing w:val="-4"/>
                <w:szCs w:val="21"/>
              </w:rPr>
              <w:t>≥ 2000t/a□</w:t>
            </w:r>
          </w:p>
        </w:tc>
        <w:tc>
          <w:tcPr>
            <w:tcW w:w="3168" w:type="dxa"/>
            <w:gridSpan w:val="10"/>
            <w:vAlign w:val="center"/>
          </w:tcPr>
          <w:p>
            <w:pPr>
              <w:overflowPunct w:val="0"/>
              <w:adjustRightInd w:val="0"/>
              <w:snapToGrid w:val="0"/>
              <w:jc w:val="center"/>
              <w:rPr>
                <w:rFonts w:eastAsia="等线"/>
                <w:spacing w:val="-4"/>
                <w:szCs w:val="21"/>
              </w:rPr>
            </w:pPr>
            <w:r>
              <w:rPr>
                <w:rFonts w:eastAsia="等线"/>
                <w:spacing w:val="-4"/>
                <w:szCs w:val="21"/>
              </w:rPr>
              <w:t>500</w:t>
            </w:r>
            <w:r>
              <w:rPr>
                <w:spacing w:val="-4"/>
                <w:szCs w:val="21"/>
              </w:rPr>
              <w:t>～2000t/a□</w:t>
            </w:r>
          </w:p>
        </w:tc>
        <w:tc>
          <w:tcPr>
            <w:tcW w:w="1634" w:type="dxa"/>
            <w:gridSpan w:val="3"/>
            <w:vAlign w:val="center"/>
          </w:tcPr>
          <w:p>
            <w:pPr>
              <w:overflowPunct w:val="0"/>
              <w:adjustRightInd w:val="0"/>
              <w:snapToGrid w:val="0"/>
              <w:jc w:val="center"/>
              <w:rPr>
                <w:rFonts w:eastAsia="等线"/>
                <w:spacing w:val="-4"/>
                <w:szCs w:val="21"/>
              </w:rPr>
            </w:pPr>
            <w:r>
              <w:rPr>
                <w:spacing w:val="-4"/>
                <w:szCs w:val="21"/>
              </w:rPr>
              <w:t>＜500 t/a</w:t>
            </w:r>
            <w:r>
              <w:rPr>
                <w:spacing w:val="-4"/>
                <w:szCs w:val="21"/>
              </w:rPr>
              <w:sym w:font="Wingdings 2" w:char="0052"/>
            </w:r>
            <w:r>
              <w:rPr>
                <w:spacing w:val="-4"/>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评价因子</w:t>
            </w:r>
          </w:p>
        </w:tc>
        <w:tc>
          <w:tcPr>
            <w:tcW w:w="3391" w:type="dxa"/>
            <w:gridSpan w:val="9"/>
            <w:vAlign w:val="center"/>
          </w:tcPr>
          <w:p>
            <w:pPr>
              <w:overflowPunct w:val="0"/>
              <w:topLinePunct/>
              <w:adjustRightInd w:val="0"/>
              <w:snapToGrid w:val="0"/>
              <w:jc w:val="center"/>
              <w:rPr>
                <w:rFonts w:eastAsia="等线"/>
                <w:spacing w:val="-4"/>
                <w:szCs w:val="21"/>
              </w:rPr>
            </w:pPr>
            <w:r>
              <w:rPr>
                <w:spacing w:val="-4"/>
                <w:szCs w:val="21"/>
              </w:rPr>
              <w:t>其他污染物（TSP）</w:t>
            </w:r>
          </w:p>
        </w:tc>
        <w:tc>
          <w:tcPr>
            <w:tcW w:w="2772" w:type="dxa"/>
            <w:gridSpan w:val="6"/>
            <w:vAlign w:val="center"/>
          </w:tcPr>
          <w:p>
            <w:pPr>
              <w:overflowPunct w:val="0"/>
              <w:adjustRightInd w:val="0"/>
              <w:snapToGrid w:val="0"/>
              <w:jc w:val="center"/>
              <w:rPr>
                <w:spacing w:val="-4"/>
                <w:szCs w:val="21"/>
              </w:rPr>
            </w:pPr>
            <w:r>
              <w:rPr>
                <w:spacing w:val="-4"/>
                <w:szCs w:val="21"/>
              </w:rPr>
              <w:t>包括二次 PM</w:t>
            </w:r>
            <w:r>
              <w:rPr>
                <w:spacing w:val="-4"/>
                <w:szCs w:val="21"/>
                <w:vertAlign w:val="subscript"/>
              </w:rPr>
              <w:t>2.5</w:t>
            </w:r>
            <w:r>
              <w:rPr>
                <w:spacing w:val="-4"/>
                <w:szCs w:val="21"/>
              </w:rPr>
              <w:t>□</w:t>
            </w:r>
          </w:p>
          <w:p>
            <w:pPr>
              <w:overflowPunct w:val="0"/>
              <w:adjustRightInd w:val="0"/>
              <w:snapToGrid w:val="0"/>
              <w:jc w:val="center"/>
              <w:rPr>
                <w:rFonts w:eastAsia="等线"/>
                <w:spacing w:val="-4"/>
                <w:szCs w:val="21"/>
              </w:rPr>
            </w:pPr>
            <w:r>
              <w:rPr>
                <w:spacing w:val="-4"/>
                <w:szCs w:val="21"/>
              </w:rPr>
              <w:t>不包括二次 PM</w:t>
            </w:r>
            <w:r>
              <w:rPr>
                <w:spacing w:val="-4"/>
                <w:szCs w:val="21"/>
                <w:vertAlign w:val="subscript"/>
              </w:rPr>
              <w:t>2.5</w:t>
            </w:r>
            <w:r>
              <w:rPr>
                <w:rFonts w:hint="eastAsia" w:ascii="MS Gothic" w:hAnsi="MS Gothic" w:eastAsia="MS Gothic" w:cs="MS Gothic"/>
                <w:spacing w:val="-4"/>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Align w:val="center"/>
          </w:tcPr>
          <w:p>
            <w:pPr>
              <w:overflowPunct w:val="0"/>
              <w:adjustRightInd w:val="0"/>
              <w:snapToGrid w:val="0"/>
              <w:jc w:val="center"/>
              <w:rPr>
                <w:rFonts w:eastAsia="等线"/>
                <w:spacing w:val="-4"/>
                <w:szCs w:val="21"/>
              </w:rPr>
            </w:pPr>
            <w:r>
              <w:rPr>
                <w:spacing w:val="-4"/>
                <w:szCs w:val="21"/>
              </w:rPr>
              <w:t>评价标准</w:t>
            </w:r>
          </w:p>
        </w:tc>
        <w:tc>
          <w:tcPr>
            <w:tcW w:w="1414" w:type="dxa"/>
            <w:vAlign w:val="center"/>
          </w:tcPr>
          <w:p>
            <w:pPr>
              <w:overflowPunct w:val="0"/>
              <w:adjustRightInd w:val="0"/>
              <w:snapToGrid w:val="0"/>
              <w:jc w:val="center"/>
              <w:rPr>
                <w:rFonts w:eastAsia="等线"/>
                <w:spacing w:val="-4"/>
                <w:szCs w:val="21"/>
              </w:rPr>
            </w:pPr>
            <w:r>
              <w:rPr>
                <w:spacing w:val="-4"/>
                <w:szCs w:val="21"/>
              </w:rPr>
              <w:t>评价标准</w:t>
            </w:r>
          </w:p>
        </w:tc>
        <w:tc>
          <w:tcPr>
            <w:tcW w:w="1976" w:type="dxa"/>
            <w:gridSpan w:val="5"/>
            <w:vAlign w:val="center"/>
          </w:tcPr>
          <w:p>
            <w:pPr>
              <w:overflowPunct w:val="0"/>
              <w:adjustRightInd w:val="0"/>
              <w:snapToGrid w:val="0"/>
              <w:jc w:val="center"/>
              <w:rPr>
                <w:rFonts w:eastAsia="等线"/>
                <w:spacing w:val="-4"/>
                <w:szCs w:val="21"/>
              </w:rPr>
            </w:pPr>
            <w:r>
              <w:rPr>
                <w:spacing w:val="-4"/>
                <w:szCs w:val="21"/>
              </w:rPr>
              <w:t>国家标准</w:t>
            </w:r>
            <w:r>
              <w:rPr>
                <w:spacing w:val="-4"/>
                <w:szCs w:val="21"/>
              </w:rPr>
              <w:sym w:font="Wingdings 2" w:char="0052"/>
            </w:r>
          </w:p>
        </w:tc>
        <w:tc>
          <w:tcPr>
            <w:tcW w:w="1415" w:type="dxa"/>
            <w:gridSpan w:val="4"/>
            <w:vAlign w:val="center"/>
          </w:tcPr>
          <w:p>
            <w:pPr>
              <w:overflowPunct w:val="0"/>
              <w:adjustRightInd w:val="0"/>
              <w:snapToGrid w:val="0"/>
              <w:jc w:val="center"/>
              <w:rPr>
                <w:rFonts w:eastAsia="等线"/>
                <w:spacing w:val="-4"/>
                <w:szCs w:val="21"/>
              </w:rPr>
            </w:pPr>
            <w:r>
              <w:rPr>
                <w:spacing w:val="-4"/>
                <w:szCs w:val="21"/>
              </w:rPr>
              <w:t xml:space="preserve">地方标准□ </w:t>
            </w:r>
          </w:p>
        </w:tc>
        <w:tc>
          <w:tcPr>
            <w:tcW w:w="1606" w:type="dxa"/>
            <w:gridSpan w:val="4"/>
            <w:vAlign w:val="center"/>
          </w:tcPr>
          <w:p>
            <w:pPr>
              <w:overflowPunct w:val="0"/>
              <w:adjustRightInd w:val="0"/>
              <w:snapToGrid w:val="0"/>
              <w:jc w:val="center"/>
              <w:rPr>
                <w:rFonts w:eastAsia="等线"/>
                <w:spacing w:val="-4"/>
                <w:szCs w:val="21"/>
              </w:rPr>
            </w:pPr>
            <w:r>
              <w:rPr>
                <w:spacing w:val="-4"/>
                <w:szCs w:val="21"/>
              </w:rPr>
              <w:t xml:space="preserve">附录D </w:t>
            </w:r>
            <w:r>
              <w:rPr>
                <w:spacing w:val="-4"/>
                <w:szCs w:val="21"/>
              </w:rPr>
              <w:sym w:font="Wingdings 2" w:char="0052"/>
            </w:r>
          </w:p>
        </w:tc>
        <w:tc>
          <w:tcPr>
            <w:tcW w:w="1166" w:type="dxa"/>
            <w:gridSpan w:val="2"/>
            <w:vAlign w:val="center"/>
          </w:tcPr>
          <w:p>
            <w:pPr>
              <w:overflowPunct w:val="0"/>
              <w:adjustRightInd w:val="0"/>
              <w:snapToGrid w:val="0"/>
              <w:jc w:val="center"/>
              <w:rPr>
                <w:spacing w:val="-4"/>
                <w:szCs w:val="21"/>
              </w:rPr>
            </w:pPr>
            <w:r>
              <w:rPr>
                <w:spacing w:val="-4"/>
                <w:szCs w:val="21"/>
              </w:rPr>
              <w:t>其他标准□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restart"/>
            <w:vAlign w:val="center"/>
          </w:tcPr>
          <w:p>
            <w:pPr>
              <w:overflowPunct w:val="0"/>
              <w:adjustRightInd w:val="0"/>
              <w:snapToGrid w:val="0"/>
              <w:jc w:val="center"/>
              <w:rPr>
                <w:rFonts w:eastAsia="等线"/>
                <w:spacing w:val="-4"/>
                <w:szCs w:val="21"/>
              </w:rPr>
            </w:pPr>
            <w:r>
              <w:rPr>
                <w:spacing w:val="-4"/>
                <w:szCs w:val="21"/>
              </w:rPr>
              <w:t>现状评价</w:t>
            </w:r>
          </w:p>
        </w:tc>
        <w:tc>
          <w:tcPr>
            <w:tcW w:w="1414" w:type="dxa"/>
            <w:vAlign w:val="center"/>
          </w:tcPr>
          <w:p>
            <w:pPr>
              <w:overflowPunct w:val="0"/>
              <w:adjustRightInd w:val="0"/>
              <w:snapToGrid w:val="0"/>
              <w:jc w:val="center"/>
              <w:rPr>
                <w:rFonts w:eastAsia="等线"/>
                <w:spacing w:val="-4"/>
                <w:szCs w:val="21"/>
              </w:rPr>
            </w:pPr>
            <w:r>
              <w:rPr>
                <w:spacing w:val="-4"/>
                <w:szCs w:val="21"/>
              </w:rPr>
              <w:t>环境功能区</w:t>
            </w:r>
          </w:p>
        </w:tc>
        <w:tc>
          <w:tcPr>
            <w:tcW w:w="2554" w:type="dxa"/>
            <w:gridSpan w:val="6"/>
            <w:vAlign w:val="center"/>
          </w:tcPr>
          <w:p>
            <w:pPr>
              <w:overflowPunct w:val="0"/>
              <w:adjustRightInd w:val="0"/>
              <w:snapToGrid w:val="0"/>
              <w:jc w:val="center"/>
              <w:rPr>
                <w:spacing w:val="-4"/>
                <w:szCs w:val="21"/>
              </w:rPr>
            </w:pPr>
            <w:r>
              <w:rPr>
                <w:spacing w:val="-4"/>
                <w:szCs w:val="21"/>
              </w:rPr>
              <w:t>一类区□</w:t>
            </w:r>
          </w:p>
        </w:tc>
        <w:tc>
          <w:tcPr>
            <w:tcW w:w="1975" w:type="dxa"/>
            <w:gridSpan w:val="6"/>
            <w:vAlign w:val="center"/>
          </w:tcPr>
          <w:p>
            <w:pPr>
              <w:overflowPunct w:val="0"/>
              <w:adjustRightInd w:val="0"/>
              <w:snapToGrid w:val="0"/>
              <w:jc w:val="center"/>
              <w:rPr>
                <w:rFonts w:eastAsia="等线"/>
                <w:spacing w:val="-4"/>
                <w:szCs w:val="21"/>
              </w:rPr>
            </w:pPr>
            <w:r>
              <w:rPr>
                <w:spacing w:val="-4"/>
                <w:szCs w:val="21"/>
              </w:rPr>
              <w:t>二类区</w:t>
            </w:r>
            <w:r>
              <w:rPr>
                <w:spacing w:val="-4"/>
                <w:szCs w:val="21"/>
              </w:rPr>
              <w:sym w:font="Wingdings 2" w:char="0052"/>
            </w:r>
          </w:p>
        </w:tc>
        <w:tc>
          <w:tcPr>
            <w:tcW w:w="1634" w:type="dxa"/>
            <w:gridSpan w:val="3"/>
            <w:vAlign w:val="center"/>
          </w:tcPr>
          <w:p>
            <w:pPr>
              <w:overflowPunct w:val="0"/>
              <w:adjustRightInd w:val="0"/>
              <w:snapToGrid w:val="0"/>
              <w:jc w:val="center"/>
              <w:rPr>
                <w:rFonts w:eastAsia="等线"/>
                <w:spacing w:val="-4"/>
                <w:szCs w:val="21"/>
              </w:rPr>
            </w:pPr>
            <w:r>
              <w:rPr>
                <w:spacing w:val="-4"/>
                <w:szCs w:val="21"/>
              </w:rPr>
              <w:t>一类区和二类区□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评价基准年</w:t>
            </w:r>
          </w:p>
        </w:tc>
        <w:tc>
          <w:tcPr>
            <w:tcW w:w="6163" w:type="dxa"/>
            <w:gridSpan w:val="15"/>
            <w:vAlign w:val="center"/>
          </w:tcPr>
          <w:p>
            <w:pPr>
              <w:overflowPunct w:val="0"/>
              <w:adjustRightInd w:val="0"/>
              <w:snapToGrid w:val="0"/>
              <w:jc w:val="center"/>
              <w:rPr>
                <w:rFonts w:eastAsia="等线"/>
                <w:spacing w:val="-4"/>
                <w:szCs w:val="21"/>
              </w:rPr>
            </w:pPr>
            <w:r>
              <w:rPr>
                <w:rFonts w:eastAsia="等线"/>
                <w:spacing w:val="-4"/>
                <w:szCs w:val="21"/>
              </w:rPr>
              <w:t>2019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环境空气质量现状调查数据来源</w:t>
            </w:r>
          </w:p>
        </w:tc>
        <w:tc>
          <w:tcPr>
            <w:tcW w:w="2554" w:type="dxa"/>
            <w:gridSpan w:val="6"/>
            <w:vAlign w:val="center"/>
          </w:tcPr>
          <w:p>
            <w:pPr>
              <w:overflowPunct w:val="0"/>
              <w:adjustRightInd w:val="0"/>
              <w:snapToGrid w:val="0"/>
              <w:jc w:val="center"/>
              <w:rPr>
                <w:rFonts w:eastAsia="等线"/>
                <w:spacing w:val="-4"/>
                <w:szCs w:val="21"/>
              </w:rPr>
            </w:pPr>
            <w:r>
              <w:rPr>
                <w:spacing w:val="-4"/>
                <w:szCs w:val="21"/>
              </w:rPr>
              <w:t>长期例行监测数据</w:t>
            </w:r>
            <w:r>
              <w:rPr>
                <w:spacing w:val="-4"/>
                <w:szCs w:val="21"/>
              </w:rPr>
              <w:sym w:font="Wingdings 2" w:char="0052"/>
            </w:r>
          </w:p>
        </w:tc>
        <w:tc>
          <w:tcPr>
            <w:tcW w:w="1975" w:type="dxa"/>
            <w:gridSpan w:val="6"/>
            <w:vAlign w:val="center"/>
          </w:tcPr>
          <w:p>
            <w:pPr>
              <w:overflowPunct w:val="0"/>
              <w:adjustRightInd w:val="0"/>
              <w:snapToGrid w:val="0"/>
              <w:jc w:val="center"/>
              <w:rPr>
                <w:rFonts w:eastAsia="等线"/>
                <w:spacing w:val="-4"/>
                <w:szCs w:val="21"/>
              </w:rPr>
            </w:pPr>
            <w:r>
              <w:rPr>
                <w:spacing w:val="-4"/>
                <w:szCs w:val="21"/>
              </w:rPr>
              <w:t>主管部门发布的数据□</w:t>
            </w:r>
          </w:p>
        </w:tc>
        <w:tc>
          <w:tcPr>
            <w:tcW w:w="1634" w:type="dxa"/>
            <w:gridSpan w:val="3"/>
            <w:vAlign w:val="center"/>
          </w:tcPr>
          <w:p>
            <w:pPr>
              <w:overflowPunct w:val="0"/>
              <w:adjustRightInd w:val="0"/>
              <w:snapToGrid w:val="0"/>
              <w:jc w:val="center"/>
              <w:rPr>
                <w:rFonts w:eastAsia="等线"/>
                <w:spacing w:val="-4"/>
                <w:szCs w:val="21"/>
              </w:rPr>
            </w:pPr>
            <w:r>
              <w:rPr>
                <w:spacing w:val="-4"/>
                <w:szCs w:val="21"/>
              </w:rPr>
              <w:t>现状补充监测</w:t>
            </w:r>
            <w:r>
              <w:rPr>
                <w:spacing w:val="-4"/>
                <w:szCs w:val="21"/>
              </w:rPr>
              <w:sym w:font="Wingdings" w:char="00FE"/>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现状评价</w:t>
            </w:r>
          </w:p>
        </w:tc>
        <w:tc>
          <w:tcPr>
            <w:tcW w:w="3391" w:type="dxa"/>
            <w:gridSpan w:val="9"/>
            <w:vAlign w:val="center"/>
          </w:tcPr>
          <w:p>
            <w:pPr>
              <w:overflowPunct w:val="0"/>
              <w:adjustRightInd w:val="0"/>
              <w:snapToGrid w:val="0"/>
              <w:jc w:val="center"/>
              <w:rPr>
                <w:rFonts w:eastAsia="等线"/>
                <w:spacing w:val="-4"/>
                <w:szCs w:val="21"/>
              </w:rPr>
            </w:pPr>
            <w:r>
              <w:rPr>
                <w:spacing w:val="-4"/>
                <w:szCs w:val="21"/>
              </w:rPr>
              <w:t>达标区</w:t>
            </w:r>
            <w:r>
              <w:rPr>
                <w:spacing w:val="-4"/>
                <w:szCs w:val="21"/>
              </w:rPr>
              <w:sym w:font="Wingdings 2" w:char="0052"/>
            </w:r>
          </w:p>
        </w:tc>
        <w:tc>
          <w:tcPr>
            <w:tcW w:w="2772" w:type="dxa"/>
            <w:gridSpan w:val="6"/>
            <w:vAlign w:val="center"/>
          </w:tcPr>
          <w:p>
            <w:pPr>
              <w:overflowPunct w:val="0"/>
              <w:adjustRightInd w:val="0"/>
              <w:snapToGrid w:val="0"/>
              <w:jc w:val="center"/>
              <w:rPr>
                <w:rFonts w:eastAsia="等线"/>
                <w:spacing w:val="-4"/>
                <w:szCs w:val="21"/>
              </w:rPr>
            </w:pPr>
            <w:r>
              <w:rPr>
                <w:spacing w:val="-4"/>
                <w:szCs w:val="21"/>
              </w:rPr>
              <w:t>不达标区□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Align w:val="center"/>
          </w:tcPr>
          <w:p>
            <w:pPr>
              <w:tabs>
                <w:tab w:val="left" w:pos="608"/>
              </w:tabs>
              <w:overflowPunct w:val="0"/>
              <w:adjustRightInd w:val="0"/>
              <w:snapToGrid w:val="0"/>
              <w:jc w:val="center"/>
              <w:rPr>
                <w:rFonts w:eastAsia="等线"/>
                <w:spacing w:val="-4"/>
                <w:szCs w:val="21"/>
              </w:rPr>
            </w:pPr>
            <w:r>
              <w:rPr>
                <w:spacing w:val="-4"/>
                <w:szCs w:val="21"/>
              </w:rPr>
              <w:t>污染源调查</w:t>
            </w:r>
          </w:p>
        </w:tc>
        <w:tc>
          <w:tcPr>
            <w:tcW w:w="1414" w:type="dxa"/>
            <w:vAlign w:val="center"/>
          </w:tcPr>
          <w:p>
            <w:pPr>
              <w:overflowPunct w:val="0"/>
              <w:adjustRightInd w:val="0"/>
              <w:snapToGrid w:val="0"/>
              <w:jc w:val="center"/>
              <w:rPr>
                <w:rFonts w:eastAsia="等线"/>
                <w:spacing w:val="-4"/>
                <w:szCs w:val="21"/>
              </w:rPr>
            </w:pPr>
            <w:r>
              <w:rPr>
                <w:spacing w:val="-4"/>
                <w:szCs w:val="21"/>
              </w:rPr>
              <w:t>调查内容</w:t>
            </w:r>
          </w:p>
        </w:tc>
        <w:tc>
          <w:tcPr>
            <w:tcW w:w="1976" w:type="dxa"/>
            <w:gridSpan w:val="5"/>
            <w:vAlign w:val="center"/>
          </w:tcPr>
          <w:p>
            <w:pPr>
              <w:overflowPunct w:val="0"/>
              <w:adjustRightInd w:val="0"/>
              <w:snapToGrid w:val="0"/>
              <w:jc w:val="center"/>
              <w:rPr>
                <w:spacing w:val="-4"/>
                <w:szCs w:val="21"/>
              </w:rPr>
            </w:pPr>
            <w:r>
              <w:rPr>
                <w:spacing w:val="-4"/>
                <w:szCs w:val="21"/>
              </w:rPr>
              <w:t>本项目正常排放源</w:t>
            </w:r>
            <w:r>
              <w:rPr>
                <w:spacing w:val="-4"/>
                <w:szCs w:val="21"/>
              </w:rPr>
              <w:sym w:font="Wingdings 2" w:char="0052"/>
            </w:r>
            <w:r>
              <w:rPr>
                <w:spacing w:val="-4"/>
                <w:szCs w:val="21"/>
              </w:rPr>
              <w:t xml:space="preserve"> 本项目非正常排放源 </w:t>
            </w:r>
            <w:r>
              <w:rPr>
                <w:spacing w:val="-4"/>
                <w:szCs w:val="21"/>
              </w:rPr>
              <w:sym w:font="Wingdings 2" w:char="0052"/>
            </w:r>
          </w:p>
          <w:p>
            <w:pPr>
              <w:overflowPunct w:val="0"/>
              <w:adjustRightInd w:val="0"/>
              <w:snapToGrid w:val="0"/>
              <w:jc w:val="center"/>
              <w:rPr>
                <w:rFonts w:eastAsia="等线"/>
                <w:spacing w:val="-4"/>
                <w:szCs w:val="21"/>
              </w:rPr>
            </w:pPr>
            <w:r>
              <w:rPr>
                <w:spacing w:val="-4"/>
                <w:szCs w:val="21"/>
              </w:rPr>
              <w:t>原有污染源 □</w:t>
            </w:r>
          </w:p>
        </w:tc>
        <w:tc>
          <w:tcPr>
            <w:tcW w:w="1415" w:type="dxa"/>
            <w:gridSpan w:val="4"/>
            <w:vAlign w:val="center"/>
          </w:tcPr>
          <w:p>
            <w:pPr>
              <w:overflowPunct w:val="0"/>
              <w:adjustRightInd w:val="0"/>
              <w:snapToGrid w:val="0"/>
              <w:jc w:val="center"/>
              <w:rPr>
                <w:rFonts w:eastAsia="等线"/>
                <w:spacing w:val="-4"/>
                <w:szCs w:val="21"/>
              </w:rPr>
            </w:pPr>
            <w:r>
              <w:rPr>
                <w:spacing w:val="-4"/>
                <w:szCs w:val="21"/>
              </w:rPr>
              <w:t>拟替代的污染源</w:t>
            </w:r>
            <w:r>
              <w:rPr>
                <w:spacing w:val="-4"/>
                <w:szCs w:val="21"/>
              </w:rPr>
              <w:sym w:font="Wingdings 2" w:char="00A3"/>
            </w:r>
          </w:p>
        </w:tc>
        <w:tc>
          <w:tcPr>
            <w:tcW w:w="1606" w:type="dxa"/>
            <w:gridSpan w:val="4"/>
            <w:vAlign w:val="center"/>
          </w:tcPr>
          <w:p>
            <w:pPr>
              <w:overflowPunct w:val="0"/>
              <w:adjustRightInd w:val="0"/>
              <w:snapToGrid w:val="0"/>
              <w:jc w:val="center"/>
              <w:rPr>
                <w:rFonts w:eastAsia="等线"/>
                <w:spacing w:val="-4"/>
                <w:szCs w:val="21"/>
              </w:rPr>
            </w:pPr>
            <w:r>
              <w:rPr>
                <w:spacing w:val="-4"/>
                <w:szCs w:val="21"/>
              </w:rPr>
              <w:t>其他在建、拟建项目污染源□</w:t>
            </w:r>
          </w:p>
        </w:tc>
        <w:tc>
          <w:tcPr>
            <w:tcW w:w="1166" w:type="dxa"/>
            <w:gridSpan w:val="2"/>
            <w:vAlign w:val="center"/>
          </w:tcPr>
          <w:p>
            <w:pPr>
              <w:overflowPunct w:val="0"/>
              <w:adjustRightInd w:val="0"/>
              <w:snapToGrid w:val="0"/>
              <w:jc w:val="center"/>
              <w:rPr>
                <w:rFonts w:eastAsia="等线"/>
                <w:spacing w:val="-4"/>
                <w:szCs w:val="21"/>
              </w:rPr>
            </w:pPr>
            <w:r>
              <w:rPr>
                <w:spacing w:val="-4"/>
                <w:szCs w:val="21"/>
              </w:rPr>
              <w:t>区域污染源□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restart"/>
            <w:vAlign w:val="center"/>
          </w:tcPr>
          <w:p>
            <w:pPr>
              <w:overflowPunct w:val="0"/>
              <w:adjustRightInd w:val="0"/>
              <w:snapToGrid w:val="0"/>
              <w:jc w:val="center"/>
              <w:rPr>
                <w:spacing w:val="-4"/>
                <w:szCs w:val="21"/>
              </w:rPr>
            </w:pPr>
            <w:r>
              <w:rPr>
                <w:spacing w:val="-4"/>
                <w:szCs w:val="21"/>
              </w:rPr>
              <w:t>大气环境影响预测与评价</w:t>
            </w:r>
          </w:p>
        </w:tc>
        <w:tc>
          <w:tcPr>
            <w:tcW w:w="1414" w:type="dxa"/>
            <w:vAlign w:val="center"/>
          </w:tcPr>
          <w:p>
            <w:pPr>
              <w:overflowPunct w:val="0"/>
              <w:adjustRightInd w:val="0"/>
              <w:snapToGrid w:val="0"/>
              <w:jc w:val="center"/>
              <w:rPr>
                <w:rFonts w:eastAsia="等线"/>
                <w:spacing w:val="-4"/>
                <w:szCs w:val="21"/>
              </w:rPr>
            </w:pPr>
            <w:r>
              <w:rPr>
                <w:spacing w:val="-4"/>
                <w:szCs w:val="21"/>
              </w:rPr>
              <w:t>预测模型</w:t>
            </w:r>
          </w:p>
        </w:tc>
        <w:tc>
          <w:tcPr>
            <w:tcW w:w="984" w:type="dxa"/>
            <w:vAlign w:val="center"/>
          </w:tcPr>
          <w:p>
            <w:pPr>
              <w:overflowPunct w:val="0"/>
              <w:adjustRightInd w:val="0"/>
              <w:snapToGrid w:val="0"/>
              <w:jc w:val="center"/>
              <w:rPr>
                <w:rFonts w:eastAsia="等线"/>
                <w:spacing w:val="-10"/>
                <w:szCs w:val="21"/>
              </w:rPr>
            </w:pPr>
            <w:r>
              <w:rPr>
                <w:rFonts w:eastAsia="等线"/>
                <w:spacing w:val="-10"/>
                <w:szCs w:val="21"/>
              </w:rPr>
              <w:t>AERMOD</w:t>
            </w:r>
            <w:r>
              <w:rPr>
                <w:rFonts w:eastAsia="等线"/>
                <w:spacing w:val="-10"/>
                <w:szCs w:val="21"/>
              </w:rPr>
              <w:sym w:font="Wingdings 2" w:char="0052"/>
            </w:r>
          </w:p>
        </w:tc>
        <w:tc>
          <w:tcPr>
            <w:tcW w:w="873" w:type="dxa"/>
            <w:gridSpan w:val="3"/>
            <w:vAlign w:val="center"/>
          </w:tcPr>
          <w:p>
            <w:pPr>
              <w:overflowPunct w:val="0"/>
              <w:adjustRightInd w:val="0"/>
              <w:snapToGrid w:val="0"/>
              <w:jc w:val="center"/>
              <w:rPr>
                <w:rFonts w:eastAsia="等线"/>
                <w:spacing w:val="-10"/>
                <w:szCs w:val="21"/>
              </w:rPr>
            </w:pPr>
            <w:r>
              <w:rPr>
                <w:rFonts w:eastAsia="等线"/>
                <w:spacing w:val="-10"/>
                <w:szCs w:val="21"/>
              </w:rPr>
              <w:t>ADMS</w:t>
            </w:r>
          </w:p>
          <w:p>
            <w:pPr>
              <w:overflowPunct w:val="0"/>
              <w:adjustRightInd w:val="0"/>
              <w:snapToGrid w:val="0"/>
              <w:jc w:val="center"/>
              <w:rPr>
                <w:rFonts w:eastAsia="等线"/>
                <w:spacing w:val="-10"/>
                <w:szCs w:val="21"/>
              </w:rPr>
            </w:pPr>
            <w:r>
              <w:rPr>
                <w:spacing w:val="-10"/>
                <w:szCs w:val="21"/>
              </w:rPr>
              <w:t>□</w:t>
            </w:r>
          </w:p>
        </w:tc>
        <w:tc>
          <w:tcPr>
            <w:tcW w:w="971" w:type="dxa"/>
            <w:gridSpan w:val="3"/>
            <w:vAlign w:val="center"/>
          </w:tcPr>
          <w:p>
            <w:pPr>
              <w:overflowPunct w:val="0"/>
              <w:adjustRightInd w:val="0"/>
              <w:snapToGrid w:val="0"/>
              <w:jc w:val="center"/>
              <w:rPr>
                <w:rFonts w:eastAsia="等线"/>
                <w:spacing w:val="-10"/>
                <w:szCs w:val="21"/>
              </w:rPr>
            </w:pPr>
            <w:r>
              <w:rPr>
                <w:rFonts w:eastAsia="等线"/>
                <w:spacing w:val="-10"/>
                <w:szCs w:val="21"/>
              </w:rPr>
              <w:t>AUSTAL2000</w:t>
            </w:r>
          </w:p>
          <w:p>
            <w:pPr>
              <w:overflowPunct w:val="0"/>
              <w:adjustRightInd w:val="0"/>
              <w:snapToGrid w:val="0"/>
              <w:jc w:val="center"/>
              <w:rPr>
                <w:rFonts w:eastAsia="等线"/>
                <w:spacing w:val="-10"/>
                <w:szCs w:val="21"/>
              </w:rPr>
            </w:pPr>
            <w:r>
              <w:rPr>
                <w:spacing w:val="-10"/>
                <w:szCs w:val="21"/>
              </w:rPr>
              <w:t>□</w:t>
            </w:r>
          </w:p>
        </w:tc>
        <w:tc>
          <w:tcPr>
            <w:tcW w:w="850" w:type="dxa"/>
            <w:gridSpan w:val="3"/>
            <w:vAlign w:val="center"/>
          </w:tcPr>
          <w:p>
            <w:pPr>
              <w:overflowPunct w:val="0"/>
              <w:adjustRightInd w:val="0"/>
              <w:snapToGrid w:val="0"/>
              <w:jc w:val="center"/>
              <w:rPr>
                <w:rFonts w:eastAsia="等线"/>
                <w:spacing w:val="-10"/>
                <w:szCs w:val="21"/>
              </w:rPr>
            </w:pPr>
            <w:r>
              <w:rPr>
                <w:rFonts w:eastAsia="等线"/>
                <w:spacing w:val="-10"/>
                <w:szCs w:val="21"/>
              </w:rPr>
              <w:t>EDMS/AEDT</w:t>
            </w:r>
          </w:p>
          <w:p>
            <w:pPr>
              <w:overflowPunct w:val="0"/>
              <w:adjustRightInd w:val="0"/>
              <w:snapToGrid w:val="0"/>
              <w:jc w:val="center"/>
              <w:rPr>
                <w:rFonts w:eastAsia="等线"/>
                <w:spacing w:val="-10"/>
                <w:szCs w:val="21"/>
              </w:rPr>
            </w:pPr>
            <w:r>
              <w:rPr>
                <w:spacing w:val="-10"/>
                <w:szCs w:val="21"/>
              </w:rPr>
              <w:t>□</w:t>
            </w:r>
          </w:p>
        </w:tc>
        <w:tc>
          <w:tcPr>
            <w:tcW w:w="851" w:type="dxa"/>
            <w:gridSpan w:val="2"/>
            <w:vAlign w:val="center"/>
          </w:tcPr>
          <w:p>
            <w:pPr>
              <w:overflowPunct w:val="0"/>
              <w:adjustRightInd w:val="0"/>
              <w:snapToGrid w:val="0"/>
              <w:jc w:val="center"/>
              <w:rPr>
                <w:rFonts w:eastAsia="等线"/>
                <w:spacing w:val="-10"/>
                <w:szCs w:val="21"/>
              </w:rPr>
            </w:pPr>
            <w:r>
              <w:rPr>
                <w:rFonts w:eastAsia="等线"/>
                <w:spacing w:val="-10"/>
                <w:szCs w:val="21"/>
              </w:rPr>
              <w:t>CALPUFF</w:t>
            </w:r>
            <w:r>
              <w:rPr>
                <w:spacing w:val="-10"/>
                <w:szCs w:val="21"/>
              </w:rPr>
              <w:t>□</w:t>
            </w:r>
          </w:p>
        </w:tc>
        <w:tc>
          <w:tcPr>
            <w:tcW w:w="992" w:type="dxa"/>
            <w:gridSpan w:val="2"/>
            <w:vAlign w:val="center"/>
          </w:tcPr>
          <w:p>
            <w:pPr>
              <w:overflowPunct w:val="0"/>
              <w:adjustRightInd w:val="0"/>
              <w:snapToGrid w:val="0"/>
              <w:jc w:val="center"/>
              <w:rPr>
                <w:rFonts w:eastAsia="等线"/>
                <w:spacing w:val="-10"/>
                <w:szCs w:val="21"/>
              </w:rPr>
            </w:pPr>
            <w:r>
              <w:rPr>
                <w:spacing w:val="-10"/>
                <w:szCs w:val="21"/>
              </w:rPr>
              <w:t>网格模型□</w:t>
            </w:r>
          </w:p>
        </w:tc>
        <w:tc>
          <w:tcPr>
            <w:tcW w:w="642" w:type="dxa"/>
            <w:vAlign w:val="center"/>
          </w:tcPr>
          <w:p>
            <w:pPr>
              <w:overflowPunct w:val="0"/>
              <w:adjustRightInd w:val="0"/>
              <w:snapToGrid w:val="0"/>
              <w:jc w:val="center"/>
              <w:rPr>
                <w:spacing w:val="-10"/>
                <w:szCs w:val="21"/>
              </w:rPr>
            </w:pPr>
            <w:r>
              <w:rPr>
                <w:spacing w:val="-10"/>
                <w:szCs w:val="21"/>
              </w:rPr>
              <w:t>其他</w:t>
            </w:r>
          </w:p>
          <w:p>
            <w:pPr>
              <w:overflowPunct w:val="0"/>
              <w:adjustRightInd w:val="0"/>
              <w:snapToGrid w:val="0"/>
              <w:jc w:val="center"/>
              <w:rPr>
                <w:rFonts w:eastAsia="等线"/>
                <w:spacing w:val="-10"/>
                <w:szCs w:val="21"/>
              </w:rPr>
            </w:pPr>
            <w:r>
              <w:rPr>
                <w:spacing w:val="-1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预测范围</w:t>
            </w:r>
          </w:p>
        </w:tc>
        <w:tc>
          <w:tcPr>
            <w:tcW w:w="1857" w:type="dxa"/>
            <w:gridSpan w:val="4"/>
            <w:vAlign w:val="center"/>
          </w:tcPr>
          <w:p>
            <w:pPr>
              <w:overflowPunct w:val="0"/>
              <w:adjustRightInd w:val="0"/>
              <w:snapToGrid w:val="0"/>
              <w:jc w:val="center"/>
              <w:rPr>
                <w:rFonts w:eastAsia="等线"/>
                <w:spacing w:val="-4"/>
                <w:szCs w:val="21"/>
              </w:rPr>
            </w:pPr>
            <w:r>
              <w:rPr>
                <w:spacing w:val="-4"/>
                <w:szCs w:val="21"/>
              </w:rPr>
              <w:t>边长≥ 50 km□</w:t>
            </w:r>
          </w:p>
        </w:tc>
        <w:tc>
          <w:tcPr>
            <w:tcW w:w="2672" w:type="dxa"/>
            <w:gridSpan w:val="8"/>
            <w:vAlign w:val="center"/>
          </w:tcPr>
          <w:p>
            <w:pPr>
              <w:overflowPunct w:val="0"/>
              <w:adjustRightInd w:val="0"/>
              <w:snapToGrid w:val="0"/>
              <w:jc w:val="center"/>
              <w:rPr>
                <w:rFonts w:eastAsia="等线"/>
                <w:spacing w:val="-4"/>
                <w:szCs w:val="21"/>
              </w:rPr>
            </w:pPr>
            <w:r>
              <w:rPr>
                <w:spacing w:val="-4"/>
                <w:szCs w:val="21"/>
              </w:rPr>
              <w:t>边长 5～50 km □</w:t>
            </w:r>
          </w:p>
        </w:tc>
        <w:tc>
          <w:tcPr>
            <w:tcW w:w="1634" w:type="dxa"/>
            <w:gridSpan w:val="3"/>
            <w:vAlign w:val="center"/>
          </w:tcPr>
          <w:p>
            <w:pPr>
              <w:overflowPunct w:val="0"/>
              <w:adjustRightInd w:val="0"/>
              <w:snapToGrid w:val="0"/>
              <w:jc w:val="center"/>
              <w:rPr>
                <w:spacing w:val="-4"/>
                <w:szCs w:val="21"/>
              </w:rPr>
            </w:pPr>
            <w:r>
              <w:rPr>
                <w:spacing w:val="-4"/>
                <w:szCs w:val="21"/>
              </w:rPr>
              <w:t>边长 = 5 km</w:t>
            </w:r>
            <w:r>
              <w:rPr>
                <w:spacing w:val="-4"/>
                <w:szCs w:val="21"/>
              </w:rPr>
              <w:sym w:font="Wingdings 2" w:char="0052"/>
            </w:r>
            <w:r>
              <w:rPr>
                <w:spacing w:val="-4"/>
                <w:szCs w:val="21"/>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预测因子</w:t>
            </w:r>
          </w:p>
        </w:tc>
        <w:tc>
          <w:tcPr>
            <w:tcW w:w="3391" w:type="dxa"/>
            <w:gridSpan w:val="9"/>
            <w:vAlign w:val="center"/>
          </w:tcPr>
          <w:p>
            <w:pPr>
              <w:tabs>
                <w:tab w:val="left" w:pos="2852"/>
              </w:tabs>
              <w:overflowPunct w:val="0"/>
              <w:adjustRightInd w:val="0"/>
              <w:snapToGrid w:val="0"/>
              <w:jc w:val="center"/>
              <w:rPr>
                <w:rFonts w:eastAsia="等线"/>
                <w:spacing w:val="-4"/>
                <w:szCs w:val="21"/>
              </w:rPr>
            </w:pPr>
            <w:r>
              <w:rPr>
                <w:spacing w:val="-4"/>
                <w:szCs w:val="21"/>
              </w:rPr>
              <w:t>预测因子（TSP）</w:t>
            </w:r>
          </w:p>
        </w:tc>
        <w:tc>
          <w:tcPr>
            <w:tcW w:w="2772" w:type="dxa"/>
            <w:gridSpan w:val="6"/>
            <w:vAlign w:val="center"/>
          </w:tcPr>
          <w:p>
            <w:pPr>
              <w:overflowPunct w:val="0"/>
              <w:adjustRightInd w:val="0"/>
              <w:snapToGrid w:val="0"/>
              <w:jc w:val="center"/>
              <w:rPr>
                <w:spacing w:val="-4"/>
                <w:szCs w:val="21"/>
              </w:rPr>
            </w:pPr>
            <w:r>
              <w:rPr>
                <w:spacing w:val="-4"/>
                <w:szCs w:val="21"/>
              </w:rPr>
              <w:t>包括二次 PM2.5 □</w:t>
            </w:r>
          </w:p>
          <w:p>
            <w:pPr>
              <w:overflowPunct w:val="0"/>
              <w:adjustRightInd w:val="0"/>
              <w:snapToGrid w:val="0"/>
              <w:jc w:val="center"/>
              <w:rPr>
                <w:rFonts w:eastAsia="等线"/>
                <w:spacing w:val="-4"/>
                <w:szCs w:val="21"/>
              </w:rPr>
            </w:pPr>
            <w:r>
              <w:rPr>
                <w:spacing w:val="-4"/>
                <w:szCs w:val="21"/>
              </w:rPr>
              <w:t>不包括二次 PM2.5</w:t>
            </w:r>
            <w:r>
              <w:rPr>
                <w:spacing w:val="-4"/>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正常排放短期浓度贡献值</w:t>
            </w:r>
          </w:p>
        </w:tc>
        <w:tc>
          <w:tcPr>
            <w:tcW w:w="3391" w:type="dxa"/>
            <w:gridSpan w:val="9"/>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本项目最大占标率≤100%</w:t>
            </w:r>
            <w:r>
              <w:rPr>
                <w:spacing w:val="-4"/>
                <w:szCs w:val="21"/>
              </w:rPr>
              <w:sym w:font="Wingdings 2" w:char="0052"/>
            </w:r>
          </w:p>
        </w:tc>
        <w:tc>
          <w:tcPr>
            <w:tcW w:w="2772" w:type="dxa"/>
            <w:gridSpan w:val="6"/>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本项目最大占标率＞100%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Merge w:val="restart"/>
            <w:vAlign w:val="center"/>
          </w:tcPr>
          <w:p>
            <w:pPr>
              <w:overflowPunct w:val="0"/>
              <w:adjustRightInd w:val="0"/>
              <w:snapToGrid w:val="0"/>
              <w:jc w:val="center"/>
              <w:rPr>
                <w:rFonts w:eastAsia="等线"/>
                <w:spacing w:val="-4"/>
                <w:szCs w:val="21"/>
              </w:rPr>
            </w:pPr>
            <w:r>
              <w:rPr>
                <w:spacing w:val="-4"/>
                <w:szCs w:val="21"/>
              </w:rPr>
              <w:t>正常排放年均浓度贡献值</w:t>
            </w:r>
          </w:p>
        </w:tc>
        <w:tc>
          <w:tcPr>
            <w:tcW w:w="984" w:type="dxa"/>
            <w:vAlign w:val="center"/>
          </w:tcPr>
          <w:p>
            <w:pPr>
              <w:overflowPunct w:val="0"/>
              <w:adjustRightInd w:val="0"/>
              <w:snapToGrid w:val="0"/>
              <w:jc w:val="center"/>
              <w:rPr>
                <w:rFonts w:eastAsia="等线"/>
                <w:spacing w:val="-4"/>
                <w:szCs w:val="21"/>
              </w:rPr>
            </w:pPr>
            <w:r>
              <w:rPr>
                <w:spacing w:val="-4"/>
                <w:szCs w:val="21"/>
              </w:rPr>
              <w:t>一类区</w:t>
            </w:r>
          </w:p>
        </w:tc>
        <w:tc>
          <w:tcPr>
            <w:tcW w:w="2407" w:type="dxa"/>
            <w:gridSpan w:val="8"/>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本项目最大占标率≤10%□</w:t>
            </w:r>
          </w:p>
        </w:tc>
        <w:tc>
          <w:tcPr>
            <w:tcW w:w="2772" w:type="dxa"/>
            <w:gridSpan w:val="6"/>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本项目最大标率＞10%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Merge w:val="continue"/>
            <w:vAlign w:val="center"/>
          </w:tcPr>
          <w:p>
            <w:pPr>
              <w:widowControl/>
              <w:adjustRightInd w:val="0"/>
              <w:snapToGrid w:val="0"/>
              <w:jc w:val="center"/>
              <w:rPr>
                <w:rFonts w:eastAsia="等线"/>
                <w:spacing w:val="-4"/>
                <w:szCs w:val="21"/>
              </w:rPr>
            </w:pPr>
          </w:p>
        </w:tc>
        <w:tc>
          <w:tcPr>
            <w:tcW w:w="984" w:type="dxa"/>
            <w:vAlign w:val="center"/>
          </w:tcPr>
          <w:p>
            <w:pPr>
              <w:overflowPunct w:val="0"/>
              <w:adjustRightInd w:val="0"/>
              <w:snapToGrid w:val="0"/>
              <w:jc w:val="center"/>
              <w:rPr>
                <w:rFonts w:eastAsia="等线"/>
                <w:spacing w:val="-4"/>
                <w:szCs w:val="21"/>
              </w:rPr>
            </w:pPr>
            <w:r>
              <w:rPr>
                <w:spacing w:val="-4"/>
                <w:szCs w:val="21"/>
              </w:rPr>
              <w:t>二类区</w:t>
            </w:r>
          </w:p>
        </w:tc>
        <w:tc>
          <w:tcPr>
            <w:tcW w:w="2407" w:type="dxa"/>
            <w:gridSpan w:val="8"/>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本项目最大占标率≤30%□</w:t>
            </w:r>
          </w:p>
        </w:tc>
        <w:tc>
          <w:tcPr>
            <w:tcW w:w="2772" w:type="dxa"/>
            <w:gridSpan w:val="6"/>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本项目最大标率＞30%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非正常排放1 h浓度贡献值</w:t>
            </w:r>
          </w:p>
        </w:tc>
        <w:tc>
          <w:tcPr>
            <w:tcW w:w="1471" w:type="dxa"/>
            <w:gridSpan w:val="3"/>
            <w:vAlign w:val="center"/>
          </w:tcPr>
          <w:p>
            <w:pPr>
              <w:overflowPunct w:val="0"/>
              <w:adjustRightInd w:val="0"/>
              <w:snapToGrid w:val="0"/>
              <w:jc w:val="center"/>
              <w:rPr>
                <w:spacing w:val="-4"/>
                <w:szCs w:val="21"/>
              </w:rPr>
            </w:pPr>
            <w:r>
              <w:rPr>
                <w:spacing w:val="-4"/>
                <w:szCs w:val="21"/>
              </w:rPr>
              <w:t>非正常持续时长</w:t>
            </w:r>
          </w:p>
          <w:p>
            <w:pPr>
              <w:overflowPunct w:val="0"/>
              <w:adjustRightInd w:val="0"/>
              <w:snapToGrid w:val="0"/>
              <w:jc w:val="center"/>
              <w:rPr>
                <w:rFonts w:eastAsia="等线"/>
                <w:spacing w:val="-4"/>
                <w:szCs w:val="21"/>
              </w:rPr>
            </w:pPr>
            <w:r>
              <w:rPr>
                <w:spacing w:val="-4"/>
                <w:szCs w:val="21"/>
              </w:rPr>
              <w:t>（  ）h</w:t>
            </w:r>
          </w:p>
        </w:tc>
        <w:tc>
          <w:tcPr>
            <w:tcW w:w="2737" w:type="dxa"/>
            <w:gridSpan w:val="8"/>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vertAlign w:val="subscript"/>
              </w:rPr>
              <w:t>非正常</w:t>
            </w:r>
            <w:r>
              <w:rPr>
                <w:spacing w:val="-4"/>
                <w:szCs w:val="21"/>
              </w:rPr>
              <w:t>占标率≤100% □</w:t>
            </w:r>
          </w:p>
        </w:tc>
        <w:tc>
          <w:tcPr>
            <w:tcW w:w="1955" w:type="dxa"/>
            <w:gridSpan w:val="4"/>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vertAlign w:val="subscript"/>
              </w:rPr>
              <w:t>非正常</w:t>
            </w:r>
            <w:r>
              <w:rPr>
                <w:spacing w:val="-4"/>
                <w:szCs w:val="21"/>
              </w:rPr>
              <w:t>占标率＞100%□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保证率日平均浓度和年平均浓度叠加值</w:t>
            </w:r>
          </w:p>
        </w:tc>
        <w:tc>
          <w:tcPr>
            <w:tcW w:w="3058" w:type="dxa"/>
            <w:gridSpan w:val="8"/>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 xml:space="preserve">叠加达标 </w:t>
            </w:r>
            <w:r>
              <w:rPr>
                <w:spacing w:val="-4"/>
                <w:szCs w:val="21"/>
              </w:rPr>
              <w:sym w:font="Wingdings 2" w:char="0052"/>
            </w:r>
          </w:p>
        </w:tc>
        <w:tc>
          <w:tcPr>
            <w:tcW w:w="3105" w:type="dxa"/>
            <w:gridSpan w:val="7"/>
            <w:vAlign w:val="center"/>
          </w:tcPr>
          <w:p>
            <w:pPr>
              <w:overflowPunct w:val="0"/>
              <w:adjustRightInd w:val="0"/>
              <w:snapToGrid w:val="0"/>
              <w:jc w:val="center"/>
              <w:rPr>
                <w:rFonts w:eastAsia="等线"/>
                <w:spacing w:val="-4"/>
                <w:szCs w:val="21"/>
              </w:rPr>
            </w:pPr>
            <w:r>
              <w:rPr>
                <w:rFonts w:eastAsia="等线"/>
                <w:i/>
                <w:iCs/>
                <w:spacing w:val="-4"/>
                <w:szCs w:val="21"/>
              </w:rPr>
              <w:t xml:space="preserve">C </w:t>
            </w:r>
            <w:r>
              <w:rPr>
                <w:spacing w:val="-4"/>
                <w:szCs w:val="21"/>
              </w:rPr>
              <w:t>叠加不达标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区域环境质量的整体变化情况</w:t>
            </w:r>
          </w:p>
        </w:tc>
        <w:tc>
          <w:tcPr>
            <w:tcW w:w="3058" w:type="dxa"/>
            <w:gridSpan w:val="8"/>
            <w:vAlign w:val="center"/>
          </w:tcPr>
          <w:p>
            <w:pPr>
              <w:overflowPunct w:val="0"/>
              <w:adjustRightInd w:val="0"/>
              <w:snapToGrid w:val="0"/>
              <w:jc w:val="center"/>
              <w:rPr>
                <w:rFonts w:eastAsia="等线"/>
                <w:spacing w:val="-4"/>
                <w:szCs w:val="21"/>
              </w:rPr>
            </w:pPr>
            <w:r>
              <w:rPr>
                <w:rFonts w:eastAsia="等线"/>
                <w:i/>
                <w:iCs/>
                <w:spacing w:val="-4"/>
                <w:szCs w:val="21"/>
              </w:rPr>
              <w:t xml:space="preserve">k </w:t>
            </w:r>
            <w:r>
              <w:rPr>
                <w:spacing w:val="-4"/>
                <w:szCs w:val="21"/>
              </w:rPr>
              <w:t xml:space="preserve">≤−20% </w:t>
            </w:r>
            <w:r>
              <w:rPr>
                <w:spacing w:val="-4"/>
                <w:szCs w:val="21"/>
              </w:rPr>
              <w:sym w:font="Wingdings 2" w:char="00A3"/>
            </w:r>
          </w:p>
        </w:tc>
        <w:tc>
          <w:tcPr>
            <w:tcW w:w="3105" w:type="dxa"/>
            <w:gridSpan w:val="7"/>
            <w:vAlign w:val="center"/>
          </w:tcPr>
          <w:p>
            <w:pPr>
              <w:overflowPunct w:val="0"/>
              <w:adjustRightInd w:val="0"/>
              <w:snapToGrid w:val="0"/>
              <w:jc w:val="center"/>
              <w:rPr>
                <w:rFonts w:eastAsia="等线"/>
                <w:spacing w:val="-4"/>
                <w:szCs w:val="21"/>
              </w:rPr>
            </w:pPr>
            <w:r>
              <w:rPr>
                <w:rFonts w:eastAsia="等线"/>
                <w:i/>
                <w:iCs/>
                <w:spacing w:val="-4"/>
                <w:szCs w:val="21"/>
              </w:rPr>
              <w:t>k</w:t>
            </w:r>
            <w:r>
              <w:rPr>
                <w:spacing w:val="-4"/>
                <w:szCs w:val="21"/>
              </w:rPr>
              <w:t>＞−20%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restart"/>
            <w:vAlign w:val="center"/>
          </w:tcPr>
          <w:p>
            <w:pPr>
              <w:overflowPunct w:val="0"/>
              <w:adjustRightInd w:val="0"/>
              <w:snapToGrid w:val="0"/>
              <w:jc w:val="center"/>
              <w:rPr>
                <w:rFonts w:eastAsia="等线"/>
                <w:spacing w:val="-4"/>
                <w:szCs w:val="21"/>
              </w:rPr>
            </w:pPr>
            <w:r>
              <w:rPr>
                <w:spacing w:val="-4"/>
                <w:szCs w:val="21"/>
              </w:rPr>
              <w:t>环境监测计划</w:t>
            </w:r>
          </w:p>
        </w:tc>
        <w:tc>
          <w:tcPr>
            <w:tcW w:w="1414" w:type="dxa"/>
            <w:vAlign w:val="center"/>
          </w:tcPr>
          <w:p>
            <w:pPr>
              <w:overflowPunct w:val="0"/>
              <w:adjustRightInd w:val="0"/>
              <w:snapToGrid w:val="0"/>
              <w:jc w:val="center"/>
              <w:rPr>
                <w:rFonts w:eastAsia="等线"/>
                <w:spacing w:val="-4"/>
                <w:szCs w:val="21"/>
              </w:rPr>
            </w:pPr>
            <w:r>
              <w:rPr>
                <w:spacing w:val="-4"/>
                <w:szCs w:val="21"/>
              </w:rPr>
              <w:t>污染源监测</w:t>
            </w:r>
          </w:p>
        </w:tc>
        <w:tc>
          <w:tcPr>
            <w:tcW w:w="2828" w:type="dxa"/>
            <w:gridSpan w:val="7"/>
            <w:vAlign w:val="center"/>
          </w:tcPr>
          <w:p>
            <w:pPr>
              <w:overflowPunct w:val="0"/>
              <w:adjustRightInd w:val="0"/>
              <w:snapToGrid w:val="0"/>
              <w:jc w:val="center"/>
              <w:rPr>
                <w:rFonts w:eastAsia="等线"/>
                <w:spacing w:val="-4"/>
                <w:szCs w:val="21"/>
              </w:rPr>
            </w:pPr>
            <w:r>
              <w:rPr>
                <w:spacing w:val="-4"/>
                <w:szCs w:val="21"/>
              </w:rPr>
              <w:t>监测因子：</w:t>
            </w:r>
            <w:r>
              <w:rPr>
                <w:rFonts w:hint="eastAsia"/>
                <w:spacing w:val="-4"/>
                <w:szCs w:val="21"/>
              </w:rPr>
              <w:t>TSP</w:t>
            </w:r>
          </w:p>
        </w:tc>
        <w:tc>
          <w:tcPr>
            <w:tcW w:w="2169" w:type="dxa"/>
            <w:gridSpan w:val="6"/>
            <w:vAlign w:val="center"/>
          </w:tcPr>
          <w:p>
            <w:pPr>
              <w:overflowPunct w:val="0"/>
              <w:adjustRightInd w:val="0"/>
              <w:snapToGrid w:val="0"/>
              <w:jc w:val="center"/>
              <w:rPr>
                <w:spacing w:val="-4"/>
                <w:szCs w:val="21"/>
              </w:rPr>
            </w:pPr>
            <w:r>
              <w:rPr>
                <w:spacing w:val="-4"/>
                <w:szCs w:val="21"/>
              </w:rPr>
              <w:t xml:space="preserve">有组织废气监测□ </w:t>
            </w:r>
          </w:p>
          <w:p>
            <w:pPr>
              <w:overflowPunct w:val="0"/>
              <w:adjustRightInd w:val="0"/>
              <w:snapToGrid w:val="0"/>
              <w:jc w:val="center"/>
              <w:rPr>
                <w:rFonts w:eastAsia="等线"/>
                <w:spacing w:val="-4"/>
                <w:szCs w:val="21"/>
              </w:rPr>
            </w:pPr>
            <w:r>
              <w:rPr>
                <w:spacing w:val="-4"/>
                <w:szCs w:val="21"/>
              </w:rPr>
              <w:t xml:space="preserve">无组织废气监测 </w:t>
            </w:r>
            <w:r>
              <w:rPr>
                <w:spacing w:val="-4"/>
                <w:szCs w:val="21"/>
              </w:rPr>
              <w:sym w:font="Wingdings 2" w:char="0052"/>
            </w:r>
            <w:r>
              <w:rPr>
                <w:spacing w:val="-4"/>
                <w:szCs w:val="21"/>
              </w:rPr>
              <w:t></w:t>
            </w:r>
          </w:p>
        </w:tc>
        <w:tc>
          <w:tcPr>
            <w:tcW w:w="1166" w:type="dxa"/>
            <w:gridSpan w:val="2"/>
            <w:vAlign w:val="center"/>
          </w:tcPr>
          <w:p>
            <w:pPr>
              <w:overflowPunct w:val="0"/>
              <w:adjustRightInd w:val="0"/>
              <w:snapToGrid w:val="0"/>
              <w:jc w:val="center"/>
              <w:rPr>
                <w:rFonts w:eastAsia="等线"/>
                <w:spacing w:val="-4"/>
                <w:szCs w:val="21"/>
              </w:rPr>
            </w:pPr>
            <w:r>
              <w:rPr>
                <w:spacing w:val="-4"/>
                <w:szCs w:val="21"/>
              </w:rPr>
              <w:t>无监测□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环境质量监测</w:t>
            </w:r>
          </w:p>
        </w:tc>
        <w:tc>
          <w:tcPr>
            <w:tcW w:w="2828" w:type="dxa"/>
            <w:gridSpan w:val="7"/>
            <w:vAlign w:val="center"/>
          </w:tcPr>
          <w:p>
            <w:pPr>
              <w:adjustRightInd w:val="0"/>
              <w:snapToGrid w:val="0"/>
              <w:jc w:val="center"/>
              <w:rPr>
                <w:spacing w:val="-4"/>
                <w:szCs w:val="21"/>
              </w:rPr>
            </w:pPr>
            <w:r>
              <w:rPr>
                <w:rFonts w:hint="eastAsia"/>
                <w:spacing w:val="-4"/>
                <w:szCs w:val="21"/>
              </w:rPr>
              <w:t>TSP、臭气浓度</w:t>
            </w:r>
          </w:p>
        </w:tc>
        <w:tc>
          <w:tcPr>
            <w:tcW w:w="2169" w:type="dxa"/>
            <w:gridSpan w:val="6"/>
            <w:vAlign w:val="center"/>
          </w:tcPr>
          <w:p>
            <w:pPr>
              <w:tabs>
                <w:tab w:val="left" w:pos="1810"/>
              </w:tabs>
              <w:overflowPunct w:val="0"/>
              <w:adjustRightInd w:val="0"/>
              <w:snapToGrid w:val="0"/>
              <w:jc w:val="center"/>
              <w:rPr>
                <w:rFonts w:eastAsia="等线"/>
                <w:spacing w:val="-4"/>
                <w:szCs w:val="21"/>
              </w:rPr>
            </w:pPr>
            <w:r>
              <w:rPr>
                <w:spacing w:val="-4"/>
                <w:szCs w:val="21"/>
              </w:rPr>
              <w:t>监测点位数（2）</w:t>
            </w:r>
          </w:p>
        </w:tc>
        <w:tc>
          <w:tcPr>
            <w:tcW w:w="1166" w:type="dxa"/>
            <w:gridSpan w:val="2"/>
            <w:vAlign w:val="center"/>
          </w:tcPr>
          <w:p>
            <w:pPr>
              <w:overflowPunct w:val="0"/>
              <w:adjustRightInd w:val="0"/>
              <w:snapToGrid w:val="0"/>
              <w:jc w:val="center"/>
              <w:rPr>
                <w:rFonts w:eastAsia="等线"/>
                <w:spacing w:val="-4"/>
                <w:szCs w:val="21"/>
              </w:rPr>
            </w:pPr>
            <w:r>
              <w:rPr>
                <w:spacing w:val="-4"/>
                <w:szCs w:val="21"/>
              </w:rPr>
              <w:t>无监测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restart"/>
            <w:vAlign w:val="center"/>
          </w:tcPr>
          <w:p>
            <w:pPr>
              <w:overflowPunct w:val="0"/>
              <w:adjustRightInd w:val="0"/>
              <w:snapToGrid w:val="0"/>
              <w:jc w:val="center"/>
              <w:rPr>
                <w:rFonts w:eastAsia="等线"/>
                <w:spacing w:val="-4"/>
                <w:szCs w:val="21"/>
              </w:rPr>
            </w:pPr>
            <w:r>
              <w:rPr>
                <w:spacing w:val="-4"/>
                <w:szCs w:val="21"/>
              </w:rPr>
              <w:t>评价结论</w:t>
            </w:r>
          </w:p>
        </w:tc>
        <w:tc>
          <w:tcPr>
            <w:tcW w:w="1414" w:type="dxa"/>
            <w:vAlign w:val="center"/>
          </w:tcPr>
          <w:p>
            <w:pPr>
              <w:overflowPunct w:val="0"/>
              <w:adjustRightInd w:val="0"/>
              <w:snapToGrid w:val="0"/>
              <w:jc w:val="center"/>
              <w:rPr>
                <w:rFonts w:eastAsia="等线"/>
                <w:spacing w:val="-4"/>
                <w:szCs w:val="21"/>
              </w:rPr>
            </w:pPr>
            <w:r>
              <w:rPr>
                <w:spacing w:val="-4"/>
                <w:szCs w:val="21"/>
              </w:rPr>
              <w:t>环境影响</w:t>
            </w:r>
          </w:p>
        </w:tc>
        <w:tc>
          <w:tcPr>
            <w:tcW w:w="6163" w:type="dxa"/>
            <w:gridSpan w:val="15"/>
            <w:vAlign w:val="center"/>
          </w:tcPr>
          <w:p>
            <w:pPr>
              <w:adjustRightInd w:val="0"/>
              <w:snapToGrid w:val="0"/>
              <w:jc w:val="center"/>
              <w:rPr>
                <w:spacing w:val="-4"/>
                <w:szCs w:val="21"/>
              </w:rPr>
            </w:pPr>
            <w:r>
              <w:rPr>
                <w:spacing w:val="-4"/>
                <w:szCs w:val="21"/>
              </w:rPr>
              <w:t>可以接受</w:t>
            </w:r>
            <w:r>
              <w:rPr>
                <w:spacing w:val="-4"/>
                <w:szCs w:val="21"/>
              </w:rPr>
              <w:sym w:font="Wingdings 2" w:char="0052"/>
            </w:r>
            <w:r>
              <w:rPr>
                <w:spacing w:val="-4"/>
                <w:szCs w:val="21"/>
              </w:rPr>
              <w:t xml:space="preserve">       不可以接受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大气环境防护距离</w:t>
            </w:r>
          </w:p>
        </w:tc>
        <w:tc>
          <w:tcPr>
            <w:tcW w:w="6163" w:type="dxa"/>
            <w:gridSpan w:val="15"/>
            <w:vAlign w:val="center"/>
          </w:tcPr>
          <w:p>
            <w:pPr>
              <w:tabs>
                <w:tab w:val="left" w:pos="2762"/>
                <w:tab w:val="left" w:pos="4112"/>
              </w:tabs>
              <w:overflowPunct w:val="0"/>
              <w:adjustRightInd w:val="0"/>
              <w:snapToGrid w:val="0"/>
              <w:jc w:val="center"/>
              <w:rPr>
                <w:rFonts w:eastAsia="等线"/>
                <w:spacing w:val="-4"/>
                <w:szCs w:val="21"/>
              </w:rPr>
            </w:pPr>
            <w:r>
              <w:rPr>
                <w:spacing w:val="-4"/>
                <w:szCs w:val="21"/>
              </w:rPr>
              <w:t>距 厂界最远（50）m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710" w:type="dxa"/>
            <w:vMerge w:val="continue"/>
            <w:vAlign w:val="center"/>
          </w:tcPr>
          <w:p>
            <w:pPr>
              <w:widowControl/>
              <w:adjustRightInd w:val="0"/>
              <w:snapToGrid w:val="0"/>
              <w:jc w:val="center"/>
              <w:rPr>
                <w:rFonts w:eastAsia="等线"/>
                <w:spacing w:val="-4"/>
                <w:szCs w:val="21"/>
              </w:rPr>
            </w:pPr>
          </w:p>
        </w:tc>
        <w:tc>
          <w:tcPr>
            <w:tcW w:w="1414" w:type="dxa"/>
            <w:vAlign w:val="center"/>
          </w:tcPr>
          <w:p>
            <w:pPr>
              <w:overflowPunct w:val="0"/>
              <w:adjustRightInd w:val="0"/>
              <w:snapToGrid w:val="0"/>
              <w:jc w:val="center"/>
              <w:rPr>
                <w:rFonts w:eastAsia="等线"/>
                <w:spacing w:val="-4"/>
                <w:szCs w:val="21"/>
              </w:rPr>
            </w:pPr>
            <w:r>
              <w:rPr>
                <w:spacing w:val="-4"/>
                <w:szCs w:val="21"/>
              </w:rPr>
              <w:t>污染源年排放量</w:t>
            </w:r>
          </w:p>
        </w:tc>
        <w:tc>
          <w:tcPr>
            <w:tcW w:w="6163" w:type="dxa"/>
            <w:gridSpan w:val="15"/>
            <w:vAlign w:val="center"/>
          </w:tcPr>
          <w:p>
            <w:pPr>
              <w:overflowPunct w:val="0"/>
              <w:adjustRightInd w:val="0"/>
              <w:snapToGrid w:val="0"/>
              <w:jc w:val="center"/>
              <w:rPr>
                <w:spacing w:val="-4"/>
                <w:szCs w:val="21"/>
              </w:rPr>
            </w:pPr>
            <w:r>
              <w:rPr>
                <w:spacing w:val="-4"/>
                <w:szCs w:val="21"/>
              </w:rPr>
              <w:t>颗粒物0.05622t/a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8287" w:type="dxa"/>
            <w:gridSpan w:val="17"/>
            <w:vAlign w:val="center"/>
          </w:tcPr>
          <w:p>
            <w:pPr>
              <w:overflowPunct w:val="0"/>
              <w:adjustRightInd w:val="0"/>
              <w:snapToGrid w:val="0"/>
              <w:jc w:val="center"/>
              <w:rPr>
                <w:rFonts w:eastAsia="等线"/>
                <w:spacing w:val="-4"/>
                <w:szCs w:val="21"/>
              </w:rPr>
            </w:pPr>
            <w:r>
              <w:rPr>
                <w:spacing w:val="-4"/>
                <w:szCs w:val="21"/>
              </w:rPr>
              <w:t>注：“□” 为勾选项，填“√”；“（）”为内容填写项</w:t>
            </w:r>
          </w:p>
        </w:tc>
      </w:tr>
      <w:bookmarkEnd w:id="130"/>
    </w:tbl>
    <w:p>
      <w:pPr>
        <w:keepNext/>
        <w:keepLines/>
        <w:numPr>
          <w:ilvl w:val="1"/>
          <w:numId w:val="5"/>
        </w:numPr>
        <w:tabs>
          <w:tab w:val="left" w:pos="432"/>
          <w:tab w:val="left" w:pos="720"/>
          <w:tab w:val="clear" w:pos="862"/>
        </w:tabs>
        <w:adjustRightInd w:val="0"/>
        <w:snapToGrid w:val="0"/>
        <w:spacing w:before="156" w:beforeLines="50" w:line="360" w:lineRule="auto"/>
        <w:ind w:left="397"/>
        <w:outlineLvl w:val="1"/>
        <w:rPr>
          <w:b/>
          <w:bCs/>
          <w:sz w:val="30"/>
          <w:szCs w:val="30"/>
        </w:rPr>
      </w:pPr>
      <w:bookmarkStart w:id="132" w:name="_Toc88472192"/>
      <w:bookmarkStart w:id="133" w:name="_Toc94101225"/>
      <w:r>
        <w:rPr>
          <w:b/>
          <w:bCs/>
          <w:sz w:val="30"/>
          <w:szCs w:val="30"/>
        </w:rPr>
        <w:t>运营期地下水环境影响分析</w:t>
      </w:r>
      <w:bookmarkEnd w:id="132"/>
      <w:bookmarkEnd w:id="133"/>
    </w:p>
    <w:p>
      <w:pPr>
        <w:keepNext/>
        <w:keepLines/>
        <w:numPr>
          <w:ilvl w:val="2"/>
          <w:numId w:val="5"/>
        </w:numPr>
        <w:tabs>
          <w:tab w:val="left" w:pos="432"/>
          <w:tab w:val="left" w:pos="567"/>
          <w:tab w:val="left" w:pos="1021"/>
          <w:tab w:val="left" w:pos="1873"/>
          <w:tab w:val="clear" w:pos="1163"/>
        </w:tabs>
        <w:adjustRightInd w:val="0"/>
        <w:snapToGrid w:val="0"/>
        <w:spacing w:before="156" w:beforeLines="50" w:after="156" w:afterLines="50"/>
        <w:ind w:left="1021"/>
        <w:jc w:val="left"/>
        <w:outlineLvl w:val="2"/>
        <w:rPr>
          <w:b/>
          <w:bCs/>
          <w:snapToGrid w:val="0"/>
          <w:sz w:val="28"/>
          <w:szCs w:val="28"/>
        </w:rPr>
      </w:pPr>
      <w:r>
        <w:rPr>
          <w:rFonts w:hint="eastAsia"/>
          <w:b/>
          <w:bCs/>
          <w:snapToGrid w:val="0"/>
          <w:sz w:val="28"/>
          <w:szCs w:val="28"/>
        </w:rPr>
        <w:t>区域地质、水文地质条件</w:t>
      </w:r>
    </w:p>
    <w:p>
      <w:pPr>
        <w:tabs>
          <w:tab w:val="left" w:pos="1080"/>
        </w:tabs>
        <w:adjustRightInd w:val="0"/>
        <w:snapToGrid w:val="0"/>
        <w:spacing w:line="360" w:lineRule="auto"/>
        <w:ind w:firstLine="480" w:firstLineChars="200"/>
        <w:rPr>
          <w:snapToGrid w:val="0"/>
          <w:sz w:val="24"/>
          <w:szCs w:val="24"/>
        </w:rPr>
      </w:pPr>
      <w:r>
        <w:rPr>
          <w:rFonts w:hint="eastAsia"/>
          <w:snapToGrid w:val="0"/>
          <w:sz w:val="24"/>
          <w:szCs w:val="24"/>
        </w:rPr>
        <w:t>（1）地形地貌</w:t>
      </w:r>
    </w:p>
    <w:p>
      <w:pPr>
        <w:tabs>
          <w:tab w:val="left" w:pos="1080"/>
        </w:tabs>
        <w:adjustRightInd w:val="0"/>
        <w:snapToGrid w:val="0"/>
        <w:spacing w:line="360" w:lineRule="auto"/>
        <w:ind w:firstLine="480" w:firstLineChars="200"/>
        <w:rPr>
          <w:snapToGrid w:val="0"/>
          <w:sz w:val="24"/>
          <w:szCs w:val="24"/>
        </w:rPr>
      </w:pPr>
      <w:r>
        <w:rPr>
          <w:rFonts w:hint="eastAsia"/>
          <w:snapToGrid w:val="0"/>
          <w:sz w:val="24"/>
          <w:szCs w:val="24"/>
        </w:rPr>
        <w:t>本区位于冀北山地燕山山脉北段，地形以低山为主，区内山脉纵横，河流交错，见图5.3-1。境内西南部的锥子山为本区最高峰，海拔高度为1310m，北、东、南部的山地海拔高度为1081～1280m，地势西高东低，其中大唤起一带地势较为平坦，海拔标高为910～951m，属“U”型河谷。大唤起沟谷走向近于东西向，总长约20km，沟口宽约800m，沟道比降8‰～15‰，两侧山坡坡度30°～40°，局部基岩裸露，沟谷两侧不对称，植被覆盖率较低。伊逊河谷走向近于南北向，谷地宽500～2000m，沟道比降8‰～15‰，两侧山坡坡度10°～40°，地层以第四系全新统冲洪积层为主。勘察区内Ⅱ级阶地呈不对称分布，宽度从50-600m不等，地层以第四系上更新统冲洪积层为主。Ⅰ、Ⅱ级阶地相对高差3-8m。</w:t>
      </w:r>
    </w:p>
    <w:p>
      <w:pPr>
        <w:tabs>
          <w:tab w:val="left" w:pos="1080"/>
        </w:tabs>
        <w:adjustRightInd w:val="0"/>
        <w:snapToGrid w:val="0"/>
        <w:spacing w:line="360" w:lineRule="auto"/>
        <w:jc w:val="center"/>
        <w:rPr>
          <w:snapToGrid w:val="0"/>
          <w:sz w:val="24"/>
          <w:szCs w:val="24"/>
        </w:rPr>
      </w:pPr>
      <w:r>
        <w:rPr>
          <w:rFonts w:eastAsiaTheme="minorEastAsia"/>
        </w:rPr>
        <mc:AlternateContent>
          <mc:Choice Requires="wps">
            <w:drawing>
              <wp:anchor distT="0" distB="0" distL="114300" distR="114300" simplePos="0" relativeHeight="251696128" behindDoc="0" locked="0" layoutInCell="1" allowOverlap="1">
                <wp:simplePos x="0" y="0"/>
                <wp:positionH relativeFrom="column">
                  <wp:posOffset>1428750</wp:posOffset>
                </wp:positionH>
                <wp:positionV relativeFrom="paragraph">
                  <wp:posOffset>1600200</wp:posOffset>
                </wp:positionV>
                <wp:extent cx="934720" cy="350520"/>
                <wp:effectExtent l="0" t="209550" r="170180" b="11430"/>
                <wp:wrapNone/>
                <wp:docPr id="227" name="椭圆形标注 7"/>
                <wp:cNvGraphicFramePr/>
                <a:graphic xmlns:a="http://schemas.openxmlformats.org/drawingml/2006/main">
                  <a:graphicData uri="http://schemas.microsoft.com/office/word/2010/wordprocessingShape">
                    <wps:wsp>
                      <wps:cNvSpPr/>
                      <wps:spPr>
                        <a:xfrm>
                          <a:off x="0" y="0"/>
                          <a:ext cx="934720" cy="350520"/>
                        </a:xfrm>
                        <a:prstGeom prst="wedgeEllipseCallout">
                          <a:avLst>
                            <a:gd name="adj1" fmla="val 64888"/>
                            <a:gd name="adj2" fmla="val -109562"/>
                          </a:avLst>
                        </a:prstGeom>
                        <a:solidFill>
                          <a:srgbClr val="4F81BD"/>
                        </a:solidFill>
                        <a:ln w="25400" cap="flat" cmpd="sng" algn="ctr">
                          <a:solidFill>
                            <a:srgbClr val="4F81BD">
                              <a:shade val="50000"/>
                            </a:srgbClr>
                          </a:solidFill>
                          <a:prstDash val="solid"/>
                        </a:ln>
                        <a:effectLst/>
                      </wps:spPr>
                      <wps:txbx>
                        <w:txbxContent>
                          <w:p>
                            <w:pPr>
                              <w:adjustRightInd w:val="0"/>
                              <w:snapToGrid w:val="0"/>
                              <w:ind w:left="-105" w:leftChars="-50" w:right="-105" w:rightChars="-5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项目厂址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7" o:spid="_x0000_s1026" o:spt="63" type="#_x0000_t63" style="position:absolute;left:0pt;margin-left:112.5pt;margin-top:126pt;height:27.6pt;width:73.6pt;z-index:251696128;v-text-anchor:middle;mso-width-relative:page;mso-height-relative:page;" fillcolor="#4F81BD" filled="t" stroked="t" coordsize="21600,21600" o:gfxdata="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SV/UwtgAAAALAQAADwAAAAAA&#10;AAABACAAAAAiAAAAZHJzL2Rvd25yZXYueG1sUEsBAhQAFAAAAAgAh07iQBOzn2W+AgAAgwUAAA4A&#10;AAAAAAAAAQAgAAAAJwEAAGRycy9lMm9Eb2MueG1sUEsFBgAAAAAGAAYAWQEAAFcGAAAAAA==&#10;" adj="24816,-12865">
                <v:fill on="t" focussize="0,0"/>
                <v:stroke weight="2pt" color="#385D8A" joinstyle="round"/>
                <v:imagedata o:title=""/>
                <o:lock v:ext="edit" aspectratio="f"/>
                <v:textbox>
                  <w:txbxContent>
                    <w:p>
                      <w:pPr>
                        <w:adjustRightInd w:val="0"/>
                        <w:snapToGrid w:val="0"/>
                        <w:ind w:left="-105" w:leftChars="-50" w:right="-105" w:rightChars="-5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项目厂址</w:t>
                      </w:r>
                    </w:p>
                  </w:txbxContent>
                </v:textbox>
              </v:shape>
            </w:pict>
          </mc:Fallback>
        </mc:AlternateContent>
      </w:r>
      <w:r>
        <w:rPr>
          <w:rFonts w:eastAsiaTheme="minorEastAsia"/>
        </w:rPr>
        <mc:AlternateContent>
          <mc:Choice Requires="wps">
            <w:drawing>
              <wp:anchor distT="0" distB="0" distL="114300" distR="114300" simplePos="0" relativeHeight="251695104" behindDoc="0" locked="0" layoutInCell="1" allowOverlap="1">
                <wp:simplePos x="0" y="0"/>
                <wp:positionH relativeFrom="column">
                  <wp:posOffset>3378200</wp:posOffset>
                </wp:positionH>
                <wp:positionV relativeFrom="paragraph">
                  <wp:posOffset>1492250</wp:posOffset>
                </wp:positionV>
                <wp:extent cx="934720" cy="350520"/>
                <wp:effectExtent l="381000" t="0" r="0" b="259080"/>
                <wp:wrapNone/>
                <wp:docPr id="231" name="椭圆形标注 5"/>
                <wp:cNvGraphicFramePr/>
                <a:graphic xmlns:a="http://schemas.openxmlformats.org/drawingml/2006/main">
                  <a:graphicData uri="http://schemas.microsoft.com/office/word/2010/wordprocessingShape">
                    <wps:wsp>
                      <wps:cNvSpPr/>
                      <wps:spPr>
                        <a:xfrm>
                          <a:off x="0" y="0"/>
                          <a:ext cx="934720" cy="350520"/>
                        </a:xfrm>
                        <a:prstGeom prst="wedgeEllipseCallout">
                          <a:avLst>
                            <a:gd name="adj1" fmla="val -90004"/>
                            <a:gd name="adj2" fmla="val 118699"/>
                          </a:avLst>
                        </a:prstGeom>
                        <a:solidFill>
                          <a:srgbClr val="4F81BD"/>
                        </a:solidFill>
                        <a:ln w="25400" cap="flat" cmpd="sng" algn="ctr">
                          <a:solidFill>
                            <a:srgbClr val="4F81BD">
                              <a:shade val="50000"/>
                            </a:srgbClr>
                          </a:solidFill>
                          <a:prstDash val="solid"/>
                        </a:ln>
                        <a:effectLst/>
                      </wps:spPr>
                      <wps:txbx>
                        <w:txbxContent>
                          <w:p>
                            <w:pPr>
                              <w:adjustRightInd w:val="0"/>
                              <w:snapToGrid w:val="0"/>
                              <w:ind w:left="-105" w:leftChars="-50" w:right="-105" w:rightChars="-5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河谷阶地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5" o:spid="_x0000_s1026" o:spt="63" type="#_x0000_t63" style="position:absolute;left:0pt;margin-left:266pt;margin-top:117.5pt;height:27.6pt;width:73.6pt;z-index:251695104;v-text-anchor:middle;mso-width-relative:page;mso-height-relative:page;" fillcolor="#4F81BD" filled="t" stroked="t" coordsize="21600,21600" o:gfxdata="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MvTYTNwAAAALAQAADwAA&#10;AAAAAAABACAAAAAiAAAAZHJzL2Rvd25yZXYueG1sUEsBAhQAFAAAAAgAh07iQOvVZ/K9AgAAgwUA&#10;AA4AAAAAAAAAAQAgAAAAKwEAAGRycy9lMm9Eb2MueG1sUEsFBgAAAAAGAAYAWQEAAFoGAAAAAA==&#10;" adj="-8641,36439">
                <v:fill on="t" focussize="0,0"/>
                <v:stroke weight="2pt" color="#385D8A" joinstyle="round"/>
                <v:imagedata o:title=""/>
                <o:lock v:ext="edit" aspectratio="f"/>
                <v:textbox>
                  <w:txbxContent>
                    <w:p>
                      <w:pPr>
                        <w:adjustRightInd w:val="0"/>
                        <w:snapToGrid w:val="0"/>
                        <w:ind w:left="-105" w:leftChars="-50" w:right="-105" w:rightChars="-5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河谷阶地</w:t>
                      </w:r>
                    </w:p>
                  </w:txbxContent>
                </v:textbox>
              </v:shape>
            </w:pict>
          </mc:Fallback>
        </mc:AlternateContent>
      </w:r>
      <w:r>
        <w:rPr>
          <w:rFonts w:eastAsiaTheme="minorEastAsia"/>
        </w:rPr>
        <mc:AlternateContent>
          <mc:Choice Requires="wps">
            <w:drawing>
              <wp:anchor distT="0" distB="0" distL="114300" distR="114300" simplePos="0" relativeHeight="251694080" behindDoc="0" locked="0" layoutInCell="1" allowOverlap="1">
                <wp:simplePos x="0" y="0"/>
                <wp:positionH relativeFrom="column">
                  <wp:posOffset>2451100</wp:posOffset>
                </wp:positionH>
                <wp:positionV relativeFrom="paragraph">
                  <wp:posOffset>298450</wp:posOffset>
                </wp:positionV>
                <wp:extent cx="934720" cy="364490"/>
                <wp:effectExtent l="19050" t="19050" r="36830" b="454660"/>
                <wp:wrapNone/>
                <wp:docPr id="232" name="椭圆形标注 6"/>
                <wp:cNvGraphicFramePr/>
                <a:graphic xmlns:a="http://schemas.openxmlformats.org/drawingml/2006/main">
                  <a:graphicData uri="http://schemas.microsoft.com/office/word/2010/wordprocessingShape">
                    <wps:wsp>
                      <wps:cNvSpPr/>
                      <wps:spPr>
                        <a:xfrm>
                          <a:off x="0" y="0"/>
                          <a:ext cx="934720" cy="364490"/>
                        </a:xfrm>
                        <a:prstGeom prst="wedgeEllipseCallout">
                          <a:avLst>
                            <a:gd name="adj1" fmla="val -21574"/>
                            <a:gd name="adj2" fmla="val 158233"/>
                          </a:avLst>
                        </a:prstGeom>
                        <a:solidFill>
                          <a:srgbClr val="4F81BD"/>
                        </a:solidFill>
                        <a:ln w="25400" cap="flat" cmpd="sng" algn="ctr">
                          <a:solidFill>
                            <a:srgbClr val="4F81BD">
                              <a:shade val="50000"/>
                            </a:srgbClr>
                          </a:solidFill>
                          <a:prstDash val="solid"/>
                        </a:ln>
                        <a:effectLst/>
                      </wps:spPr>
                      <wps:txbx>
                        <w:txbxContent>
                          <w:p>
                            <w:pPr>
                              <w:adjustRightInd w:val="0"/>
                              <w:snapToGrid w:val="0"/>
                              <w:ind w:left="-210" w:leftChars="-100" w:right="-210" w:rightChars="-10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山区地貌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6" o:spid="_x0000_s1026" o:spt="63" type="#_x0000_t63" style="position:absolute;left:0pt;margin-left:193pt;margin-top:23.5pt;height:28.7pt;width:73.6pt;z-index:251694080;v-text-anchor:middle;mso-width-relative:page;mso-height-relative:page;" fillcolor="#4F81BD" filled="t" stroked="t" coordsize="21600,21600" o:gfxdata="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G9cVzPaAAAACgEAAA8A&#10;AAAAAAAAAQAgAAAAIgAAAGRycy9kb3ducmV2LnhtbFBLAQIUABQAAAAIAIdO4kBv/BhZwAIAAIMF&#10;AAAOAAAAAAAAAAEAIAAAACkBAABkcnMvZTJvRG9jLnhtbFBLBQYAAAAABgAGAFkBAABbBgAAAAA=&#10;" adj="6140,44978">
                <v:fill on="t" focussize="0,0"/>
                <v:stroke weight="2pt" color="#385D8A" joinstyle="round"/>
                <v:imagedata o:title=""/>
                <o:lock v:ext="edit" aspectratio="f"/>
                <v:textbox>
                  <w:txbxContent>
                    <w:p>
                      <w:pPr>
                        <w:adjustRightInd w:val="0"/>
                        <w:snapToGrid w:val="0"/>
                        <w:ind w:left="-210" w:leftChars="-100" w:right="-210" w:rightChars="-10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山区地貌</w:t>
                      </w:r>
                    </w:p>
                  </w:txbxContent>
                </v:textbox>
              </v:shape>
            </w:pict>
          </mc:Fallback>
        </mc:AlternateContent>
      </w:r>
      <w:r>
        <w:rPr>
          <w:rFonts w:eastAsiaTheme="minorEastAsia"/>
        </w:rPr>
        <w:drawing>
          <wp:inline distT="0" distB="0" distL="0" distR="0">
            <wp:extent cx="3310255" cy="2762250"/>
            <wp:effectExtent l="0" t="0" r="444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75"/>
                    <a:srcRect/>
                    <a:stretch>
                      <a:fillRect/>
                    </a:stretch>
                  </pic:blipFill>
                  <pic:spPr>
                    <a:xfrm>
                      <a:off x="0" y="0"/>
                      <a:ext cx="3346969" cy="2792523"/>
                    </a:xfrm>
                    <a:prstGeom prst="rect">
                      <a:avLst/>
                    </a:prstGeom>
                    <a:noFill/>
                    <a:ln>
                      <a:noFill/>
                    </a:ln>
                  </pic:spPr>
                </pic:pic>
              </a:graphicData>
            </a:graphic>
          </wp:inline>
        </w:drawing>
      </w:r>
    </w:p>
    <w:p>
      <w:pPr>
        <w:tabs>
          <w:tab w:val="left" w:pos="1080"/>
        </w:tabs>
        <w:adjustRightInd w:val="0"/>
        <w:snapToGrid w:val="0"/>
        <w:spacing w:line="360" w:lineRule="auto"/>
        <w:jc w:val="center"/>
        <w:rPr>
          <w:snapToGrid w:val="0"/>
          <w:sz w:val="24"/>
          <w:szCs w:val="24"/>
        </w:rPr>
      </w:pPr>
      <w:r>
        <w:rPr>
          <w:rFonts w:hint="eastAsia"/>
          <w:snapToGrid w:val="0"/>
          <w:sz w:val="24"/>
          <w:szCs w:val="24"/>
        </w:rPr>
        <w:t>图5.</w:t>
      </w:r>
      <w:r>
        <w:rPr>
          <w:snapToGrid w:val="0"/>
          <w:sz w:val="24"/>
          <w:szCs w:val="24"/>
        </w:rPr>
        <w:t>3-</w:t>
      </w:r>
      <w:r>
        <w:rPr>
          <w:rFonts w:hint="eastAsia"/>
          <w:snapToGrid w:val="0"/>
          <w:sz w:val="24"/>
          <w:szCs w:val="24"/>
        </w:rPr>
        <w:t>1 区域地质地貌图</w:t>
      </w:r>
    </w:p>
    <w:p>
      <w:pPr>
        <w:tabs>
          <w:tab w:val="left" w:pos="1080"/>
        </w:tabs>
        <w:adjustRightInd w:val="0"/>
        <w:snapToGrid w:val="0"/>
        <w:spacing w:line="360" w:lineRule="auto"/>
        <w:ind w:firstLine="480" w:firstLineChars="200"/>
        <w:rPr>
          <w:rFonts w:eastAsiaTheme="minorEastAsia"/>
          <w:sz w:val="24"/>
          <w:szCs w:val="24"/>
        </w:rPr>
      </w:pPr>
      <w:r>
        <w:rPr>
          <w:rFonts w:hint="eastAsia"/>
          <w:snapToGrid w:val="0"/>
          <w:sz w:val="24"/>
          <w:szCs w:val="24"/>
        </w:rPr>
        <w:t>（2）</w:t>
      </w:r>
      <w:r>
        <w:rPr>
          <w:snapToGrid w:val="0"/>
          <w:sz w:val="24"/>
          <w:szCs w:val="24"/>
        </w:rPr>
        <w:t>气象</w:t>
      </w:r>
    </w:p>
    <w:p>
      <w:pPr>
        <w:adjustRightInd w:val="0"/>
        <w:snapToGrid w:val="0"/>
        <w:spacing w:line="360" w:lineRule="auto"/>
        <w:ind w:firstLine="480" w:firstLineChars="200"/>
        <w:rPr>
          <w:rFonts w:eastAsiaTheme="minorEastAsia"/>
          <w:sz w:val="24"/>
          <w:szCs w:val="24"/>
        </w:rPr>
      </w:pPr>
      <w:r>
        <w:rPr>
          <w:rFonts w:eastAsiaTheme="minorEastAsia"/>
          <w:sz w:val="24"/>
          <w:szCs w:val="24"/>
        </w:rPr>
        <w:t>围场县的气</w:t>
      </w:r>
      <w:r>
        <w:rPr>
          <w:rFonts w:hint="eastAsia" w:eastAsiaTheme="minorEastAsia"/>
          <w:sz w:val="24"/>
          <w:szCs w:val="24"/>
        </w:rPr>
        <w:t>候</w:t>
      </w:r>
      <w:r>
        <w:rPr>
          <w:rFonts w:eastAsiaTheme="minorEastAsia"/>
          <w:sz w:val="24"/>
          <w:szCs w:val="24"/>
        </w:rPr>
        <w:t>特点是冬季酷寒干燥，夏季凉爽无暑热，春秋两季多风沙。围场县临近冬季风源地，受冬季季风影响特别强烈，冬季受西伯利亚高压控制，盛行偏北风，寒冷干燥。多年平均气温4.9°C，最热月(7月)平均气温21.2°C， 最冷月(1月)平均气温-11.9°C，极端最高气温38.9°C，极端最低气温-28.7°C。历年最多风向静风、北西—北，最多风向频率，静风41%，北西—北11%，平均风速1.6m/s，十分钟最大风速12.3m/s，瞬时最大风速15.5m/s。历年最大降水量692.3mm（1959年），最小降水量303.8mm（1984年），平均降水量458.7mm，月最大降水量295.3mm ，24小时最大降水量92.2mm，1小时最大降水量60.9mm，10分钟最大降水量21.1mm，连续最大降水量153.2mm(7天)，多年平均蒸发量为960mm。历年最大积雪深度30cm，雪压(无)。不历年冻土深度150cm。九月至次年五月为霜冻期，无霜期短，南北相差悬殊。全县地形复杂，</w:t>
      </w:r>
      <w:r>
        <w:rPr>
          <w:rFonts w:hint="eastAsia" w:eastAsiaTheme="minorEastAsia"/>
          <w:sz w:val="24"/>
          <w:szCs w:val="24"/>
        </w:rPr>
        <w:t>气候</w:t>
      </w:r>
      <w:r>
        <w:rPr>
          <w:rFonts w:eastAsiaTheme="minorEastAsia"/>
          <w:sz w:val="24"/>
          <w:szCs w:val="24"/>
        </w:rPr>
        <w:t>多样，北部坝上地区，属于温带大陆性蒙古高原季风</w:t>
      </w:r>
      <w:r>
        <w:rPr>
          <w:rFonts w:hint="eastAsia" w:eastAsiaTheme="minorEastAsia"/>
          <w:sz w:val="24"/>
          <w:szCs w:val="24"/>
        </w:rPr>
        <w:t>气候</w:t>
      </w:r>
      <w:r>
        <w:rPr>
          <w:rFonts w:eastAsiaTheme="minorEastAsia"/>
          <w:sz w:val="24"/>
          <w:szCs w:val="24"/>
        </w:rPr>
        <w:t>，气温低，降水少，风大沙多，无霜期短。东北部和中南部属于北温带大陆性燕山山地季风</w:t>
      </w:r>
      <w:r>
        <w:rPr>
          <w:rFonts w:hint="eastAsia" w:eastAsiaTheme="minorEastAsia"/>
          <w:sz w:val="24"/>
          <w:szCs w:val="24"/>
        </w:rPr>
        <w:t>气候</w:t>
      </w:r>
      <w:r>
        <w:rPr>
          <w:rFonts w:eastAsiaTheme="minorEastAsia"/>
          <w:sz w:val="24"/>
          <w:szCs w:val="24"/>
        </w:rPr>
        <w:t>，气温较高，降水较多。全县旱、洪、霜、雹、冻等自然灾害较多，经常给农牧业生产带来损害。</w:t>
      </w:r>
    </w:p>
    <w:p>
      <w:r>
        <mc:AlternateContent>
          <mc:Choice Requires="wps">
            <w:drawing>
              <wp:anchor distT="0" distB="0" distL="114300" distR="114300" simplePos="0" relativeHeight="251683840" behindDoc="0" locked="0" layoutInCell="1" allowOverlap="1">
                <wp:simplePos x="0" y="0"/>
                <wp:positionH relativeFrom="column">
                  <wp:posOffset>3127375</wp:posOffset>
                </wp:positionH>
                <wp:positionV relativeFrom="paragraph">
                  <wp:posOffset>2089150</wp:posOffset>
                </wp:positionV>
                <wp:extent cx="140970" cy="146685"/>
                <wp:effectExtent l="19050" t="38100" r="30480" b="43815"/>
                <wp:wrapNone/>
                <wp:docPr id="233" name="五角星 16"/>
                <wp:cNvGraphicFramePr/>
                <a:graphic xmlns:a="http://schemas.openxmlformats.org/drawingml/2006/main">
                  <a:graphicData uri="http://schemas.microsoft.com/office/word/2010/wordprocessingShape">
                    <wps:wsp>
                      <wps:cNvSpPr/>
                      <wps:spPr>
                        <a:xfrm>
                          <a:off x="0" y="0"/>
                          <a:ext cx="140970" cy="146685"/>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16" o:spid="_x0000_s1026" style="position:absolute;left:0pt;margin-left:246.25pt;margin-top:164.5pt;height:11.55pt;width:11.1pt;z-index:251683840;v-text-anchor:middle;mso-width-relative:page;mso-height-relative:page;" fillcolor="#FF0000" filled="t" stroked="t" coordsize="140970,146685" o:gfxdata="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sZm8k2wAAAAsBAAAPAAAAAAAAAAEAIAAAACIAAABkcnMvZG93&#10;bnJldi54bWxQSwECFAAUAAAACACHTuJAMnVp7G8CAADxBAAADgAAAAAAAAABACAAAAAqAQAAZHJz&#10;L2Uyb0RvYy54bWxQSwUGAAAAAAYABgBZAQAACwYAAAAA&#10;" path="m0,56028l53846,56028,70485,0,87123,56028,140969,56028,97407,90655,114047,146684,70485,112056,26922,146684,43562,90655xe">
                <v:path o:connectlocs="70485,0;0,56028;26922,146684;114047,146684;140969,56028" o:connectangles="247,164,82,82,0"/>
                <v:fill on="t" focussize="0,0"/>
                <v:stroke weight="2pt" color="#FF0000" joinstyle="round"/>
                <v:imagedata o:title=""/>
                <o:lock v:ext="edit" aspectratio="f"/>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1630680</wp:posOffset>
                </wp:positionH>
                <wp:positionV relativeFrom="paragraph">
                  <wp:posOffset>3023870</wp:posOffset>
                </wp:positionV>
                <wp:extent cx="975360" cy="350520"/>
                <wp:effectExtent l="19050" t="838200" r="605790" b="30480"/>
                <wp:wrapNone/>
                <wp:docPr id="234" name="椭圆形标注 14"/>
                <wp:cNvGraphicFramePr/>
                <a:graphic xmlns:a="http://schemas.openxmlformats.org/drawingml/2006/main">
                  <a:graphicData uri="http://schemas.microsoft.com/office/word/2010/wordprocessingShape">
                    <wps:wsp>
                      <wps:cNvSpPr/>
                      <wps:spPr>
                        <a:xfrm>
                          <a:off x="0" y="0"/>
                          <a:ext cx="975360" cy="350520"/>
                        </a:xfrm>
                        <a:prstGeom prst="wedgeEllipseCallout">
                          <a:avLst>
                            <a:gd name="adj1" fmla="val 105689"/>
                            <a:gd name="adj2" fmla="val -282551"/>
                          </a:avLst>
                        </a:prstGeom>
                        <a:solidFill>
                          <a:srgbClr val="4F81BD"/>
                        </a:solidFill>
                        <a:ln w="25400" cap="flat" cmpd="sng" algn="ctr">
                          <a:solidFill>
                            <a:srgbClr val="4F81BD">
                              <a:shade val="50000"/>
                            </a:srgbClr>
                          </a:solidFill>
                          <a:prstDash val="solid"/>
                        </a:ln>
                        <a:effectLst/>
                      </wps:spPr>
                      <wps:txbx>
                        <w:txbxContent>
                          <w:p>
                            <w:pPr>
                              <w:adjustRightInd w:val="0"/>
                              <w:snapToGrid w:val="0"/>
                              <w:ind w:left="-105" w:leftChars="-50" w:right="-105" w:rightChars="-50"/>
                              <w:jc w:val="center"/>
                              <w:rPr>
                                <w:b/>
                                <w:color w:val="000000" w:themeColor="text1"/>
                                <w:sz w:val="18"/>
                                <w14:textFill>
                                  <w14:solidFill>
                                    <w14:schemeClr w14:val="tx1"/>
                                  </w14:solidFill>
                                </w14:textFill>
                              </w:rPr>
                            </w:pPr>
                            <w:r>
                              <w:rPr>
                                <w:rFonts w:hint="eastAsia"/>
                                <w:b/>
                                <w:color w:val="000000" w:themeColor="text1"/>
                                <w:sz w:val="1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14" o:spid="_x0000_s1026" o:spt="63" type="#_x0000_t63" style="position:absolute;left:0pt;margin-left:128.4pt;margin-top:238.1pt;height:27.6pt;width:76.8pt;z-index:251686912;v-text-anchor:middle;mso-width-relative:page;mso-height-relative:page;" fillcolor="#4F81BD" filled="t" stroked="t" coordsize="21600,21600" o:gfxdata="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Hzt4vdsAAAALAQAA&#10;DwAAAAAAAAABACAAAAAiAAAAZHJzL2Rvd25yZXYueG1sUEsBAhQAFAAAAAgAh07iQNJj883BAgAA&#10;hQUAAA4AAAAAAAAAAQAgAAAAKgEAAGRycy9lMm9Eb2MueG1sUEsFBgAAAAAGAAYAWQEAAF0GAAAA&#10;AA==&#10;" adj="33629,-50231">
                <v:fill on="t" focussize="0,0"/>
                <v:stroke weight="2pt" color="#385D8A" joinstyle="round"/>
                <v:imagedata o:title=""/>
                <o:lock v:ext="edit" aspectratio="f"/>
                <v:textbox>
                  <w:txbxContent>
                    <w:p>
                      <w:pPr>
                        <w:adjustRightInd w:val="0"/>
                        <w:snapToGrid w:val="0"/>
                        <w:ind w:left="-105" w:leftChars="-50" w:right="-105" w:rightChars="-50"/>
                        <w:jc w:val="center"/>
                        <w:rPr>
                          <w:b/>
                          <w:color w:val="000000" w:themeColor="text1"/>
                          <w:sz w:val="18"/>
                          <w14:textFill>
                            <w14:solidFill>
                              <w14:schemeClr w14:val="tx1"/>
                            </w14:solidFill>
                          </w14:textFill>
                        </w:rPr>
                      </w:pPr>
                      <w:r>
                        <w:rPr>
                          <w:rFonts w:hint="eastAsia"/>
                          <w:b/>
                          <w:color w:val="000000" w:themeColor="text1"/>
                          <w:sz w:val="18"/>
                          <w14:textFill>
                            <w14:solidFill>
                              <w14:schemeClr w14:val="tx1"/>
                            </w14:solidFill>
                          </w14:textFill>
                        </w:rPr>
                        <w:t>项目位置</w:t>
                      </w:r>
                    </w:p>
                  </w:txbxContent>
                </v:textbox>
              </v:shape>
            </w:pict>
          </mc:Fallback>
        </mc:AlternateContent>
      </w:r>
      <w:r>
        <w:drawing>
          <wp:inline distT="0" distB="0" distL="0" distR="0">
            <wp:extent cx="5241290" cy="3608705"/>
            <wp:effectExtent l="19050" t="19050" r="16510" b="10795"/>
            <wp:docPr id="243" name="图片 243" descr="围场县多年平均降水量等值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围场县多年平均降水量等值线图"/>
                    <pic:cNvPicPr>
                      <a:picLocks noChangeAspect="1" noChangeArrowheads="1"/>
                    </pic:cNvPicPr>
                  </pic:nvPicPr>
                  <pic:blipFill>
                    <a:blip r:embed="rId76"/>
                    <a:srcRect/>
                    <a:stretch>
                      <a:fillRect/>
                    </a:stretch>
                  </pic:blipFill>
                  <pic:spPr>
                    <a:xfrm>
                      <a:off x="0" y="0"/>
                      <a:ext cx="5259581" cy="3621350"/>
                    </a:xfrm>
                    <a:prstGeom prst="rect">
                      <a:avLst/>
                    </a:prstGeom>
                    <a:noFill/>
                    <a:ln w="15875" cmpd="sng">
                      <a:solidFill>
                        <a:srgbClr val="000000"/>
                      </a:solidFill>
                      <a:miter lim="800000"/>
                      <a:headEnd/>
                      <a:tailEnd/>
                    </a:ln>
                    <a:effectLst/>
                  </pic:spPr>
                </pic:pic>
              </a:graphicData>
            </a:graphic>
          </wp:inline>
        </w:drawing>
      </w:r>
    </w:p>
    <w:p>
      <w:pPr>
        <w:jc w:val="center"/>
        <w:rPr>
          <w:rFonts w:eastAsiaTheme="minorEastAsia"/>
          <w:sz w:val="24"/>
          <w:szCs w:val="24"/>
        </w:rPr>
      </w:pPr>
      <w:r>
        <w:rPr>
          <w:rFonts w:eastAsiaTheme="minorEastAsia"/>
          <w:sz w:val="24"/>
          <w:szCs w:val="24"/>
        </w:rPr>
        <w:t>图5.3</w:t>
      </w:r>
      <w:r>
        <w:rPr>
          <w:rFonts w:eastAsiaTheme="minorEastAsia"/>
          <w:sz w:val="24"/>
          <w:szCs w:val="24"/>
        </w:rPr>
        <w:noBreakHyphen/>
      </w:r>
      <w:r>
        <w:rPr>
          <w:rFonts w:eastAsiaTheme="minorEastAsia"/>
          <w:sz w:val="24"/>
          <w:szCs w:val="24"/>
        </w:rPr>
        <w:t>2  围场县多年平均降水量等值线图</w:t>
      </w:r>
    </w:p>
    <w:p>
      <w:pPr>
        <w:tabs>
          <w:tab w:val="left" w:pos="1080"/>
        </w:tabs>
        <w:adjustRightInd w:val="0"/>
        <w:snapToGrid w:val="0"/>
        <w:spacing w:line="360" w:lineRule="auto"/>
        <w:ind w:firstLine="480" w:firstLineChars="200"/>
        <w:rPr>
          <w:sz w:val="24"/>
          <w:szCs w:val="24"/>
        </w:rPr>
      </w:pPr>
      <w:r>
        <w:rPr>
          <w:rFonts w:hint="eastAsia"/>
          <w:sz w:val="24"/>
          <w:szCs w:val="24"/>
        </w:rPr>
        <w:t>（3）水文</w:t>
      </w:r>
    </w:p>
    <w:p>
      <w:pPr>
        <w:adjustRightInd w:val="0"/>
        <w:snapToGrid w:val="0"/>
        <w:spacing w:line="360" w:lineRule="auto"/>
        <w:ind w:firstLine="480" w:firstLineChars="200"/>
        <w:rPr>
          <w:sz w:val="24"/>
          <w:szCs w:val="24"/>
        </w:rPr>
      </w:pPr>
      <w:r>
        <w:rPr>
          <w:rFonts w:hint="eastAsia"/>
          <w:sz w:val="24"/>
          <w:szCs w:val="24"/>
        </w:rPr>
        <w:t>围场县河流众多，并且均发源于本县境内，水浅流急，受雨水补给影响，流量变化大，可分为滦河流域和辽河流域。滦河流域主要有吐里根河、小滦河、伊逊河和武烈河，辽河流域有阴河、西路嘎河。受地形影响，这些河流蜿蜒曲折，坡陡水急，水量随季节变化，枯洪流量差异很大。</w:t>
      </w:r>
    </w:p>
    <w:p>
      <w:pPr>
        <w:keepNext/>
      </w:pPr>
      <w:r>
        <w:rPr>
          <w:rFonts w:hint="eastAsia"/>
        </w:rPr>
        <w:drawing>
          <wp:inline distT="0" distB="0" distL="0" distR="0">
            <wp:extent cx="5260975" cy="1845945"/>
            <wp:effectExtent l="0" t="0" r="0" b="1905"/>
            <wp:docPr id="244" name="图片 244" descr="围场县伊逊河区域降水量变化趋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围场县伊逊河区域降水量变化趋势图"/>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60975" cy="1845945"/>
                    </a:xfrm>
                    <a:prstGeom prst="rect">
                      <a:avLst/>
                    </a:prstGeom>
                    <a:noFill/>
                  </pic:spPr>
                </pic:pic>
              </a:graphicData>
            </a:graphic>
          </wp:inline>
        </w:drawing>
      </w:r>
    </w:p>
    <w:p>
      <w:pPr>
        <w:jc w:val="center"/>
        <w:rPr>
          <w:rFonts w:eastAsiaTheme="minorEastAsia"/>
          <w:sz w:val="24"/>
          <w:szCs w:val="24"/>
        </w:rPr>
      </w:pPr>
      <w:r>
        <w:rPr>
          <w:rFonts w:eastAsiaTheme="minorEastAsia"/>
          <w:sz w:val="24"/>
          <w:szCs w:val="24"/>
        </w:rPr>
        <w:t>图5.3</w:t>
      </w:r>
      <w:r>
        <w:rPr>
          <w:rFonts w:eastAsiaTheme="minorEastAsia"/>
          <w:sz w:val="24"/>
          <w:szCs w:val="24"/>
        </w:rPr>
        <w:noBreakHyphen/>
      </w:r>
      <w:r>
        <w:rPr>
          <w:rFonts w:eastAsiaTheme="minorEastAsia"/>
          <w:sz w:val="24"/>
          <w:szCs w:val="24"/>
        </w:rPr>
        <w:t>3 围场县伊逊河区域降水量变化趋势图</w:t>
      </w:r>
    </w:p>
    <w:p>
      <w:r>
        <w:rPr>
          <w:rFonts w:hint="eastAsia"/>
        </w:rPr>
        <w:drawing>
          <wp:inline distT="0" distB="0" distL="0" distR="0">
            <wp:extent cx="5260340" cy="1984375"/>
            <wp:effectExtent l="0" t="0" r="0" b="0"/>
            <wp:docPr id="245" name="图片 245" descr="围场县全区区域降水量变化趋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围场县全区区域降水量变化趋势图"/>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60340" cy="1984375"/>
                    </a:xfrm>
                    <a:prstGeom prst="rect">
                      <a:avLst/>
                    </a:prstGeom>
                    <a:noFill/>
                  </pic:spPr>
                </pic:pic>
              </a:graphicData>
            </a:graphic>
          </wp:inline>
        </w:drawing>
      </w:r>
    </w:p>
    <w:p>
      <w:pPr>
        <w:jc w:val="center"/>
        <w:rPr>
          <w:rFonts w:eastAsiaTheme="minorEastAsia"/>
          <w:sz w:val="24"/>
          <w:szCs w:val="24"/>
        </w:rPr>
      </w:pPr>
      <w:r>
        <w:rPr>
          <w:rFonts w:hint="eastAsia" w:eastAsiaTheme="minorEastAsia"/>
          <w:sz w:val="24"/>
          <w:szCs w:val="24"/>
        </w:rPr>
        <w:t>图</w:t>
      </w:r>
      <w:r>
        <w:rPr>
          <w:rFonts w:eastAsiaTheme="minorEastAsia"/>
          <w:sz w:val="24"/>
          <w:szCs w:val="24"/>
        </w:rPr>
        <w:t>5.3</w:t>
      </w:r>
      <w:r>
        <w:rPr>
          <w:rFonts w:eastAsiaTheme="minorEastAsia"/>
          <w:sz w:val="24"/>
          <w:szCs w:val="24"/>
        </w:rPr>
        <w:noBreakHyphen/>
      </w:r>
      <w:r>
        <w:rPr>
          <w:rFonts w:eastAsiaTheme="minorEastAsia"/>
          <w:sz w:val="24"/>
          <w:szCs w:val="24"/>
        </w:rPr>
        <w:t xml:space="preserve">4 </w:t>
      </w:r>
      <w:r>
        <w:rPr>
          <w:rFonts w:hint="eastAsia" w:eastAsiaTheme="minorEastAsia"/>
          <w:sz w:val="24"/>
          <w:szCs w:val="24"/>
        </w:rPr>
        <w:t>围场县全区区域降水量变化趋势图</w:t>
      </w:r>
    </w:p>
    <w:p>
      <w:pPr>
        <w:adjustRightInd w:val="0"/>
        <w:snapToGrid w:val="0"/>
        <w:spacing w:before="156" w:beforeLines="50" w:line="360" w:lineRule="auto"/>
        <w:ind w:firstLine="480" w:firstLineChars="200"/>
        <w:rPr>
          <w:sz w:val="24"/>
          <w:szCs w:val="24"/>
        </w:rPr>
      </w:pPr>
      <w:r>
        <w:rPr>
          <w:sz w:val="24"/>
          <w:szCs w:val="24"/>
        </w:rPr>
        <w:t>伊逊河是本县境内的一条主要河流，起源于围场县台子水川，全长222.7km，境内长96.39km，流域总面积为6732.4km</w:t>
      </w:r>
      <w:r>
        <w:rPr>
          <w:sz w:val="24"/>
          <w:szCs w:val="24"/>
          <w:vertAlign w:val="superscript"/>
        </w:rPr>
        <w:t>2</w:t>
      </w:r>
      <w:r>
        <w:rPr>
          <w:sz w:val="24"/>
          <w:szCs w:val="24"/>
        </w:rPr>
        <w:t>，境内面积为3870km</w:t>
      </w:r>
      <w:r>
        <w:rPr>
          <w:sz w:val="24"/>
          <w:szCs w:val="24"/>
          <w:vertAlign w:val="superscript"/>
        </w:rPr>
        <w:t>2</w:t>
      </w:r>
      <w:r>
        <w:rPr>
          <w:sz w:val="24"/>
          <w:szCs w:val="24"/>
        </w:rPr>
        <w:t>, 有蚁蚂吐河和不澄河两条较大支流汇入，该流域为围场县主要经济区。伊逊河围场水文测站控制面积1227km</w:t>
      </w:r>
      <w:r>
        <w:rPr>
          <w:sz w:val="24"/>
          <w:szCs w:val="24"/>
          <w:vertAlign w:val="superscript"/>
        </w:rPr>
        <w:t>2</w:t>
      </w:r>
      <w:r>
        <w:rPr>
          <w:sz w:val="24"/>
          <w:szCs w:val="24"/>
        </w:rPr>
        <w:t>，为本项目重要的水文测站。小滦河起源于围场县西北部，自北向南流经本西部地区，流域总面积为2009.7km</w:t>
      </w:r>
      <w:r>
        <w:rPr>
          <w:sz w:val="24"/>
          <w:szCs w:val="24"/>
          <w:vertAlign w:val="superscript"/>
        </w:rPr>
        <w:t>2</w:t>
      </w:r>
      <w:r>
        <w:rPr>
          <w:sz w:val="24"/>
          <w:szCs w:val="24"/>
        </w:rPr>
        <w:t>，境内面积为1805km</w:t>
      </w:r>
      <w:r>
        <w:rPr>
          <w:sz w:val="24"/>
          <w:szCs w:val="24"/>
          <w:vertAlign w:val="superscript"/>
        </w:rPr>
        <w:t>2</w:t>
      </w:r>
      <w:r>
        <w:rPr>
          <w:sz w:val="24"/>
          <w:szCs w:val="24"/>
        </w:rPr>
        <w:t>，该河源于塞罕坝上茂密的森林，因汇入滦河故得名“小滦河”。阴河源于北部接坝地区，在本县境内面积1524km</w:t>
      </w:r>
      <w:r>
        <w:rPr>
          <w:sz w:val="24"/>
          <w:szCs w:val="24"/>
          <w:vertAlign w:val="superscript"/>
        </w:rPr>
        <w:t>2</w:t>
      </w:r>
      <w:r>
        <w:rPr>
          <w:sz w:val="24"/>
          <w:szCs w:val="24"/>
        </w:rPr>
        <w:t>，也是本县较大的河流。西路嘎河发源于围场县石门沟，境内面积1269.3km</w:t>
      </w:r>
      <w:r>
        <w:rPr>
          <w:sz w:val="24"/>
          <w:szCs w:val="24"/>
          <w:vertAlign w:val="superscript"/>
        </w:rPr>
        <w:t>2</w:t>
      </w:r>
      <w:r>
        <w:rPr>
          <w:sz w:val="24"/>
          <w:szCs w:val="24"/>
        </w:rPr>
        <w:t>，乌力代河为其较大支流，境内面积758.7km</w:t>
      </w:r>
      <w:r>
        <w:rPr>
          <w:sz w:val="24"/>
          <w:szCs w:val="24"/>
          <w:vertAlign w:val="superscript"/>
        </w:rPr>
        <w:t>2</w:t>
      </w:r>
      <w:r>
        <w:rPr>
          <w:sz w:val="24"/>
          <w:szCs w:val="24"/>
        </w:rPr>
        <w:t>，在本县出境后汇入西路嘎河，并于赤峰市与阴河一起汇入英金河。大唤起河为伊逊河的支流，发源于大唤起鹿场北侧红砬子林场内，在大唤起大八号村东自西向东汇入伊逊河，全长约50km。</w:t>
      </w:r>
    </w:p>
    <w:p>
      <w:pPr>
        <w:adjustRightInd w:val="0"/>
        <w:snapToGrid w:val="0"/>
        <w:spacing w:line="360" w:lineRule="auto"/>
        <w:ind w:left="480"/>
        <w:rPr>
          <w:sz w:val="24"/>
          <w:szCs w:val="24"/>
        </w:rPr>
      </w:pPr>
      <w:r>
        <w:rPr>
          <w:rFonts w:hint="eastAsia"/>
          <w:sz w:val="24"/>
          <w:szCs w:val="24"/>
        </w:rPr>
        <w:t>（4）区域地质条件</w:t>
      </w:r>
    </w:p>
    <w:p>
      <w:pPr>
        <w:numPr>
          <w:ilvl w:val="0"/>
          <w:numId w:val="9"/>
        </w:numPr>
        <w:adjustRightInd w:val="0"/>
        <w:snapToGrid w:val="0"/>
        <w:spacing w:line="360" w:lineRule="auto"/>
        <w:ind w:left="0" w:firstLine="480" w:firstLineChars="200"/>
        <w:rPr>
          <w:sz w:val="24"/>
          <w:szCs w:val="24"/>
        </w:rPr>
      </w:pPr>
      <w:r>
        <w:rPr>
          <w:rFonts w:hint="eastAsia"/>
          <w:sz w:val="24"/>
          <w:szCs w:val="24"/>
        </w:rPr>
        <w:t>地质构造</w:t>
      </w:r>
    </w:p>
    <w:p>
      <w:pPr>
        <w:adjustRightInd w:val="0"/>
        <w:snapToGrid w:val="0"/>
        <w:spacing w:line="360" w:lineRule="auto"/>
        <w:ind w:firstLine="480" w:firstLineChars="200"/>
        <w:rPr>
          <w:sz w:val="24"/>
          <w:szCs w:val="24"/>
        </w:rPr>
      </w:pPr>
      <w:r>
        <w:rPr>
          <w:rFonts w:hint="eastAsia"/>
          <w:sz w:val="24"/>
          <w:szCs w:val="24"/>
        </w:rPr>
        <w:t>据“冀京津构造单元分区图”开发区所处大地</w:t>
      </w:r>
      <w:r>
        <w:rPr>
          <w:sz w:val="24"/>
          <w:szCs w:val="24"/>
        </w:rPr>
        <w:t>构造单元为：Ⅰ级构造单元内蒙—大兴安岭褶皱系（Ⅰ</w:t>
      </w:r>
      <w:r>
        <w:rPr>
          <w:sz w:val="24"/>
          <w:szCs w:val="24"/>
          <w:vertAlign w:val="subscript"/>
        </w:rPr>
        <w:t>1</w:t>
      </w:r>
      <w:r>
        <w:rPr>
          <w:sz w:val="24"/>
          <w:szCs w:val="24"/>
        </w:rPr>
        <w:t>），Ⅱ级构造单元内蒙华力西晚期褶皱带（Ⅱ</w:t>
      </w:r>
      <w:r>
        <w:rPr>
          <w:sz w:val="24"/>
          <w:szCs w:val="24"/>
          <w:vertAlign w:val="subscript"/>
        </w:rPr>
        <w:t>1</w:t>
      </w:r>
      <w:r>
        <w:rPr>
          <w:sz w:val="24"/>
          <w:szCs w:val="24"/>
          <w:vertAlign w:val="superscript"/>
        </w:rPr>
        <w:t>1</w:t>
      </w:r>
      <w:r>
        <w:rPr>
          <w:sz w:val="24"/>
          <w:szCs w:val="24"/>
        </w:rPr>
        <w:t>），Ⅲ级构造单元多伦复背斜（Ⅲ</w:t>
      </w:r>
      <w:r>
        <w:rPr>
          <w:sz w:val="24"/>
          <w:szCs w:val="24"/>
          <w:vertAlign w:val="subscript"/>
        </w:rPr>
        <w:t>1</w:t>
      </w:r>
      <w:r>
        <w:rPr>
          <w:sz w:val="24"/>
          <w:szCs w:val="24"/>
          <w:vertAlign w:val="superscript"/>
        </w:rPr>
        <w:t>1</w:t>
      </w:r>
      <w:r>
        <w:rPr>
          <w:sz w:val="24"/>
          <w:szCs w:val="24"/>
        </w:rPr>
        <w:t>），Ⅳ级构造单元棋盘山中凹陷（Ⅳ</w:t>
      </w:r>
      <w:r>
        <w:rPr>
          <w:sz w:val="24"/>
          <w:szCs w:val="24"/>
          <w:vertAlign w:val="subscript"/>
        </w:rPr>
        <w:t>1</w:t>
      </w:r>
      <w:r>
        <w:rPr>
          <w:sz w:val="24"/>
          <w:szCs w:val="24"/>
          <w:vertAlign w:val="superscript"/>
        </w:rPr>
        <w:t>2</w:t>
      </w:r>
      <w:r>
        <w:rPr>
          <w:sz w:val="24"/>
          <w:szCs w:val="24"/>
        </w:rPr>
        <w:t>）。康保—围场深大断裂带自西而东横贯围场境内。此外尚有呈NE向的次级断裂展布与上述区域性断裂交织成网状（见</w:t>
      </w:r>
      <w:r>
        <w:rPr>
          <w:rFonts w:hint="eastAsia"/>
          <w:sz w:val="24"/>
          <w:szCs w:val="24"/>
        </w:rPr>
        <w:t>图</w:t>
      </w:r>
      <w:r>
        <w:rPr>
          <w:sz w:val="24"/>
          <w:szCs w:val="24"/>
        </w:rPr>
        <w:t>5.3</w:t>
      </w:r>
      <w:r>
        <w:rPr>
          <w:sz w:val="24"/>
          <w:szCs w:val="24"/>
        </w:rPr>
        <w:noBreakHyphen/>
      </w:r>
      <w:r>
        <w:rPr>
          <w:sz w:val="24"/>
          <w:szCs w:val="24"/>
        </w:rPr>
        <w:t>5</w:t>
      </w:r>
      <w:r>
        <w:rPr>
          <w:rFonts w:hint="eastAsia"/>
          <w:sz w:val="24"/>
          <w:szCs w:val="24"/>
        </w:rPr>
        <w:t>和图5</w:t>
      </w:r>
      <w:r>
        <w:rPr>
          <w:sz w:val="24"/>
          <w:szCs w:val="24"/>
        </w:rPr>
        <w:t>.3-6）。</w:t>
      </w:r>
    </w:p>
    <w:p>
      <w:pPr>
        <w:numPr>
          <w:ilvl w:val="0"/>
          <w:numId w:val="9"/>
        </w:numPr>
        <w:adjustRightInd w:val="0"/>
        <w:snapToGrid w:val="0"/>
        <w:spacing w:line="360" w:lineRule="auto"/>
        <w:ind w:left="0" w:firstLine="480" w:firstLineChars="200"/>
        <w:rPr>
          <w:sz w:val="24"/>
          <w:szCs w:val="24"/>
        </w:rPr>
      </w:pPr>
      <w:r>
        <w:rPr>
          <w:rFonts w:hint="eastAsia"/>
          <w:sz w:val="24"/>
          <w:szCs w:val="24"/>
        </w:rPr>
        <w:t>地层岩性</w:t>
      </w:r>
    </w:p>
    <w:p>
      <w:pPr>
        <w:adjustRightInd w:val="0"/>
        <w:snapToGrid w:val="0"/>
        <w:spacing w:line="360" w:lineRule="auto"/>
        <w:ind w:firstLine="480" w:firstLineChars="200"/>
        <w:rPr>
          <w:sz w:val="24"/>
          <w:szCs w:val="24"/>
        </w:rPr>
      </w:pPr>
      <w:r>
        <w:rPr>
          <w:rFonts w:hint="eastAsia"/>
          <w:sz w:val="24"/>
          <w:szCs w:val="24"/>
        </w:rPr>
        <w:t>该区出露地层较为简单，现将其分述如下：</w:t>
      </w:r>
    </w:p>
    <w:p>
      <w:pPr>
        <w:adjustRightInd w:val="0"/>
        <w:snapToGrid w:val="0"/>
        <w:spacing w:line="360" w:lineRule="auto"/>
        <w:ind w:firstLine="480" w:firstLineChars="200"/>
        <w:rPr>
          <w:sz w:val="24"/>
          <w:szCs w:val="24"/>
        </w:rPr>
      </w:pPr>
      <w:r>
        <w:rPr>
          <w:rFonts w:hint="eastAsia"/>
          <w:sz w:val="24"/>
          <w:szCs w:val="24"/>
        </w:rPr>
        <w:t>I沉积岩</w:t>
      </w:r>
    </w:p>
    <w:p>
      <w:pPr>
        <w:adjustRightInd w:val="0"/>
        <w:snapToGrid w:val="0"/>
        <w:spacing w:line="360" w:lineRule="auto"/>
        <w:ind w:firstLine="480" w:firstLineChars="200"/>
        <w:rPr>
          <w:sz w:val="24"/>
          <w:szCs w:val="24"/>
        </w:rPr>
      </w:pPr>
      <w:r>
        <w:rPr>
          <w:rFonts w:hint="eastAsia"/>
          <w:sz w:val="24"/>
          <w:szCs w:val="24"/>
        </w:rPr>
        <w:t>侏罗系上统张家口组（J</w:t>
      </w:r>
      <w:r>
        <w:rPr>
          <w:rFonts w:hint="eastAsia"/>
          <w:sz w:val="24"/>
          <w:szCs w:val="24"/>
          <w:vertAlign w:val="subscript"/>
        </w:rPr>
        <w:t>3Z</w:t>
      </w:r>
      <w:r>
        <w:rPr>
          <w:rFonts w:hint="eastAsia"/>
          <w:sz w:val="24"/>
          <w:szCs w:val="24"/>
        </w:rPr>
        <w:t>）：岩性为凝灰岩、流纹岩，在该区出露面积较广，东部、北部及西部均有出露，出露面积约7.0km</w:t>
      </w:r>
      <w:r>
        <w:rPr>
          <w:rFonts w:hint="eastAsia"/>
          <w:sz w:val="24"/>
          <w:szCs w:val="24"/>
          <w:vertAlign w:val="superscript"/>
        </w:rPr>
        <w:t>2</w:t>
      </w:r>
      <w:r>
        <w:rPr>
          <w:rFonts w:hint="eastAsia"/>
          <w:sz w:val="24"/>
          <w:szCs w:val="24"/>
        </w:rPr>
        <w:t>，倾角一般为30</w:t>
      </w:r>
      <w:r>
        <w:rPr>
          <w:sz w:val="24"/>
          <w:szCs w:val="24"/>
        </w:rPr>
        <w:t>°</w:t>
      </w:r>
      <w:r>
        <w:rPr>
          <w:rFonts w:hint="eastAsia"/>
          <w:sz w:val="24"/>
          <w:szCs w:val="24"/>
        </w:rPr>
        <w:t>左右。</w:t>
      </w:r>
    </w:p>
    <w:p>
      <w:pPr>
        <w:adjustRightInd w:val="0"/>
        <w:snapToGrid w:val="0"/>
        <w:spacing w:line="360" w:lineRule="auto"/>
        <w:ind w:firstLine="480" w:firstLineChars="200"/>
        <w:rPr>
          <w:sz w:val="24"/>
          <w:szCs w:val="24"/>
        </w:rPr>
      </w:pPr>
      <w:r>
        <w:rPr>
          <w:rFonts w:hint="eastAsia"/>
          <w:sz w:val="24"/>
          <w:szCs w:val="24"/>
        </w:rPr>
        <w:t>二迭系上统凝灰质砂砾岩（P</w:t>
      </w:r>
      <w:r>
        <w:rPr>
          <w:rFonts w:hint="eastAsia"/>
          <w:sz w:val="24"/>
          <w:szCs w:val="24"/>
          <w:vertAlign w:val="subscript"/>
        </w:rPr>
        <w:t>2</w:t>
      </w:r>
      <w:r>
        <w:rPr>
          <w:rFonts w:hint="eastAsia"/>
          <w:sz w:val="24"/>
          <w:szCs w:val="24"/>
        </w:rPr>
        <w:t>）：粒状结构，块状构造，主要分布于图幅东南角，出露面积约1.4km</w:t>
      </w:r>
      <w:r>
        <w:rPr>
          <w:rFonts w:hint="eastAsia"/>
          <w:sz w:val="24"/>
          <w:szCs w:val="24"/>
          <w:vertAlign w:val="superscript"/>
        </w:rPr>
        <w:t>2</w:t>
      </w:r>
      <w:r>
        <w:rPr>
          <w:rFonts w:hint="eastAsia"/>
          <w:sz w:val="24"/>
          <w:szCs w:val="24"/>
        </w:rPr>
        <w:t>。</w:t>
      </w:r>
    </w:p>
    <w:p>
      <w:pPr>
        <w:adjustRightInd w:val="0"/>
        <w:snapToGrid w:val="0"/>
        <w:spacing w:line="360" w:lineRule="auto"/>
        <w:ind w:firstLine="480" w:firstLineChars="200"/>
        <w:rPr>
          <w:sz w:val="24"/>
          <w:szCs w:val="24"/>
        </w:rPr>
      </w:pPr>
      <w:r>
        <w:rPr>
          <w:rFonts w:hint="eastAsia"/>
          <w:sz w:val="24"/>
          <w:szCs w:val="24"/>
        </w:rPr>
        <w:t>第三系中新统汉诺坝组（E</w:t>
      </w:r>
      <w:r>
        <w:rPr>
          <w:rFonts w:hint="eastAsia"/>
          <w:sz w:val="24"/>
          <w:szCs w:val="24"/>
          <w:vertAlign w:val="subscript"/>
        </w:rPr>
        <w:t>1h</w:t>
      </w:r>
      <w:r>
        <w:rPr>
          <w:rFonts w:hint="eastAsia"/>
          <w:sz w:val="24"/>
          <w:szCs w:val="24"/>
        </w:rPr>
        <w:t>）：岩性为玄武岩，又称“棋盘山玄武岩”，斑状结构，杏仁构造，直接超覆于白垩系、侏罗系之上，与上覆上新统及第四系呈不整合接触，总厚56-508m。</w:t>
      </w:r>
    </w:p>
    <w:p>
      <w:pPr>
        <w:adjustRightInd w:val="0"/>
        <w:snapToGrid w:val="0"/>
        <w:spacing w:line="360" w:lineRule="auto"/>
        <w:ind w:firstLine="480" w:firstLineChars="200"/>
        <w:rPr>
          <w:sz w:val="24"/>
          <w:szCs w:val="24"/>
        </w:rPr>
      </w:pPr>
      <w:r>
        <w:rPr>
          <w:rFonts w:hint="eastAsia"/>
          <w:sz w:val="24"/>
          <w:szCs w:val="24"/>
        </w:rPr>
        <w:t>第四系（Q</w:t>
      </w:r>
      <w:r>
        <w:rPr>
          <w:rFonts w:hint="eastAsia"/>
          <w:sz w:val="24"/>
          <w:szCs w:val="24"/>
          <w:vertAlign w:val="subscript"/>
        </w:rPr>
        <w:t>4</w:t>
      </w:r>
      <w:r>
        <w:rPr>
          <w:rFonts w:hint="eastAsia"/>
          <w:sz w:val="24"/>
          <w:szCs w:val="24"/>
          <w:vertAlign w:val="superscript"/>
        </w:rPr>
        <w:t>al+pl</w:t>
      </w:r>
      <w:r>
        <w:rPr>
          <w:rFonts w:hint="eastAsia"/>
          <w:sz w:val="24"/>
          <w:szCs w:val="24"/>
        </w:rPr>
        <w:t>）：主要分布于河流两侧，主要为卵石层。砾石呈亚圆状，直径0.2～4cm，最大大于16cm，磨圆度中等，分选性差，厚10～27m。</w:t>
      </w:r>
    </w:p>
    <w:p>
      <w:pPr>
        <w:adjustRightInd w:val="0"/>
        <w:snapToGrid w:val="0"/>
        <w:spacing w:line="360" w:lineRule="auto"/>
        <w:ind w:firstLine="480" w:firstLineChars="200"/>
        <w:rPr>
          <w:sz w:val="24"/>
          <w:szCs w:val="24"/>
        </w:rPr>
      </w:pPr>
      <w:r>
        <w:rPr>
          <w:rFonts w:hint="eastAsia"/>
          <w:sz w:val="24"/>
          <w:szCs w:val="24"/>
        </w:rPr>
        <w:t>II岩浆岩</w:t>
      </w:r>
    </w:p>
    <w:p>
      <w:pPr>
        <w:adjustRightInd w:val="0"/>
        <w:snapToGrid w:val="0"/>
        <w:spacing w:line="360" w:lineRule="auto"/>
        <w:ind w:firstLine="480" w:firstLineChars="200"/>
        <w:rPr>
          <w:sz w:val="24"/>
          <w:szCs w:val="24"/>
        </w:rPr>
      </w:pPr>
      <w:r>
        <w:rPr>
          <w:rFonts w:hint="eastAsia"/>
          <w:sz w:val="24"/>
          <w:szCs w:val="24"/>
        </w:rPr>
        <w:t>区内岩浆岩主要为次石英斑岩（</w:t>
      </w:r>
      <w:r>
        <w:rPr>
          <w:sz w:val="24"/>
          <w:szCs w:val="24"/>
        </w:rPr>
        <w:t>Cλπ</w:t>
      </w:r>
      <w:r>
        <w:rPr>
          <w:sz w:val="24"/>
          <w:szCs w:val="24"/>
          <w:vertAlign w:val="subscript"/>
        </w:rPr>
        <w:t>5</w:t>
      </w:r>
      <w:r>
        <w:rPr>
          <w:sz w:val="24"/>
          <w:szCs w:val="24"/>
          <w:vertAlign w:val="superscript"/>
        </w:rPr>
        <w:t>2</w:t>
      </w:r>
      <w:r>
        <w:rPr>
          <w:sz w:val="24"/>
          <w:szCs w:val="24"/>
        </w:rPr>
        <w:t>）和燕山期花岗岩（λ</w:t>
      </w:r>
      <w:r>
        <w:rPr>
          <w:sz w:val="24"/>
          <w:szCs w:val="24"/>
          <w:vertAlign w:val="subscript"/>
        </w:rPr>
        <w:t>5</w:t>
      </w:r>
      <w:r>
        <w:rPr>
          <w:sz w:val="24"/>
          <w:szCs w:val="24"/>
          <w:vertAlign w:val="superscript"/>
        </w:rPr>
        <w:t>2</w:t>
      </w:r>
      <w:r>
        <w:rPr>
          <w:rFonts w:hint="eastAsia"/>
          <w:sz w:val="24"/>
          <w:szCs w:val="24"/>
        </w:rPr>
        <w:t>），次石英斑岩出露于大八号村两侧；燕山期花岗岩出露于大八号村南侧。</w:t>
      </w:r>
    </w:p>
    <w:p>
      <w:pPr>
        <w:numPr>
          <w:ilvl w:val="0"/>
          <w:numId w:val="10"/>
        </w:numPr>
        <w:adjustRightInd w:val="0"/>
        <w:snapToGrid w:val="0"/>
        <w:spacing w:line="360" w:lineRule="auto"/>
        <w:ind w:left="0" w:firstLine="480" w:firstLineChars="200"/>
        <w:rPr>
          <w:sz w:val="24"/>
          <w:szCs w:val="24"/>
        </w:rPr>
      </w:pPr>
      <w:r>
        <w:rPr>
          <w:rFonts w:hint="eastAsia"/>
          <w:sz w:val="24"/>
          <w:szCs w:val="24"/>
        </w:rPr>
        <w:t>水文地质条件</w:t>
      </w:r>
    </w:p>
    <w:p>
      <w:pPr>
        <w:widowControl/>
        <w:numPr>
          <w:ilvl w:val="0"/>
          <w:numId w:val="11"/>
        </w:numPr>
        <w:adjustRightInd w:val="0"/>
        <w:snapToGrid w:val="0"/>
        <w:spacing w:line="360" w:lineRule="auto"/>
        <w:ind w:left="0" w:firstLine="480" w:firstLineChars="200"/>
        <w:rPr>
          <w:sz w:val="24"/>
        </w:rPr>
      </w:pPr>
      <w:r>
        <w:rPr>
          <w:rFonts w:hint="eastAsia"/>
          <w:sz w:val="24"/>
        </w:rPr>
        <w:t>含水层分布</w:t>
      </w:r>
    </w:p>
    <w:p>
      <w:pPr>
        <w:adjustRightInd w:val="0"/>
        <w:snapToGrid w:val="0"/>
        <w:spacing w:line="360" w:lineRule="auto"/>
        <w:ind w:firstLine="480" w:firstLineChars="200"/>
        <w:jc w:val="left"/>
        <w:rPr>
          <w:rFonts w:ascii="宋体" w:hAnsi="宋体" w:cs="宋体"/>
          <w:kern w:val="0"/>
          <w:sz w:val="24"/>
          <w:szCs w:val="24"/>
        </w:rPr>
      </w:pPr>
      <w:r>
        <w:rPr>
          <w:rFonts w:hint="eastAsia" w:ascii="宋体" w:hAnsi="宋体" w:cs="宋体"/>
          <w:kern w:val="0"/>
          <w:sz w:val="24"/>
          <w:szCs w:val="24"/>
        </w:rPr>
        <w:t>区域内主要含水层有第四系松散岩类孔隙含水层、碎屑岩类裂隙含水层，现将其分述如下：</w:t>
      </w:r>
    </w:p>
    <w:p>
      <w:pPr>
        <w:adjustRightInd w:val="0"/>
        <w:snapToGrid w:val="0"/>
        <w:spacing w:line="360" w:lineRule="auto"/>
        <w:ind w:firstLine="480" w:firstLineChars="200"/>
        <w:jc w:val="left"/>
        <w:rPr>
          <w:rFonts w:ascii="宋体" w:hAnsi="宋体" w:cs="宋体"/>
          <w:kern w:val="0"/>
          <w:sz w:val="24"/>
          <w:szCs w:val="24"/>
        </w:rPr>
      </w:pPr>
      <w:r>
        <w:rPr>
          <w:rFonts w:hint="eastAsia" w:ascii="宋体" w:hAnsi="宋体" w:cs="宋体"/>
          <w:kern w:val="0"/>
          <w:sz w:val="24"/>
          <w:szCs w:val="24"/>
        </w:rPr>
        <w:t>I第四系孔隙含水层</w:t>
      </w:r>
    </w:p>
    <w:p>
      <w:pPr>
        <w:adjustRightInd w:val="0"/>
        <w:snapToGrid w:val="0"/>
        <w:spacing w:line="360" w:lineRule="auto"/>
        <w:ind w:firstLine="480" w:firstLineChars="200"/>
        <w:jc w:val="left"/>
        <w:rPr>
          <w:kern w:val="0"/>
          <w:sz w:val="24"/>
          <w:szCs w:val="24"/>
        </w:rPr>
      </w:pPr>
      <w:r>
        <w:rPr>
          <w:rFonts w:hint="eastAsia" w:ascii="宋体" w:hAnsi="宋体" w:cs="宋体"/>
          <w:kern w:val="0"/>
          <w:sz w:val="24"/>
          <w:szCs w:val="24"/>
        </w:rPr>
        <w:t>主要分布在伊逊河及其主要支流的河漫滩、阶地中，其分布范围、岩性结构、厚度及富水性因地而异，一</w:t>
      </w:r>
      <w:r>
        <w:rPr>
          <w:kern w:val="0"/>
          <w:sz w:val="24"/>
          <w:szCs w:val="24"/>
        </w:rPr>
        <w:t>般含水层厚度为10～26m，水位埋深1.0～17.3m。由于潜水位埋藏较浅，容易接受大气降水的渗透及基岩裂隙水补给。地下水流向与地表水近乎一致，雨季期间近河地段，地下水位常受回水影响而上升，旱季地下水则向河流方向排泄，其动态随季节而变化，据区域资料水位变幅为1.5～2m，为区内工农业用水的主要含水层。</w:t>
      </w:r>
    </w:p>
    <w:p>
      <w:pPr>
        <w:adjustRightInd w:val="0"/>
        <w:snapToGrid w:val="0"/>
        <w:spacing w:line="360" w:lineRule="auto"/>
        <w:ind w:firstLine="480" w:firstLineChars="200"/>
        <w:jc w:val="left"/>
        <w:rPr>
          <w:kern w:val="0"/>
          <w:sz w:val="24"/>
          <w:szCs w:val="24"/>
        </w:rPr>
      </w:pPr>
      <w:r>
        <w:rPr>
          <w:kern w:val="0"/>
          <w:sz w:val="24"/>
          <w:szCs w:val="24"/>
        </w:rPr>
        <w:t>II基岩中的裂隙潜水</w:t>
      </w:r>
    </w:p>
    <w:p>
      <w:pPr>
        <w:adjustRightInd w:val="0"/>
        <w:snapToGrid w:val="0"/>
        <w:spacing w:line="360" w:lineRule="auto"/>
        <w:ind w:firstLine="480" w:firstLineChars="200"/>
        <w:jc w:val="left"/>
        <w:rPr>
          <w:kern w:val="0"/>
          <w:sz w:val="24"/>
          <w:szCs w:val="24"/>
        </w:rPr>
      </w:pPr>
      <w:r>
        <w:rPr>
          <w:kern w:val="0"/>
          <w:sz w:val="24"/>
          <w:szCs w:val="24"/>
        </w:rPr>
        <w:t>其岩性为凝灰质砂砾岩以及陆相沉积砂砾岩，因岩性坚硬裂隙不发育。仅在构造有利及岩石破碎地段形成裂隙潜水，并常以泉的形式泄出地表，属富水性较弱的地层。详见区域水文地质图（见图5.3</w:t>
      </w:r>
      <w:r>
        <w:rPr>
          <w:kern w:val="0"/>
          <w:sz w:val="24"/>
          <w:szCs w:val="24"/>
        </w:rPr>
        <w:noBreakHyphen/>
      </w:r>
      <w:r>
        <w:rPr>
          <w:kern w:val="0"/>
          <w:sz w:val="24"/>
          <w:szCs w:val="24"/>
        </w:rPr>
        <w:t>7）</w:t>
      </w:r>
      <w:r>
        <w:rPr>
          <w:rFonts w:hint="eastAsia"/>
          <w:kern w:val="0"/>
          <w:sz w:val="24"/>
          <w:szCs w:val="24"/>
        </w:rPr>
        <w:t>，水文地质剖面见图5.</w:t>
      </w:r>
      <w:r>
        <w:rPr>
          <w:kern w:val="0"/>
          <w:sz w:val="24"/>
          <w:szCs w:val="24"/>
        </w:rPr>
        <w:t>3</w:t>
      </w:r>
      <w:r>
        <w:rPr>
          <w:rFonts w:hint="eastAsia"/>
          <w:kern w:val="0"/>
          <w:sz w:val="24"/>
          <w:szCs w:val="24"/>
        </w:rPr>
        <w:t>-</w:t>
      </w:r>
      <w:r>
        <w:rPr>
          <w:kern w:val="0"/>
          <w:sz w:val="24"/>
          <w:szCs w:val="24"/>
        </w:rPr>
        <w:t>8。</w:t>
      </w:r>
    </w:p>
    <w:p>
      <w:pPr>
        <w:widowControl/>
        <w:numPr>
          <w:ilvl w:val="0"/>
          <w:numId w:val="11"/>
        </w:numPr>
        <w:adjustRightInd w:val="0"/>
        <w:snapToGrid w:val="0"/>
        <w:spacing w:line="360" w:lineRule="auto"/>
        <w:ind w:left="0" w:firstLine="480" w:firstLineChars="200"/>
        <w:rPr>
          <w:sz w:val="24"/>
        </w:rPr>
      </w:pPr>
      <w:r>
        <w:rPr>
          <w:sz w:val="24"/>
        </w:rPr>
        <w:t>地下水补径排条件</w:t>
      </w:r>
    </w:p>
    <w:p>
      <w:pPr>
        <w:adjustRightInd w:val="0"/>
        <w:snapToGrid w:val="0"/>
        <w:spacing w:line="360" w:lineRule="auto"/>
        <w:ind w:firstLine="480" w:firstLineChars="200"/>
        <w:jc w:val="left"/>
        <w:rPr>
          <w:kern w:val="0"/>
          <w:sz w:val="24"/>
          <w:szCs w:val="24"/>
        </w:rPr>
      </w:pPr>
      <w:r>
        <w:rPr>
          <w:kern w:val="0"/>
          <w:sz w:val="24"/>
          <w:szCs w:val="24"/>
        </w:rPr>
        <w:t>区内第四系孔隙潜水含水层具有一定的分布范围，而且直接裸露于地表，地层透水性良好，其补给区域与分布区基本一致。易于接受大气降水的补给，由于山区地形坡度较大，地下水流速较快，因此在水平方向上径流条件良好，在近河地段地下水与地表水水力联系密切，雨季接受河水补给，旱季地下水通过水文网排泄，转化成地表水。评价范围内地下水的总体流向呈近N～S向，与地表水流向基本一致，存在地下水补给河水的现象。</w:t>
      </w:r>
    </w:p>
    <w:p>
      <w:pPr>
        <w:keepNext/>
      </w:pPr>
      <w:r>
        <w:rPr>
          <w:rFonts w:hint="eastAsia"/>
        </w:rPr>
        <mc:AlternateContent>
          <mc:Choice Requires="wps">
            <w:drawing>
              <wp:anchor distT="0" distB="0" distL="114300" distR="114300" simplePos="0" relativeHeight="251699200" behindDoc="0" locked="0" layoutInCell="1" allowOverlap="1">
                <wp:simplePos x="0" y="0"/>
                <wp:positionH relativeFrom="column">
                  <wp:posOffset>3898900</wp:posOffset>
                </wp:positionH>
                <wp:positionV relativeFrom="paragraph">
                  <wp:posOffset>204470</wp:posOffset>
                </wp:positionV>
                <wp:extent cx="1208405" cy="429260"/>
                <wp:effectExtent l="419100" t="0" r="0" b="313690"/>
                <wp:wrapNone/>
                <wp:docPr id="236" name="椭圆形标注 89"/>
                <wp:cNvGraphicFramePr/>
                <a:graphic xmlns:a="http://schemas.openxmlformats.org/drawingml/2006/main">
                  <a:graphicData uri="http://schemas.microsoft.com/office/word/2010/wordprocessingShape">
                    <wps:wsp>
                      <wps:cNvSpPr/>
                      <wps:spPr>
                        <a:xfrm>
                          <a:off x="0" y="0"/>
                          <a:ext cx="1208405" cy="429260"/>
                        </a:xfrm>
                        <a:prstGeom prst="wedgeEllipseCallout">
                          <a:avLst>
                            <a:gd name="adj1" fmla="val -83382"/>
                            <a:gd name="adj2" fmla="val 116956"/>
                          </a:avLst>
                        </a:prstGeom>
                        <a:solidFill>
                          <a:srgbClr val="00B0F0"/>
                        </a:solidFill>
                        <a:ln w="25400" cap="flat" cmpd="sng" algn="ctr">
                          <a:noFill/>
                          <a:prstDash val="solid"/>
                        </a:ln>
                        <a:effectLst/>
                      </wps:spPr>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项目厂址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89" o:spid="_x0000_s1026" o:spt="63" type="#_x0000_t63" style="position:absolute;left:0pt;margin-left:307pt;margin-top:16.1pt;height:33.8pt;width:95.15pt;z-index:251699200;v-text-anchor:middle;mso-width-relative:page;mso-height-relative:page;" fillcolor="#00B0F0" filled="t" stroked="f" coordsize="21600,21600" o:gfxdata="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p2z9HNkAAAAJAQAADwAAAAAAAAABACAAAAAiAAAAZHJz&#10;L2Rvd25yZXYueG1sUEsBAhQAFAAAAAgAh07iQF8XWwauAgAAOwUAAA4AAAAAAAAAAQAgAAAAKAEA&#10;AGRycy9lMm9Eb2MueG1sUEsFBgAAAAAGAAYAWQEAAEgGAAAAAA==&#10;" adj="-7211,36062">
                <v:fill on="t" focussize="0,0"/>
                <v:stroke on="f" weight="2pt"/>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项目厂址</w:t>
                      </w:r>
                    </w:p>
                  </w:txbxContent>
                </v:textbox>
              </v:shape>
            </w:pict>
          </mc:Fallback>
        </mc:AlternateContent>
      </w:r>
      <w:r>
        <w:rPr>
          <w:rFonts w:hint="eastAsia"/>
        </w:rPr>
        <w:drawing>
          <wp:inline distT="0" distB="0" distL="0" distR="0">
            <wp:extent cx="5271770" cy="7322185"/>
            <wp:effectExtent l="0" t="0" r="508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79"/>
                    <a:srcRect/>
                    <a:stretch>
                      <a:fillRect/>
                    </a:stretch>
                  </pic:blipFill>
                  <pic:spPr>
                    <a:xfrm>
                      <a:off x="0" y="0"/>
                      <a:ext cx="5271770" cy="7322185"/>
                    </a:xfrm>
                    <a:prstGeom prst="rect">
                      <a:avLst/>
                    </a:prstGeom>
                    <a:noFill/>
                    <a:ln>
                      <a:noFill/>
                    </a:ln>
                  </pic:spPr>
                </pic:pic>
              </a:graphicData>
            </a:graphic>
          </wp:inline>
        </w:drawing>
      </w:r>
    </w:p>
    <w:p>
      <w:pPr>
        <w:jc w:val="center"/>
        <w:rPr>
          <w:sz w:val="24"/>
          <w:szCs w:val="24"/>
        </w:rPr>
      </w:pPr>
      <w:r>
        <w:rPr>
          <w:sz w:val="24"/>
          <w:szCs w:val="24"/>
        </w:rPr>
        <w:t>图5.3</w:t>
      </w:r>
      <w:r>
        <w:rPr>
          <w:sz w:val="24"/>
          <w:szCs w:val="24"/>
        </w:rPr>
        <w:noBreakHyphen/>
      </w:r>
      <w:r>
        <w:rPr>
          <w:sz w:val="24"/>
          <w:szCs w:val="24"/>
        </w:rPr>
        <w:t>5 河北省构造单元分区图</w:t>
      </w:r>
    </w:p>
    <w:p>
      <w:pPr>
        <w:jc w:val="center"/>
        <w:rPr>
          <w:sz w:val="24"/>
          <w:szCs w:val="24"/>
        </w:rPr>
      </w:pPr>
    </w:p>
    <w:p>
      <w:pPr>
        <w:jc w:val="center"/>
      </w:pPr>
      <w:r>
        <w:rPr>
          <w:rFonts w:hint="eastAsia"/>
        </w:rPr>
        <mc:AlternateContent>
          <mc:Choice Requires="wps">
            <w:drawing>
              <wp:anchor distT="0" distB="0" distL="114300" distR="114300" simplePos="0" relativeHeight="251700224" behindDoc="0" locked="0" layoutInCell="1" allowOverlap="1">
                <wp:simplePos x="0" y="0"/>
                <wp:positionH relativeFrom="column">
                  <wp:posOffset>2832100</wp:posOffset>
                </wp:positionH>
                <wp:positionV relativeFrom="paragraph">
                  <wp:posOffset>196850</wp:posOffset>
                </wp:positionV>
                <wp:extent cx="1115695" cy="410210"/>
                <wp:effectExtent l="438150" t="0" r="0" b="294640"/>
                <wp:wrapNone/>
                <wp:docPr id="237" name="椭圆形标注 17"/>
                <wp:cNvGraphicFramePr/>
                <a:graphic xmlns:a="http://schemas.openxmlformats.org/drawingml/2006/main">
                  <a:graphicData uri="http://schemas.microsoft.com/office/word/2010/wordprocessingShape">
                    <wps:wsp>
                      <wps:cNvSpPr/>
                      <wps:spPr>
                        <a:xfrm>
                          <a:off x="0" y="0"/>
                          <a:ext cx="1115695" cy="410210"/>
                        </a:xfrm>
                        <a:prstGeom prst="wedgeEllipseCallout">
                          <a:avLst>
                            <a:gd name="adj1" fmla="val -88051"/>
                            <a:gd name="adj2" fmla="val 116905"/>
                          </a:avLst>
                        </a:prstGeom>
                        <a:solidFill>
                          <a:srgbClr val="00B0F0"/>
                        </a:solidFill>
                        <a:ln w="25400" cap="flat" cmpd="sng" algn="ctr">
                          <a:noFill/>
                          <a:prstDash val="solid"/>
                        </a:ln>
                        <a:effectLst/>
                      </wps:spPr>
                      <wps:txbx>
                        <w:txbxContent>
                          <w:p>
                            <w:pPr>
                              <w:jc w:val="center"/>
                              <w:rPr>
                                <w:b/>
                              </w:rPr>
                            </w:pPr>
                            <w:r>
                              <w:rPr>
                                <w:rFonts w:hint="eastAsia"/>
                                <w:b/>
                              </w:rPr>
                              <w:t>项目厂址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17" o:spid="_x0000_s1026" o:spt="63" type="#_x0000_t63" style="position:absolute;left:0pt;margin-left:223pt;margin-top:15.5pt;height:32.3pt;width:87.85pt;z-index:251700224;v-text-anchor:middle;mso-width-relative:page;mso-height-relative:page;" fillcolor="#00B0F0" filled="t" stroked="f" coordsize="21600,21600" o:gfxdata="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VcJcbYAAAACQEAAA8AAAAAAAAAAQAgAAAAIgAAAGRycy9k&#10;b3ducmV2LnhtbFBLAQIUABQAAAAIAIdO4kAvkGr0rQIAADsFAAAOAAAAAAAAAAEAIAAAACcBAABk&#10;cnMvZTJvRG9jLnhtbFBLBQYAAAAABgAGAFkBAABGBgAAAAA=&#10;" adj="-8219,36051">
                <v:fill on="t" focussize="0,0"/>
                <v:stroke on="f" weight="2pt"/>
                <v:imagedata o:title=""/>
                <o:lock v:ext="edit" aspectratio="f"/>
                <v:textbox>
                  <w:txbxContent>
                    <w:p>
                      <w:pPr>
                        <w:jc w:val="center"/>
                        <w:rPr>
                          <w:b/>
                        </w:rPr>
                      </w:pPr>
                      <w:r>
                        <w:rPr>
                          <w:rFonts w:hint="eastAsia"/>
                          <w:b/>
                        </w:rPr>
                        <w:t>项目厂址</w:t>
                      </w:r>
                    </w:p>
                  </w:txbxContent>
                </v:textbox>
              </v:shape>
            </w:pict>
          </mc:Fallback>
        </mc:AlternateContent>
      </w:r>
      <w:r>
        <w:drawing>
          <wp:inline distT="0" distB="0" distL="0" distR="0">
            <wp:extent cx="3092450" cy="387032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099406" cy="3879481"/>
                    </a:xfrm>
                    <a:prstGeom prst="rect">
                      <a:avLst/>
                    </a:prstGeom>
                    <a:noFill/>
                    <a:ln>
                      <a:noFill/>
                    </a:ln>
                  </pic:spPr>
                </pic:pic>
              </a:graphicData>
            </a:graphic>
          </wp:inline>
        </w:drawing>
      </w:r>
    </w:p>
    <w:p>
      <w:pPr>
        <w:jc w:val="center"/>
        <w:rPr>
          <w:sz w:val="24"/>
          <w:szCs w:val="24"/>
        </w:rPr>
      </w:pPr>
      <w:r>
        <w:rPr>
          <w:rFonts w:hint="eastAsia"/>
          <w:sz w:val="24"/>
          <w:szCs w:val="24"/>
        </w:rPr>
        <w:t>图</w:t>
      </w:r>
      <w:r>
        <w:rPr>
          <w:sz w:val="24"/>
          <w:szCs w:val="24"/>
        </w:rPr>
        <w:t>5.3</w:t>
      </w:r>
      <w:r>
        <w:rPr>
          <w:sz w:val="24"/>
          <w:szCs w:val="24"/>
        </w:rPr>
        <w:noBreakHyphen/>
      </w:r>
      <w:r>
        <w:rPr>
          <w:sz w:val="24"/>
          <w:szCs w:val="24"/>
        </w:rPr>
        <w:t>6 区域地质图</w:t>
      </w:r>
    </w:p>
    <w:p>
      <w:pPr>
        <w:jc w:val="center"/>
        <w:rPr>
          <w:sz w:val="24"/>
          <w:szCs w:val="24"/>
        </w:rPr>
      </w:pPr>
    </w:p>
    <w:p>
      <w:pPr>
        <w:jc w:val="center"/>
      </w:pPr>
      <w:r>
        <w:rPr>
          <w:rFonts w:hint="eastAsia"/>
        </w:rPr>
        <mc:AlternateContent>
          <mc:Choice Requires="wps">
            <w:drawing>
              <wp:anchor distT="0" distB="0" distL="114300" distR="114300" simplePos="0" relativeHeight="251701248" behindDoc="0" locked="0" layoutInCell="1" allowOverlap="1">
                <wp:simplePos x="0" y="0"/>
                <wp:positionH relativeFrom="column">
                  <wp:posOffset>3333750</wp:posOffset>
                </wp:positionH>
                <wp:positionV relativeFrom="paragraph">
                  <wp:posOffset>557530</wp:posOffset>
                </wp:positionV>
                <wp:extent cx="1115695" cy="410210"/>
                <wp:effectExtent l="990600" t="0" r="0" b="485140"/>
                <wp:wrapNone/>
                <wp:docPr id="238" name="椭圆形标注 17"/>
                <wp:cNvGraphicFramePr/>
                <a:graphic xmlns:a="http://schemas.openxmlformats.org/drawingml/2006/main">
                  <a:graphicData uri="http://schemas.microsoft.com/office/word/2010/wordprocessingShape">
                    <wps:wsp>
                      <wps:cNvSpPr/>
                      <wps:spPr>
                        <a:xfrm>
                          <a:off x="0" y="0"/>
                          <a:ext cx="1115695" cy="410210"/>
                        </a:xfrm>
                        <a:prstGeom prst="wedgeEllipseCallout">
                          <a:avLst>
                            <a:gd name="adj1" fmla="val -137567"/>
                            <a:gd name="adj2" fmla="val 160249"/>
                          </a:avLst>
                        </a:prstGeom>
                        <a:solidFill>
                          <a:srgbClr val="00B0F0"/>
                        </a:solidFill>
                        <a:ln w="25400" cap="flat" cmpd="sng" algn="ctr">
                          <a:noFill/>
                          <a:prstDash val="solid"/>
                        </a:ln>
                        <a:effectLst/>
                      </wps:spPr>
                      <wps:txbx>
                        <w:txbxContent>
                          <w:p>
                            <w:pPr>
                              <w:jc w:val="center"/>
                              <w:rPr>
                                <w:b/>
                              </w:rPr>
                            </w:pPr>
                            <w:r>
                              <w:rPr>
                                <w:rFonts w:hint="eastAsia"/>
                                <w:b/>
                              </w:rPr>
                              <w:t>项目厂址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形标注 17" o:spid="_x0000_s1026" o:spt="63" type="#_x0000_t63" style="position:absolute;left:0pt;margin-left:262.5pt;margin-top:43.9pt;height:32.3pt;width:87.85pt;z-index:251701248;v-text-anchor:middle;mso-width-relative:page;mso-height-relative:page;" fillcolor="#00B0F0" filled="t" stroked="f" coordsize="21600,21600" o:gfxdata="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&#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iKTWT2gAAAAoBAAAPAAAAAAAAAAEAIAAAACIAAABk&#10;cnMvZG93bnJldi54bWxQSwECFAAUAAAACACHTuJAC4wZIK8CAAA8BQAADgAAAAAAAAABACAAAAAp&#10;AQAAZHJzL2Uyb0RvYy54bWxQSwUGAAAAAAYABgBZAQAASgYAAAAA&#10;" adj="-18914,45414">
                <v:fill on="t" focussize="0,0"/>
                <v:stroke on="f" weight="2pt"/>
                <v:imagedata o:title=""/>
                <o:lock v:ext="edit" aspectratio="f"/>
                <v:textbox>
                  <w:txbxContent>
                    <w:p>
                      <w:pPr>
                        <w:jc w:val="center"/>
                        <w:rPr>
                          <w:b/>
                        </w:rPr>
                      </w:pPr>
                      <w:r>
                        <w:rPr>
                          <w:rFonts w:hint="eastAsia"/>
                          <w:b/>
                        </w:rPr>
                        <w:t>项目厂址</w:t>
                      </w:r>
                    </w:p>
                  </w:txbxContent>
                </v:textbox>
              </v:shape>
            </w:pict>
          </mc:Fallback>
        </mc:AlternateContent>
      </w:r>
      <w:r>
        <w:drawing>
          <wp:inline distT="0" distB="0" distL="0" distR="0">
            <wp:extent cx="5253990" cy="3924300"/>
            <wp:effectExtent l="0" t="0" r="381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275147" cy="3939667"/>
                    </a:xfrm>
                    <a:prstGeom prst="rect">
                      <a:avLst/>
                    </a:prstGeom>
                    <a:noFill/>
                    <a:ln>
                      <a:noFill/>
                    </a:ln>
                  </pic:spPr>
                </pic:pic>
              </a:graphicData>
            </a:graphic>
          </wp:inline>
        </w:drawing>
      </w:r>
    </w:p>
    <w:p>
      <w:pPr>
        <w:jc w:val="center"/>
        <w:rPr>
          <w:rFonts w:ascii="Arial" w:hAnsi="Arial" w:eastAsia="黑体" w:cs="Arial"/>
          <w:sz w:val="20"/>
        </w:rPr>
      </w:pPr>
      <w:r>
        <w:rPr>
          <w:rFonts w:hint="eastAsia"/>
          <w:sz w:val="24"/>
          <w:szCs w:val="24"/>
        </w:rPr>
        <w:t>图</w:t>
      </w:r>
      <w:r>
        <w:rPr>
          <w:sz w:val="24"/>
          <w:szCs w:val="24"/>
        </w:rPr>
        <w:t>5.3</w:t>
      </w:r>
      <w:r>
        <w:rPr>
          <w:sz w:val="24"/>
          <w:szCs w:val="24"/>
        </w:rPr>
        <w:noBreakHyphen/>
      </w:r>
      <w:r>
        <w:rPr>
          <w:sz w:val="24"/>
          <w:szCs w:val="24"/>
        </w:rPr>
        <w:t>7 区域水文地质图</w:t>
      </w:r>
    </w:p>
    <w:p>
      <w:pPr>
        <w:tabs>
          <w:tab w:val="left" w:pos="1080"/>
        </w:tabs>
        <w:adjustRightInd w:val="0"/>
        <w:snapToGrid w:val="0"/>
        <w:spacing w:line="360" w:lineRule="auto"/>
        <w:rPr>
          <w:snapToGrid w:val="0"/>
          <w:sz w:val="24"/>
          <w:szCs w:val="24"/>
        </w:rPr>
        <w:sectPr>
          <w:footerReference r:id="rId20" w:type="default"/>
          <w:pgSz w:w="11906" w:h="16838"/>
          <w:pgMar w:top="1440" w:right="1800" w:bottom="1440" w:left="1800" w:header="851" w:footer="992" w:gutter="0"/>
          <w:cols w:space="425" w:num="1"/>
          <w:docGrid w:type="lines" w:linePitch="312" w:charSpace="0"/>
        </w:sectPr>
      </w:pPr>
    </w:p>
    <w:p>
      <w:pPr>
        <w:tabs>
          <w:tab w:val="left" w:pos="1080"/>
        </w:tabs>
        <w:adjustRightInd w:val="0"/>
        <w:snapToGrid w:val="0"/>
        <w:spacing w:line="360" w:lineRule="auto"/>
        <w:jc w:val="center"/>
        <w:rPr>
          <w:snapToGrid w:val="0"/>
          <w:sz w:val="24"/>
          <w:szCs w:val="24"/>
        </w:rPr>
      </w:pPr>
      <w:r>
        <w:drawing>
          <wp:inline distT="0" distB="0" distL="0" distR="0">
            <wp:extent cx="6866255" cy="4965700"/>
            <wp:effectExtent l="0" t="0" r="0" b="6350"/>
            <wp:docPr id="250" name="图片 250" descr="E:\李朋涛项目\承德围场项目\地下水图件\附录3：剖面图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E:\李朋涛项目\承德围场项目\地下水图件\附录3：剖面图 Model (1).jpg"/>
                    <pic:cNvPicPr>
                      <a:picLocks noChangeAspect="1" noChangeArrowheads="1"/>
                    </pic:cNvPicPr>
                  </pic:nvPicPr>
                  <pic:blipFill>
                    <a:blip r:embed="rId82"/>
                    <a:srcRect/>
                    <a:stretch>
                      <a:fillRect/>
                    </a:stretch>
                  </pic:blipFill>
                  <pic:spPr>
                    <a:xfrm>
                      <a:off x="0" y="0"/>
                      <a:ext cx="6898463" cy="4988576"/>
                    </a:xfrm>
                    <a:prstGeom prst="rect">
                      <a:avLst/>
                    </a:prstGeom>
                    <a:noFill/>
                    <a:ln>
                      <a:noFill/>
                    </a:ln>
                  </pic:spPr>
                </pic:pic>
              </a:graphicData>
            </a:graphic>
          </wp:inline>
        </w:drawing>
      </w:r>
    </w:p>
    <w:p>
      <w:pPr>
        <w:tabs>
          <w:tab w:val="left" w:pos="1080"/>
        </w:tabs>
        <w:adjustRightInd w:val="0"/>
        <w:snapToGrid w:val="0"/>
        <w:spacing w:line="360" w:lineRule="auto"/>
        <w:jc w:val="center"/>
        <w:rPr>
          <w:snapToGrid w:val="0"/>
          <w:sz w:val="24"/>
          <w:szCs w:val="24"/>
        </w:rPr>
      </w:pPr>
      <w:r>
        <w:rPr>
          <w:rFonts w:hint="eastAsia"/>
          <w:snapToGrid w:val="0"/>
          <w:sz w:val="24"/>
          <w:szCs w:val="24"/>
        </w:rPr>
        <w:t>图5.</w:t>
      </w:r>
      <w:r>
        <w:rPr>
          <w:snapToGrid w:val="0"/>
          <w:sz w:val="24"/>
          <w:szCs w:val="24"/>
        </w:rPr>
        <w:t>3-8</w:t>
      </w:r>
      <w:r>
        <w:rPr>
          <w:rFonts w:hint="eastAsia"/>
          <w:snapToGrid w:val="0"/>
          <w:sz w:val="24"/>
          <w:szCs w:val="24"/>
        </w:rPr>
        <w:t xml:space="preserve">  水文地质剖面图（6-6</w:t>
      </w:r>
      <w:r>
        <w:rPr>
          <w:snapToGrid w:val="0"/>
          <w:sz w:val="24"/>
          <w:szCs w:val="24"/>
        </w:rPr>
        <w:t>′</w:t>
      </w:r>
      <w:r>
        <w:rPr>
          <w:rFonts w:hint="eastAsia"/>
          <w:snapToGrid w:val="0"/>
          <w:sz w:val="24"/>
          <w:szCs w:val="24"/>
        </w:rPr>
        <w:t>）</w:t>
      </w:r>
    </w:p>
    <w:p>
      <w:pPr>
        <w:tabs>
          <w:tab w:val="left" w:pos="1080"/>
        </w:tabs>
        <w:adjustRightInd w:val="0"/>
        <w:snapToGrid w:val="0"/>
        <w:spacing w:line="360" w:lineRule="auto"/>
        <w:jc w:val="center"/>
        <w:rPr>
          <w:snapToGrid w:val="0"/>
          <w:sz w:val="24"/>
          <w:szCs w:val="24"/>
        </w:rPr>
        <w:sectPr>
          <w:pgSz w:w="16838" w:h="11906" w:orient="landscape"/>
          <w:pgMar w:top="1797" w:right="1440" w:bottom="1797" w:left="1440" w:header="851" w:footer="992" w:gutter="0"/>
          <w:cols w:space="425" w:num="1"/>
          <w:docGrid w:type="lines" w:linePitch="312" w:charSpace="0"/>
        </w:sectPr>
      </w:pPr>
    </w:p>
    <w:p>
      <w:pPr>
        <w:keepNext/>
        <w:keepLines/>
        <w:numPr>
          <w:ilvl w:val="2"/>
          <w:numId w:val="5"/>
        </w:numPr>
        <w:tabs>
          <w:tab w:val="left" w:pos="432"/>
          <w:tab w:val="left" w:pos="567"/>
          <w:tab w:val="left" w:pos="1021"/>
          <w:tab w:val="left" w:pos="1873"/>
          <w:tab w:val="clear" w:pos="1163"/>
        </w:tabs>
        <w:adjustRightInd w:val="0"/>
        <w:snapToGrid w:val="0"/>
        <w:spacing w:before="156" w:beforeLines="50" w:after="156" w:afterLines="50" w:line="360" w:lineRule="auto"/>
        <w:ind w:left="1021"/>
        <w:jc w:val="left"/>
        <w:outlineLvl w:val="2"/>
        <w:rPr>
          <w:rFonts w:ascii="宋体" w:hAnsi="宋体"/>
          <w:b/>
          <w:bCs/>
          <w:snapToGrid w:val="0"/>
          <w:sz w:val="28"/>
          <w:szCs w:val="28"/>
        </w:rPr>
      </w:pPr>
      <w:r>
        <w:rPr>
          <w:rFonts w:ascii="宋体" w:hAnsi="宋体"/>
          <w:b/>
          <w:bCs/>
          <w:snapToGrid w:val="0"/>
          <w:sz w:val="28"/>
          <w:szCs w:val="28"/>
        </w:rPr>
        <w:t>评价区</w:t>
      </w:r>
      <w:r>
        <w:rPr>
          <w:rFonts w:hint="eastAsia" w:ascii="宋体" w:hAnsi="宋体"/>
          <w:b/>
          <w:bCs/>
          <w:snapToGrid w:val="0"/>
          <w:sz w:val="28"/>
          <w:szCs w:val="28"/>
        </w:rPr>
        <w:t>地质与</w:t>
      </w:r>
      <w:r>
        <w:rPr>
          <w:rFonts w:ascii="宋体" w:hAnsi="宋体"/>
          <w:b/>
          <w:bCs/>
          <w:snapToGrid w:val="0"/>
          <w:sz w:val="28"/>
          <w:szCs w:val="28"/>
        </w:rPr>
        <w:t>水文地质条件</w:t>
      </w:r>
    </w:p>
    <w:p>
      <w:pPr>
        <w:numPr>
          <w:ilvl w:val="0"/>
          <w:numId w:val="12"/>
        </w:numPr>
        <w:adjustRightInd w:val="0"/>
        <w:snapToGrid w:val="0"/>
        <w:spacing w:line="360" w:lineRule="auto"/>
        <w:ind w:left="0" w:firstLine="480" w:firstLineChars="200"/>
        <w:rPr>
          <w:sz w:val="24"/>
          <w:szCs w:val="24"/>
        </w:rPr>
      </w:pPr>
      <w:r>
        <w:rPr>
          <w:sz w:val="24"/>
          <w:szCs w:val="24"/>
        </w:rPr>
        <w:t>评价区地质条件</w:t>
      </w:r>
    </w:p>
    <w:p>
      <w:pPr>
        <w:adjustRightInd w:val="0"/>
        <w:snapToGrid w:val="0"/>
        <w:spacing w:line="360" w:lineRule="auto"/>
        <w:ind w:firstLine="480" w:firstLineChars="200"/>
        <w:rPr>
          <w:sz w:val="24"/>
          <w:szCs w:val="24"/>
        </w:rPr>
      </w:pPr>
      <w:r>
        <w:rPr>
          <w:rFonts w:hint="eastAsia"/>
          <w:sz w:val="24"/>
          <w:szCs w:val="24"/>
        </w:rPr>
        <w:t>1）</w:t>
      </w:r>
      <w:r>
        <w:rPr>
          <w:sz w:val="24"/>
        </w:rPr>
        <w:t>地形地貌</w:t>
      </w:r>
    </w:p>
    <w:p>
      <w:pPr>
        <w:adjustRightInd w:val="0"/>
        <w:snapToGrid w:val="0"/>
        <w:spacing w:line="360" w:lineRule="auto"/>
        <w:ind w:firstLine="480" w:firstLineChars="200"/>
        <w:jc w:val="left"/>
        <w:rPr>
          <w:sz w:val="24"/>
        </w:rPr>
      </w:pPr>
      <w:r>
        <w:rPr>
          <w:rFonts w:hint="eastAsia"/>
          <w:sz w:val="24"/>
        </w:rPr>
        <w:t>拟建场地地形起伏较大，属于山前洪积扇地貌</w:t>
      </w:r>
      <w:r>
        <w:rPr>
          <w:sz w:val="24"/>
        </w:rPr>
        <w:t>。</w:t>
      </w:r>
    </w:p>
    <w:p>
      <w:pPr>
        <w:adjustRightInd w:val="0"/>
        <w:snapToGrid w:val="0"/>
        <w:spacing w:line="360" w:lineRule="auto"/>
        <w:ind w:firstLine="480" w:firstLineChars="200"/>
        <w:jc w:val="left"/>
        <w:rPr>
          <w:sz w:val="24"/>
        </w:rPr>
      </w:pPr>
      <w:r>
        <w:rPr>
          <w:rFonts w:hint="eastAsia"/>
          <w:sz w:val="24"/>
        </w:rPr>
        <w:t>2）场地</w:t>
      </w:r>
      <w:r>
        <w:rPr>
          <w:sz w:val="24"/>
        </w:rPr>
        <w:t>地层岩性</w:t>
      </w:r>
    </w:p>
    <w:p>
      <w:pPr>
        <w:adjustRightInd w:val="0"/>
        <w:snapToGrid w:val="0"/>
        <w:spacing w:line="360" w:lineRule="auto"/>
        <w:ind w:firstLine="480" w:firstLineChars="200"/>
        <w:jc w:val="left"/>
        <w:rPr>
          <w:sz w:val="24"/>
        </w:rPr>
      </w:pPr>
      <w:r>
        <w:rPr>
          <w:rFonts w:hint="eastAsia"/>
          <w:sz w:val="24"/>
        </w:rPr>
        <w:t>本项目紧邻围场满族蒙古族自治县静脉产业园生活垃圾焚烧发电项目，该相邻场地的钻探揭露</w:t>
      </w:r>
      <w:r>
        <w:rPr>
          <w:rFonts w:hint="eastAsia"/>
          <w:sz w:val="24"/>
          <w:szCs w:val="24"/>
        </w:rPr>
        <w:t>（钻孔距离本项目场地1</w:t>
      </w:r>
      <w:r>
        <w:rPr>
          <w:sz w:val="24"/>
          <w:szCs w:val="24"/>
        </w:rPr>
        <w:t>00</w:t>
      </w:r>
      <w:r>
        <w:rPr>
          <w:rFonts w:hint="eastAsia"/>
          <w:sz w:val="24"/>
          <w:szCs w:val="24"/>
        </w:rPr>
        <w:t>m，见图</w:t>
      </w:r>
      <w:r>
        <w:rPr>
          <w:sz w:val="24"/>
          <w:szCs w:val="24"/>
        </w:rPr>
        <w:t>5.3-9</w:t>
      </w:r>
      <w:r>
        <w:rPr>
          <w:rFonts w:hint="eastAsia"/>
          <w:sz w:val="24"/>
          <w:szCs w:val="24"/>
        </w:rPr>
        <w:t>）的</w:t>
      </w:r>
      <w:r>
        <w:rPr>
          <w:rFonts w:hint="eastAsia"/>
          <w:sz w:val="24"/>
        </w:rPr>
        <w:t>地层由第四系全新统细砂、粉土、砾砂、碎石组成。</w:t>
      </w:r>
    </w:p>
    <w:p>
      <w:pPr>
        <w:adjustRightInd w:val="0"/>
        <w:snapToGrid w:val="0"/>
        <w:spacing w:line="360" w:lineRule="auto"/>
        <w:ind w:firstLine="480" w:firstLineChars="200"/>
        <w:jc w:val="left"/>
        <w:rPr>
          <w:sz w:val="24"/>
        </w:rPr>
      </w:pPr>
      <w:r>
        <w:rPr>
          <w:rFonts w:hint="eastAsia"/>
          <w:sz w:val="24"/>
        </w:rPr>
        <w:t>①细砂（Q</w:t>
      </w:r>
      <w:r>
        <w:rPr>
          <w:rFonts w:hint="eastAsia"/>
          <w:sz w:val="24"/>
          <w:vertAlign w:val="subscript"/>
        </w:rPr>
        <w:t>4</w:t>
      </w:r>
      <w:r>
        <w:rPr>
          <w:rFonts w:hint="eastAsia"/>
          <w:sz w:val="24"/>
          <w:vertAlign w:val="superscript"/>
        </w:rPr>
        <w:t>pl</w:t>
      </w:r>
      <w:r>
        <w:rPr>
          <w:rFonts w:hint="eastAsia"/>
          <w:sz w:val="24"/>
        </w:rPr>
        <w:t>）：砂质较纯，矿物成分以长石、石英为主，分选性好。最大厚度7.6m，最小厚度2.8m，平均厚度4.9m。</w:t>
      </w:r>
    </w:p>
    <w:p>
      <w:pPr>
        <w:adjustRightInd w:val="0"/>
        <w:snapToGrid w:val="0"/>
        <w:spacing w:line="360" w:lineRule="auto"/>
        <w:ind w:firstLine="480" w:firstLineChars="200"/>
        <w:jc w:val="left"/>
        <w:rPr>
          <w:sz w:val="24"/>
        </w:rPr>
      </w:pPr>
      <w:r>
        <w:rPr>
          <w:rFonts w:hint="eastAsia"/>
          <w:sz w:val="24"/>
        </w:rPr>
        <w:t>②细砂（Q</w:t>
      </w:r>
      <w:r>
        <w:rPr>
          <w:rFonts w:hint="eastAsia"/>
          <w:sz w:val="24"/>
          <w:vertAlign w:val="subscript"/>
        </w:rPr>
        <w:t>4</w:t>
      </w:r>
      <w:r>
        <w:rPr>
          <w:rFonts w:hint="eastAsia"/>
          <w:sz w:val="24"/>
          <w:vertAlign w:val="superscript"/>
        </w:rPr>
        <w:t>pl</w:t>
      </w:r>
      <w:r>
        <w:rPr>
          <w:rFonts w:hint="eastAsia"/>
          <w:sz w:val="24"/>
        </w:rPr>
        <w:t>）：砂质较纯，矿物成分以长石、石英为主，分选性一般。最大厚度10.8m，最小厚度5.8m，平均厚度7.2m。</w:t>
      </w:r>
    </w:p>
    <w:p>
      <w:pPr>
        <w:adjustRightInd w:val="0"/>
        <w:snapToGrid w:val="0"/>
        <w:spacing w:line="360" w:lineRule="auto"/>
        <w:ind w:firstLine="480" w:firstLineChars="200"/>
        <w:jc w:val="left"/>
        <w:rPr>
          <w:sz w:val="24"/>
        </w:rPr>
      </w:pPr>
      <w:r>
        <w:rPr>
          <w:rFonts w:hint="eastAsia"/>
          <w:sz w:val="24"/>
        </w:rPr>
        <w:t>②1粉土（Q</w:t>
      </w:r>
      <w:r>
        <w:rPr>
          <w:rFonts w:hint="eastAsia"/>
          <w:sz w:val="24"/>
          <w:vertAlign w:val="subscript"/>
        </w:rPr>
        <w:t>4</w:t>
      </w:r>
      <w:r>
        <w:rPr>
          <w:rFonts w:hint="eastAsia"/>
          <w:sz w:val="24"/>
          <w:vertAlign w:val="superscript"/>
        </w:rPr>
        <w:t>pl</w:t>
      </w:r>
      <w:r>
        <w:rPr>
          <w:rFonts w:hint="eastAsia"/>
          <w:sz w:val="24"/>
        </w:rPr>
        <w:t>）：土质较均，以粉粒为主，粘性差，无摇震反应，干强度低，韧性低，手搓有砂感。厚度4.1m。</w:t>
      </w:r>
    </w:p>
    <w:p>
      <w:pPr>
        <w:adjustRightInd w:val="0"/>
        <w:snapToGrid w:val="0"/>
        <w:spacing w:line="360" w:lineRule="auto"/>
        <w:ind w:firstLine="480" w:firstLineChars="200"/>
        <w:jc w:val="left"/>
        <w:rPr>
          <w:sz w:val="24"/>
        </w:rPr>
      </w:pPr>
      <w:r>
        <w:rPr>
          <w:rFonts w:hint="eastAsia"/>
          <w:sz w:val="24"/>
        </w:rPr>
        <w:t>③细砂（Q</w:t>
      </w:r>
      <w:r>
        <w:rPr>
          <w:rFonts w:hint="eastAsia"/>
          <w:sz w:val="24"/>
          <w:vertAlign w:val="subscript"/>
        </w:rPr>
        <w:t>4</w:t>
      </w:r>
      <w:r>
        <w:rPr>
          <w:rFonts w:hint="eastAsia"/>
          <w:sz w:val="24"/>
          <w:vertAlign w:val="superscript"/>
        </w:rPr>
        <w:t>pl</w:t>
      </w:r>
      <w:r>
        <w:rPr>
          <w:rFonts w:hint="eastAsia"/>
          <w:sz w:val="24"/>
        </w:rPr>
        <w:t>）：砂质较纯，矿物成分以长石、石英为主，分选性一般，局部含碎石块。最大厚度16.7m，最小厚度3.9m，平均厚度9.9m。</w:t>
      </w:r>
    </w:p>
    <w:p>
      <w:pPr>
        <w:adjustRightInd w:val="0"/>
        <w:snapToGrid w:val="0"/>
        <w:spacing w:line="360" w:lineRule="auto"/>
        <w:ind w:firstLine="480" w:firstLineChars="200"/>
        <w:jc w:val="left"/>
        <w:rPr>
          <w:sz w:val="24"/>
        </w:rPr>
      </w:pPr>
      <w:r>
        <w:rPr>
          <w:rFonts w:hint="eastAsia"/>
          <w:sz w:val="24"/>
        </w:rPr>
        <w:t>④砾砂（Q</w:t>
      </w:r>
      <w:r>
        <w:rPr>
          <w:rFonts w:hint="eastAsia"/>
          <w:sz w:val="24"/>
          <w:vertAlign w:val="subscript"/>
        </w:rPr>
        <w:t>4</w:t>
      </w:r>
      <w:r>
        <w:rPr>
          <w:rFonts w:hint="eastAsia"/>
          <w:sz w:val="24"/>
          <w:vertAlign w:val="superscript"/>
        </w:rPr>
        <w:t>pl</w:t>
      </w:r>
      <w:r>
        <w:rPr>
          <w:rFonts w:hint="eastAsia"/>
          <w:sz w:val="24"/>
        </w:rPr>
        <w:t>）：砂质较均，颗粒不均，砾石成分以石英岩、花岗岩、砂岩为主，粒径大于20mm约占20%，充填物为细砂。最大厚度12.9m，最小厚度2.2m，平均厚度5.2m。</w:t>
      </w:r>
    </w:p>
    <w:p>
      <w:pPr>
        <w:adjustRightInd w:val="0"/>
        <w:snapToGrid w:val="0"/>
        <w:spacing w:line="360" w:lineRule="auto"/>
        <w:ind w:firstLine="480" w:firstLineChars="200"/>
        <w:jc w:val="left"/>
        <w:rPr>
          <w:sz w:val="24"/>
        </w:rPr>
      </w:pPr>
      <w:r>
        <w:rPr>
          <w:rFonts w:hint="eastAsia"/>
          <w:sz w:val="24"/>
        </w:rPr>
        <w:t>⑤细砂（Q</w:t>
      </w:r>
      <w:r>
        <w:rPr>
          <w:rFonts w:hint="eastAsia"/>
          <w:sz w:val="24"/>
          <w:vertAlign w:val="subscript"/>
        </w:rPr>
        <w:t>4</w:t>
      </w:r>
      <w:r>
        <w:rPr>
          <w:rFonts w:hint="eastAsia"/>
          <w:sz w:val="24"/>
          <w:vertAlign w:val="superscript"/>
        </w:rPr>
        <w:t>pl</w:t>
      </w:r>
      <w:r>
        <w:rPr>
          <w:rFonts w:hint="eastAsia"/>
          <w:sz w:val="24"/>
        </w:rPr>
        <w:t>）：砂质较均，矿物成分以长石、石英为主，分选性一般，局部含碎石块。最大厚度19.8m，最小厚度2.0m，平均厚度8.5m。</w:t>
      </w:r>
    </w:p>
    <w:p>
      <w:pPr>
        <w:adjustRightInd w:val="0"/>
        <w:snapToGrid w:val="0"/>
        <w:spacing w:line="360" w:lineRule="auto"/>
        <w:ind w:firstLine="480" w:firstLineChars="200"/>
        <w:jc w:val="left"/>
      </w:pPr>
      <w:r>
        <w:rPr>
          <w:rFonts w:hint="eastAsia"/>
          <w:sz w:val="24"/>
        </w:rPr>
        <w:t>⑤1碎石（Q</w:t>
      </w:r>
      <w:r>
        <w:rPr>
          <w:rFonts w:hint="eastAsia"/>
          <w:sz w:val="24"/>
          <w:vertAlign w:val="subscript"/>
        </w:rPr>
        <w:t>4</w:t>
      </w:r>
      <w:r>
        <w:rPr>
          <w:rFonts w:hint="eastAsia"/>
          <w:sz w:val="24"/>
          <w:vertAlign w:val="superscript"/>
        </w:rPr>
        <w:t>pl</w:t>
      </w:r>
      <w:r>
        <w:rPr>
          <w:rFonts w:hint="eastAsia"/>
          <w:sz w:val="24"/>
        </w:rPr>
        <w:t>）：粒径5cm以上含量约为55%，充填物为细砂。厚度7.6m</w:t>
      </w:r>
      <w:r>
        <w:rPr>
          <w:sz w:val="24"/>
        </w:rPr>
        <w:t>。</w:t>
      </w:r>
    </w:p>
    <w:p>
      <w:pPr>
        <w:keepNext/>
        <w:jc w:val="center"/>
      </w:pPr>
      <w:r>
        <w:drawing>
          <wp:inline distT="0" distB="0" distL="0" distR="0">
            <wp:extent cx="5273675" cy="6081395"/>
            <wp:effectExtent l="0" t="0" r="3175" b="0"/>
            <wp:docPr id="249" name="图片 249" descr="E:\李朋涛项目\承德围场项目\地下水图件\附录4：柱状图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E:\李朋涛项目\承德围场项目\地下水图件\附录4：柱状图 Model (1).jpg"/>
                    <pic:cNvPicPr>
                      <a:picLocks noChangeAspect="1" noChangeArrowheads="1"/>
                    </pic:cNvPicPr>
                  </pic:nvPicPr>
                  <pic:blipFill>
                    <a:blip r:embed="rId83"/>
                    <a:srcRect/>
                    <a:stretch>
                      <a:fillRect/>
                    </a:stretch>
                  </pic:blipFill>
                  <pic:spPr>
                    <a:xfrm>
                      <a:off x="0" y="0"/>
                      <a:ext cx="5301125" cy="6113278"/>
                    </a:xfrm>
                    <a:prstGeom prst="rect">
                      <a:avLst/>
                    </a:prstGeom>
                    <a:noFill/>
                    <a:ln>
                      <a:noFill/>
                    </a:ln>
                  </pic:spPr>
                </pic:pic>
              </a:graphicData>
            </a:graphic>
          </wp:inline>
        </w:drawing>
      </w:r>
    </w:p>
    <w:p>
      <w:pPr>
        <w:adjustRightInd w:val="0"/>
        <w:snapToGrid w:val="0"/>
        <w:spacing w:line="360" w:lineRule="auto"/>
        <w:ind w:firstLine="482" w:firstLineChars="200"/>
        <w:jc w:val="center"/>
        <w:rPr>
          <w:rFonts w:asciiTheme="minorEastAsia" w:hAnsiTheme="minorEastAsia" w:eastAsiaTheme="minorEastAsia"/>
          <w:b/>
          <w:bCs/>
          <w:sz w:val="24"/>
          <w:szCs w:val="24"/>
        </w:rPr>
      </w:pPr>
      <w:r>
        <w:rPr>
          <w:rFonts w:hint="eastAsia" w:cs="Arial" w:asciiTheme="minorEastAsia" w:hAnsiTheme="minorEastAsia" w:eastAsiaTheme="minorEastAsia"/>
          <w:b/>
          <w:bCs/>
          <w:sz w:val="24"/>
          <w:szCs w:val="24"/>
        </w:rPr>
        <w:t>图</w:t>
      </w:r>
      <w:r>
        <w:rPr>
          <w:rFonts w:cs="Arial" w:asciiTheme="minorEastAsia" w:hAnsiTheme="minorEastAsia" w:eastAsiaTheme="minorEastAsia"/>
          <w:b/>
          <w:bCs/>
          <w:sz w:val="24"/>
          <w:szCs w:val="24"/>
        </w:rPr>
        <w:t>5.3</w:t>
      </w:r>
      <w:r>
        <w:rPr>
          <w:rFonts w:cs="Arial" w:asciiTheme="minorEastAsia" w:hAnsiTheme="minorEastAsia" w:eastAsiaTheme="minorEastAsia"/>
          <w:b/>
          <w:bCs/>
          <w:sz w:val="24"/>
          <w:szCs w:val="24"/>
        </w:rPr>
        <w:noBreakHyphen/>
      </w:r>
      <w:r>
        <w:rPr>
          <w:rFonts w:cs="Arial" w:asciiTheme="minorEastAsia" w:hAnsiTheme="minorEastAsia" w:eastAsiaTheme="minorEastAsia"/>
          <w:b/>
          <w:bCs/>
          <w:sz w:val="24"/>
          <w:szCs w:val="24"/>
        </w:rPr>
        <w:t xml:space="preserve">9 </w:t>
      </w:r>
      <w:r>
        <w:rPr>
          <w:rFonts w:hint="eastAsia" w:cs="Arial" w:asciiTheme="minorEastAsia" w:hAnsiTheme="minorEastAsia" w:eastAsiaTheme="minorEastAsia"/>
          <w:b/>
          <w:bCs/>
          <w:sz w:val="24"/>
          <w:szCs w:val="24"/>
        </w:rPr>
        <w:t>厂区</w:t>
      </w:r>
      <w:r>
        <w:rPr>
          <w:rFonts w:cs="Arial" w:asciiTheme="minorEastAsia" w:hAnsiTheme="minorEastAsia" w:eastAsiaTheme="minorEastAsia"/>
          <w:b/>
          <w:bCs/>
          <w:sz w:val="24"/>
          <w:szCs w:val="24"/>
        </w:rPr>
        <w:t>钻孔柱状图</w:t>
      </w:r>
    </w:p>
    <w:p>
      <w:pPr>
        <w:numPr>
          <w:ilvl w:val="0"/>
          <w:numId w:val="12"/>
        </w:numPr>
        <w:adjustRightInd w:val="0"/>
        <w:snapToGrid w:val="0"/>
        <w:spacing w:line="360" w:lineRule="auto"/>
        <w:ind w:left="0" w:firstLine="480" w:firstLineChars="200"/>
        <w:rPr>
          <w:sz w:val="24"/>
          <w:szCs w:val="24"/>
        </w:rPr>
      </w:pPr>
      <w:r>
        <w:rPr>
          <w:rFonts w:hint="eastAsia"/>
          <w:sz w:val="24"/>
          <w:szCs w:val="24"/>
        </w:rPr>
        <w:t>评价区水文地质特征</w:t>
      </w:r>
    </w:p>
    <w:p>
      <w:pPr>
        <w:numPr>
          <w:ilvl w:val="0"/>
          <w:numId w:val="13"/>
        </w:numPr>
        <w:tabs>
          <w:tab w:val="left" w:pos="851"/>
          <w:tab w:val="left" w:pos="993"/>
        </w:tabs>
        <w:adjustRightInd w:val="0"/>
        <w:snapToGrid w:val="0"/>
        <w:spacing w:line="360" w:lineRule="auto"/>
        <w:ind w:left="426" w:firstLine="280" w:firstLineChars="117"/>
        <w:rPr>
          <w:sz w:val="24"/>
          <w:szCs w:val="24"/>
        </w:rPr>
      </w:pPr>
      <w:r>
        <w:rPr>
          <w:rFonts w:hint="eastAsia"/>
          <w:sz w:val="24"/>
          <w:szCs w:val="24"/>
        </w:rPr>
        <w:t>含水岩特征及地下水类型</w:t>
      </w:r>
    </w:p>
    <w:p>
      <w:pPr>
        <w:adjustRightInd w:val="0"/>
        <w:snapToGrid w:val="0"/>
        <w:spacing w:line="360" w:lineRule="auto"/>
        <w:ind w:firstLine="480" w:firstLineChars="200"/>
        <w:rPr>
          <w:sz w:val="24"/>
          <w:szCs w:val="24"/>
        </w:rPr>
      </w:pPr>
      <w:r>
        <w:rPr>
          <w:rFonts w:hint="eastAsia"/>
          <w:sz w:val="24"/>
          <w:szCs w:val="24"/>
        </w:rPr>
        <w:t>评价区主要含水层为第四系冲洪积砂砾石孔隙含水层及基岩类的构造节理裂隙、风化带网状裂隙含水岩组，全区含水层厚度为18.5～26m。上部为细砂、砂砾石层，下部为基岩构造节理裂隙、风化带网状裂隙岩组。据抽水试验资料渗透系数2.5~19.9m/d，属富水性较强且不均匀的含水层。该含水层主要沿伊逊河两岸分布，由Ⅰ级阶地构成，具有带状分布特征。两边山坡为基岩构造裂隙水。</w:t>
      </w:r>
    </w:p>
    <w:p>
      <w:pPr>
        <w:adjustRightInd w:val="0"/>
        <w:snapToGrid w:val="0"/>
        <w:spacing w:line="360" w:lineRule="auto"/>
        <w:ind w:firstLine="480" w:firstLineChars="200"/>
        <w:rPr>
          <w:sz w:val="24"/>
          <w:szCs w:val="24"/>
        </w:rPr>
      </w:pPr>
      <w:r>
        <w:rPr>
          <w:rFonts w:hint="eastAsia"/>
          <w:sz w:val="24"/>
          <w:szCs w:val="24"/>
        </w:rPr>
        <w:t>伊逊河谷地带，第四系孔隙水水位埋藏深度为1.0~9.6m，天然水力坡度0.0045-0.0191，与区域资料基本相近；河谷两边山坡地段的基岩构造及风化裂隙水，水位埋藏深度则与第四系孔隙水不同，一般都比孔隙含水层要深，根据水井调查资料埋深为10.2m~17.3m。据水质分析结果，地下水化学类型为HCO</w:t>
      </w:r>
      <w:r>
        <w:rPr>
          <w:rFonts w:hint="eastAsia"/>
          <w:sz w:val="24"/>
          <w:szCs w:val="24"/>
          <w:vertAlign w:val="subscript"/>
        </w:rPr>
        <w:t>3</w:t>
      </w:r>
      <w:r>
        <w:rPr>
          <w:rFonts w:hint="eastAsia"/>
          <w:sz w:val="24"/>
          <w:szCs w:val="24"/>
          <w:vertAlign w:val="superscript"/>
        </w:rPr>
        <w:t>-</w:t>
      </w:r>
      <w:r>
        <w:rPr>
          <w:rFonts w:hint="eastAsia"/>
          <w:sz w:val="24"/>
          <w:szCs w:val="24"/>
        </w:rPr>
        <w:t>-Ca</w:t>
      </w:r>
      <w:r>
        <w:rPr>
          <w:sz w:val="24"/>
          <w:szCs w:val="24"/>
          <w:vertAlign w:val="superscript"/>
        </w:rPr>
        <w:t>2</w:t>
      </w:r>
      <w:r>
        <w:rPr>
          <w:rFonts w:hint="eastAsia"/>
          <w:sz w:val="24"/>
          <w:szCs w:val="24"/>
          <w:vertAlign w:val="superscript"/>
        </w:rPr>
        <w:t>+</w:t>
      </w:r>
      <w:r>
        <w:rPr>
          <w:rFonts w:hint="eastAsia"/>
          <w:sz w:val="24"/>
          <w:szCs w:val="24"/>
        </w:rPr>
        <w:t>型水，PH值7.76，矿化度414mg/L，属弱碱性微硬～硬淡水。第四系含水层底板为侏罗系上统张家口组凝灰质流纹岩微风化(及新鲜)岩石，为透水性弱的岩层，并可视为相对隔水层。</w:t>
      </w:r>
    </w:p>
    <w:p>
      <w:pPr>
        <w:numPr>
          <w:ilvl w:val="0"/>
          <w:numId w:val="13"/>
        </w:numPr>
        <w:tabs>
          <w:tab w:val="left" w:pos="851"/>
          <w:tab w:val="left" w:pos="993"/>
        </w:tabs>
        <w:adjustRightInd w:val="0"/>
        <w:snapToGrid w:val="0"/>
        <w:spacing w:line="360" w:lineRule="auto"/>
        <w:ind w:left="426" w:firstLine="280" w:firstLineChars="117"/>
        <w:rPr>
          <w:sz w:val="24"/>
          <w:szCs w:val="24"/>
        </w:rPr>
      </w:pPr>
      <w:r>
        <w:rPr>
          <w:rFonts w:hint="eastAsia"/>
          <w:sz w:val="24"/>
          <w:szCs w:val="24"/>
        </w:rPr>
        <w:t>地下水的补给、径流和排泄条件</w:t>
      </w:r>
    </w:p>
    <w:p>
      <w:pPr>
        <w:adjustRightInd w:val="0"/>
        <w:snapToGrid w:val="0"/>
        <w:spacing w:line="360" w:lineRule="auto"/>
        <w:ind w:firstLine="480" w:firstLineChars="200"/>
        <w:rPr>
          <w:sz w:val="24"/>
          <w:szCs w:val="24"/>
        </w:rPr>
      </w:pPr>
      <w:r>
        <w:rPr>
          <w:rFonts w:hint="eastAsia"/>
          <w:sz w:val="24"/>
          <w:szCs w:val="24"/>
        </w:rPr>
        <w:t>评价区内第四系孔隙潜水含水层具有一定的分布范围，主要沿着伊逊河谷地分布，而且直接裸露于地表，地层透水性良好，其补给区域与分布区基本一致。易于接受大气降水的补给，由于山区地形坡度较大，地下水流速较快，因此在水平方向上径流条件良好，在近河地段地下水与地表水水力联系密切，雨季接受河水补给，旱季地下水通过水文网排泄，转化成地表水。</w:t>
      </w:r>
    </w:p>
    <w:p>
      <w:pPr>
        <w:adjustRightInd w:val="0"/>
        <w:snapToGrid w:val="0"/>
        <w:spacing w:line="360" w:lineRule="auto"/>
        <w:ind w:firstLine="480" w:firstLineChars="200"/>
        <w:rPr>
          <w:sz w:val="24"/>
          <w:szCs w:val="24"/>
        </w:rPr>
      </w:pPr>
      <w:r>
        <w:rPr>
          <w:rFonts w:hint="eastAsia"/>
          <w:sz w:val="24"/>
          <w:szCs w:val="24"/>
        </w:rPr>
        <w:t>评价区内地下水的总体流向呈近N～S向，与地表水流向基本一致，跟地形的变化有着密切的联系，根据以往钻孔资料及井泉调查，存在地下水补给河水的现象。</w:t>
      </w:r>
    </w:p>
    <w:p>
      <w:pPr>
        <w:adjustRightInd w:val="0"/>
        <w:snapToGrid w:val="0"/>
        <w:spacing w:line="360" w:lineRule="auto"/>
        <w:ind w:firstLine="480" w:firstLineChars="200"/>
        <w:jc w:val="left"/>
        <w:rPr>
          <w:sz w:val="24"/>
        </w:rPr>
      </w:pPr>
      <w:r>
        <w:rPr>
          <w:rFonts w:hint="eastAsia"/>
          <w:sz w:val="24"/>
        </w:rPr>
        <w:t>场地勘探过程中可见地下水埋深为22.0m-26.2m，地下水位变化主要受大气降水入渗及地下侧向径流补给，排泄方式主要为地下侧向径流、人工开采排泄。</w:t>
      </w:r>
    </w:p>
    <w:p>
      <w:pPr>
        <w:numPr>
          <w:ilvl w:val="0"/>
          <w:numId w:val="13"/>
        </w:numPr>
        <w:tabs>
          <w:tab w:val="left" w:pos="851"/>
          <w:tab w:val="left" w:pos="993"/>
        </w:tabs>
        <w:adjustRightInd w:val="0"/>
        <w:snapToGrid w:val="0"/>
        <w:spacing w:line="360" w:lineRule="auto"/>
        <w:ind w:left="426" w:firstLine="280" w:firstLineChars="117"/>
        <w:rPr>
          <w:sz w:val="24"/>
          <w:szCs w:val="24"/>
        </w:rPr>
      </w:pPr>
      <w:r>
        <w:rPr>
          <w:rFonts w:hint="eastAsia"/>
          <w:sz w:val="24"/>
          <w:szCs w:val="24"/>
        </w:rPr>
        <w:t>地下水动态特征</w:t>
      </w:r>
    </w:p>
    <w:p>
      <w:pPr>
        <w:adjustRightInd w:val="0"/>
        <w:snapToGrid w:val="0"/>
        <w:spacing w:line="360" w:lineRule="auto"/>
        <w:ind w:firstLine="480" w:firstLineChars="200"/>
        <w:rPr>
          <w:sz w:val="24"/>
          <w:szCs w:val="24"/>
        </w:rPr>
      </w:pPr>
      <w:r>
        <w:rPr>
          <w:rFonts w:hint="eastAsia"/>
          <w:sz w:val="24"/>
          <w:szCs w:val="24"/>
        </w:rPr>
        <w:t>地下水动态综合反映了地下水的补、径、排特征，是各种自然和人为因素共同作用的结果。评价区内地下水动态主要受人类开发和大气降水的影响。地下水水位动态既能表现年内季节性的变化特征，又能表现丰水、枯水年份的年际变化规律。</w:t>
      </w:r>
    </w:p>
    <w:p>
      <w:pPr>
        <w:adjustRightInd w:val="0"/>
        <w:snapToGrid w:val="0"/>
        <w:spacing w:line="360" w:lineRule="auto"/>
        <w:ind w:firstLine="480" w:firstLineChars="200"/>
        <w:rPr>
          <w:sz w:val="24"/>
          <w:szCs w:val="24"/>
        </w:rPr>
      </w:pPr>
      <w:r>
        <w:rPr>
          <w:rFonts w:hint="eastAsia"/>
          <w:sz w:val="24"/>
          <w:szCs w:val="24"/>
        </w:rPr>
        <w:t>地下水年内动态变化：年变幅为1.50～2.00m，最高水位一般出现在8、9月份，最低水位出现在每年的4、5月间，即水位年变化与气象要素的周期性变化有关。</w:t>
      </w:r>
    </w:p>
    <w:p>
      <w:pPr>
        <w:tabs>
          <w:tab w:val="left" w:pos="1080"/>
        </w:tabs>
        <w:adjustRightInd w:val="0"/>
        <w:snapToGrid w:val="0"/>
        <w:spacing w:line="360" w:lineRule="auto"/>
        <w:ind w:firstLine="480" w:firstLineChars="200"/>
        <w:rPr>
          <w:rFonts w:eastAsiaTheme="minorEastAsia"/>
          <w:sz w:val="24"/>
          <w:szCs w:val="24"/>
        </w:rPr>
      </w:pPr>
      <w:r>
        <w:rPr>
          <w:rFonts w:hint="eastAsia"/>
          <w:sz w:val="24"/>
          <w:szCs w:val="24"/>
        </w:rPr>
        <w:t>年际间水位变化：2000～2007年，地下水位总体持平，地下水埋深在</w:t>
      </w:r>
      <w:r>
        <w:rPr>
          <w:sz w:val="24"/>
          <w:szCs w:val="24"/>
        </w:rPr>
        <w:t>1</w:t>
      </w:r>
      <w:r>
        <w:rPr>
          <w:rFonts w:hint="eastAsia"/>
          <w:sz w:val="24"/>
          <w:szCs w:val="24"/>
        </w:rPr>
        <w:t>～8m之间。</w:t>
      </w:r>
    </w:p>
    <w:p>
      <w:pPr>
        <w:keepNext/>
        <w:keepLines/>
        <w:numPr>
          <w:ilvl w:val="2"/>
          <w:numId w:val="5"/>
        </w:numPr>
        <w:tabs>
          <w:tab w:val="left" w:pos="432"/>
          <w:tab w:val="left" w:pos="567"/>
          <w:tab w:val="left" w:pos="1021"/>
          <w:tab w:val="left" w:pos="1873"/>
          <w:tab w:val="clear" w:pos="1163"/>
        </w:tabs>
        <w:adjustRightInd w:val="0"/>
        <w:snapToGrid w:val="0"/>
        <w:spacing w:before="156" w:beforeLines="50" w:after="156" w:afterLines="50"/>
        <w:ind w:left="1021"/>
        <w:jc w:val="left"/>
        <w:outlineLvl w:val="2"/>
        <w:rPr>
          <w:b/>
          <w:bCs/>
          <w:snapToGrid w:val="0"/>
          <w:sz w:val="28"/>
          <w:szCs w:val="28"/>
        </w:rPr>
      </w:pPr>
      <w:r>
        <w:rPr>
          <w:b/>
          <w:bCs/>
          <w:snapToGrid w:val="0"/>
          <w:sz w:val="28"/>
          <w:szCs w:val="28"/>
        </w:rPr>
        <w:t>地下水</w:t>
      </w:r>
      <w:r>
        <w:rPr>
          <w:rFonts w:hint="eastAsia"/>
          <w:b/>
          <w:bCs/>
          <w:snapToGrid w:val="0"/>
          <w:sz w:val="28"/>
          <w:szCs w:val="28"/>
        </w:rPr>
        <w:t>水位</w:t>
      </w:r>
    </w:p>
    <w:p>
      <w:pPr>
        <w:tabs>
          <w:tab w:val="left" w:pos="1080"/>
        </w:tabs>
        <w:adjustRightInd w:val="0"/>
        <w:snapToGrid w:val="0"/>
        <w:spacing w:line="360" w:lineRule="auto"/>
        <w:ind w:firstLine="480" w:firstLineChars="200"/>
        <w:rPr>
          <w:rFonts w:eastAsiaTheme="minorEastAsia"/>
          <w:bCs/>
          <w:sz w:val="24"/>
          <w:szCs w:val="24"/>
        </w:rPr>
      </w:pPr>
      <w:r>
        <w:rPr>
          <w:rFonts w:hint="eastAsia" w:eastAsiaTheme="minorEastAsia"/>
          <w:sz w:val="24"/>
          <w:szCs w:val="24"/>
        </w:rPr>
        <w:t>根据评价区地下水水位监测点位数据，绘制</w:t>
      </w:r>
      <w:r>
        <w:rPr>
          <w:rFonts w:eastAsiaTheme="minorEastAsia"/>
          <w:bCs/>
          <w:sz w:val="24"/>
          <w:szCs w:val="24"/>
        </w:rPr>
        <w:t>评价区等水位线图</w:t>
      </w:r>
      <w:r>
        <w:rPr>
          <w:rFonts w:hint="eastAsia" w:eastAsiaTheme="minorEastAsia"/>
          <w:bCs/>
          <w:sz w:val="24"/>
          <w:szCs w:val="24"/>
        </w:rPr>
        <w:t>见图5</w:t>
      </w:r>
      <w:r>
        <w:rPr>
          <w:rFonts w:eastAsiaTheme="minorEastAsia"/>
          <w:bCs/>
          <w:sz w:val="24"/>
          <w:szCs w:val="24"/>
        </w:rPr>
        <w:t>.3-10</w:t>
      </w:r>
      <w:r>
        <w:rPr>
          <w:rFonts w:hint="eastAsia" w:eastAsiaTheme="minorEastAsia"/>
          <w:bCs/>
          <w:sz w:val="24"/>
          <w:szCs w:val="24"/>
        </w:rPr>
        <w:t>。</w:t>
      </w:r>
    </w:p>
    <w:p>
      <w:r>
        <mc:AlternateContent>
          <mc:Choice Requires="wps">
            <w:drawing>
              <wp:anchor distT="0" distB="0" distL="114300" distR="114300" simplePos="0" relativeHeight="251768832" behindDoc="0" locked="0" layoutInCell="1" allowOverlap="1">
                <wp:simplePos x="0" y="0"/>
                <wp:positionH relativeFrom="column">
                  <wp:posOffset>2583180</wp:posOffset>
                </wp:positionH>
                <wp:positionV relativeFrom="paragraph">
                  <wp:posOffset>2073910</wp:posOffset>
                </wp:positionV>
                <wp:extent cx="78105" cy="427990"/>
                <wp:effectExtent l="76200" t="38100" r="93980" b="86995"/>
                <wp:wrapNone/>
                <wp:docPr id="48" name="直接箭头连接符 48"/>
                <wp:cNvGraphicFramePr/>
                <a:graphic xmlns:a="http://schemas.openxmlformats.org/drawingml/2006/main">
                  <a:graphicData uri="http://schemas.microsoft.com/office/word/2010/wordprocessingShape">
                    <wps:wsp>
                      <wps:cNvCnPr/>
                      <wps:spPr>
                        <a:xfrm>
                          <a:off x="0" y="0"/>
                          <a:ext cx="77817" cy="427726"/>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id="_x0000_s1026" o:spid="_x0000_s1026" o:spt="32" type="#_x0000_t32" style="position:absolute;left:0pt;margin-left:203.4pt;margin-top:163.3pt;height:33.7pt;width:6.15pt;z-index:251768832;mso-width-relative:page;mso-height-relative:page;" filled="f" stroked="t" coordsize="21600,21600" o:gfxdata="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RiEOj2QAAAAsBAAAPAAAA&#10;AAAAAAEAIAAAACIAAABkcnMvZG93bnJldi54bWxQSwECFAAUAAAACACHTuJAoQEHOU0CAAB8BAAA&#10;DgAAAAAAAAABACAAAAAoAQAAZHJzL2Uyb0RvYy54bWxQSwUGAAAAAAYABgBZAQAA5wUAAAAA&#10;">
                <v:fill on="f" focussize="0,0"/>
                <v:stroke weight="3pt" color="#F79646 [3209]" joinstyle="round" endarrow="block"/>
                <v:imagedata o:title=""/>
                <o:lock v:ext="edit" aspectratio="f"/>
                <v:shadow on="t" color="#000000" opacity="22937f" offset="0pt,1.81102362204724pt" origin="0f,32768f" matrix="65536f,0f,0f,65536f"/>
              </v:shape>
            </w:pict>
          </mc:Fallback>
        </mc:AlternateContent>
      </w:r>
      <w:r>
        <mc:AlternateContent>
          <mc:Choice Requires="wps">
            <w:drawing>
              <wp:anchor distT="0" distB="0" distL="114300" distR="114300" simplePos="0" relativeHeight="251766784" behindDoc="0" locked="0" layoutInCell="1" allowOverlap="1">
                <wp:simplePos x="0" y="0"/>
                <wp:positionH relativeFrom="column">
                  <wp:posOffset>1392555</wp:posOffset>
                </wp:positionH>
                <wp:positionV relativeFrom="paragraph">
                  <wp:posOffset>1344930</wp:posOffset>
                </wp:positionV>
                <wp:extent cx="86360" cy="362585"/>
                <wp:effectExtent l="95250" t="38100" r="66675" b="76200"/>
                <wp:wrapNone/>
                <wp:docPr id="35" name="直接箭头连接符 35"/>
                <wp:cNvGraphicFramePr/>
                <a:graphic xmlns:a="http://schemas.openxmlformats.org/drawingml/2006/main">
                  <a:graphicData uri="http://schemas.microsoft.com/office/word/2010/wordprocessingShape">
                    <wps:wsp>
                      <wps:cNvCnPr/>
                      <wps:spPr>
                        <a:xfrm flipH="1">
                          <a:off x="0" y="0"/>
                          <a:ext cx="86264" cy="362309"/>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id="_x0000_s1026" o:spid="_x0000_s1026" o:spt="32" type="#_x0000_t32" style="position:absolute;left:0pt;flip:x;margin-left:109.65pt;margin-top:105.9pt;height:28.55pt;width:6.8pt;z-index:251766784;mso-width-relative:page;mso-height-relative:page;" filled="f" stroked="t" coordsize="21600,21600" o:gfxdata="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pHUlL2QAA&#10;AAsBAAAPAAAAAAAAAAEAIAAAACIAAABkcnMvZG93bnJldi54bWxQSwECFAAUAAAACACHTuJA5exa&#10;x1YCAACGBAAADgAAAAAAAAABACAAAAAoAQAAZHJzL2Uyb0RvYy54bWxQSwUGAAAAAAYABgBZAQAA&#10;8AUAAAAA&#10;">
                <v:fill on="f" focussize="0,0"/>
                <v:stroke weight="3pt" color="#F79646 [3209]" joinstyle="round" endarrow="block"/>
                <v:imagedata o:title=""/>
                <o:lock v:ext="edit" aspectratio="f"/>
                <v:shadow on="t" color="#000000" opacity="22937f" offset="0pt,1.81102362204724pt" origin="0f,32768f" matrix="65536f,0f,0f,65536f"/>
              </v:shape>
            </w:pict>
          </mc:Fallback>
        </mc:AlternateContent>
      </w:r>
      <w:r>
        <w:drawing>
          <wp:inline distT="0" distB="0" distL="0" distR="0">
            <wp:extent cx="5274310" cy="3641725"/>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274310" cy="3641725"/>
                    </a:xfrm>
                    <a:prstGeom prst="rect">
                      <a:avLst/>
                    </a:prstGeom>
                    <a:noFill/>
                    <a:ln>
                      <a:noFill/>
                    </a:ln>
                  </pic:spPr>
                </pic:pic>
              </a:graphicData>
            </a:graphic>
          </wp:inline>
        </w:drawing>
      </w:r>
    </w:p>
    <w:p>
      <w:pPr>
        <w:jc w:val="center"/>
        <w:rPr>
          <w:b/>
        </w:rPr>
      </w:pPr>
      <w:r>
        <w:rPr>
          <w:rFonts w:hint="eastAsia" w:eastAsiaTheme="minorEastAsia"/>
          <w:b/>
          <w:sz w:val="24"/>
          <w:szCs w:val="24"/>
        </w:rPr>
        <w:t>图</w:t>
      </w:r>
      <w:r>
        <w:rPr>
          <w:rFonts w:eastAsiaTheme="minorEastAsia"/>
          <w:b/>
          <w:sz w:val="24"/>
          <w:szCs w:val="24"/>
        </w:rPr>
        <w:t>5.3-10   评价区等水位线图</w:t>
      </w:r>
    </w:p>
    <w:p>
      <w:pPr>
        <w:keepNext/>
        <w:keepLines/>
        <w:numPr>
          <w:ilvl w:val="2"/>
          <w:numId w:val="5"/>
        </w:numPr>
        <w:tabs>
          <w:tab w:val="left" w:pos="432"/>
          <w:tab w:val="left" w:pos="567"/>
          <w:tab w:val="left" w:pos="1021"/>
          <w:tab w:val="left" w:pos="1873"/>
          <w:tab w:val="clear" w:pos="1163"/>
        </w:tabs>
        <w:adjustRightInd w:val="0"/>
        <w:snapToGrid w:val="0"/>
        <w:spacing w:before="156" w:beforeLines="50" w:after="156" w:afterLines="50"/>
        <w:ind w:left="1021"/>
        <w:jc w:val="left"/>
        <w:outlineLvl w:val="2"/>
        <w:rPr>
          <w:b/>
          <w:bCs/>
          <w:snapToGrid w:val="0"/>
          <w:sz w:val="28"/>
          <w:szCs w:val="28"/>
        </w:rPr>
      </w:pPr>
      <w:r>
        <w:rPr>
          <w:b/>
          <w:bCs/>
          <w:snapToGrid w:val="0"/>
          <w:sz w:val="28"/>
          <w:szCs w:val="28"/>
        </w:rPr>
        <w:t>地下水环境影响预测与评价</w:t>
      </w:r>
    </w:p>
    <w:p>
      <w:pPr>
        <w:keepNext/>
        <w:keepLines/>
        <w:numPr>
          <w:ilvl w:val="3"/>
          <w:numId w:val="5"/>
        </w:numPr>
        <w:tabs>
          <w:tab w:val="left" w:pos="432"/>
          <w:tab w:val="left" w:pos="851"/>
          <w:tab w:val="left" w:pos="1247"/>
          <w:tab w:val="clear" w:pos="1389"/>
        </w:tabs>
        <w:adjustRightInd w:val="0"/>
        <w:snapToGrid w:val="0"/>
        <w:spacing w:before="156" w:beforeLines="50" w:after="156" w:afterLines="50"/>
        <w:ind w:left="1290" w:hanging="1290" w:hangingChars="459"/>
        <w:jc w:val="left"/>
        <w:outlineLvl w:val="3"/>
        <w:rPr>
          <w:b/>
          <w:bCs/>
          <w:snapToGrid w:val="0"/>
          <w:sz w:val="28"/>
          <w:szCs w:val="28"/>
        </w:rPr>
      </w:pPr>
      <w:r>
        <w:rPr>
          <w:b/>
          <w:bCs/>
          <w:snapToGrid w:val="0"/>
          <w:sz w:val="28"/>
          <w:szCs w:val="28"/>
        </w:rPr>
        <w:t>地下水污染情景设定</w:t>
      </w:r>
    </w:p>
    <w:p>
      <w:pPr>
        <w:tabs>
          <w:tab w:val="left" w:pos="1080"/>
        </w:tabs>
        <w:adjustRightInd w:val="0"/>
        <w:snapToGrid w:val="0"/>
        <w:spacing w:line="360" w:lineRule="auto"/>
        <w:ind w:firstLine="480" w:firstLineChars="200"/>
        <w:rPr>
          <w:rFonts w:eastAsiaTheme="minorEastAsia"/>
          <w:sz w:val="24"/>
          <w:szCs w:val="24"/>
        </w:rPr>
      </w:pPr>
      <w:r>
        <w:rPr>
          <w:rFonts w:eastAsiaTheme="minorEastAsia"/>
          <w:sz w:val="24"/>
          <w:szCs w:val="24"/>
        </w:rPr>
        <w:t>按照《环境影响评价技术导则 地下水环境》（HJ610-2016）要求及工程分析，确定本项目污染源为</w:t>
      </w:r>
      <w:r>
        <w:rPr>
          <w:rFonts w:hint="eastAsia" w:eastAsiaTheme="minorEastAsia"/>
          <w:sz w:val="24"/>
          <w:szCs w:val="24"/>
        </w:rPr>
        <w:t>飞灰填埋场的</w:t>
      </w:r>
      <w:r>
        <w:rPr>
          <w:rFonts w:eastAsiaTheme="minorEastAsia"/>
          <w:sz w:val="24"/>
          <w:szCs w:val="24"/>
        </w:rPr>
        <w:t>渗滤液</w:t>
      </w:r>
      <w:r>
        <w:rPr>
          <w:rFonts w:hint="eastAsia" w:eastAsiaTheme="minorEastAsia"/>
          <w:sz w:val="24"/>
          <w:szCs w:val="24"/>
        </w:rPr>
        <w:t>、渗滤液调节池</w:t>
      </w:r>
      <w:r>
        <w:rPr>
          <w:rFonts w:eastAsiaTheme="minorEastAsia"/>
          <w:sz w:val="24"/>
          <w:szCs w:val="24"/>
        </w:rPr>
        <w:t>及污水输送管线，在非正常状况下的渗滤液渗漏。预测情景主要分为正常工况和事故工况两种情景。</w:t>
      </w:r>
    </w:p>
    <w:p>
      <w:pPr>
        <w:tabs>
          <w:tab w:val="left" w:pos="1080"/>
        </w:tabs>
        <w:adjustRightInd w:val="0"/>
        <w:snapToGrid w:val="0"/>
        <w:spacing w:line="360" w:lineRule="auto"/>
        <w:ind w:firstLine="482" w:firstLineChars="200"/>
        <w:rPr>
          <w:rFonts w:eastAsiaTheme="minorEastAsia"/>
          <w:b/>
          <w:sz w:val="24"/>
          <w:szCs w:val="24"/>
        </w:rPr>
      </w:pPr>
      <w:r>
        <w:rPr>
          <w:rFonts w:eastAsiaTheme="minorEastAsia"/>
          <w:b/>
          <w:sz w:val="24"/>
          <w:szCs w:val="24"/>
        </w:rPr>
        <w:t>1、正常工况</w:t>
      </w:r>
    </w:p>
    <w:p>
      <w:pPr>
        <w:tabs>
          <w:tab w:val="left" w:pos="1080"/>
        </w:tabs>
        <w:adjustRightInd w:val="0"/>
        <w:snapToGrid w:val="0"/>
        <w:spacing w:line="360" w:lineRule="auto"/>
        <w:ind w:firstLine="480" w:firstLineChars="200"/>
        <w:rPr>
          <w:rFonts w:eastAsiaTheme="minorEastAsia"/>
          <w:sz w:val="24"/>
          <w:szCs w:val="24"/>
        </w:rPr>
      </w:pPr>
      <w:r>
        <w:rPr>
          <w:rFonts w:eastAsiaTheme="minorEastAsia"/>
          <w:sz w:val="24"/>
          <w:szCs w:val="24"/>
        </w:rPr>
        <w:t>正常工况下是指建设项目的工艺设备达到设计要求条件下的运行状况，地下水防渗系统的防渗能力达到设计要求且系统完好，根据项目管理要求，在采取源头和分区防控措施的基础上，正常工况下不会产生</w:t>
      </w:r>
      <w:r>
        <w:rPr>
          <w:rFonts w:hint="eastAsia" w:eastAsiaTheme="minorEastAsia"/>
          <w:sz w:val="24"/>
          <w:szCs w:val="24"/>
        </w:rPr>
        <w:t>渗滤液</w:t>
      </w:r>
      <w:r>
        <w:rPr>
          <w:rFonts w:eastAsiaTheme="minorEastAsia"/>
          <w:sz w:val="24"/>
          <w:szCs w:val="24"/>
        </w:rPr>
        <w:t>渗漏至地下水的情景发生。因此不再对正常状况下污染物泄漏情景进行预测模拟。</w:t>
      </w:r>
    </w:p>
    <w:p>
      <w:pPr>
        <w:tabs>
          <w:tab w:val="left" w:pos="1080"/>
        </w:tabs>
        <w:adjustRightInd w:val="0"/>
        <w:snapToGrid w:val="0"/>
        <w:spacing w:line="360" w:lineRule="auto"/>
        <w:ind w:firstLine="482" w:firstLineChars="200"/>
        <w:rPr>
          <w:rFonts w:eastAsiaTheme="minorEastAsia"/>
          <w:b/>
          <w:sz w:val="24"/>
          <w:szCs w:val="24"/>
        </w:rPr>
      </w:pPr>
      <w:r>
        <w:rPr>
          <w:rFonts w:eastAsiaTheme="minorEastAsia"/>
          <w:b/>
          <w:sz w:val="24"/>
          <w:szCs w:val="24"/>
        </w:rPr>
        <w:t>2、非正常工况</w:t>
      </w:r>
    </w:p>
    <w:p>
      <w:pPr>
        <w:adjustRightInd w:val="0"/>
        <w:snapToGrid w:val="0"/>
        <w:spacing w:line="360" w:lineRule="auto"/>
        <w:ind w:firstLine="480" w:firstLineChars="200"/>
        <w:rPr>
          <w:rFonts w:eastAsiaTheme="minorEastAsia"/>
          <w:sz w:val="24"/>
          <w:szCs w:val="24"/>
        </w:rPr>
      </w:pPr>
      <w:r>
        <w:rPr>
          <w:rFonts w:eastAsiaTheme="minorEastAsia"/>
          <w:sz w:val="24"/>
          <w:szCs w:val="24"/>
        </w:rPr>
        <w:t>根据工程分析，本项目</w:t>
      </w:r>
      <w:r>
        <w:rPr>
          <w:rFonts w:hint="eastAsia" w:eastAsiaTheme="minorEastAsia"/>
          <w:sz w:val="24"/>
          <w:szCs w:val="24"/>
        </w:rPr>
        <w:t>渗滤液</w:t>
      </w:r>
      <w:r>
        <w:rPr>
          <w:rFonts w:eastAsiaTheme="minorEastAsia"/>
          <w:sz w:val="24"/>
          <w:szCs w:val="24"/>
        </w:rPr>
        <w:t>在发生泄漏情况下，同时考虑</w:t>
      </w:r>
      <w:r>
        <w:rPr>
          <w:rFonts w:hint="eastAsia" w:eastAsiaTheme="minorEastAsia"/>
          <w:sz w:val="24"/>
          <w:szCs w:val="24"/>
        </w:rPr>
        <w:t>渗滤液</w:t>
      </w:r>
      <w:r>
        <w:rPr>
          <w:rFonts w:eastAsiaTheme="minorEastAsia"/>
          <w:sz w:val="24"/>
          <w:szCs w:val="24"/>
        </w:rPr>
        <w:t>产生量及污染物浓度，危害最重的污染源为</w:t>
      </w:r>
      <w:r>
        <w:rPr>
          <w:rFonts w:hint="eastAsia" w:eastAsiaTheme="minorEastAsia"/>
          <w:sz w:val="24"/>
          <w:szCs w:val="24"/>
        </w:rPr>
        <w:t>飞灰填埋场、调节池等</w:t>
      </w:r>
      <w:r>
        <w:rPr>
          <w:rFonts w:eastAsiaTheme="minorEastAsia"/>
          <w:sz w:val="24"/>
          <w:szCs w:val="24"/>
        </w:rPr>
        <w:t>。当</w:t>
      </w:r>
      <w:r>
        <w:rPr>
          <w:rFonts w:hint="eastAsia" w:eastAsiaTheme="minorEastAsia"/>
          <w:sz w:val="24"/>
          <w:szCs w:val="24"/>
        </w:rPr>
        <w:t>飞灰填埋场、调节池</w:t>
      </w:r>
      <w:r>
        <w:rPr>
          <w:rFonts w:eastAsiaTheme="minorEastAsia"/>
          <w:sz w:val="24"/>
          <w:szCs w:val="24"/>
        </w:rPr>
        <w:t>底部</w:t>
      </w:r>
      <w:r>
        <w:rPr>
          <w:rFonts w:hint="eastAsia" w:eastAsiaTheme="minorEastAsia"/>
          <w:sz w:val="24"/>
          <w:szCs w:val="24"/>
        </w:rPr>
        <w:t>的防渗措施老化</w:t>
      </w:r>
      <w:r>
        <w:rPr>
          <w:rFonts w:eastAsiaTheme="minorEastAsia"/>
          <w:sz w:val="24"/>
          <w:szCs w:val="24"/>
        </w:rPr>
        <w:t>，</w:t>
      </w:r>
      <w:r>
        <w:rPr>
          <w:rFonts w:hint="eastAsia" w:eastAsiaTheme="minorEastAsia"/>
          <w:sz w:val="24"/>
          <w:szCs w:val="24"/>
        </w:rPr>
        <w:t>渗滤液</w:t>
      </w:r>
      <w:r>
        <w:rPr>
          <w:rFonts w:eastAsiaTheme="minorEastAsia"/>
          <w:sz w:val="24"/>
          <w:szCs w:val="24"/>
        </w:rPr>
        <w:t>通过</w:t>
      </w:r>
      <w:r>
        <w:rPr>
          <w:rFonts w:hint="eastAsia" w:eastAsiaTheme="minorEastAsia"/>
          <w:sz w:val="24"/>
          <w:szCs w:val="24"/>
        </w:rPr>
        <w:t>失效</w:t>
      </w:r>
      <w:r>
        <w:rPr>
          <w:rFonts w:eastAsiaTheme="minorEastAsia"/>
          <w:sz w:val="24"/>
          <w:szCs w:val="24"/>
        </w:rPr>
        <w:t>处</w:t>
      </w:r>
      <w:r>
        <w:rPr>
          <w:rFonts w:hint="eastAsia" w:eastAsiaTheme="minorEastAsia"/>
          <w:sz w:val="24"/>
          <w:szCs w:val="24"/>
        </w:rPr>
        <w:t>渗漏并</w:t>
      </w:r>
      <w:r>
        <w:rPr>
          <w:rFonts w:eastAsiaTheme="minorEastAsia"/>
          <w:sz w:val="24"/>
          <w:szCs w:val="24"/>
        </w:rPr>
        <w:t>渗入地下水，对地下水造成污染。</w:t>
      </w:r>
    </w:p>
    <w:p>
      <w:pPr>
        <w:adjustRightInd w:val="0"/>
        <w:snapToGrid w:val="0"/>
        <w:spacing w:line="360" w:lineRule="auto"/>
        <w:ind w:firstLine="480" w:firstLineChars="200"/>
        <w:rPr>
          <w:rFonts w:eastAsiaTheme="minorEastAsia"/>
          <w:sz w:val="24"/>
          <w:szCs w:val="24"/>
        </w:rPr>
      </w:pPr>
      <w:r>
        <w:rPr>
          <w:rFonts w:hint="eastAsia" w:eastAsiaTheme="minorEastAsia"/>
          <w:sz w:val="24"/>
          <w:szCs w:val="24"/>
        </w:rPr>
        <w:t>飞灰填埋场填埋飞灰后，一般情况下表面会进行覆盖，非正常状况下覆盖破损、降水沿破损处进入填埋区，从而</w:t>
      </w:r>
      <w:r>
        <w:rPr>
          <w:rFonts w:eastAsiaTheme="minorEastAsia"/>
          <w:sz w:val="24"/>
          <w:szCs w:val="24"/>
        </w:rPr>
        <w:t>会产生一定量的渗滤液，</w:t>
      </w:r>
      <w:r>
        <w:rPr>
          <w:rFonts w:hint="eastAsia" w:eastAsiaTheme="minorEastAsia"/>
          <w:sz w:val="24"/>
          <w:szCs w:val="24"/>
        </w:rPr>
        <w:t>渗滤液经管道及排沟</w:t>
      </w:r>
      <w:r>
        <w:rPr>
          <w:rFonts w:eastAsiaTheme="minorEastAsia"/>
          <w:sz w:val="24"/>
        </w:rPr>
        <w:t>收集</w:t>
      </w:r>
      <w:r>
        <w:rPr>
          <w:rFonts w:hint="eastAsia" w:eastAsiaTheme="minorEastAsia"/>
          <w:sz w:val="24"/>
        </w:rPr>
        <w:t>后</w:t>
      </w:r>
      <w:r>
        <w:rPr>
          <w:rFonts w:eastAsiaTheme="minorEastAsia"/>
          <w:sz w:val="24"/>
          <w:szCs w:val="24"/>
        </w:rPr>
        <w:t>排入渗滤液处理站进行处理，主要污染物为</w:t>
      </w:r>
      <w:r>
        <w:rPr>
          <w:rFonts w:hint="eastAsia" w:eastAsiaTheme="minorEastAsia"/>
          <w:sz w:val="24"/>
          <w:szCs w:val="24"/>
        </w:rPr>
        <w:t>耗氧量、汞、铜、锌、铍、钡、镍、硒、镉、总铬、六价铬、砷、铅</w:t>
      </w:r>
      <w:r>
        <w:rPr>
          <w:rFonts w:eastAsiaTheme="minorEastAsia"/>
          <w:sz w:val="24"/>
        </w:rPr>
        <w:t>等，</w:t>
      </w:r>
      <w:r>
        <w:rPr>
          <w:rFonts w:hint="eastAsia" w:eastAsiaTheme="minorEastAsia"/>
          <w:sz w:val="24"/>
        </w:rPr>
        <w:t>污水沿下方防渗措施老化处</w:t>
      </w:r>
      <w:r>
        <w:rPr>
          <w:rFonts w:eastAsiaTheme="minorEastAsia"/>
          <w:sz w:val="24"/>
        </w:rPr>
        <w:t>渗漏进入地下水，从而对地下水环境造成污染。</w:t>
      </w:r>
      <w:r>
        <w:rPr>
          <w:rFonts w:eastAsiaTheme="minorEastAsia"/>
          <w:sz w:val="24"/>
          <w:szCs w:val="24"/>
        </w:rPr>
        <w:t>项目设</w:t>
      </w:r>
      <w:r>
        <w:rPr>
          <w:rFonts w:hint="eastAsia" w:eastAsiaTheme="minorEastAsia"/>
          <w:sz w:val="24"/>
          <w:szCs w:val="24"/>
        </w:rPr>
        <w:t>调节池</w:t>
      </w:r>
      <w:r>
        <w:rPr>
          <w:rFonts w:eastAsiaTheme="minorEastAsia"/>
          <w:sz w:val="24"/>
          <w:szCs w:val="24"/>
        </w:rPr>
        <w:t>，</w:t>
      </w:r>
      <w:r>
        <w:rPr>
          <w:rFonts w:hint="eastAsia" w:eastAsiaTheme="minorEastAsia"/>
          <w:sz w:val="24"/>
          <w:szCs w:val="24"/>
        </w:rPr>
        <w:t>收集填埋场产生的渗滤液，</w:t>
      </w:r>
      <w:r>
        <w:rPr>
          <w:rFonts w:eastAsiaTheme="minorEastAsia"/>
          <w:sz w:val="24"/>
          <w:szCs w:val="24"/>
        </w:rPr>
        <w:t>非正常状况下一旦发生防渗失效，飞灰渗滤液渗漏并对地下水环境造成影响。</w:t>
      </w:r>
      <w:r>
        <w:rPr>
          <w:rFonts w:eastAsiaTheme="minorEastAsia"/>
          <w:sz w:val="24"/>
        </w:rPr>
        <w:t>结合</w:t>
      </w:r>
      <w:r>
        <w:rPr>
          <w:rFonts w:hint="eastAsia" w:eastAsiaTheme="minorEastAsia"/>
          <w:sz w:val="24"/>
          <w:szCs w:val="24"/>
        </w:rPr>
        <w:t>飞灰填埋场、调节池</w:t>
      </w:r>
      <w:r>
        <w:rPr>
          <w:rFonts w:eastAsiaTheme="minorEastAsia"/>
          <w:sz w:val="24"/>
        </w:rPr>
        <w:t>与下游厂界的位置关系，选择距离下游厂界距离</w:t>
      </w:r>
      <w:r>
        <w:rPr>
          <w:rFonts w:hint="eastAsia" w:eastAsiaTheme="minorEastAsia"/>
          <w:sz w:val="24"/>
        </w:rPr>
        <w:t>较</w:t>
      </w:r>
      <w:r>
        <w:rPr>
          <w:rFonts w:eastAsiaTheme="minorEastAsia"/>
          <w:sz w:val="24"/>
        </w:rPr>
        <w:t>近的调节池作为预测污染源。</w:t>
      </w:r>
      <w:r>
        <w:rPr>
          <w:rFonts w:eastAsiaTheme="minorEastAsia"/>
          <w:sz w:val="24"/>
          <w:szCs w:val="24"/>
        </w:rPr>
        <w:t>本次从最不利因素来假设预测情景：</w:t>
      </w:r>
    </w:p>
    <w:p>
      <w:pPr>
        <w:adjustRightInd w:val="0"/>
        <w:snapToGrid w:val="0"/>
        <w:spacing w:line="360" w:lineRule="auto"/>
        <w:ind w:firstLine="480" w:firstLineChars="200"/>
        <w:rPr>
          <w:rFonts w:eastAsiaTheme="minorEastAsia"/>
          <w:sz w:val="24"/>
        </w:rPr>
      </w:pPr>
      <w:r>
        <w:rPr>
          <w:rFonts w:eastAsiaTheme="minorEastAsia"/>
          <w:sz w:val="24"/>
          <w:szCs w:val="24"/>
        </w:rPr>
        <w:t>预测情景：调节池池体</w:t>
      </w:r>
      <w:r>
        <w:rPr>
          <w:rFonts w:eastAsiaTheme="minorEastAsia"/>
          <w:sz w:val="24"/>
        </w:rPr>
        <w:t>发生破裂、下方防渗措施</w:t>
      </w:r>
      <w:r>
        <w:rPr>
          <w:rFonts w:hint="eastAsia" w:eastAsiaTheme="minorEastAsia"/>
          <w:sz w:val="24"/>
        </w:rPr>
        <w:t>老化</w:t>
      </w:r>
      <w:r>
        <w:rPr>
          <w:rFonts w:eastAsiaTheme="minorEastAsia"/>
          <w:sz w:val="24"/>
        </w:rPr>
        <w:t>情景下，渗滤液泄漏并对地下水质造成影响；</w:t>
      </w:r>
    </w:p>
    <w:p>
      <w:pPr>
        <w:adjustRightInd w:val="0"/>
        <w:snapToGrid w:val="0"/>
        <w:spacing w:line="360" w:lineRule="auto"/>
        <w:ind w:firstLine="480" w:firstLineChars="200"/>
        <w:rPr>
          <w:rFonts w:eastAsiaTheme="minorEastAsia"/>
          <w:sz w:val="24"/>
          <w:szCs w:val="24"/>
        </w:rPr>
      </w:pPr>
      <w:r>
        <w:rPr>
          <w:rFonts w:eastAsiaTheme="minorEastAsia"/>
          <w:sz w:val="24"/>
          <w:szCs w:val="24"/>
        </w:rPr>
        <w:t>预测情景中污染因子情况见下表。本次评价根据污染源的污染因子浓度及</w:t>
      </w:r>
      <w:r>
        <w:rPr>
          <w:rFonts w:hint="eastAsia" w:eastAsiaTheme="minorEastAsia"/>
          <w:sz w:val="24"/>
          <w:szCs w:val="24"/>
        </w:rPr>
        <w:t>标准指数</w:t>
      </w:r>
      <w:r>
        <w:rPr>
          <w:rFonts w:eastAsiaTheme="minorEastAsia"/>
          <w:sz w:val="24"/>
          <w:szCs w:val="24"/>
        </w:rPr>
        <w:t>进行预测，选择同类型中</w:t>
      </w:r>
      <w:r>
        <w:rPr>
          <w:rFonts w:hint="eastAsia" w:eastAsiaTheme="minorEastAsia"/>
          <w:sz w:val="24"/>
          <w:szCs w:val="24"/>
        </w:rPr>
        <w:t>标准指数</w:t>
      </w:r>
      <w:r>
        <w:rPr>
          <w:rFonts w:eastAsiaTheme="minorEastAsia"/>
          <w:sz w:val="24"/>
          <w:szCs w:val="24"/>
        </w:rPr>
        <w:t>最高的污染因子作为预测因子。</w:t>
      </w:r>
    </w:p>
    <w:p>
      <w:pPr>
        <w:jc w:val="center"/>
        <w:rPr>
          <w:b/>
          <w:bCs/>
          <w:sz w:val="24"/>
          <w:szCs w:val="24"/>
        </w:rPr>
      </w:pPr>
      <w:r>
        <w:rPr>
          <w:b/>
          <w:bCs/>
          <w:sz w:val="24"/>
          <w:szCs w:val="24"/>
        </w:rPr>
        <w:t>表5.3.4-1 污染源污染因子浓度一览表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82"/>
        <w:gridCol w:w="1420"/>
        <w:gridCol w:w="1278"/>
        <w:gridCol w:w="818"/>
        <w:gridCol w:w="1311"/>
        <w:gridCol w:w="1164"/>
        <w:gridCol w:w="12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752" w:type="pct"/>
            <w:shd w:val="clear" w:color="auto" w:fill="auto"/>
            <w:vAlign w:val="center"/>
          </w:tcPr>
          <w:p>
            <w:pPr>
              <w:jc w:val="center"/>
              <w:rPr>
                <w:sz w:val="20"/>
                <w:szCs w:val="21"/>
              </w:rPr>
            </w:pPr>
            <w:r>
              <w:rPr>
                <w:sz w:val="20"/>
                <w:szCs w:val="21"/>
              </w:rPr>
              <w:t>污染源位置</w:t>
            </w:r>
          </w:p>
        </w:tc>
        <w:tc>
          <w:tcPr>
            <w:tcW w:w="833" w:type="pct"/>
            <w:shd w:val="clear" w:color="auto" w:fill="auto"/>
            <w:vAlign w:val="center"/>
          </w:tcPr>
          <w:p>
            <w:pPr>
              <w:jc w:val="center"/>
              <w:rPr>
                <w:sz w:val="20"/>
                <w:szCs w:val="21"/>
              </w:rPr>
            </w:pPr>
            <w:r>
              <w:rPr>
                <w:rFonts w:hint="eastAsia"/>
                <w:sz w:val="20"/>
                <w:szCs w:val="21"/>
              </w:rPr>
              <w:t>污染物名称</w:t>
            </w:r>
          </w:p>
        </w:tc>
        <w:tc>
          <w:tcPr>
            <w:tcW w:w="750" w:type="pct"/>
            <w:shd w:val="clear" w:color="auto" w:fill="auto"/>
            <w:vAlign w:val="center"/>
          </w:tcPr>
          <w:p>
            <w:pPr>
              <w:jc w:val="center"/>
              <w:rPr>
                <w:sz w:val="20"/>
                <w:szCs w:val="21"/>
              </w:rPr>
            </w:pPr>
            <w:r>
              <w:rPr>
                <w:rFonts w:hint="eastAsia"/>
                <w:sz w:val="20"/>
                <w:szCs w:val="21"/>
              </w:rPr>
              <w:t>污染物浓度</w:t>
            </w:r>
          </w:p>
        </w:tc>
        <w:tc>
          <w:tcPr>
            <w:tcW w:w="480" w:type="pct"/>
            <w:shd w:val="clear" w:color="auto" w:fill="auto"/>
            <w:vAlign w:val="center"/>
          </w:tcPr>
          <w:p>
            <w:pPr>
              <w:jc w:val="center"/>
              <w:rPr>
                <w:sz w:val="20"/>
                <w:szCs w:val="21"/>
              </w:rPr>
            </w:pPr>
            <w:r>
              <w:rPr>
                <w:rFonts w:hint="eastAsia"/>
                <w:sz w:val="20"/>
                <w:szCs w:val="21"/>
              </w:rPr>
              <w:t>单位</w:t>
            </w:r>
          </w:p>
        </w:tc>
        <w:tc>
          <w:tcPr>
            <w:tcW w:w="769" w:type="pct"/>
            <w:shd w:val="clear" w:color="auto" w:fill="auto"/>
            <w:vAlign w:val="center"/>
          </w:tcPr>
          <w:p>
            <w:pPr>
              <w:jc w:val="center"/>
              <w:rPr>
                <w:sz w:val="20"/>
                <w:szCs w:val="21"/>
              </w:rPr>
            </w:pPr>
            <w:r>
              <w:rPr>
                <w:rFonts w:hint="eastAsia"/>
                <w:sz w:val="20"/>
                <w:szCs w:val="21"/>
              </w:rPr>
              <w:t>III类标准值</w:t>
            </w:r>
          </w:p>
        </w:tc>
        <w:tc>
          <w:tcPr>
            <w:tcW w:w="683" w:type="pct"/>
            <w:shd w:val="clear" w:color="auto" w:fill="auto"/>
            <w:vAlign w:val="center"/>
          </w:tcPr>
          <w:p>
            <w:pPr>
              <w:jc w:val="center"/>
              <w:rPr>
                <w:sz w:val="20"/>
                <w:szCs w:val="21"/>
              </w:rPr>
            </w:pPr>
            <w:r>
              <w:rPr>
                <w:rFonts w:hint="eastAsia"/>
                <w:sz w:val="20"/>
                <w:szCs w:val="21"/>
              </w:rPr>
              <w:t>标准指数</w:t>
            </w:r>
          </w:p>
        </w:tc>
        <w:tc>
          <w:tcPr>
            <w:tcW w:w="733" w:type="pct"/>
            <w:shd w:val="clear" w:color="auto" w:fill="auto"/>
            <w:vAlign w:val="center"/>
          </w:tcPr>
          <w:p>
            <w:pPr>
              <w:jc w:val="center"/>
              <w:rPr>
                <w:sz w:val="20"/>
                <w:szCs w:val="21"/>
              </w:rPr>
            </w:pPr>
            <w:r>
              <w:rPr>
                <w:rFonts w:hint="eastAsia"/>
                <w:sz w:val="20"/>
                <w:szCs w:val="21"/>
              </w:rPr>
              <w:t>预测因子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restart"/>
            <w:shd w:val="clear" w:color="auto" w:fill="auto"/>
            <w:vAlign w:val="center"/>
          </w:tcPr>
          <w:p>
            <w:pPr>
              <w:jc w:val="center"/>
              <w:rPr>
                <w:sz w:val="20"/>
                <w:szCs w:val="21"/>
              </w:rPr>
            </w:pPr>
            <w:r>
              <w:rPr>
                <w:rFonts w:hint="eastAsia"/>
                <w:sz w:val="20"/>
                <w:szCs w:val="21"/>
              </w:rPr>
              <w:t>调节池</w:t>
            </w:r>
          </w:p>
        </w:tc>
        <w:tc>
          <w:tcPr>
            <w:tcW w:w="833" w:type="pct"/>
            <w:shd w:val="clear" w:color="auto" w:fill="auto"/>
            <w:vAlign w:val="center"/>
          </w:tcPr>
          <w:p>
            <w:pPr>
              <w:jc w:val="center"/>
              <w:rPr>
                <w:sz w:val="20"/>
                <w:szCs w:val="21"/>
              </w:rPr>
            </w:pPr>
            <w:r>
              <w:rPr>
                <w:rFonts w:hint="eastAsia"/>
                <w:sz w:val="20"/>
                <w:szCs w:val="21"/>
              </w:rPr>
              <w:t>耗氧量</w:t>
            </w:r>
          </w:p>
        </w:tc>
        <w:tc>
          <w:tcPr>
            <w:tcW w:w="750" w:type="pct"/>
            <w:shd w:val="clear" w:color="auto" w:fill="auto"/>
            <w:vAlign w:val="center"/>
          </w:tcPr>
          <w:p>
            <w:pPr>
              <w:jc w:val="center"/>
              <w:rPr>
                <w:sz w:val="20"/>
                <w:szCs w:val="21"/>
              </w:rPr>
            </w:pPr>
            <w:r>
              <w:rPr>
                <w:sz w:val="20"/>
                <w:szCs w:val="21"/>
              </w:rPr>
              <w:t>125.58</w:t>
            </w:r>
            <w:r>
              <w:rPr>
                <w:rFonts w:hint="eastAsia" w:ascii="宋体" w:hAnsi="宋体"/>
                <w:sz w:val="20"/>
                <w:szCs w:val="21"/>
                <w:vertAlign w:val="superscript"/>
              </w:rPr>
              <w:t>①</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 w:val="20"/>
                <w:szCs w:val="21"/>
              </w:rPr>
            </w:pPr>
            <w:r>
              <w:rPr>
                <w:rFonts w:hint="eastAsia"/>
                <w:sz w:val="20"/>
                <w:szCs w:val="21"/>
              </w:rPr>
              <w:t>3</w:t>
            </w:r>
            <w:r>
              <w:rPr>
                <w:sz w:val="20"/>
                <w:szCs w:val="21"/>
              </w:rPr>
              <w:t>.0</w:t>
            </w:r>
          </w:p>
        </w:tc>
        <w:tc>
          <w:tcPr>
            <w:tcW w:w="683" w:type="pct"/>
            <w:shd w:val="clear" w:color="auto" w:fill="auto"/>
            <w:vAlign w:val="center"/>
          </w:tcPr>
          <w:p>
            <w:pPr>
              <w:jc w:val="center"/>
              <w:rPr>
                <w:sz w:val="20"/>
                <w:szCs w:val="21"/>
              </w:rPr>
            </w:pPr>
            <w:r>
              <w:rPr>
                <w:sz w:val="20"/>
              </w:rPr>
              <w:t>41.86</w:t>
            </w:r>
          </w:p>
        </w:tc>
        <w:tc>
          <w:tcPr>
            <w:tcW w:w="733" w:type="pct"/>
            <w:vMerge w:val="restart"/>
            <w:shd w:val="clear" w:color="auto" w:fill="auto"/>
            <w:vAlign w:val="center"/>
          </w:tcPr>
          <w:p>
            <w:pPr>
              <w:jc w:val="left"/>
              <w:rPr>
                <w:sz w:val="20"/>
                <w:szCs w:val="21"/>
              </w:rPr>
            </w:pPr>
            <w:r>
              <w:rPr>
                <w:rFonts w:hint="eastAsia"/>
                <w:sz w:val="20"/>
                <w:szCs w:val="21"/>
              </w:rPr>
              <w:t>耗氧量、汞、铅、砷、六价铬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 w:val="20"/>
                <w:szCs w:val="21"/>
              </w:rPr>
              <w:t>汞</w:t>
            </w:r>
          </w:p>
        </w:tc>
        <w:tc>
          <w:tcPr>
            <w:tcW w:w="750" w:type="pct"/>
            <w:shd w:val="clear" w:color="auto" w:fill="auto"/>
            <w:vAlign w:val="center"/>
          </w:tcPr>
          <w:p>
            <w:pPr>
              <w:jc w:val="center"/>
              <w:rPr>
                <w:sz w:val="20"/>
                <w:szCs w:val="21"/>
              </w:rPr>
            </w:pPr>
            <w:r>
              <w:rPr>
                <w:rFonts w:hint="eastAsia"/>
                <w:sz w:val="20"/>
                <w:szCs w:val="21"/>
              </w:rPr>
              <w:t>0</w:t>
            </w:r>
            <w:r>
              <w:rPr>
                <w:sz w:val="20"/>
                <w:szCs w:val="21"/>
              </w:rPr>
              <w:t>.05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 w:val="20"/>
                <w:szCs w:val="21"/>
              </w:rPr>
            </w:pPr>
            <w:r>
              <w:rPr>
                <w:szCs w:val="21"/>
              </w:rPr>
              <w:t>0.001</w:t>
            </w:r>
          </w:p>
        </w:tc>
        <w:tc>
          <w:tcPr>
            <w:tcW w:w="683" w:type="pct"/>
            <w:shd w:val="clear" w:color="auto" w:fill="auto"/>
            <w:vAlign w:val="center"/>
          </w:tcPr>
          <w:p>
            <w:pPr>
              <w:jc w:val="center"/>
              <w:rPr>
                <w:sz w:val="20"/>
                <w:szCs w:val="21"/>
              </w:rPr>
            </w:pPr>
            <w:r>
              <w:rPr>
                <w:sz w:val="20"/>
              </w:rPr>
              <w:t>50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Cs w:val="21"/>
              </w:rPr>
              <w:t>铜</w:t>
            </w:r>
          </w:p>
        </w:tc>
        <w:tc>
          <w:tcPr>
            <w:tcW w:w="750" w:type="pct"/>
            <w:shd w:val="clear" w:color="auto" w:fill="auto"/>
            <w:vAlign w:val="center"/>
          </w:tcPr>
          <w:p>
            <w:pPr>
              <w:jc w:val="center"/>
              <w:rPr>
                <w:sz w:val="20"/>
                <w:szCs w:val="21"/>
              </w:rPr>
            </w:pPr>
            <w:r>
              <w:rPr>
                <w:rFonts w:hint="eastAsia"/>
                <w:sz w:val="20"/>
                <w:szCs w:val="21"/>
              </w:rPr>
              <w:t>4</w:t>
            </w:r>
            <w:r>
              <w:rPr>
                <w:sz w:val="20"/>
                <w:szCs w:val="21"/>
              </w:rPr>
              <w:t>0</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rFonts w:hint="eastAsia"/>
                <w:szCs w:val="21"/>
              </w:rPr>
              <w:t>1</w:t>
            </w:r>
          </w:p>
        </w:tc>
        <w:tc>
          <w:tcPr>
            <w:tcW w:w="683" w:type="pct"/>
            <w:shd w:val="clear" w:color="auto" w:fill="auto"/>
            <w:vAlign w:val="center"/>
          </w:tcPr>
          <w:p>
            <w:pPr>
              <w:jc w:val="center"/>
              <w:rPr>
                <w:sz w:val="20"/>
                <w:szCs w:val="21"/>
              </w:rPr>
            </w:pPr>
            <w:r>
              <w:rPr>
                <w:sz w:val="20"/>
              </w:rPr>
              <w:t>40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Cs w:val="21"/>
              </w:rPr>
              <w:t>锌</w:t>
            </w:r>
          </w:p>
        </w:tc>
        <w:tc>
          <w:tcPr>
            <w:tcW w:w="750" w:type="pct"/>
            <w:shd w:val="clear" w:color="auto" w:fill="auto"/>
            <w:vAlign w:val="center"/>
          </w:tcPr>
          <w:p>
            <w:pPr>
              <w:jc w:val="center"/>
              <w:rPr>
                <w:sz w:val="20"/>
                <w:szCs w:val="21"/>
              </w:rPr>
            </w:pPr>
            <w:r>
              <w:rPr>
                <w:rFonts w:hint="eastAsia"/>
                <w:sz w:val="20"/>
                <w:szCs w:val="21"/>
              </w:rPr>
              <w:t>1</w:t>
            </w:r>
            <w:r>
              <w:rPr>
                <w:sz w:val="20"/>
                <w:szCs w:val="21"/>
              </w:rPr>
              <w:t>00</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rFonts w:hint="eastAsia"/>
                <w:szCs w:val="21"/>
              </w:rPr>
              <w:t>1</w:t>
            </w:r>
          </w:p>
        </w:tc>
        <w:tc>
          <w:tcPr>
            <w:tcW w:w="683" w:type="pct"/>
            <w:shd w:val="clear" w:color="auto" w:fill="auto"/>
            <w:vAlign w:val="center"/>
          </w:tcPr>
          <w:p>
            <w:pPr>
              <w:jc w:val="center"/>
              <w:rPr>
                <w:sz w:val="20"/>
                <w:szCs w:val="21"/>
              </w:rPr>
            </w:pPr>
            <w:r>
              <w:rPr>
                <w:sz w:val="20"/>
              </w:rPr>
              <w:t>100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Cs w:val="21"/>
              </w:rPr>
              <w:t>铍</w:t>
            </w:r>
          </w:p>
        </w:tc>
        <w:tc>
          <w:tcPr>
            <w:tcW w:w="750" w:type="pct"/>
            <w:shd w:val="clear" w:color="auto" w:fill="auto"/>
            <w:vAlign w:val="center"/>
          </w:tcPr>
          <w:p>
            <w:pPr>
              <w:jc w:val="center"/>
              <w:rPr>
                <w:sz w:val="20"/>
                <w:szCs w:val="21"/>
              </w:rPr>
            </w:pPr>
            <w:r>
              <w:rPr>
                <w:rFonts w:hint="eastAsia"/>
                <w:sz w:val="20"/>
                <w:szCs w:val="21"/>
              </w:rPr>
              <w:t>0</w:t>
            </w:r>
            <w:r>
              <w:rPr>
                <w:sz w:val="20"/>
                <w:szCs w:val="21"/>
              </w:rPr>
              <w:t>.02</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szCs w:val="21"/>
              </w:rPr>
              <w:t>0.002</w:t>
            </w:r>
          </w:p>
        </w:tc>
        <w:tc>
          <w:tcPr>
            <w:tcW w:w="683" w:type="pct"/>
            <w:shd w:val="clear" w:color="auto" w:fill="auto"/>
            <w:vAlign w:val="center"/>
          </w:tcPr>
          <w:p>
            <w:pPr>
              <w:jc w:val="center"/>
              <w:rPr>
                <w:sz w:val="20"/>
                <w:szCs w:val="21"/>
              </w:rPr>
            </w:pPr>
            <w:r>
              <w:rPr>
                <w:sz w:val="20"/>
              </w:rPr>
              <w:t>10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Cs w:val="21"/>
              </w:rPr>
              <w:t>钡</w:t>
            </w:r>
          </w:p>
        </w:tc>
        <w:tc>
          <w:tcPr>
            <w:tcW w:w="750" w:type="pct"/>
            <w:shd w:val="clear" w:color="auto" w:fill="auto"/>
            <w:vAlign w:val="center"/>
          </w:tcPr>
          <w:p>
            <w:pPr>
              <w:jc w:val="center"/>
              <w:rPr>
                <w:sz w:val="20"/>
                <w:szCs w:val="21"/>
              </w:rPr>
            </w:pPr>
            <w:r>
              <w:rPr>
                <w:rFonts w:hint="eastAsia"/>
                <w:sz w:val="20"/>
                <w:szCs w:val="21"/>
              </w:rPr>
              <w:t>2</w:t>
            </w:r>
            <w:r>
              <w:rPr>
                <w:sz w:val="20"/>
                <w:szCs w:val="21"/>
              </w:rPr>
              <w:t>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rFonts w:hint="eastAsia"/>
                <w:szCs w:val="21"/>
              </w:rPr>
              <w:t>0</w:t>
            </w:r>
            <w:r>
              <w:rPr>
                <w:szCs w:val="21"/>
              </w:rPr>
              <w:t>.7</w:t>
            </w:r>
          </w:p>
        </w:tc>
        <w:tc>
          <w:tcPr>
            <w:tcW w:w="683" w:type="pct"/>
            <w:shd w:val="clear" w:color="auto" w:fill="auto"/>
            <w:vAlign w:val="center"/>
          </w:tcPr>
          <w:p>
            <w:pPr>
              <w:jc w:val="center"/>
              <w:rPr>
                <w:sz w:val="20"/>
                <w:szCs w:val="21"/>
              </w:rPr>
            </w:pPr>
            <w:r>
              <w:rPr>
                <w:sz w:val="20"/>
              </w:rPr>
              <w:t>35.71</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Cs w:val="21"/>
              </w:rPr>
              <w:t>镍</w:t>
            </w:r>
          </w:p>
        </w:tc>
        <w:tc>
          <w:tcPr>
            <w:tcW w:w="750" w:type="pct"/>
            <w:shd w:val="clear" w:color="auto" w:fill="auto"/>
            <w:vAlign w:val="center"/>
          </w:tcPr>
          <w:p>
            <w:pPr>
              <w:jc w:val="center"/>
              <w:rPr>
                <w:sz w:val="20"/>
                <w:szCs w:val="21"/>
              </w:rPr>
            </w:pPr>
            <w:r>
              <w:rPr>
                <w:rFonts w:hint="eastAsia"/>
                <w:sz w:val="20"/>
                <w:szCs w:val="21"/>
              </w:rPr>
              <w:t>0</w:t>
            </w:r>
            <w:r>
              <w:rPr>
                <w:sz w:val="20"/>
                <w:szCs w:val="21"/>
              </w:rPr>
              <w:t>.5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rFonts w:hint="eastAsia"/>
                <w:szCs w:val="21"/>
              </w:rPr>
              <w:t>0</w:t>
            </w:r>
            <w:r>
              <w:rPr>
                <w:szCs w:val="21"/>
              </w:rPr>
              <w:t>.02</w:t>
            </w:r>
          </w:p>
        </w:tc>
        <w:tc>
          <w:tcPr>
            <w:tcW w:w="683" w:type="pct"/>
            <w:shd w:val="clear" w:color="auto" w:fill="auto"/>
            <w:vAlign w:val="center"/>
          </w:tcPr>
          <w:p>
            <w:pPr>
              <w:jc w:val="center"/>
              <w:rPr>
                <w:sz w:val="20"/>
                <w:szCs w:val="21"/>
              </w:rPr>
            </w:pPr>
            <w:r>
              <w:rPr>
                <w:sz w:val="20"/>
              </w:rPr>
              <w:t>25</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Cs w:val="21"/>
              </w:rPr>
            </w:pPr>
            <w:r>
              <w:rPr>
                <w:szCs w:val="21"/>
              </w:rPr>
              <w:t>硒</w:t>
            </w:r>
          </w:p>
        </w:tc>
        <w:tc>
          <w:tcPr>
            <w:tcW w:w="750" w:type="pct"/>
            <w:shd w:val="clear" w:color="auto" w:fill="auto"/>
            <w:vAlign w:val="center"/>
          </w:tcPr>
          <w:p>
            <w:pPr>
              <w:jc w:val="center"/>
              <w:rPr>
                <w:szCs w:val="21"/>
              </w:rPr>
            </w:pPr>
            <w:r>
              <w:rPr>
                <w:rFonts w:hint="eastAsia"/>
                <w:szCs w:val="21"/>
              </w:rPr>
              <w:t>0</w:t>
            </w:r>
            <w:r>
              <w:rPr>
                <w:szCs w:val="21"/>
              </w:rPr>
              <w:t>.1</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rFonts w:hint="eastAsia"/>
                <w:szCs w:val="21"/>
              </w:rPr>
              <w:t>0</w:t>
            </w:r>
            <w:r>
              <w:rPr>
                <w:szCs w:val="21"/>
              </w:rPr>
              <w:t>.01</w:t>
            </w:r>
          </w:p>
        </w:tc>
        <w:tc>
          <w:tcPr>
            <w:tcW w:w="683" w:type="pct"/>
            <w:shd w:val="clear" w:color="auto" w:fill="auto"/>
            <w:vAlign w:val="center"/>
          </w:tcPr>
          <w:p>
            <w:pPr>
              <w:jc w:val="center"/>
              <w:rPr>
                <w:sz w:val="20"/>
                <w:szCs w:val="21"/>
              </w:rPr>
            </w:pPr>
            <w:r>
              <w:rPr>
                <w:sz w:val="20"/>
              </w:rPr>
              <w:t>10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 w:val="20"/>
                <w:szCs w:val="21"/>
              </w:rPr>
              <w:t>镉</w:t>
            </w:r>
          </w:p>
        </w:tc>
        <w:tc>
          <w:tcPr>
            <w:tcW w:w="750" w:type="pct"/>
            <w:shd w:val="clear" w:color="auto" w:fill="auto"/>
            <w:vAlign w:val="center"/>
          </w:tcPr>
          <w:p>
            <w:pPr>
              <w:jc w:val="center"/>
              <w:rPr>
                <w:sz w:val="20"/>
                <w:szCs w:val="21"/>
              </w:rPr>
            </w:pPr>
            <w:r>
              <w:rPr>
                <w:rFonts w:hint="eastAsia"/>
                <w:sz w:val="20"/>
                <w:szCs w:val="21"/>
              </w:rPr>
              <w:t>0</w:t>
            </w:r>
            <w:r>
              <w:rPr>
                <w:sz w:val="20"/>
                <w:szCs w:val="21"/>
              </w:rPr>
              <w:t>.15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 w:val="20"/>
                <w:szCs w:val="21"/>
              </w:rPr>
            </w:pPr>
            <w:r>
              <w:rPr>
                <w:szCs w:val="21"/>
              </w:rPr>
              <w:t>0.005</w:t>
            </w:r>
          </w:p>
        </w:tc>
        <w:tc>
          <w:tcPr>
            <w:tcW w:w="683" w:type="pct"/>
            <w:shd w:val="clear" w:color="auto" w:fill="auto"/>
            <w:vAlign w:val="center"/>
          </w:tcPr>
          <w:p>
            <w:pPr>
              <w:jc w:val="center"/>
              <w:rPr>
                <w:sz w:val="20"/>
                <w:szCs w:val="21"/>
              </w:rPr>
            </w:pPr>
            <w:r>
              <w:rPr>
                <w:sz w:val="20"/>
              </w:rPr>
              <w:t>30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rFonts w:hint="eastAsia"/>
                <w:sz w:val="20"/>
                <w:szCs w:val="21"/>
              </w:rPr>
              <w:t>总铬</w:t>
            </w:r>
          </w:p>
        </w:tc>
        <w:tc>
          <w:tcPr>
            <w:tcW w:w="750" w:type="pct"/>
            <w:shd w:val="clear" w:color="auto" w:fill="auto"/>
            <w:vAlign w:val="center"/>
          </w:tcPr>
          <w:p>
            <w:pPr>
              <w:jc w:val="center"/>
              <w:rPr>
                <w:sz w:val="20"/>
                <w:szCs w:val="21"/>
              </w:rPr>
            </w:pPr>
            <w:r>
              <w:rPr>
                <w:rFonts w:hint="eastAsia"/>
                <w:sz w:val="20"/>
                <w:szCs w:val="21"/>
              </w:rPr>
              <w:t>4</w:t>
            </w:r>
            <w:r>
              <w:rPr>
                <w:sz w:val="20"/>
                <w:szCs w:val="21"/>
              </w:rPr>
              <w:t>.5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Cs w:val="21"/>
              </w:rPr>
            </w:pPr>
            <w:r>
              <w:rPr>
                <w:rFonts w:hint="eastAsia"/>
                <w:szCs w:val="21"/>
              </w:rPr>
              <w:t>/</w:t>
            </w:r>
          </w:p>
        </w:tc>
        <w:tc>
          <w:tcPr>
            <w:tcW w:w="683" w:type="pct"/>
            <w:shd w:val="clear" w:color="auto" w:fill="auto"/>
            <w:vAlign w:val="center"/>
          </w:tcPr>
          <w:p>
            <w:pPr>
              <w:jc w:val="center"/>
              <w:rPr>
                <w:sz w:val="20"/>
              </w:rPr>
            </w:pPr>
            <w:r>
              <w:rPr>
                <w:szCs w:val="21"/>
                <w:u w:val="single"/>
              </w:rPr>
              <w:t>/</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 w:val="20"/>
                <w:szCs w:val="21"/>
              </w:rPr>
              <w:t>六价铬</w:t>
            </w:r>
          </w:p>
        </w:tc>
        <w:tc>
          <w:tcPr>
            <w:tcW w:w="750" w:type="pct"/>
            <w:shd w:val="clear" w:color="auto" w:fill="auto"/>
            <w:vAlign w:val="center"/>
          </w:tcPr>
          <w:p>
            <w:pPr>
              <w:jc w:val="center"/>
              <w:rPr>
                <w:sz w:val="20"/>
                <w:szCs w:val="21"/>
              </w:rPr>
            </w:pPr>
            <w:r>
              <w:rPr>
                <w:rFonts w:hint="eastAsia"/>
                <w:sz w:val="20"/>
                <w:szCs w:val="21"/>
              </w:rPr>
              <w:t>1</w:t>
            </w:r>
            <w:r>
              <w:rPr>
                <w:sz w:val="20"/>
                <w:szCs w:val="21"/>
              </w:rPr>
              <w:t>.5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 w:val="20"/>
                <w:szCs w:val="21"/>
              </w:rPr>
            </w:pPr>
            <w:r>
              <w:rPr>
                <w:szCs w:val="21"/>
              </w:rPr>
              <w:t>0.05</w:t>
            </w:r>
          </w:p>
        </w:tc>
        <w:tc>
          <w:tcPr>
            <w:tcW w:w="683" w:type="pct"/>
            <w:shd w:val="clear" w:color="auto" w:fill="auto"/>
            <w:vAlign w:val="center"/>
          </w:tcPr>
          <w:p>
            <w:pPr>
              <w:jc w:val="center"/>
              <w:rPr>
                <w:sz w:val="20"/>
                <w:szCs w:val="21"/>
              </w:rPr>
            </w:pPr>
            <w:r>
              <w:rPr>
                <w:sz w:val="20"/>
              </w:rPr>
              <w:t>30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 w:val="20"/>
                <w:szCs w:val="21"/>
              </w:rPr>
              <w:t>砷</w:t>
            </w:r>
          </w:p>
        </w:tc>
        <w:tc>
          <w:tcPr>
            <w:tcW w:w="750" w:type="pct"/>
            <w:shd w:val="clear" w:color="auto" w:fill="auto"/>
            <w:vAlign w:val="center"/>
          </w:tcPr>
          <w:p>
            <w:pPr>
              <w:jc w:val="center"/>
              <w:rPr>
                <w:sz w:val="20"/>
                <w:szCs w:val="21"/>
              </w:rPr>
            </w:pPr>
            <w:r>
              <w:rPr>
                <w:rFonts w:hint="eastAsia"/>
                <w:sz w:val="20"/>
                <w:szCs w:val="21"/>
              </w:rPr>
              <w:t>0</w:t>
            </w:r>
            <w:r>
              <w:rPr>
                <w:sz w:val="20"/>
                <w:szCs w:val="21"/>
              </w:rPr>
              <w:t>.3</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 w:val="20"/>
                <w:szCs w:val="21"/>
              </w:rPr>
            </w:pPr>
            <w:r>
              <w:rPr>
                <w:szCs w:val="21"/>
              </w:rPr>
              <w:t>0.01</w:t>
            </w:r>
          </w:p>
        </w:tc>
        <w:tc>
          <w:tcPr>
            <w:tcW w:w="683" w:type="pct"/>
            <w:shd w:val="clear" w:color="auto" w:fill="auto"/>
            <w:vAlign w:val="center"/>
          </w:tcPr>
          <w:p>
            <w:pPr>
              <w:jc w:val="center"/>
              <w:rPr>
                <w:sz w:val="20"/>
                <w:szCs w:val="21"/>
              </w:rPr>
            </w:pPr>
            <w:r>
              <w:rPr>
                <w:sz w:val="20"/>
              </w:rPr>
              <w:t>30</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shd w:val="clear" w:color="auto" w:fill="auto"/>
            <w:vAlign w:val="center"/>
          </w:tcPr>
          <w:p>
            <w:pPr>
              <w:jc w:val="center"/>
              <w:rPr>
                <w:sz w:val="20"/>
                <w:szCs w:val="21"/>
              </w:rPr>
            </w:pPr>
          </w:p>
        </w:tc>
        <w:tc>
          <w:tcPr>
            <w:tcW w:w="833" w:type="pct"/>
            <w:shd w:val="clear" w:color="auto" w:fill="auto"/>
            <w:vAlign w:val="center"/>
          </w:tcPr>
          <w:p>
            <w:pPr>
              <w:jc w:val="center"/>
              <w:rPr>
                <w:sz w:val="20"/>
                <w:szCs w:val="21"/>
              </w:rPr>
            </w:pPr>
            <w:r>
              <w:rPr>
                <w:sz w:val="20"/>
                <w:szCs w:val="21"/>
              </w:rPr>
              <w:t>铅</w:t>
            </w:r>
          </w:p>
        </w:tc>
        <w:tc>
          <w:tcPr>
            <w:tcW w:w="750" w:type="pct"/>
            <w:shd w:val="clear" w:color="auto" w:fill="auto"/>
            <w:vAlign w:val="center"/>
          </w:tcPr>
          <w:p>
            <w:pPr>
              <w:jc w:val="center"/>
              <w:rPr>
                <w:sz w:val="20"/>
                <w:szCs w:val="21"/>
              </w:rPr>
            </w:pPr>
            <w:r>
              <w:rPr>
                <w:rFonts w:hint="eastAsia"/>
                <w:sz w:val="20"/>
                <w:szCs w:val="21"/>
              </w:rPr>
              <w:t>0</w:t>
            </w:r>
            <w:r>
              <w:rPr>
                <w:sz w:val="20"/>
                <w:szCs w:val="21"/>
              </w:rPr>
              <w:t>.25</w:t>
            </w:r>
          </w:p>
        </w:tc>
        <w:tc>
          <w:tcPr>
            <w:tcW w:w="480" w:type="pct"/>
            <w:shd w:val="clear" w:color="auto" w:fill="auto"/>
          </w:tcPr>
          <w:p>
            <w:pPr>
              <w:jc w:val="center"/>
              <w:rPr>
                <w:sz w:val="20"/>
                <w:szCs w:val="21"/>
              </w:rPr>
            </w:pPr>
            <w:r>
              <w:rPr>
                <w:rFonts w:hint="eastAsia"/>
                <w:sz w:val="20"/>
                <w:szCs w:val="21"/>
              </w:rPr>
              <w:t>mg</w:t>
            </w:r>
            <w:r>
              <w:rPr>
                <w:sz w:val="20"/>
                <w:szCs w:val="21"/>
              </w:rPr>
              <w:t>/L</w:t>
            </w:r>
          </w:p>
        </w:tc>
        <w:tc>
          <w:tcPr>
            <w:tcW w:w="769" w:type="pct"/>
            <w:shd w:val="clear" w:color="auto" w:fill="auto"/>
            <w:vAlign w:val="center"/>
          </w:tcPr>
          <w:p>
            <w:pPr>
              <w:jc w:val="center"/>
              <w:rPr>
                <w:sz w:val="20"/>
                <w:szCs w:val="21"/>
              </w:rPr>
            </w:pPr>
            <w:r>
              <w:rPr>
                <w:szCs w:val="21"/>
              </w:rPr>
              <w:t>0.01</w:t>
            </w:r>
          </w:p>
        </w:tc>
        <w:tc>
          <w:tcPr>
            <w:tcW w:w="683" w:type="pct"/>
            <w:shd w:val="clear" w:color="auto" w:fill="auto"/>
            <w:vAlign w:val="center"/>
          </w:tcPr>
          <w:p>
            <w:pPr>
              <w:jc w:val="center"/>
              <w:rPr>
                <w:sz w:val="20"/>
                <w:szCs w:val="21"/>
              </w:rPr>
            </w:pPr>
            <w:r>
              <w:rPr>
                <w:sz w:val="20"/>
              </w:rPr>
              <w:t>25</w:t>
            </w:r>
          </w:p>
        </w:tc>
        <w:tc>
          <w:tcPr>
            <w:tcW w:w="733" w:type="pct"/>
            <w:vMerge w:val="continue"/>
            <w:shd w:val="clear" w:color="auto" w:fill="auto"/>
            <w:vAlign w:val="center"/>
          </w:tcPr>
          <w:p>
            <w:pPr>
              <w:jc w:val="center"/>
              <w:rPr>
                <w:sz w:val="2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7"/>
            <w:shd w:val="clear" w:color="auto" w:fill="auto"/>
          </w:tcPr>
          <w:p>
            <w:pPr>
              <w:rPr>
                <w:sz w:val="20"/>
                <w:szCs w:val="21"/>
              </w:rPr>
            </w:pPr>
            <w:r>
              <w:rPr>
                <w:rFonts w:hint="eastAsia" w:ascii="宋体" w:hAnsi="宋体"/>
                <w:sz w:val="20"/>
                <w:szCs w:val="21"/>
              </w:rPr>
              <w:t>注：①调节池废水</w:t>
            </w:r>
            <w:r>
              <w:rPr>
                <w:rFonts w:ascii="宋体" w:hAnsi="宋体"/>
                <w:sz w:val="20"/>
                <w:szCs w:val="21"/>
              </w:rPr>
              <w:t>中</w:t>
            </w:r>
            <w:r>
              <w:rPr>
                <w:sz w:val="20"/>
                <w:szCs w:val="21"/>
              </w:rPr>
              <w:t>CODcr浓度为600.36mg/L，耗氧量</w:t>
            </w:r>
            <w:r>
              <w:rPr>
                <w:rFonts w:hint="eastAsia"/>
                <w:sz w:val="20"/>
                <w:szCs w:val="21"/>
              </w:rPr>
              <w:t>参照国内学者胡大琼(云南省水文水资源局普洱分局)《高锰酸盐指数与化学需氧量相关关系探讨》一文得出的耗氧量（CODMn）与CODcr（化学需氧量）线性回归方程Y=4.76X+2.61(X为耗氧量，Y为CODcr)进行换算，</w:t>
            </w:r>
            <w:r>
              <w:rPr>
                <w:sz w:val="20"/>
                <w:szCs w:val="21"/>
              </w:rPr>
              <w:t>耗氧量浓度为125.58mg/L。</w:t>
            </w:r>
          </w:p>
          <w:p>
            <w:pPr>
              <w:rPr>
                <w:sz w:val="20"/>
                <w:szCs w:val="21"/>
              </w:rPr>
            </w:pPr>
            <w:r>
              <w:rPr>
                <w:rFonts w:hint="eastAsia" w:ascii="宋体" w:hAnsi="宋体"/>
                <w:sz w:val="20"/>
                <w:szCs w:val="21"/>
              </w:rPr>
              <w:t>②渗滤液中</w:t>
            </w:r>
            <w:r>
              <w:rPr>
                <w:rFonts w:hint="eastAsia"/>
                <w:sz w:val="20"/>
                <w:szCs w:val="21"/>
              </w:rPr>
              <w:t>汞、铜、锌、铅、镉、铍、钡、镍、砷、总铬的浓度参照《生活垃圾填埋场控制标准》（GB</w:t>
            </w:r>
            <w:r>
              <w:rPr>
                <w:sz w:val="20"/>
                <w:szCs w:val="21"/>
              </w:rPr>
              <w:t>16889</w:t>
            </w:r>
            <w:r>
              <w:rPr>
                <w:rFonts w:hint="eastAsia"/>
                <w:sz w:val="20"/>
                <w:szCs w:val="21"/>
              </w:rPr>
              <w:t>-</w:t>
            </w:r>
            <w:r>
              <w:rPr>
                <w:sz w:val="20"/>
                <w:szCs w:val="21"/>
              </w:rPr>
              <w:t>2008</w:t>
            </w:r>
            <w:r>
              <w:rPr>
                <w:rFonts w:hint="eastAsia"/>
                <w:sz w:val="20"/>
                <w:szCs w:val="21"/>
              </w:rPr>
              <w:t>）表1中的浸出液污染物浓度限值。</w:t>
            </w:r>
          </w:p>
        </w:tc>
      </w:tr>
    </w:tbl>
    <w:p>
      <w:pPr>
        <w:keepNext/>
        <w:keepLines/>
        <w:numPr>
          <w:ilvl w:val="3"/>
          <w:numId w:val="5"/>
        </w:numPr>
        <w:tabs>
          <w:tab w:val="left" w:pos="432"/>
          <w:tab w:val="left" w:pos="851"/>
          <w:tab w:val="left" w:pos="1247"/>
          <w:tab w:val="clear" w:pos="1389"/>
        </w:tabs>
        <w:adjustRightInd w:val="0"/>
        <w:snapToGrid w:val="0"/>
        <w:spacing w:before="156" w:beforeLines="50" w:after="156" w:afterLines="50"/>
        <w:ind w:left="1290" w:hanging="1290" w:hangingChars="459"/>
        <w:jc w:val="left"/>
        <w:outlineLvl w:val="3"/>
        <w:rPr>
          <w:rFonts w:ascii="宋体" w:hAnsi="宋体"/>
          <w:b/>
          <w:bCs/>
          <w:snapToGrid w:val="0"/>
          <w:sz w:val="28"/>
          <w:szCs w:val="28"/>
        </w:rPr>
      </w:pPr>
      <w:r>
        <w:rPr>
          <w:rFonts w:ascii="宋体" w:hAnsi="宋体"/>
          <w:b/>
          <w:bCs/>
          <w:snapToGrid w:val="0"/>
          <w:sz w:val="28"/>
          <w:szCs w:val="28"/>
        </w:rPr>
        <w:t>评价区地下水流运动及污染物迁移数值模型</w:t>
      </w:r>
    </w:p>
    <w:p>
      <w:pPr>
        <w:adjustRightInd w:val="0"/>
        <w:snapToGrid w:val="0"/>
        <w:spacing w:line="360" w:lineRule="auto"/>
        <w:jc w:val="left"/>
        <w:rPr>
          <w:b/>
          <w:bCs/>
          <w:sz w:val="24"/>
        </w:rPr>
      </w:pPr>
      <w:r>
        <w:rPr>
          <w:b/>
          <w:bCs/>
          <w:sz w:val="24"/>
        </w:rPr>
        <w:t>5.3.4.2.1</w:t>
      </w:r>
      <w:r>
        <w:rPr>
          <w:rFonts w:hint="eastAsia"/>
          <w:b/>
          <w:bCs/>
          <w:sz w:val="24"/>
        </w:rPr>
        <w:t>水文地质概念模型</w:t>
      </w:r>
    </w:p>
    <w:p>
      <w:pPr>
        <w:adjustRightInd w:val="0"/>
        <w:snapToGrid w:val="0"/>
        <w:spacing w:line="360" w:lineRule="auto"/>
        <w:ind w:firstLine="480" w:firstLineChars="200"/>
        <w:rPr>
          <w:sz w:val="24"/>
          <w:szCs w:val="24"/>
        </w:rPr>
      </w:pPr>
      <w:r>
        <w:rPr>
          <w:rFonts w:hint="eastAsia"/>
          <w:sz w:val="24"/>
          <w:szCs w:val="24"/>
        </w:rPr>
        <w:t>水文地质概念模型是对地下水系统的科学概化，是为了适应建立数学模型的要求而对实际复杂系统的一种近似处理，是地下水系统模拟的基础。根据水文地质条件，把评价区地下水系统实际的边界性质、内部结构、水力特征和补给排泄条件等进行合理概化，以便于进行数学模拟，而且要准确充分地反映地下水系统的主要功能和特征。</w:t>
      </w:r>
    </w:p>
    <w:p>
      <w:pPr>
        <w:widowControl/>
        <w:numPr>
          <w:ilvl w:val="0"/>
          <w:numId w:val="14"/>
        </w:numPr>
        <w:adjustRightInd w:val="0"/>
        <w:snapToGrid w:val="0"/>
        <w:spacing w:line="360" w:lineRule="auto"/>
        <w:ind w:left="0" w:firstLine="480" w:firstLineChars="200"/>
        <w:rPr>
          <w:sz w:val="24"/>
          <w:szCs w:val="24"/>
        </w:rPr>
      </w:pPr>
      <w:r>
        <w:rPr>
          <w:rFonts w:hint="eastAsia"/>
          <w:sz w:val="24"/>
          <w:szCs w:val="24"/>
        </w:rPr>
        <w:t>模拟范围</w:t>
      </w:r>
    </w:p>
    <w:p>
      <w:pPr>
        <w:adjustRightInd w:val="0"/>
        <w:snapToGrid w:val="0"/>
        <w:spacing w:line="360" w:lineRule="auto"/>
        <w:ind w:firstLine="480" w:firstLineChars="200"/>
        <w:rPr>
          <w:sz w:val="24"/>
          <w:szCs w:val="24"/>
        </w:rPr>
      </w:pPr>
      <w:r>
        <w:rPr>
          <w:rFonts w:hint="eastAsia"/>
          <w:sz w:val="24"/>
          <w:szCs w:val="24"/>
        </w:rPr>
        <w:t>模拟范围的划定是根据评价区水文地质条件确定。结合评价区周边的地质条件、水文地质条件、地形地貌特征、地下水保护目标和污染物可能的迁移路径确定模拟范围。厂区地下水数值模型模拟范围见下图，模拟范围与调查评价一致，面积约</w:t>
      </w:r>
      <w:r>
        <w:rPr>
          <w:sz w:val="24"/>
          <w:szCs w:val="24"/>
        </w:rPr>
        <w:t>18.34</w:t>
      </w:r>
      <w:r>
        <w:rPr>
          <w:rFonts w:hint="eastAsia"/>
          <w:sz w:val="24"/>
          <w:szCs w:val="24"/>
        </w:rPr>
        <w:t>km</w:t>
      </w:r>
      <w:r>
        <w:rPr>
          <w:rFonts w:hint="eastAsia"/>
          <w:sz w:val="24"/>
          <w:szCs w:val="24"/>
          <w:vertAlign w:val="superscript"/>
        </w:rPr>
        <w:t>2</w:t>
      </w:r>
      <w:r>
        <w:rPr>
          <w:rFonts w:hint="eastAsia"/>
          <w:sz w:val="24"/>
          <w:szCs w:val="24"/>
        </w:rPr>
        <w:t>。</w:t>
      </w:r>
    </w:p>
    <w:p>
      <w:pPr>
        <w:adjustRightInd w:val="0"/>
        <w:snapToGrid w:val="0"/>
        <w:spacing w:line="360" w:lineRule="auto"/>
        <w:rPr>
          <w:sz w:val="24"/>
          <w:szCs w:val="24"/>
        </w:rPr>
      </w:pPr>
      <w:r>
        <mc:AlternateContent>
          <mc:Choice Requires="wps">
            <w:drawing>
              <wp:anchor distT="0" distB="0" distL="114300" distR="114300" simplePos="0" relativeHeight="251770880" behindDoc="0" locked="0" layoutInCell="1" allowOverlap="1">
                <wp:simplePos x="0" y="0"/>
                <wp:positionH relativeFrom="column">
                  <wp:posOffset>1337945</wp:posOffset>
                </wp:positionH>
                <wp:positionV relativeFrom="paragraph">
                  <wp:posOffset>1248410</wp:posOffset>
                </wp:positionV>
                <wp:extent cx="311785" cy="195580"/>
                <wp:effectExtent l="0" t="0" r="12065" b="14605"/>
                <wp:wrapNone/>
                <wp:docPr id="58" name="任意多边形: 形状 58"/>
                <wp:cNvGraphicFramePr/>
                <a:graphic xmlns:a="http://schemas.openxmlformats.org/drawingml/2006/main">
                  <a:graphicData uri="http://schemas.microsoft.com/office/word/2010/wordprocessingShape">
                    <wps:wsp>
                      <wps:cNvSpPr/>
                      <wps:spPr>
                        <a:xfrm>
                          <a:off x="0" y="0"/>
                          <a:ext cx="311848" cy="195565"/>
                        </a:xfrm>
                        <a:custGeom>
                          <a:avLst/>
                          <a:gdLst>
                            <a:gd name="connsiteX0" fmla="*/ 0 w 311848"/>
                            <a:gd name="connsiteY0" fmla="*/ 15857 h 195565"/>
                            <a:gd name="connsiteX1" fmla="*/ 232564 w 311848"/>
                            <a:gd name="connsiteY1" fmla="*/ 195565 h 195565"/>
                            <a:gd name="connsiteX2" fmla="*/ 288063 w 311848"/>
                            <a:gd name="connsiteY2" fmla="*/ 113639 h 195565"/>
                            <a:gd name="connsiteX3" fmla="*/ 311848 w 311848"/>
                            <a:gd name="connsiteY3" fmla="*/ 66070 h 195565"/>
                            <a:gd name="connsiteX4" fmla="*/ 303919 w 311848"/>
                            <a:gd name="connsiteY4" fmla="*/ 29071 h 195565"/>
                            <a:gd name="connsiteX5" fmla="*/ 132139 w 311848"/>
                            <a:gd name="connsiteY5" fmla="*/ 0 h 195565"/>
                            <a:gd name="connsiteX6" fmla="*/ 132139 w 311848"/>
                            <a:gd name="connsiteY6" fmla="*/ 39642 h 195565"/>
                            <a:gd name="connsiteX7" fmla="*/ 132139 w 311848"/>
                            <a:gd name="connsiteY7" fmla="*/ 39642 h 195565"/>
                            <a:gd name="connsiteX8" fmla="*/ 87212 w 311848"/>
                            <a:gd name="connsiteY8" fmla="*/ 42285 h 195565"/>
                            <a:gd name="connsiteX9" fmla="*/ 0 w 311848"/>
                            <a:gd name="connsiteY9" fmla="*/ 15857 h 1955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11848" h="195565">
                              <a:moveTo>
                                <a:pt x="0" y="15857"/>
                              </a:moveTo>
                              <a:lnTo>
                                <a:pt x="232564" y="195565"/>
                              </a:lnTo>
                              <a:lnTo>
                                <a:pt x="288063" y="113639"/>
                              </a:lnTo>
                              <a:lnTo>
                                <a:pt x="311848" y="66070"/>
                              </a:lnTo>
                              <a:lnTo>
                                <a:pt x="303919" y="29071"/>
                              </a:lnTo>
                              <a:lnTo>
                                <a:pt x="132139" y="0"/>
                              </a:lnTo>
                              <a:lnTo>
                                <a:pt x="132139" y="39642"/>
                              </a:lnTo>
                              <a:lnTo>
                                <a:pt x="132139" y="39642"/>
                              </a:lnTo>
                              <a:lnTo>
                                <a:pt x="87212" y="42285"/>
                              </a:lnTo>
                              <a:lnTo>
                                <a:pt x="0" y="15857"/>
                              </a:lnTo>
                              <a:close/>
                            </a:path>
                          </a:pathLst>
                        </a:cu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58" o:spid="_x0000_s1026" o:spt="100" style="position:absolute;left:0pt;margin-left:105.35pt;margin-top:98.3pt;height:15.4pt;width:24.55pt;z-index:251770880;v-text-anchor:middle;mso-width-relative:page;mso-height-relative:page;" fillcolor="#FFFF00" filled="t" stroked="t" coordsize="311848,195565" o:gfxdata="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" path="m0,15857l232564,195565,288063,113639,311848,66070,303919,29071,132139,0,132139,39642,132139,39642,87212,42285,0,15857xe">
                <v:path o:connectlocs="0,15857;232564,195565;288063,113639;311848,66070;303919,29071;132139,0;132139,39642;132139,39642;87212,42285;0,15857" o:connectangles="0,0,0,0,0,0,0,0,0,0"/>
                <v:fill on="t" focussize="0,0"/>
                <v:stroke weight="2pt" color="#FFFF00 [3204]" joinstyle="round"/>
                <v:imagedata o:title=""/>
                <o:lock v:ext="edit" aspectratio="f"/>
              </v:shape>
            </w:pict>
          </mc:Fallback>
        </mc:AlternateContent>
      </w:r>
      <w:r>
        <w:drawing>
          <wp:inline distT="0" distB="0" distL="0" distR="0">
            <wp:extent cx="5274310" cy="3844925"/>
            <wp:effectExtent l="0" t="0" r="2540" b="317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74310" cy="3844925"/>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 xml:space="preserve">5.3.4-1 </w:t>
      </w:r>
      <w:r>
        <w:rPr>
          <w:rFonts w:hint="eastAsia"/>
          <w:b/>
          <w:bCs/>
          <w:sz w:val="24"/>
          <w:szCs w:val="24"/>
        </w:rPr>
        <w:t>模拟范围</w:t>
      </w:r>
    </w:p>
    <w:p>
      <w:pPr>
        <w:adjustRightInd w:val="0"/>
        <w:snapToGrid w:val="0"/>
        <w:spacing w:line="360" w:lineRule="auto"/>
        <w:ind w:firstLine="480" w:firstLineChars="200"/>
        <w:rPr>
          <w:sz w:val="24"/>
          <w:szCs w:val="24"/>
        </w:rPr>
      </w:pPr>
      <w:r>
        <w:rPr>
          <w:sz w:val="24"/>
          <w:szCs w:val="24"/>
        </w:rPr>
        <w:t>（2）</w:t>
      </w:r>
      <w:r>
        <w:rPr>
          <w:rFonts w:hint="eastAsia"/>
          <w:sz w:val="24"/>
          <w:szCs w:val="24"/>
        </w:rPr>
        <w:t>含水层结构</w:t>
      </w:r>
    </w:p>
    <w:p>
      <w:pPr>
        <w:adjustRightInd w:val="0"/>
        <w:snapToGrid w:val="0"/>
        <w:spacing w:line="360" w:lineRule="auto"/>
        <w:ind w:firstLine="480" w:firstLineChars="200"/>
        <w:rPr>
          <w:sz w:val="24"/>
          <w:szCs w:val="24"/>
        </w:rPr>
      </w:pPr>
      <w:r>
        <w:rPr>
          <w:sz w:val="24"/>
          <w:szCs w:val="24"/>
        </w:rPr>
        <w:t>厂区下部潜水含水层主要以</w:t>
      </w:r>
      <w:r>
        <w:rPr>
          <w:rFonts w:hint="eastAsia"/>
          <w:sz w:val="24"/>
          <w:szCs w:val="24"/>
        </w:rPr>
        <w:t>基岩裂隙</w:t>
      </w:r>
      <w:r>
        <w:rPr>
          <w:sz w:val="24"/>
          <w:szCs w:val="24"/>
        </w:rPr>
        <w:t>潜水为主</w:t>
      </w:r>
      <w:r>
        <w:rPr>
          <w:rFonts w:hint="eastAsia"/>
          <w:sz w:val="24"/>
          <w:szCs w:val="24"/>
        </w:rPr>
        <w:t>、</w:t>
      </w:r>
      <w:r>
        <w:rPr>
          <w:sz w:val="24"/>
          <w:szCs w:val="24"/>
        </w:rPr>
        <w:t>含水层岩性以细砂为主，</w:t>
      </w:r>
      <w:r>
        <w:rPr>
          <w:rFonts w:hint="eastAsia"/>
          <w:sz w:val="24"/>
          <w:szCs w:val="24"/>
        </w:rPr>
        <w:t>厂区下游、伊逊河河谷阶地的含水层主要以第四系孔隙潜水为主、含水层岩性以砾砂、细砂为主，</w:t>
      </w:r>
      <w:r>
        <w:rPr>
          <w:sz w:val="24"/>
          <w:szCs w:val="24"/>
        </w:rPr>
        <w:t>含水层分布连续稳定。根据厂区地下水流场图，厂区地下水基本从</w:t>
      </w:r>
      <w:r>
        <w:rPr>
          <w:rFonts w:hint="eastAsia"/>
          <w:sz w:val="24"/>
          <w:szCs w:val="24"/>
        </w:rPr>
        <w:t>北</w:t>
      </w:r>
      <w:r>
        <w:rPr>
          <w:sz w:val="24"/>
          <w:szCs w:val="24"/>
        </w:rPr>
        <w:t>向南方向径流</w:t>
      </w:r>
      <w:r>
        <w:rPr>
          <w:rFonts w:hint="eastAsia"/>
          <w:sz w:val="24"/>
          <w:szCs w:val="24"/>
        </w:rPr>
        <w:t>，靠近伊逊河河谷区的地下水沿河谷从西北向东南方向径流。</w:t>
      </w:r>
    </w:p>
    <w:p>
      <w:pPr>
        <w:adjustRightInd w:val="0"/>
        <w:snapToGrid w:val="0"/>
        <w:spacing w:line="360" w:lineRule="auto"/>
        <w:ind w:firstLine="480" w:firstLineChars="200"/>
        <w:rPr>
          <w:sz w:val="24"/>
          <w:szCs w:val="24"/>
        </w:rPr>
      </w:pPr>
      <w:r>
        <w:rPr>
          <w:rFonts w:hint="eastAsia"/>
          <w:sz w:val="24"/>
          <w:szCs w:val="24"/>
        </w:rPr>
        <w:t>本次评价将</w:t>
      </w:r>
      <w:r>
        <w:rPr>
          <w:rFonts w:hint="eastAsia" w:ascii="宋体" w:hAnsi="宋体"/>
          <w:sz w:val="24"/>
          <w:szCs w:val="24"/>
        </w:rPr>
        <w:t>将潜水含水层划分为一层，</w:t>
      </w:r>
      <w:r>
        <w:rPr>
          <w:rFonts w:ascii="宋体" w:hAnsi="宋体"/>
          <w:sz w:val="24"/>
          <w:szCs w:val="24"/>
        </w:rPr>
        <w:t>含水层平均厚</w:t>
      </w:r>
      <w:r>
        <w:rPr>
          <w:sz w:val="24"/>
          <w:szCs w:val="24"/>
        </w:rPr>
        <w:t>度30m。</w:t>
      </w:r>
    </w:p>
    <w:p>
      <w:pPr>
        <w:adjustRightInd w:val="0"/>
        <w:snapToGrid w:val="0"/>
        <w:spacing w:line="360" w:lineRule="auto"/>
        <w:ind w:firstLine="480" w:firstLineChars="200"/>
        <w:rPr>
          <w:sz w:val="24"/>
          <w:szCs w:val="24"/>
        </w:rPr>
      </w:pPr>
      <w:r>
        <w:rPr>
          <w:rFonts w:hint="eastAsia"/>
          <w:sz w:val="24"/>
          <w:szCs w:val="24"/>
        </w:rPr>
        <w:t>（3）边界条件</w:t>
      </w:r>
    </w:p>
    <w:p>
      <w:pPr>
        <w:adjustRightInd w:val="0"/>
        <w:snapToGrid w:val="0"/>
        <w:spacing w:line="360" w:lineRule="auto"/>
        <w:ind w:firstLine="480" w:firstLineChars="200"/>
        <w:rPr>
          <w:sz w:val="24"/>
          <w:szCs w:val="24"/>
        </w:rPr>
      </w:pPr>
      <w:r>
        <w:rPr>
          <w:rFonts w:hint="eastAsia"/>
          <w:sz w:val="24"/>
          <w:szCs w:val="24"/>
        </w:rPr>
        <w:t>模型北边界</w:t>
      </w:r>
      <w:r>
        <w:rPr>
          <w:sz w:val="24"/>
          <w:szCs w:val="24"/>
        </w:rPr>
        <w:t>和</w:t>
      </w:r>
      <w:r>
        <w:rPr>
          <w:rFonts w:hint="eastAsia"/>
          <w:sz w:val="24"/>
          <w:szCs w:val="24"/>
        </w:rPr>
        <w:t>西</w:t>
      </w:r>
      <w:r>
        <w:rPr>
          <w:sz w:val="24"/>
          <w:szCs w:val="24"/>
        </w:rPr>
        <w:t>边界</w:t>
      </w:r>
      <w:r>
        <w:rPr>
          <w:rFonts w:hint="eastAsia"/>
          <w:sz w:val="24"/>
          <w:szCs w:val="24"/>
        </w:rPr>
        <w:t>北侧以山脊线分水岭为边界，刻画为隔水</w:t>
      </w:r>
      <w:r>
        <w:rPr>
          <w:sz w:val="24"/>
          <w:szCs w:val="24"/>
        </w:rPr>
        <w:t>边界</w:t>
      </w:r>
      <w:r>
        <w:rPr>
          <w:rFonts w:hint="eastAsia"/>
          <w:sz w:val="24"/>
          <w:szCs w:val="24"/>
        </w:rPr>
        <w:t>；西南边界和南边界以伊逊河为边界，刻画为流量边界；东南侧以伊逊河支流为边界，刻画为流量边界。</w:t>
      </w:r>
    </w:p>
    <w:p>
      <w:pPr>
        <w:adjustRightInd w:val="0"/>
        <w:snapToGrid w:val="0"/>
        <w:spacing w:line="360" w:lineRule="auto"/>
        <w:ind w:firstLine="480" w:firstLineChars="200"/>
        <w:rPr>
          <w:sz w:val="24"/>
          <w:szCs w:val="24"/>
        </w:rPr>
      </w:pPr>
      <w:r>
        <w:rPr>
          <w:rFonts w:hint="eastAsia"/>
          <w:sz w:val="24"/>
          <w:szCs w:val="24"/>
        </w:rPr>
        <w:t>（4）源汇项</w:t>
      </w:r>
    </w:p>
    <w:p>
      <w:pPr>
        <w:adjustRightInd w:val="0"/>
        <w:snapToGrid w:val="0"/>
        <w:spacing w:line="360" w:lineRule="auto"/>
        <w:ind w:firstLine="480" w:firstLineChars="200"/>
        <w:rPr>
          <w:sz w:val="24"/>
          <w:szCs w:val="24"/>
        </w:rPr>
      </w:pPr>
      <w:r>
        <w:rPr>
          <w:rFonts w:hint="eastAsia"/>
          <w:sz w:val="24"/>
          <w:szCs w:val="24"/>
        </w:rPr>
        <w:t>评价区内潜水的主要补给源有大气降水、侧向地下水径流、地表水入渗补给及少量灌溉入渗补给。排泄项主要有蒸发、侧向地下水径流、枯水期补给地表河流（伊逊河）及少量的人工开采等。</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①</w:t>
      </w:r>
      <w:r>
        <w:rPr>
          <w:rFonts w:ascii="宋体" w:hAnsi="宋体" w:cs="宋体"/>
          <w:sz w:val="24"/>
          <w:szCs w:val="24"/>
        </w:rPr>
        <w:t>大气降水入渗</w:t>
      </w:r>
      <w:r>
        <w:rPr>
          <w:rFonts w:hint="eastAsia" w:ascii="宋体" w:hAnsi="宋体" w:cs="宋体"/>
          <w:sz w:val="24"/>
          <w:szCs w:val="24"/>
        </w:rPr>
        <w:t>补给</w:t>
      </w:r>
    </w:p>
    <w:p>
      <w:pPr>
        <w:adjustRightInd w:val="0"/>
        <w:snapToGrid w:val="0"/>
        <w:spacing w:line="360" w:lineRule="auto"/>
        <w:ind w:firstLine="480" w:firstLineChars="200"/>
        <w:rPr>
          <w:sz w:val="24"/>
          <w:szCs w:val="24"/>
        </w:rPr>
      </w:pPr>
      <w:r>
        <w:rPr>
          <w:rFonts w:hint="eastAsia" w:ascii="宋体" w:hAnsi="宋体" w:cs="宋体"/>
          <w:sz w:val="24"/>
          <w:szCs w:val="24"/>
        </w:rPr>
        <w:t>评价区</w:t>
      </w:r>
      <w:r>
        <w:rPr>
          <w:rFonts w:ascii="宋体" w:hAnsi="宋体" w:cs="宋体"/>
          <w:sz w:val="24"/>
          <w:szCs w:val="24"/>
        </w:rPr>
        <w:t>内</w:t>
      </w:r>
      <w:r>
        <w:rPr>
          <w:rFonts w:hint="eastAsia" w:ascii="宋体" w:hAnsi="宋体" w:cs="宋体"/>
          <w:sz w:val="24"/>
          <w:szCs w:val="24"/>
        </w:rPr>
        <w:t>潜水</w:t>
      </w:r>
      <w:r>
        <w:rPr>
          <w:rFonts w:ascii="宋体" w:hAnsi="宋体" w:cs="宋体"/>
          <w:sz w:val="24"/>
          <w:szCs w:val="24"/>
        </w:rPr>
        <w:t>最主要的</w:t>
      </w:r>
      <w:r>
        <w:rPr>
          <w:rFonts w:hint="eastAsia" w:ascii="宋体" w:hAnsi="宋体" w:cs="宋体"/>
          <w:sz w:val="24"/>
          <w:szCs w:val="24"/>
        </w:rPr>
        <w:t>补给源</w:t>
      </w:r>
      <w:r>
        <w:rPr>
          <w:rFonts w:ascii="宋体" w:hAnsi="宋体" w:cs="宋体"/>
          <w:sz w:val="24"/>
          <w:szCs w:val="24"/>
        </w:rPr>
        <w:t>为大气降水。大气降水入渗量主要受降水量及地表</w:t>
      </w:r>
      <w:r>
        <w:rPr>
          <w:rFonts w:hint="eastAsia" w:ascii="宋体" w:hAnsi="宋体" w:cs="宋体"/>
          <w:sz w:val="24"/>
          <w:szCs w:val="24"/>
        </w:rPr>
        <w:t>岩性</w:t>
      </w:r>
      <w:r>
        <w:rPr>
          <w:rFonts w:ascii="宋体" w:hAnsi="宋体" w:cs="宋体"/>
          <w:sz w:val="24"/>
          <w:szCs w:val="24"/>
        </w:rPr>
        <w:t>、水位埋深等地质条件的影响。</w:t>
      </w:r>
      <w:r>
        <w:rPr>
          <w:rFonts w:hint="eastAsia" w:ascii="宋体" w:hAnsi="宋体" w:cs="宋体"/>
          <w:sz w:val="24"/>
          <w:szCs w:val="24"/>
        </w:rPr>
        <w:t>评价区</w:t>
      </w:r>
      <w:r>
        <w:rPr>
          <w:rFonts w:ascii="宋体" w:hAnsi="宋体" w:cs="宋体"/>
          <w:sz w:val="24"/>
          <w:szCs w:val="24"/>
        </w:rPr>
        <w:t>内多年平均降雨量为</w:t>
      </w:r>
      <w:r>
        <w:rPr>
          <w:sz w:val="24"/>
          <w:szCs w:val="24"/>
        </w:rPr>
        <w:t>560mm/yr</w:t>
      </w:r>
      <w:r>
        <w:rPr>
          <w:rFonts w:hint="eastAsia" w:ascii="宋体" w:hAnsi="宋体" w:cs="宋体"/>
          <w:sz w:val="24"/>
          <w:szCs w:val="24"/>
        </w:rPr>
        <w:t>，模拟范围</w:t>
      </w:r>
      <w:r>
        <w:rPr>
          <w:rFonts w:ascii="宋体" w:hAnsi="宋体" w:cs="宋体"/>
          <w:sz w:val="24"/>
          <w:szCs w:val="24"/>
        </w:rPr>
        <w:t>内</w:t>
      </w:r>
      <w:r>
        <w:rPr>
          <w:sz w:val="24"/>
          <w:szCs w:val="24"/>
        </w:rPr>
        <w:t>第四系孔隙含水层降雨入渗系数取0.35，裂隙含水层降雨入渗系数取0.2。</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②侧向</w:t>
      </w:r>
      <w:r>
        <w:rPr>
          <w:rFonts w:ascii="宋体" w:hAnsi="宋体" w:cs="宋体"/>
          <w:sz w:val="24"/>
          <w:szCs w:val="24"/>
        </w:rPr>
        <w:t>径流补给</w:t>
      </w:r>
      <w:r>
        <w:rPr>
          <w:rFonts w:hint="eastAsia" w:ascii="宋体" w:hAnsi="宋体" w:cs="宋体"/>
          <w:sz w:val="24"/>
          <w:szCs w:val="24"/>
        </w:rPr>
        <w:t>/排泄</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侧向径流</w:t>
      </w:r>
      <w:r>
        <w:rPr>
          <w:rFonts w:ascii="宋体" w:hAnsi="宋体" w:cs="宋体"/>
          <w:sz w:val="24"/>
          <w:szCs w:val="24"/>
        </w:rPr>
        <w:t>补给</w:t>
      </w:r>
      <w:r>
        <w:rPr>
          <w:rFonts w:hint="eastAsia" w:ascii="宋体" w:hAnsi="宋体" w:cs="宋体"/>
          <w:sz w:val="24"/>
          <w:szCs w:val="24"/>
        </w:rPr>
        <w:t>/排泄</w:t>
      </w:r>
      <w:r>
        <w:rPr>
          <w:rFonts w:ascii="宋体" w:hAnsi="宋体" w:cs="宋体"/>
          <w:sz w:val="24"/>
          <w:szCs w:val="24"/>
        </w:rPr>
        <w:t>量计算公式为：</w:t>
      </w:r>
    </w:p>
    <w:p>
      <w:pPr>
        <w:adjustRightInd w:val="0"/>
        <w:snapToGrid w:val="0"/>
        <w:spacing w:line="360" w:lineRule="auto"/>
        <w:ind w:firstLine="480" w:firstLineChars="200"/>
        <w:jc w:val="center"/>
        <w:rPr>
          <w:i/>
          <w:sz w:val="24"/>
          <w:szCs w:val="24"/>
        </w:rPr>
      </w:pPr>
      <w:r>
        <w:rPr>
          <w:i/>
          <w:sz w:val="24"/>
          <w:szCs w:val="24"/>
        </w:rPr>
        <w:t>Q</w:t>
      </w:r>
      <w:r>
        <w:rPr>
          <w:i/>
          <w:sz w:val="24"/>
          <w:szCs w:val="24"/>
          <w:vertAlign w:val="subscript"/>
        </w:rPr>
        <w:t>侧入</w:t>
      </w:r>
      <w:r>
        <w:rPr>
          <w:i/>
          <w:sz w:val="24"/>
          <w:szCs w:val="24"/>
        </w:rPr>
        <w:t>=K</w:t>
      </w:r>
      <w:r>
        <w:rPr>
          <w:rFonts w:hint="eastAsia" w:ascii="宋体" w:hAnsi="宋体"/>
          <w:sz w:val="24"/>
          <w:szCs w:val="24"/>
        </w:rPr>
        <w:t>×</w:t>
      </w:r>
      <w:r>
        <w:rPr>
          <w:i/>
          <w:sz w:val="24"/>
          <w:szCs w:val="24"/>
        </w:rPr>
        <w:t>I</w:t>
      </w:r>
      <w:r>
        <w:rPr>
          <w:rFonts w:hint="eastAsia" w:ascii="宋体" w:hAnsi="宋体"/>
          <w:sz w:val="24"/>
          <w:szCs w:val="24"/>
        </w:rPr>
        <w:t>×</w:t>
      </w:r>
      <w:r>
        <w:rPr>
          <w:i/>
          <w:sz w:val="24"/>
          <w:szCs w:val="24"/>
        </w:rPr>
        <w:t>M</w:t>
      </w:r>
      <w:r>
        <w:rPr>
          <w:rFonts w:hint="eastAsia" w:ascii="宋体" w:hAnsi="宋体"/>
          <w:sz w:val="24"/>
          <w:szCs w:val="24"/>
        </w:rPr>
        <w:t>×</w:t>
      </w:r>
      <w:r>
        <w:rPr>
          <w:i/>
          <w:sz w:val="24"/>
          <w:szCs w:val="24"/>
        </w:rPr>
        <w:t>B</w:t>
      </w:r>
    </w:p>
    <w:p>
      <w:pPr>
        <w:adjustRightInd w:val="0"/>
        <w:snapToGrid w:val="0"/>
        <w:spacing w:line="360" w:lineRule="auto"/>
        <w:ind w:firstLine="480" w:firstLineChars="200"/>
        <w:jc w:val="center"/>
        <w:rPr>
          <w:i/>
          <w:sz w:val="24"/>
          <w:szCs w:val="24"/>
        </w:rPr>
      </w:pPr>
      <w:r>
        <w:rPr>
          <w:i/>
          <w:sz w:val="24"/>
          <w:szCs w:val="24"/>
        </w:rPr>
        <w:t>Q</w:t>
      </w:r>
      <w:r>
        <w:rPr>
          <w:i/>
          <w:sz w:val="24"/>
          <w:szCs w:val="24"/>
          <w:vertAlign w:val="subscript"/>
        </w:rPr>
        <w:t>侧</w:t>
      </w:r>
      <w:r>
        <w:rPr>
          <w:rFonts w:hint="eastAsia"/>
          <w:i/>
          <w:sz w:val="24"/>
          <w:szCs w:val="24"/>
          <w:vertAlign w:val="subscript"/>
        </w:rPr>
        <w:t>出</w:t>
      </w:r>
      <w:r>
        <w:rPr>
          <w:i/>
          <w:sz w:val="24"/>
          <w:szCs w:val="24"/>
        </w:rPr>
        <w:t>=K</w:t>
      </w:r>
      <w:r>
        <w:rPr>
          <w:rFonts w:hint="eastAsia" w:ascii="宋体" w:hAnsi="宋体"/>
          <w:sz w:val="24"/>
          <w:szCs w:val="24"/>
        </w:rPr>
        <w:t>×</w:t>
      </w:r>
      <w:r>
        <w:rPr>
          <w:i/>
          <w:sz w:val="24"/>
          <w:szCs w:val="24"/>
        </w:rPr>
        <w:t>I</w:t>
      </w:r>
      <w:r>
        <w:rPr>
          <w:rFonts w:hint="eastAsia" w:ascii="宋体" w:hAnsi="宋体"/>
          <w:sz w:val="24"/>
          <w:szCs w:val="24"/>
        </w:rPr>
        <w:t>×</w:t>
      </w:r>
      <w:r>
        <w:rPr>
          <w:i/>
          <w:sz w:val="24"/>
          <w:szCs w:val="24"/>
        </w:rPr>
        <w:t>M</w:t>
      </w:r>
      <w:r>
        <w:rPr>
          <w:rFonts w:hint="eastAsia" w:ascii="宋体" w:hAnsi="宋体"/>
          <w:sz w:val="24"/>
          <w:szCs w:val="24"/>
        </w:rPr>
        <w:t>×</w:t>
      </w:r>
      <w:r>
        <w:rPr>
          <w:i/>
          <w:sz w:val="24"/>
          <w:szCs w:val="24"/>
        </w:rPr>
        <w:t>B</w:t>
      </w:r>
    </w:p>
    <w:p>
      <w:pPr>
        <w:adjustRightInd w:val="0"/>
        <w:snapToGrid w:val="0"/>
        <w:spacing w:line="360" w:lineRule="auto"/>
        <w:ind w:firstLine="480" w:firstLineChars="200"/>
        <w:rPr>
          <w:sz w:val="24"/>
          <w:szCs w:val="24"/>
        </w:rPr>
      </w:pPr>
      <w:r>
        <w:rPr>
          <w:rFonts w:hint="eastAsia"/>
          <w:sz w:val="24"/>
          <w:szCs w:val="24"/>
        </w:rPr>
        <w:t>式中</w:t>
      </w:r>
      <w:r>
        <w:rPr>
          <w:sz w:val="24"/>
          <w:szCs w:val="24"/>
        </w:rPr>
        <w:t>：</w:t>
      </w:r>
      <w:r>
        <w:rPr>
          <w:rFonts w:hint="eastAsia"/>
          <w:i/>
          <w:sz w:val="24"/>
          <w:szCs w:val="24"/>
        </w:rPr>
        <w:t>Q</w:t>
      </w:r>
      <w:r>
        <w:rPr>
          <w:i/>
          <w:sz w:val="24"/>
          <w:szCs w:val="24"/>
          <w:vertAlign w:val="subscript"/>
        </w:rPr>
        <w:t>侧入</w:t>
      </w:r>
      <w:r>
        <w:rPr>
          <w:sz w:val="24"/>
          <w:szCs w:val="24"/>
        </w:rPr>
        <w:t>--</w:t>
      </w:r>
      <w:r>
        <w:rPr>
          <w:rFonts w:hint="eastAsia"/>
          <w:sz w:val="24"/>
          <w:szCs w:val="24"/>
        </w:rPr>
        <w:t>计算时段</w:t>
      </w:r>
      <w:r>
        <w:rPr>
          <w:sz w:val="24"/>
          <w:szCs w:val="24"/>
        </w:rPr>
        <w:t>侧向径流补给量（</w:t>
      </w:r>
      <w:r>
        <w:rPr>
          <w:rFonts w:hint="eastAsia"/>
          <w:sz w:val="24"/>
          <w:szCs w:val="24"/>
        </w:rPr>
        <w:t>m</w:t>
      </w:r>
      <w:r>
        <w:rPr>
          <w:sz w:val="24"/>
          <w:szCs w:val="24"/>
          <w:vertAlign w:val="superscript"/>
        </w:rPr>
        <w:t>3</w:t>
      </w:r>
      <w:r>
        <w:rPr>
          <w:rFonts w:hint="eastAsia"/>
          <w:sz w:val="24"/>
          <w:szCs w:val="24"/>
        </w:rPr>
        <w:t>/d</w:t>
      </w:r>
      <w:r>
        <w:rPr>
          <w:sz w:val="24"/>
          <w:szCs w:val="24"/>
        </w:rPr>
        <w:t>）</w:t>
      </w:r>
      <w:r>
        <w:rPr>
          <w:rFonts w:hint="eastAsia"/>
          <w:sz w:val="24"/>
          <w:szCs w:val="24"/>
        </w:rPr>
        <w:t>；</w:t>
      </w:r>
    </w:p>
    <w:p>
      <w:pPr>
        <w:adjustRightInd w:val="0"/>
        <w:snapToGrid w:val="0"/>
        <w:spacing w:line="360" w:lineRule="auto"/>
        <w:ind w:firstLine="480" w:firstLineChars="200"/>
        <w:rPr>
          <w:sz w:val="24"/>
          <w:szCs w:val="24"/>
        </w:rPr>
      </w:pPr>
      <w:r>
        <w:rPr>
          <w:rFonts w:hint="eastAsia"/>
          <w:i/>
          <w:sz w:val="24"/>
          <w:szCs w:val="24"/>
        </w:rPr>
        <w:t>Q</w:t>
      </w:r>
      <w:r>
        <w:rPr>
          <w:i/>
          <w:sz w:val="24"/>
          <w:szCs w:val="24"/>
          <w:vertAlign w:val="subscript"/>
        </w:rPr>
        <w:t>侧</w:t>
      </w:r>
      <w:r>
        <w:rPr>
          <w:rFonts w:hint="eastAsia"/>
          <w:i/>
          <w:sz w:val="24"/>
          <w:szCs w:val="24"/>
          <w:vertAlign w:val="subscript"/>
        </w:rPr>
        <w:t>出</w:t>
      </w:r>
      <w:r>
        <w:rPr>
          <w:sz w:val="24"/>
          <w:szCs w:val="24"/>
        </w:rPr>
        <w:t>--</w:t>
      </w:r>
      <w:r>
        <w:rPr>
          <w:rFonts w:hint="eastAsia"/>
          <w:sz w:val="24"/>
          <w:szCs w:val="24"/>
        </w:rPr>
        <w:t>计算时段</w:t>
      </w:r>
      <w:r>
        <w:rPr>
          <w:sz w:val="24"/>
          <w:szCs w:val="24"/>
        </w:rPr>
        <w:t>侧向径流补给量（</w:t>
      </w:r>
      <w:r>
        <w:rPr>
          <w:rFonts w:hint="eastAsia"/>
          <w:sz w:val="24"/>
          <w:szCs w:val="24"/>
        </w:rPr>
        <w:t>m</w:t>
      </w:r>
      <w:r>
        <w:rPr>
          <w:sz w:val="24"/>
          <w:szCs w:val="24"/>
          <w:vertAlign w:val="superscript"/>
        </w:rPr>
        <w:t>3</w:t>
      </w:r>
      <w:r>
        <w:rPr>
          <w:rFonts w:hint="eastAsia"/>
          <w:sz w:val="24"/>
          <w:szCs w:val="24"/>
        </w:rPr>
        <w:t>/d</w:t>
      </w:r>
      <w:r>
        <w:rPr>
          <w:sz w:val="24"/>
          <w:szCs w:val="24"/>
        </w:rPr>
        <w:t>）</w:t>
      </w:r>
      <w:r>
        <w:rPr>
          <w:rFonts w:hint="eastAsia"/>
          <w:sz w:val="24"/>
          <w:szCs w:val="24"/>
        </w:rPr>
        <w:t>；</w:t>
      </w:r>
    </w:p>
    <w:p>
      <w:pPr>
        <w:adjustRightInd w:val="0"/>
        <w:snapToGrid w:val="0"/>
        <w:spacing w:line="360" w:lineRule="auto"/>
        <w:ind w:firstLine="480" w:firstLineChars="200"/>
        <w:rPr>
          <w:sz w:val="24"/>
          <w:szCs w:val="24"/>
        </w:rPr>
      </w:pPr>
      <w:r>
        <w:rPr>
          <w:rFonts w:hint="eastAsia"/>
          <w:i/>
          <w:sz w:val="24"/>
          <w:szCs w:val="24"/>
        </w:rPr>
        <w:t>K</w:t>
      </w:r>
      <w:r>
        <w:rPr>
          <w:sz w:val="24"/>
          <w:szCs w:val="24"/>
        </w:rPr>
        <w:t>--</w:t>
      </w:r>
      <w:r>
        <w:rPr>
          <w:rFonts w:hint="eastAsia"/>
          <w:sz w:val="24"/>
          <w:szCs w:val="24"/>
        </w:rPr>
        <w:t>含水层加权平均渗透系数</w:t>
      </w:r>
      <w:r>
        <w:rPr>
          <w:sz w:val="24"/>
          <w:szCs w:val="24"/>
        </w:rPr>
        <w:t>（</w:t>
      </w:r>
      <w:r>
        <w:rPr>
          <w:rFonts w:hint="eastAsia"/>
          <w:sz w:val="24"/>
          <w:szCs w:val="24"/>
        </w:rPr>
        <w:t>m</w:t>
      </w:r>
      <w:r>
        <w:rPr>
          <w:sz w:val="24"/>
          <w:szCs w:val="24"/>
        </w:rPr>
        <w:t>/d）</w:t>
      </w:r>
      <w:r>
        <w:rPr>
          <w:rFonts w:hint="eastAsia"/>
          <w:sz w:val="24"/>
          <w:szCs w:val="24"/>
        </w:rPr>
        <w:t>；</w:t>
      </w:r>
    </w:p>
    <w:p>
      <w:pPr>
        <w:adjustRightInd w:val="0"/>
        <w:snapToGrid w:val="0"/>
        <w:spacing w:line="360" w:lineRule="auto"/>
        <w:ind w:firstLine="480" w:firstLineChars="200"/>
        <w:rPr>
          <w:sz w:val="24"/>
          <w:szCs w:val="24"/>
        </w:rPr>
      </w:pPr>
      <w:r>
        <w:rPr>
          <w:rFonts w:hint="eastAsia"/>
          <w:i/>
          <w:sz w:val="24"/>
          <w:szCs w:val="24"/>
        </w:rPr>
        <w:t>I</w:t>
      </w:r>
      <w:r>
        <w:rPr>
          <w:sz w:val="24"/>
          <w:szCs w:val="24"/>
        </w:rPr>
        <w:t>--</w:t>
      </w:r>
      <w:r>
        <w:rPr>
          <w:rFonts w:hint="eastAsia"/>
          <w:sz w:val="24"/>
          <w:szCs w:val="24"/>
        </w:rPr>
        <w:t>计算断面</w:t>
      </w:r>
      <w:r>
        <w:rPr>
          <w:sz w:val="24"/>
          <w:szCs w:val="24"/>
        </w:rPr>
        <w:t>水力坡度；</w:t>
      </w:r>
    </w:p>
    <w:p>
      <w:pPr>
        <w:adjustRightInd w:val="0"/>
        <w:snapToGrid w:val="0"/>
        <w:spacing w:line="360" w:lineRule="auto"/>
        <w:ind w:firstLine="480" w:firstLineChars="200"/>
        <w:rPr>
          <w:sz w:val="24"/>
          <w:szCs w:val="24"/>
        </w:rPr>
      </w:pPr>
      <w:r>
        <w:rPr>
          <w:rFonts w:hint="eastAsia"/>
          <w:i/>
          <w:sz w:val="24"/>
          <w:szCs w:val="24"/>
        </w:rPr>
        <w:t>B</w:t>
      </w:r>
      <w:r>
        <w:rPr>
          <w:sz w:val="24"/>
          <w:szCs w:val="24"/>
        </w:rPr>
        <w:t>--</w:t>
      </w:r>
      <w:r>
        <w:rPr>
          <w:rFonts w:hint="eastAsia"/>
          <w:sz w:val="24"/>
          <w:szCs w:val="24"/>
        </w:rPr>
        <w:t>计算断面</w:t>
      </w:r>
      <w:r>
        <w:rPr>
          <w:sz w:val="24"/>
          <w:szCs w:val="24"/>
        </w:rPr>
        <w:t>长度（</w:t>
      </w:r>
      <w:r>
        <w:rPr>
          <w:rFonts w:hint="eastAsia"/>
          <w:sz w:val="24"/>
          <w:szCs w:val="24"/>
        </w:rPr>
        <w:t>m</w:t>
      </w:r>
      <w:r>
        <w:rPr>
          <w:sz w:val="24"/>
          <w:szCs w:val="24"/>
        </w:rPr>
        <w:t>）</w:t>
      </w:r>
      <w:r>
        <w:rPr>
          <w:rFonts w:hint="eastAsia"/>
          <w:sz w:val="24"/>
          <w:szCs w:val="24"/>
        </w:rPr>
        <w:t>；</w:t>
      </w:r>
    </w:p>
    <w:p>
      <w:pPr>
        <w:adjustRightInd w:val="0"/>
        <w:snapToGrid w:val="0"/>
        <w:spacing w:line="360" w:lineRule="auto"/>
        <w:ind w:firstLine="480" w:firstLineChars="200"/>
        <w:rPr>
          <w:sz w:val="24"/>
          <w:szCs w:val="24"/>
        </w:rPr>
      </w:pPr>
      <w:r>
        <w:rPr>
          <w:rFonts w:hint="eastAsia"/>
          <w:i/>
          <w:sz w:val="24"/>
          <w:szCs w:val="24"/>
        </w:rPr>
        <w:t>M</w:t>
      </w:r>
      <w:r>
        <w:rPr>
          <w:sz w:val="24"/>
          <w:szCs w:val="24"/>
        </w:rPr>
        <w:t>--含水层厚度（</w:t>
      </w:r>
      <w:r>
        <w:rPr>
          <w:rFonts w:hint="eastAsia"/>
          <w:sz w:val="24"/>
          <w:szCs w:val="24"/>
        </w:rPr>
        <w:t>m</w:t>
      </w:r>
      <w:r>
        <w:rPr>
          <w:sz w:val="24"/>
          <w:szCs w:val="24"/>
        </w:rPr>
        <w:t>）</w:t>
      </w:r>
      <w:r>
        <w:rPr>
          <w:rFonts w:hint="eastAsia"/>
          <w:sz w:val="24"/>
          <w:szCs w:val="24"/>
        </w:rPr>
        <w:t>。</w:t>
      </w:r>
    </w:p>
    <w:p>
      <w:pPr>
        <w:adjustRightInd w:val="0"/>
        <w:snapToGrid w:val="0"/>
        <w:spacing w:line="360" w:lineRule="auto"/>
        <w:ind w:firstLine="480" w:firstLineChars="200"/>
        <w:rPr>
          <w:sz w:val="24"/>
          <w:szCs w:val="24"/>
        </w:rPr>
      </w:pPr>
      <w:r>
        <w:rPr>
          <w:rFonts w:hint="eastAsia" w:ascii="宋体" w:hAnsi="宋体"/>
          <w:sz w:val="24"/>
          <w:szCs w:val="24"/>
        </w:rPr>
        <w:t>根据</w:t>
      </w:r>
      <w:r>
        <w:rPr>
          <w:rFonts w:ascii="宋体" w:hAnsi="宋体"/>
          <w:sz w:val="24"/>
          <w:szCs w:val="24"/>
        </w:rPr>
        <w:t>评价区</w:t>
      </w:r>
      <w:r>
        <w:rPr>
          <w:rFonts w:hint="eastAsia" w:ascii="宋体" w:hAnsi="宋体"/>
          <w:sz w:val="24"/>
          <w:szCs w:val="24"/>
        </w:rPr>
        <w:t>地下水位计算</w:t>
      </w:r>
      <w:r>
        <w:rPr>
          <w:sz w:val="24"/>
          <w:szCs w:val="24"/>
        </w:rPr>
        <w:t>河流</w:t>
      </w:r>
      <w:r>
        <w:rPr>
          <w:rFonts w:hint="eastAsia"/>
          <w:sz w:val="24"/>
          <w:szCs w:val="24"/>
        </w:rPr>
        <w:t>边界的水力</w:t>
      </w:r>
      <w:r>
        <w:rPr>
          <w:sz w:val="24"/>
          <w:szCs w:val="24"/>
        </w:rPr>
        <w:t>梯度为0.0044~0.0187，含水层渗透系数为12m/d，按照含水层平均厚度30m计算，各边界单宽流</w:t>
      </w:r>
      <w:r>
        <w:rPr>
          <w:rFonts w:ascii="宋体" w:hAnsi="宋体"/>
          <w:sz w:val="24"/>
          <w:szCs w:val="24"/>
        </w:rPr>
        <w:t>量</w:t>
      </w:r>
      <w:r>
        <w:rPr>
          <w:rFonts w:hint="eastAsia" w:ascii="宋体" w:hAnsi="宋体"/>
          <w:sz w:val="24"/>
          <w:szCs w:val="24"/>
        </w:rPr>
        <w:t>在</w:t>
      </w:r>
      <w:r>
        <w:rPr>
          <w:sz w:val="24"/>
          <w:szCs w:val="24"/>
        </w:rPr>
        <w:t>1.598~6.742m</w:t>
      </w:r>
      <w:r>
        <w:rPr>
          <w:sz w:val="24"/>
          <w:szCs w:val="24"/>
          <w:vertAlign w:val="superscript"/>
        </w:rPr>
        <w:t>2</w:t>
      </w:r>
      <w:r>
        <w:rPr>
          <w:sz w:val="24"/>
          <w:szCs w:val="24"/>
        </w:rPr>
        <w:t>/d</w:t>
      </w:r>
      <w:r>
        <w:rPr>
          <w:rFonts w:hint="eastAsia" w:ascii="宋体" w:hAnsi="宋体"/>
          <w:sz w:val="24"/>
          <w:szCs w:val="24"/>
        </w:rPr>
        <w:t>。</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③潜水蒸散发</w:t>
      </w:r>
      <w:r>
        <w:rPr>
          <w:rFonts w:ascii="宋体" w:hAnsi="宋体" w:cs="宋体"/>
          <w:sz w:val="24"/>
          <w:szCs w:val="24"/>
        </w:rPr>
        <w:t>量</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一般而言</w:t>
      </w:r>
      <w:r>
        <w:rPr>
          <w:rFonts w:ascii="宋体" w:hAnsi="宋体" w:cs="宋体"/>
          <w:sz w:val="24"/>
          <w:szCs w:val="24"/>
        </w:rPr>
        <w:t>，可用阿维扬诺夫公式计算地下水蒸散发量：</w:t>
      </w:r>
    </w:p>
    <w:p>
      <w:pPr>
        <w:adjustRightInd w:val="0"/>
        <w:snapToGrid w:val="0"/>
        <w:spacing w:line="360" w:lineRule="auto"/>
        <w:ind w:firstLine="480" w:firstLineChars="200"/>
        <w:jc w:val="center"/>
        <w:rPr>
          <w:rFonts w:ascii="宋体" w:hAnsi="宋体" w:cs="宋体"/>
          <w:i/>
          <w:sz w:val="24"/>
          <w:szCs w:val="24"/>
        </w:rPr>
      </w:pPr>
      <m:oMathPara>
        <m:oMath>
          <m:sSub>
            <m:sSubPr>
              <m:ctrlPr>
                <w:rPr>
                  <w:rFonts w:ascii="Cambria Math" w:hAnsi="Cambria Math" w:cs="宋体"/>
                  <w:i/>
                  <w:sz w:val="24"/>
                  <w:szCs w:val="24"/>
                </w:rPr>
              </m:ctrlPr>
            </m:sSubPr>
            <m:e>
              <m:r>
                <m:rPr/>
                <w:rPr>
                  <w:rFonts w:ascii="Cambria Math" w:hAnsi="Cambria Math" w:cs="宋体"/>
                  <w:sz w:val="24"/>
                  <w:szCs w:val="24"/>
                </w:rPr>
                <m:t>E</m:t>
              </m:r>
              <m:ctrlPr>
                <w:rPr>
                  <w:rFonts w:ascii="Cambria Math" w:hAnsi="Cambria Math" w:cs="宋体"/>
                  <w:i/>
                  <w:sz w:val="24"/>
                  <w:szCs w:val="24"/>
                </w:rPr>
              </m:ctrlPr>
            </m:e>
            <m:sub>
              <m:r>
                <m:rPr/>
                <w:rPr>
                  <w:rFonts w:ascii="Cambria Math" w:hAnsi="Cambria Math" w:cs="宋体"/>
                  <w:sz w:val="24"/>
                  <w:szCs w:val="24"/>
                </w:rPr>
                <m:t>g</m:t>
              </m:r>
              <m:ctrlPr>
                <w:rPr>
                  <w:rFonts w:ascii="Cambria Math" w:hAnsi="Cambria Math" w:cs="宋体"/>
                  <w:i/>
                  <w:sz w:val="24"/>
                  <w:szCs w:val="24"/>
                </w:rPr>
              </m:ctrlPr>
            </m:sub>
          </m:sSub>
          <m:r>
            <m:rPr/>
            <w:rPr>
              <w:rFonts w:ascii="Cambria Math" w:hAnsi="Cambria Math" w:cs="宋体"/>
              <w:sz w:val="24"/>
              <w:szCs w:val="24"/>
            </w:rPr>
            <m:t>=</m:t>
          </m:r>
          <m:d>
            <m:dPr>
              <m:begChr m:val="{"/>
              <m:endChr m:val=""/>
              <m:ctrlPr>
                <w:rPr>
                  <w:rFonts w:ascii="Cambria Math" w:hAnsi="Cambria Math" w:cs="宋体"/>
                  <w:i/>
                  <w:sz w:val="24"/>
                  <w:szCs w:val="24"/>
                </w:rPr>
              </m:ctrlPr>
            </m:dPr>
            <m:e>
              <m:eqArr>
                <m:eqArrPr>
                  <m:ctrlPr>
                    <w:rPr>
                      <w:rFonts w:ascii="Cambria Math" w:hAnsi="Cambria Math" w:cs="宋体"/>
                      <w:i/>
                      <w:sz w:val="24"/>
                      <w:szCs w:val="24"/>
                    </w:rPr>
                  </m:ctrlPr>
                </m:eqArrPr>
                <m:e>
                  <m:r>
                    <m:rPr/>
                    <w:rPr>
                      <w:rFonts w:ascii="Cambria Math" w:hAnsi="Cambria Math" w:cs="宋体"/>
                      <w:sz w:val="24"/>
                      <w:szCs w:val="24"/>
                    </w:rPr>
                    <m:t>0                       d&gt;</m:t>
                  </m:r>
                  <m:sSub>
                    <m:sSubPr>
                      <m:ctrlPr>
                        <w:rPr>
                          <w:rFonts w:ascii="Cambria Math" w:hAnsi="Cambria Math" w:cs="宋体"/>
                          <w:i/>
                          <w:sz w:val="24"/>
                          <w:szCs w:val="24"/>
                        </w:rPr>
                      </m:ctrlPr>
                    </m:sSubPr>
                    <m:e>
                      <m:r>
                        <m:rPr/>
                        <w:rPr>
                          <w:rFonts w:ascii="Cambria Math" w:hAnsi="Cambria Math" w:cs="宋体"/>
                          <w:sz w:val="24"/>
                          <w:szCs w:val="24"/>
                        </w:rPr>
                        <m:t>d</m:t>
                      </m:r>
                      <m:ctrlPr>
                        <w:rPr>
                          <w:rFonts w:ascii="Cambria Math" w:hAnsi="Cambria Math" w:cs="宋体"/>
                          <w:i/>
                          <w:sz w:val="24"/>
                          <w:szCs w:val="24"/>
                        </w:rPr>
                      </m:ctrlPr>
                    </m:e>
                    <m:sub>
                      <m:r>
                        <m:rPr/>
                        <w:rPr>
                          <w:rFonts w:ascii="Cambria Math" w:hAnsi="Cambria Math" w:cs="宋体"/>
                          <w:sz w:val="24"/>
                          <w:szCs w:val="24"/>
                        </w:rPr>
                        <m:t>0</m:t>
                      </m:r>
                      <m:ctrlPr>
                        <w:rPr>
                          <w:rFonts w:ascii="Cambria Math" w:hAnsi="Cambria Math" w:cs="宋体"/>
                          <w:i/>
                          <w:sz w:val="24"/>
                          <w:szCs w:val="24"/>
                        </w:rPr>
                      </m:ctrlPr>
                    </m:sub>
                  </m:sSub>
                  <m:r>
                    <m:rPr/>
                    <w:rPr>
                      <w:rFonts w:ascii="Cambria Math" w:hAnsi="Cambria Math" w:cs="宋体"/>
                      <w:sz w:val="24"/>
                      <w:szCs w:val="24"/>
                    </w:rPr>
                    <m:t xml:space="preserve">       </m:t>
                  </m:r>
                  <m:ctrlPr>
                    <w:rPr>
                      <w:rFonts w:ascii="Cambria Math" w:hAnsi="Cambria Math" w:cs="宋体"/>
                      <w:i/>
                      <w:sz w:val="24"/>
                      <w:szCs w:val="24"/>
                    </w:rPr>
                  </m:ctrlPr>
                </m:e>
                <m:e>
                  <m:sSub>
                    <m:sSubPr>
                      <m:ctrlPr>
                        <w:rPr>
                          <w:rFonts w:ascii="Cambria Math" w:hAnsi="Cambria Math" w:cs="宋体"/>
                          <w:i/>
                          <w:sz w:val="24"/>
                          <w:szCs w:val="24"/>
                        </w:rPr>
                      </m:ctrlPr>
                    </m:sSubPr>
                    <m:e>
                      <m:r>
                        <m:rPr/>
                        <w:rPr>
                          <w:rFonts w:ascii="Cambria Math" w:hAnsi="Cambria Math" w:cs="宋体"/>
                          <w:sz w:val="24"/>
                          <w:szCs w:val="24"/>
                        </w:rPr>
                        <m:t>E</m:t>
                      </m:r>
                      <m:ctrlPr>
                        <w:rPr>
                          <w:rFonts w:ascii="Cambria Math" w:hAnsi="Cambria Math" w:cs="宋体"/>
                          <w:i/>
                          <w:sz w:val="24"/>
                          <w:szCs w:val="24"/>
                        </w:rPr>
                      </m:ctrlPr>
                    </m:e>
                    <m:sub>
                      <m:r>
                        <m:rPr/>
                        <w:rPr>
                          <w:rFonts w:ascii="Cambria Math" w:hAnsi="Cambria Math" w:cs="宋体"/>
                          <w:sz w:val="24"/>
                          <w:szCs w:val="24"/>
                        </w:rPr>
                        <m:t>0</m:t>
                      </m:r>
                      <m:ctrlPr>
                        <w:rPr>
                          <w:rFonts w:ascii="Cambria Math" w:hAnsi="Cambria Math" w:cs="宋体"/>
                          <w:i/>
                          <w:sz w:val="24"/>
                          <w:szCs w:val="24"/>
                        </w:rPr>
                      </m:ctrlPr>
                    </m:sub>
                  </m:sSub>
                  <m:sSup>
                    <m:sSupPr>
                      <m:ctrlPr>
                        <w:rPr>
                          <w:rFonts w:ascii="Cambria Math" w:hAnsi="Cambria Math" w:cs="宋体"/>
                          <w:i/>
                          <w:sz w:val="24"/>
                          <w:szCs w:val="24"/>
                        </w:rPr>
                      </m:ctrlPr>
                    </m:sSupPr>
                    <m:e>
                      <m:d>
                        <m:dPr>
                          <m:ctrlPr>
                            <w:rPr>
                              <w:rFonts w:ascii="Cambria Math" w:hAnsi="Cambria Math" w:cs="宋体"/>
                              <w:i/>
                              <w:sz w:val="24"/>
                              <w:szCs w:val="24"/>
                            </w:rPr>
                          </m:ctrlPr>
                        </m:dPr>
                        <m:e>
                          <m:r>
                            <m:rPr/>
                            <w:rPr>
                              <w:rFonts w:ascii="Cambria Math" w:hAnsi="Cambria Math" w:cs="宋体"/>
                              <w:sz w:val="24"/>
                              <w:szCs w:val="24"/>
                            </w:rPr>
                            <m:t>1−</m:t>
                          </m:r>
                          <m:f>
                            <m:fPr>
                              <m:ctrlPr>
                                <w:rPr>
                                  <w:rFonts w:ascii="Cambria Math" w:hAnsi="Cambria Math" w:cs="宋体"/>
                                  <w:i/>
                                  <w:sz w:val="24"/>
                                  <w:szCs w:val="24"/>
                                </w:rPr>
                              </m:ctrlPr>
                            </m:fPr>
                            <m:num>
                              <m:r>
                                <m:rPr/>
                                <w:rPr>
                                  <w:rFonts w:ascii="Cambria Math" w:hAnsi="Cambria Math" w:cs="宋体"/>
                                  <w:sz w:val="24"/>
                                  <w:szCs w:val="24"/>
                                </w:rPr>
                                <m:t>d</m:t>
                              </m:r>
                              <m:ctrlPr>
                                <w:rPr>
                                  <w:rFonts w:ascii="Cambria Math" w:hAnsi="Cambria Math" w:cs="宋体"/>
                                  <w:i/>
                                  <w:sz w:val="24"/>
                                  <w:szCs w:val="24"/>
                                </w:rPr>
                              </m:ctrlPr>
                            </m:num>
                            <m:den>
                              <m:sSub>
                                <m:sSubPr>
                                  <m:ctrlPr>
                                    <w:rPr>
                                      <w:rFonts w:ascii="Cambria Math" w:hAnsi="Cambria Math" w:cs="宋体"/>
                                      <w:i/>
                                      <w:sz w:val="24"/>
                                      <w:szCs w:val="24"/>
                                    </w:rPr>
                                  </m:ctrlPr>
                                </m:sSubPr>
                                <m:e>
                                  <m:r>
                                    <m:rPr/>
                                    <w:rPr>
                                      <w:rFonts w:ascii="Cambria Math" w:hAnsi="Cambria Math" w:cs="宋体"/>
                                      <w:sz w:val="24"/>
                                      <w:szCs w:val="24"/>
                                    </w:rPr>
                                    <m:t>d</m:t>
                                  </m:r>
                                  <m:ctrlPr>
                                    <w:rPr>
                                      <w:rFonts w:ascii="Cambria Math" w:hAnsi="Cambria Math" w:cs="宋体"/>
                                      <w:i/>
                                      <w:sz w:val="24"/>
                                      <w:szCs w:val="24"/>
                                    </w:rPr>
                                  </m:ctrlPr>
                                </m:e>
                                <m:sub>
                                  <m:r>
                                    <m:rPr/>
                                    <w:rPr>
                                      <w:rFonts w:ascii="Cambria Math" w:hAnsi="Cambria Math" w:cs="宋体"/>
                                      <w:sz w:val="24"/>
                                      <w:szCs w:val="24"/>
                                    </w:rPr>
                                    <m:t>0</m:t>
                                  </m:r>
                                  <m:ctrlPr>
                                    <w:rPr>
                                      <w:rFonts w:ascii="Cambria Math" w:hAnsi="Cambria Math" w:cs="宋体"/>
                                      <w:i/>
                                      <w:sz w:val="24"/>
                                      <w:szCs w:val="24"/>
                                    </w:rPr>
                                  </m:ctrlPr>
                                </m:sub>
                              </m:sSub>
                              <m:ctrlPr>
                                <w:rPr>
                                  <w:rFonts w:ascii="Cambria Math" w:hAnsi="Cambria Math" w:cs="宋体"/>
                                  <w:i/>
                                  <w:sz w:val="24"/>
                                  <w:szCs w:val="24"/>
                                </w:rPr>
                              </m:ctrlPr>
                            </m:den>
                          </m:f>
                          <m:ctrlPr>
                            <w:rPr>
                              <w:rFonts w:ascii="Cambria Math" w:hAnsi="Cambria Math" w:cs="宋体"/>
                              <w:i/>
                              <w:sz w:val="24"/>
                              <w:szCs w:val="24"/>
                            </w:rPr>
                          </m:ctrlPr>
                        </m:e>
                      </m:d>
                      <m:ctrlPr>
                        <w:rPr>
                          <w:rFonts w:ascii="Cambria Math" w:hAnsi="Cambria Math" w:cs="宋体"/>
                          <w:i/>
                          <w:sz w:val="24"/>
                          <w:szCs w:val="24"/>
                        </w:rPr>
                      </m:ctrlPr>
                    </m:e>
                    <m:sup>
                      <m:r>
                        <m:rPr/>
                        <w:rPr>
                          <w:rFonts w:ascii="Cambria Math" w:hAnsi="Cambria Math" w:cs="宋体"/>
                          <w:sz w:val="24"/>
                          <w:szCs w:val="24"/>
                        </w:rPr>
                        <m:t>n</m:t>
                      </m:r>
                      <m:ctrlPr>
                        <w:rPr>
                          <w:rFonts w:ascii="Cambria Math" w:hAnsi="Cambria Math" w:cs="宋体"/>
                          <w:i/>
                          <w:sz w:val="24"/>
                          <w:szCs w:val="24"/>
                        </w:rPr>
                      </m:ctrlPr>
                    </m:sup>
                  </m:sSup>
                  <m:r>
                    <m:rPr/>
                    <w:rPr>
                      <w:rFonts w:ascii="Cambria Math" w:hAnsi="Cambria Math" w:cs="宋体"/>
                      <w:sz w:val="24"/>
                      <w:szCs w:val="24"/>
                    </w:rPr>
                    <m:t xml:space="preserve">  0≤d≤</m:t>
                  </m:r>
                  <m:sSub>
                    <m:sSubPr>
                      <m:ctrlPr>
                        <w:rPr>
                          <w:rFonts w:ascii="Cambria Math" w:hAnsi="Cambria Math" w:cs="宋体"/>
                          <w:i/>
                          <w:sz w:val="24"/>
                          <w:szCs w:val="24"/>
                        </w:rPr>
                      </m:ctrlPr>
                    </m:sSubPr>
                    <m:e>
                      <m:r>
                        <m:rPr/>
                        <w:rPr>
                          <w:rFonts w:ascii="Cambria Math" w:hAnsi="Cambria Math" w:cs="宋体"/>
                          <w:sz w:val="24"/>
                          <w:szCs w:val="24"/>
                        </w:rPr>
                        <m:t>d</m:t>
                      </m:r>
                      <m:ctrlPr>
                        <w:rPr>
                          <w:rFonts w:ascii="Cambria Math" w:hAnsi="Cambria Math" w:cs="宋体"/>
                          <w:i/>
                          <w:sz w:val="24"/>
                          <w:szCs w:val="24"/>
                        </w:rPr>
                      </m:ctrlPr>
                    </m:e>
                    <m:sub>
                      <m:r>
                        <m:rPr/>
                        <w:rPr>
                          <w:rFonts w:ascii="Cambria Math" w:hAnsi="Cambria Math" w:cs="宋体"/>
                          <w:sz w:val="24"/>
                          <w:szCs w:val="24"/>
                        </w:rPr>
                        <m:t>0</m:t>
                      </m:r>
                      <m:ctrlPr>
                        <w:rPr>
                          <w:rFonts w:ascii="Cambria Math" w:hAnsi="Cambria Math" w:cs="宋体"/>
                          <w:i/>
                          <w:sz w:val="24"/>
                          <w:szCs w:val="24"/>
                        </w:rPr>
                      </m:ctrlPr>
                    </m:sub>
                  </m:sSub>
                  <m:ctrlPr>
                    <w:rPr>
                      <w:rFonts w:ascii="Cambria Math" w:hAnsi="Cambria Math" w:cs="宋体"/>
                      <w:i/>
                      <w:sz w:val="24"/>
                      <w:szCs w:val="24"/>
                    </w:rPr>
                  </m:ctrlPr>
                </m:e>
              </m:eqArr>
              <m:ctrlPr>
                <w:rPr>
                  <w:rFonts w:ascii="Cambria Math" w:hAnsi="Cambria Math" w:cs="宋体"/>
                  <w:i/>
                  <w:sz w:val="24"/>
                  <w:szCs w:val="24"/>
                </w:rPr>
              </m:ctrlPr>
            </m:e>
          </m:d>
        </m:oMath>
      </m:oMathPara>
    </w:p>
    <w:p>
      <w:pPr>
        <w:adjustRightInd w:val="0"/>
        <w:snapToGrid w:val="0"/>
        <w:spacing w:line="360" w:lineRule="auto"/>
        <w:ind w:firstLine="480" w:firstLineChars="200"/>
        <w:rPr>
          <w:sz w:val="24"/>
          <w:szCs w:val="24"/>
        </w:rPr>
      </w:pPr>
      <w:r>
        <w:rPr>
          <w:rFonts w:hint="eastAsia" w:ascii="宋体" w:hAnsi="宋体" w:cs="宋体"/>
          <w:sz w:val="24"/>
          <w:szCs w:val="24"/>
        </w:rPr>
        <w:t>式中：</w:t>
      </w:r>
      <w:r>
        <w:rPr>
          <w:i/>
          <w:sz w:val="24"/>
          <w:szCs w:val="24"/>
        </w:rPr>
        <w:t>Eg</w:t>
      </w:r>
      <w:r>
        <w:rPr>
          <w:sz w:val="24"/>
          <w:szCs w:val="24"/>
        </w:rPr>
        <w:t>--地下水蒸散发强度（mm）；</w:t>
      </w:r>
    </w:p>
    <w:p>
      <w:pPr>
        <w:adjustRightInd w:val="0"/>
        <w:snapToGrid w:val="0"/>
        <w:spacing w:line="360" w:lineRule="auto"/>
        <w:ind w:firstLine="480" w:firstLineChars="200"/>
        <w:rPr>
          <w:sz w:val="24"/>
          <w:szCs w:val="24"/>
        </w:rPr>
      </w:pPr>
      <w:r>
        <w:rPr>
          <w:i/>
          <w:sz w:val="24"/>
          <w:szCs w:val="24"/>
        </w:rPr>
        <w:t>E</w:t>
      </w:r>
      <w:r>
        <w:rPr>
          <w:i/>
          <w:sz w:val="24"/>
          <w:szCs w:val="24"/>
          <w:vertAlign w:val="subscript"/>
        </w:rPr>
        <w:t>0</w:t>
      </w:r>
      <w:r>
        <w:rPr>
          <w:sz w:val="24"/>
          <w:szCs w:val="24"/>
        </w:rPr>
        <w:t>--水面蒸发强度（mm）；</w:t>
      </w:r>
    </w:p>
    <w:p>
      <w:pPr>
        <w:adjustRightInd w:val="0"/>
        <w:snapToGrid w:val="0"/>
        <w:spacing w:line="360" w:lineRule="auto"/>
        <w:ind w:firstLine="480" w:firstLineChars="200"/>
        <w:rPr>
          <w:sz w:val="24"/>
          <w:szCs w:val="24"/>
        </w:rPr>
      </w:pPr>
      <w:r>
        <w:rPr>
          <w:i/>
          <w:sz w:val="24"/>
          <w:szCs w:val="24"/>
        </w:rPr>
        <w:t>d</w:t>
      </w:r>
      <w:r>
        <w:rPr>
          <w:i/>
          <w:sz w:val="24"/>
          <w:szCs w:val="24"/>
          <w:vertAlign w:val="subscript"/>
        </w:rPr>
        <w:t>0</w:t>
      </w:r>
      <w:r>
        <w:rPr>
          <w:sz w:val="24"/>
          <w:szCs w:val="24"/>
        </w:rPr>
        <w:t>--地下水蒸发极限埋深（m），与包气带的岩性有关，本模型中</w:t>
      </w:r>
      <w:r>
        <w:rPr>
          <w:i/>
          <w:sz w:val="24"/>
          <w:szCs w:val="24"/>
        </w:rPr>
        <w:t>d</w:t>
      </w:r>
      <w:r>
        <w:rPr>
          <w:i/>
          <w:sz w:val="24"/>
          <w:szCs w:val="24"/>
          <w:vertAlign w:val="subscript"/>
        </w:rPr>
        <w:t>0</w:t>
      </w:r>
      <w:r>
        <w:rPr>
          <w:sz w:val="24"/>
          <w:szCs w:val="24"/>
        </w:rPr>
        <w:t>=4m；</w:t>
      </w:r>
    </w:p>
    <w:p>
      <w:pPr>
        <w:adjustRightInd w:val="0"/>
        <w:snapToGrid w:val="0"/>
        <w:spacing w:line="360" w:lineRule="auto"/>
        <w:ind w:firstLine="480" w:firstLineChars="200"/>
        <w:rPr>
          <w:sz w:val="24"/>
          <w:szCs w:val="24"/>
        </w:rPr>
      </w:pPr>
      <w:r>
        <w:rPr>
          <w:i/>
          <w:sz w:val="24"/>
          <w:szCs w:val="24"/>
        </w:rPr>
        <w:t>d</w:t>
      </w:r>
      <w:r>
        <w:rPr>
          <w:sz w:val="24"/>
          <w:szCs w:val="24"/>
        </w:rPr>
        <w:t>--地下水位埋深（m）</w:t>
      </w:r>
      <w:r>
        <w:rPr>
          <w:rFonts w:hint="eastAsia"/>
          <w:sz w:val="24"/>
          <w:szCs w:val="24"/>
        </w:rPr>
        <w:t>；</w:t>
      </w:r>
    </w:p>
    <w:p>
      <w:pPr>
        <w:adjustRightInd w:val="0"/>
        <w:snapToGrid w:val="0"/>
        <w:spacing w:line="360" w:lineRule="auto"/>
        <w:ind w:firstLine="480" w:firstLineChars="200"/>
        <w:rPr>
          <w:sz w:val="24"/>
          <w:szCs w:val="24"/>
        </w:rPr>
      </w:pPr>
      <w:r>
        <w:rPr>
          <w:rFonts w:hint="eastAsia"/>
          <w:i/>
          <w:sz w:val="24"/>
          <w:szCs w:val="24"/>
        </w:rPr>
        <w:t>n</w:t>
      </w:r>
      <w:r>
        <w:rPr>
          <w:sz w:val="24"/>
          <w:szCs w:val="24"/>
        </w:rPr>
        <w:t>--经验系数，</w:t>
      </w:r>
      <w:r>
        <w:rPr>
          <w:rFonts w:hint="eastAsia"/>
          <w:sz w:val="24"/>
          <w:szCs w:val="24"/>
        </w:rPr>
        <w:t>本次评价</w:t>
      </w:r>
      <w:r>
        <w:rPr>
          <w:sz w:val="24"/>
          <w:szCs w:val="24"/>
        </w:rPr>
        <w:t>中</w:t>
      </w:r>
      <w:r>
        <w:rPr>
          <w:rFonts w:hint="eastAsia"/>
          <w:sz w:val="24"/>
          <w:szCs w:val="24"/>
        </w:rPr>
        <w:t>取值</w:t>
      </w:r>
      <w:r>
        <w:rPr>
          <w:sz w:val="24"/>
          <w:szCs w:val="24"/>
        </w:rPr>
        <w:t>1</w:t>
      </w:r>
      <w:r>
        <w:rPr>
          <w:rFonts w:hint="eastAsia"/>
          <w:sz w:val="24"/>
          <w:szCs w:val="24"/>
        </w:rPr>
        <w:t>。</w:t>
      </w:r>
    </w:p>
    <w:p>
      <w:pPr>
        <w:adjustRightInd w:val="0"/>
        <w:snapToGrid w:val="0"/>
        <w:spacing w:line="360" w:lineRule="auto"/>
        <w:ind w:firstLine="480" w:firstLineChars="200"/>
        <w:rPr>
          <w:sz w:val="24"/>
          <w:szCs w:val="24"/>
        </w:rPr>
      </w:pPr>
      <w:r>
        <w:rPr>
          <w:sz w:val="24"/>
          <w:szCs w:val="24"/>
        </w:rPr>
        <w:t>根据前人工作成果和本次调查资料，围场县多年平均蒸发量为960mm，根据经验值，设定E</w:t>
      </w:r>
      <w:r>
        <w:rPr>
          <w:sz w:val="24"/>
          <w:szCs w:val="24"/>
          <w:vertAlign w:val="subscript"/>
        </w:rPr>
        <w:t>0</w:t>
      </w:r>
      <w:r>
        <w:rPr>
          <w:sz w:val="24"/>
          <w:szCs w:val="24"/>
        </w:rPr>
        <w:t>初始值为960mm</w:t>
      </w:r>
      <w:r>
        <w:rPr>
          <w:rFonts w:hint="eastAsia"/>
          <w:sz w:val="24"/>
          <w:szCs w:val="24"/>
        </w:rPr>
        <w:t>。</w:t>
      </w:r>
    </w:p>
    <w:p>
      <w:pPr>
        <w:adjustRightInd w:val="0"/>
        <w:snapToGrid w:val="0"/>
        <w:spacing w:line="360" w:lineRule="auto"/>
        <w:ind w:firstLine="480" w:firstLineChars="200"/>
        <w:rPr>
          <w:sz w:val="24"/>
          <w:szCs w:val="24"/>
        </w:rPr>
      </w:pPr>
      <w:r>
        <w:rPr>
          <w:rFonts w:hint="eastAsia"/>
          <w:sz w:val="24"/>
          <w:szCs w:val="24"/>
        </w:rPr>
        <w:t>④灌溉入渗</w:t>
      </w:r>
      <w:r>
        <w:rPr>
          <w:sz w:val="24"/>
          <w:szCs w:val="24"/>
        </w:rPr>
        <w:t>和</w:t>
      </w:r>
      <w:r>
        <w:rPr>
          <w:rFonts w:hint="eastAsia"/>
          <w:sz w:val="24"/>
          <w:szCs w:val="24"/>
        </w:rPr>
        <w:t>人工开采</w:t>
      </w:r>
    </w:p>
    <w:p>
      <w:pPr>
        <w:adjustRightInd w:val="0"/>
        <w:snapToGrid w:val="0"/>
        <w:spacing w:line="360" w:lineRule="auto"/>
        <w:ind w:firstLine="480" w:firstLineChars="200"/>
        <w:rPr>
          <w:sz w:val="24"/>
          <w:szCs w:val="24"/>
        </w:rPr>
      </w:pPr>
      <w:r>
        <w:rPr>
          <w:rFonts w:hint="eastAsia"/>
          <w:sz w:val="24"/>
          <w:szCs w:val="24"/>
        </w:rPr>
        <w:t>根据</w:t>
      </w:r>
      <w:r>
        <w:rPr>
          <w:sz w:val="24"/>
          <w:szCs w:val="24"/>
        </w:rPr>
        <w:t>调查</w:t>
      </w:r>
      <w:r>
        <w:rPr>
          <w:rFonts w:hint="eastAsia"/>
          <w:sz w:val="24"/>
          <w:szCs w:val="24"/>
        </w:rPr>
        <w:t>调查结果</w:t>
      </w:r>
      <w:r>
        <w:rPr>
          <w:sz w:val="24"/>
          <w:szCs w:val="24"/>
        </w:rPr>
        <w:t>，</w:t>
      </w:r>
      <w:r>
        <w:rPr>
          <w:rFonts w:hint="eastAsia"/>
          <w:sz w:val="24"/>
          <w:szCs w:val="24"/>
        </w:rPr>
        <w:t>评价区</w:t>
      </w:r>
      <w:r>
        <w:rPr>
          <w:sz w:val="24"/>
          <w:szCs w:val="24"/>
        </w:rPr>
        <w:t>内</w:t>
      </w:r>
      <w:r>
        <w:rPr>
          <w:rFonts w:hint="eastAsia"/>
          <w:sz w:val="24"/>
          <w:szCs w:val="24"/>
        </w:rPr>
        <w:t>的</w:t>
      </w:r>
      <w:r>
        <w:rPr>
          <w:sz w:val="24"/>
          <w:szCs w:val="24"/>
        </w:rPr>
        <w:t>潜水开发利用</w:t>
      </w:r>
      <w:r>
        <w:rPr>
          <w:rFonts w:hint="eastAsia"/>
          <w:sz w:val="24"/>
          <w:szCs w:val="24"/>
        </w:rPr>
        <w:t>量很少</w:t>
      </w:r>
      <w:r>
        <w:rPr>
          <w:sz w:val="24"/>
          <w:szCs w:val="24"/>
        </w:rPr>
        <w:t>，</w:t>
      </w:r>
      <w:r>
        <w:rPr>
          <w:rFonts w:hint="eastAsia"/>
          <w:sz w:val="24"/>
          <w:szCs w:val="24"/>
        </w:rPr>
        <w:t>地下水开采对地下水流场整体影响小，可忽略不计。评价区内</w:t>
      </w:r>
      <w:r>
        <w:rPr>
          <w:sz w:val="24"/>
          <w:szCs w:val="24"/>
        </w:rPr>
        <w:t>局部</w:t>
      </w:r>
      <w:r>
        <w:rPr>
          <w:rFonts w:hint="eastAsia"/>
          <w:sz w:val="24"/>
          <w:szCs w:val="24"/>
        </w:rPr>
        <w:t>区域</w:t>
      </w:r>
      <w:r>
        <w:rPr>
          <w:sz w:val="24"/>
          <w:szCs w:val="24"/>
        </w:rPr>
        <w:t>存在</w:t>
      </w:r>
      <w:r>
        <w:rPr>
          <w:rFonts w:hint="eastAsia"/>
          <w:sz w:val="24"/>
          <w:szCs w:val="24"/>
        </w:rPr>
        <w:t>农田</w:t>
      </w:r>
      <w:r>
        <w:rPr>
          <w:sz w:val="24"/>
          <w:szCs w:val="24"/>
        </w:rPr>
        <w:t>，灌溉面积较小，</w:t>
      </w:r>
      <w:r>
        <w:rPr>
          <w:rFonts w:hint="eastAsia"/>
          <w:sz w:val="24"/>
          <w:szCs w:val="24"/>
        </w:rPr>
        <w:t>灌溉入渗补给</w:t>
      </w:r>
      <w:r>
        <w:rPr>
          <w:sz w:val="24"/>
          <w:szCs w:val="24"/>
        </w:rPr>
        <w:t>地下水的水量较</w:t>
      </w:r>
      <w:r>
        <w:rPr>
          <w:rFonts w:hint="eastAsia"/>
          <w:sz w:val="24"/>
          <w:szCs w:val="24"/>
        </w:rPr>
        <w:t>少</w:t>
      </w:r>
      <w:r>
        <w:rPr>
          <w:sz w:val="24"/>
          <w:szCs w:val="24"/>
        </w:rPr>
        <w:t>，因此不考虑灌溉</w:t>
      </w:r>
      <w:r>
        <w:rPr>
          <w:rFonts w:hint="eastAsia"/>
          <w:sz w:val="24"/>
          <w:szCs w:val="24"/>
        </w:rPr>
        <w:t>入渗</w:t>
      </w:r>
      <w:r>
        <w:rPr>
          <w:sz w:val="24"/>
          <w:szCs w:val="24"/>
        </w:rPr>
        <w:t>量</w:t>
      </w:r>
      <w:r>
        <w:rPr>
          <w:rFonts w:hint="eastAsia"/>
          <w:sz w:val="24"/>
          <w:szCs w:val="24"/>
        </w:rPr>
        <w:t>。</w:t>
      </w:r>
    </w:p>
    <w:p>
      <w:pPr>
        <w:adjustRightInd w:val="0"/>
        <w:snapToGrid w:val="0"/>
        <w:spacing w:line="360" w:lineRule="auto"/>
        <w:ind w:firstLine="480" w:firstLineChars="200"/>
        <w:rPr>
          <w:sz w:val="24"/>
          <w:szCs w:val="24"/>
        </w:rPr>
      </w:pPr>
      <w:r>
        <w:rPr>
          <w:rFonts w:hint="eastAsia" w:ascii="宋体" w:hAnsi="宋体"/>
          <w:sz w:val="24"/>
          <w:szCs w:val="24"/>
        </w:rPr>
        <w:t>根据本次评价所能获得资料以及该区域含水层的结构，模拟区内含水层的参数随空间变化，体现出非均质性；随方向没有明显变化，体现出各向同性；模型不考虑水井的开采，地下水流为稳定流。因此，将模拟区地下水流概化成非均质各向同性稳定三维地下水流系统。</w:t>
      </w:r>
    </w:p>
    <w:p>
      <w:pPr>
        <w:adjustRightInd w:val="0"/>
        <w:snapToGrid w:val="0"/>
        <w:spacing w:line="360" w:lineRule="auto"/>
        <w:jc w:val="left"/>
        <w:rPr>
          <w:b/>
          <w:bCs/>
          <w:sz w:val="24"/>
        </w:rPr>
      </w:pPr>
      <w:r>
        <w:rPr>
          <w:b/>
          <w:bCs/>
          <w:sz w:val="24"/>
        </w:rPr>
        <w:t>5.3.4.2.2</w:t>
      </w:r>
      <w:r>
        <w:rPr>
          <w:rFonts w:hint="eastAsia"/>
          <w:b/>
          <w:bCs/>
          <w:sz w:val="24"/>
        </w:rPr>
        <w:t>水流运动数学模型</w:t>
      </w:r>
    </w:p>
    <w:p>
      <w:pPr>
        <w:adjustRightInd w:val="0"/>
        <w:snapToGrid w:val="0"/>
        <w:spacing w:line="360" w:lineRule="auto"/>
        <w:ind w:firstLine="480"/>
        <w:rPr>
          <w:sz w:val="24"/>
          <w:szCs w:val="24"/>
        </w:rPr>
      </w:pPr>
      <w:r>
        <w:rPr>
          <w:rFonts w:hint="eastAsia"/>
          <w:sz w:val="24"/>
          <w:szCs w:val="24"/>
        </w:rPr>
        <w:t>模拟区地下水流系统可用下列的数学模型表述：</w:t>
      </w:r>
    </w:p>
    <w:p>
      <w:pPr>
        <w:adjustRightInd w:val="0"/>
        <w:snapToGrid w:val="0"/>
        <w:spacing w:line="360" w:lineRule="auto"/>
        <w:jc w:val="center"/>
        <w:rPr>
          <w:snapToGrid w:val="0"/>
          <w:kern w:val="0"/>
          <w:sz w:val="24"/>
          <w:szCs w:val="24"/>
        </w:rPr>
      </w:pPr>
      <w:r>
        <w:rPr>
          <w:snapToGrid w:val="0"/>
          <w:kern w:val="0"/>
          <w:position w:val="-62"/>
          <w:sz w:val="24"/>
          <w:szCs w:val="24"/>
        </w:rPr>
        <w:object>
          <v:shape id="_x0000_i1026" o:spt="75" type="#_x0000_t75" style="height:57.75pt;width:381.75pt;" o:ole="t" filled="f" o:preferrelative="t" stroked="f" coordsize="21600,21600">
            <v:path/>
            <v:fill on="f" focussize="0,0"/>
            <v:stroke on="f" joinstyle="miter"/>
            <v:imagedata r:id="rId87" o:title=""/>
            <o:lock v:ext="edit" aspectratio="t"/>
            <w10:wrap type="none"/>
            <w10:anchorlock/>
          </v:shape>
          <o:OLEObject Type="Embed" ProgID="Equation.3" ShapeID="_x0000_i1026" DrawAspect="Content" ObjectID="_1468075726" r:id="rId86">
            <o:LockedField>false</o:LockedField>
          </o:OLEObject>
        </w:object>
      </w:r>
    </w:p>
    <w:p>
      <w:pPr>
        <w:adjustRightInd w:val="0"/>
        <w:snapToGrid w:val="0"/>
        <w:spacing w:line="360" w:lineRule="auto"/>
        <w:ind w:firstLine="480"/>
        <w:jc w:val="left"/>
        <w:rPr>
          <w:sz w:val="24"/>
          <w:szCs w:val="24"/>
        </w:rPr>
      </w:pPr>
      <w:r>
        <w:rPr>
          <w:rFonts w:hint="eastAsia"/>
          <w:sz w:val="24"/>
          <w:szCs w:val="24"/>
        </w:rPr>
        <w:t>式中</w:t>
      </w:r>
      <w:r>
        <w:rPr>
          <w:sz w:val="24"/>
          <w:szCs w:val="24"/>
        </w:rPr>
        <w:t>：Ω</w:t>
      </w:r>
      <w:r>
        <w:rPr>
          <w:rFonts w:hint="eastAsia"/>
          <w:sz w:val="24"/>
          <w:szCs w:val="24"/>
        </w:rPr>
        <w:t>—地下水渗流区域；</w:t>
      </w:r>
    </w:p>
    <w:p>
      <w:pPr>
        <w:adjustRightInd w:val="0"/>
        <w:snapToGrid w:val="0"/>
        <w:spacing w:line="360" w:lineRule="auto"/>
        <w:ind w:firstLine="1200" w:firstLineChars="500"/>
        <w:rPr>
          <w:sz w:val="24"/>
          <w:szCs w:val="24"/>
        </w:rPr>
      </w:pPr>
      <w:r>
        <w:rPr>
          <w:rFonts w:hint="eastAsia"/>
          <w:i/>
          <w:sz w:val="24"/>
          <w:szCs w:val="24"/>
        </w:rPr>
        <w:t>H</w:t>
      </w:r>
      <w:r>
        <w:rPr>
          <w:rFonts w:hint="eastAsia"/>
          <w:sz w:val="24"/>
          <w:szCs w:val="24"/>
        </w:rPr>
        <w:t>—地下水水头（m）；</w:t>
      </w:r>
    </w:p>
    <w:p>
      <w:pPr>
        <w:adjustRightInd w:val="0"/>
        <w:snapToGrid w:val="0"/>
        <w:spacing w:line="360" w:lineRule="auto"/>
        <w:ind w:firstLine="1200" w:firstLineChars="500"/>
        <w:rPr>
          <w:sz w:val="24"/>
          <w:szCs w:val="24"/>
        </w:rPr>
      </w:pPr>
      <w:r>
        <w:rPr>
          <w:rFonts w:hint="eastAsia"/>
          <w:i/>
          <w:sz w:val="24"/>
          <w:szCs w:val="24"/>
        </w:rPr>
        <w:t>h</w:t>
      </w:r>
      <w:r>
        <w:rPr>
          <w:rFonts w:hint="eastAsia"/>
          <w:sz w:val="24"/>
          <w:szCs w:val="24"/>
        </w:rPr>
        <w:t>—含水层含水厚度（m）；</w:t>
      </w:r>
    </w:p>
    <w:p>
      <w:pPr>
        <w:adjustRightInd w:val="0"/>
        <w:snapToGrid w:val="0"/>
        <w:spacing w:line="360" w:lineRule="auto"/>
        <w:ind w:firstLine="1200" w:firstLineChars="500"/>
        <w:rPr>
          <w:sz w:val="24"/>
          <w:szCs w:val="24"/>
        </w:rPr>
      </w:pPr>
      <w:r>
        <w:rPr>
          <w:rFonts w:hint="eastAsia"/>
          <w:i/>
          <w:sz w:val="24"/>
          <w:szCs w:val="24"/>
        </w:rPr>
        <w:t>S</w:t>
      </w:r>
      <w:r>
        <w:rPr>
          <w:rFonts w:hint="eastAsia"/>
          <w:sz w:val="24"/>
          <w:szCs w:val="24"/>
          <w:vertAlign w:val="subscript"/>
        </w:rPr>
        <w:t>2</w:t>
      </w:r>
      <w:r>
        <w:rPr>
          <w:rFonts w:hint="eastAsia"/>
          <w:sz w:val="24"/>
          <w:szCs w:val="24"/>
        </w:rPr>
        <w:t>—模型的第二类边界；</w:t>
      </w:r>
    </w:p>
    <w:p>
      <w:pPr>
        <w:adjustRightInd w:val="0"/>
        <w:snapToGrid w:val="0"/>
        <w:spacing w:line="360" w:lineRule="auto"/>
        <w:ind w:firstLine="1200" w:firstLineChars="500"/>
        <w:rPr>
          <w:sz w:val="24"/>
          <w:szCs w:val="24"/>
        </w:rPr>
      </w:pPr>
      <w:r>
        <w:rPr>
          <w:rFonts w:hint="eastAsia"/>
          <w:i/>
          <w:sz w:val="24"/>
          <w:szCs w:val="24"/>
        </w:rPr>
        <w:t>q</w:t>
      </w:r>
      <w:r>
        <w:rPr>
          <w:rFonts w:hint="eastAsia"/>
          <w:sz w:val="24"/>
          <w:szCs w:val="24"/>
          <w:vertAlign w:val="subscript"/>
        </w:rPr>
        <w:t>2</w:t>
      </w:r>
      <w:r>
        <w:rPr>
          <w:rFonts w:hint="eastAsia"/>
          <w:sz w:val="24"/>
          <w:szCs w:val="24"/>
        </w:rPr>
        <w:t>—边界流量（m</w:t>
      </w:r>
      <w:r>
        <w:rPr>
          <w:rFonts w:hint="eastAsia"/>
          <w:sz w:val="24"/>
          <w:szCs w:val="24"/>
          <w:vertAlign w:val="superscript"/>
        </w:rPr>
        <w:t>3</w:t>
      </w:r>
      <w:r>
        <w:rPr>
          <w:rFonts w:hint="eastAsia"/>
          <w:sz w:val="24"/>
          <w:szCs w:val="24"/>
        </w:rPr>
        <w:t>/d）；</w:t>
      </w:r>
    </w:p>
    <w:p>
      <w:pPr>
        <w:adjustRightInd w:val="0"/>
        <w:snapToGrid w:val="0"/>
        <w:spacing w:line="360" w:lineRule="auto"/>
        <w:ind w:firstLine="1200" w:firstLineChars="500"/>
        <w:rPr>
          <w:sz w:val="24"/>
          <w:szCs w:val="24"/>
        </w:rPr>
      </w:pPr>
      <w:r>
        <w:rPr>
          <w:rFonts w:hint="eastAsia"/>
          <w:i/>
          <w:sz w:val="24"/>
          <w:szCs w:val="24"/>
        </w:rPr>
        <w:t>kxx,kyy,kzz</w:t>
      </w:r>
      <w:r>
        <w:rPr>
          <w:rFonts w:hint="eastAsia"/>
          <w:sz w:val="24"/>
          <w:szCs w:val="24"/>
        </w:rPr>
        <w:t>—分别为</w:t>
      </w:r>
      <w:r>
        <w:rPr>
          <w:rFonts w:hint="eastAsia"/>
          <w:i/>
          <w:sz w:val="24"/>
          <w:szCs w:val="24"/>
        </w:rPr>
        <w:t>x</w:t>
      </w:r>
      <w:r>
        <w:rPr>
          <w:rFonts w:hint="eastAsia"/>
          <w:sz w:val="24"/>
          <w:szCs w:val="24"/>
        </w:rPr>
        <w:t>、</w:t>
      </w:r>
      <w:r>
        <w:rPr>
          <w:rFonts w:hint="eastAsia"/>
          <w:i/>
          <w:sz w:val="24"/>
          <w:szCs w:val="24"/>
        </w:rPr>
        <w:t>y</w:t>
      </w:r>
      <w:r>
        <w:rPr>
          <w:rFonts w:hint="eastAsia"/>
          <w:sz w:val="24"/>
          <w:szCs w:val="24"/>
        </w:rPr>
        <w:t>、</w:t>
      </w:r>
      <w:r>
        <w:rPr>
          <w:rFonts w:hint="eastAsia"/>
          <w:i/>
          <w:sz w:val="24"/>
          <w:szCs w:val="24"/>
        </w:rPr>
        <w:t>z</w:t>
      </w:r>
      <w:r>
        <w:rPr>
          <w:rFonts w:hint="eastAsia"/>
          <w:sz w:val="24"/>
          <w:szCs w:val="24"/>
        </w:rPr>
        <w:t>主方向的渗透系数（m/d）；</w:t>
      </w:r>
    </w:p>
    <w:p>
      <w:pPr>
        <w:adjustRightInd w:val="0"/>
        <w:snapToGrid w:val="0"/>
        <w:spacing w:line="360" w:lineRule="auto"/>
        <w:ind w:firstLine="1200" w:firstLineChars="500"/>
        <w:rPr>
          <w:sz w:val="24"/>
          <w:szCs w:val="24"/>
        </w:rPr>
      </w:pPr>
      <w:r>
        <w:rPr>
          <w:rFonts w:eastAsia="黑体"/>
          <w:i/>
          <w:sz w:val="24"/>
          <w:szCs w:val="24"/>
        </w:rPr>
        <w:t>μ</w:t>
      </w:r>
      <w:r>
        <w:rPr>
          <w:rFonts w:hint="eastAsia"/>
          <w:sz w:val="24"/>
          <w:szCs w:val="24"/>
        </w:rPr>
        <w:t>—给水度。</w:t>
      </w:r>
    </w:p>
    <w:p>
      <w:pPr>
        <w:adjustRightInd w:val="0"/>
        <w:snapToGrid w:val="0"/>
        <w:spacing w:line="360" w:lineRule="auto"/>
        <w:jc w:val="left"/>
        <w:rPr>
          <w:b/>
          <w:bCs/>
          <w:sz w:val="24"/>
        </w:rPr>
      </w:pPr>
      <w:r>
        <w:rPr>
          <w:b/>
          <w:bCs/>
          <w:sz w:val="24"/>
        </w:rPr>
        <w:t>5.3.4.2.3</w:t>
      </w:r>
      <w:r>
        <w:rPr>
          <w:rFonts w:hint="eastAsia"/>
          <w:b/>
          <w:bCs/>
          <w:sz w:val="24"/>
        </w:rPr>
        <w:t>水流数值模型识别</w:t>
      </w:r>
    </w:p>
    <w:p>
      <w:pPr>
        <w:adjustRightInd w:val="0"/>
        <w:snapToGrid w:val="0"/>
        <w:spacing w:line="360" w:lineRule="auto"/>
        <w:ind w:firstLine="482"/>
        <w:rPr>
          <w:sz w:val="24"/>
          <w:szCs w:val="24"/>
        </w:rPr>
      </w:pPr>
      <w:r>
        <w:rPr>
          <w:rFonts w:hint="eastAsia"/>
          <w:sz w:val="24"/>
          <w:szCs w:val="24"/>
        </w:rPr>
        <w:t>本次评价选取Visual Modflow软件，它是目前国际上最流行且功能强大的地下水模拟软件之一。该软件主要由4个功能模块组成：1、MODFLOW模块：MODFLOW主要是模拟地下水的运动状态；2、MT3DMS是一个用来模拟三维地下水流动系统中对流、弥散和化学反应的计算机模型，它需要与MODFLOW联合运行；3、Zone Budget主要用来计算给定区域的总水量及其与周围区域的水量交换情况。</w:t>
      </w:r>
    </w:p>
    <w:p>
      <w:pPr>
        <w:adjustRightInd w:val="0"/>
        <w:snapToGrid w:val="0"/>
        <w:spacing w:line="360" w:lineRule="auto"/>
        <w:ind w:firstLine="482"/>
        <w:rPr>
          <w:sz w:val="24"/>
          <w:szCs w:val="24"/>
        </w:rPr>
      </w:pPr>
      <w:r>
        <w:rPr>
          <w:rFonts w:hint="eastAsia"/>
          <w:sz w:val="24"/>
          <w:szCs w:val="24"/>
        </w:rPr>
        <w:t>本次评价基于MODFLOW和MT3DMS模块对评价区地下水的溶质迁移问题进行模拟。</w:t>
      </w:r>
    </w:p>
    <w:p>
      <w:pPr>
        <w:adjustRightInd w:val="0"/>
        <w:snapToGrid w:val="0"/>
        <w:spacing w:line="360" w:lineRule="auto"/>
        <w:ind w:firstLine="482"/>
        <w:rPr>
          <w:sz w:val="24"/>
          <w:szCs w:val="24"/>
        </w:rPr>
      </w:pPr>
      <w:r>
        <w:rPr>
          <w:rFonts w:hint="eastAsia" w:ascii="宋体" w:hAnsi="宋体"/>
          <w:sz w:val="24"/>
          <w:szCs w:val="24"/>
        </w:rPr>
        <w:t>①</w:t>
      </w:r>
      <w:r>
        <w:rPr>
          <w:rFonts w:hint="eastAsia"/>
          <w:sz w:val="24"/>
          <w:szCs w:val="24"/>
        </w:rPr>
        <w:t>模型剖分</w:t>
      </w:r>
    </w:p>
    <w:p>
      <w:pPr>
        <w:adjustRightInd w:val="0"/>
        <w:snapToGrid w:val="0"/>
        <w:spacing w:line="360" w:lineRule="auto"/>
        <w:ind w:firstLine="482"/>
        <w:rPr>
          <w:sz w:val="24"/>
          <w:szCs w:val="24"/>
        </w:rPr>
      </w:pPr>
      <w:r>
        <w:rPr>
          <w:rFonts w:hint="eastAsia" w:ascii="宋体" w:hAnsi="宋体"/>
          <w:sz w:val="24"/>
          <w:szCs w:val="24"/>
        </w:rPr>
        <w:t>将全区潜水含水层剖分为</w:t>
      </w:r>
      <w:r>
        <w:rPr>
          <w:sz w:val="24"/>
          <w:szCs w:val="24"/>
        </w:rPr>
        <w:t>1</w:t>
      </w:r>
      <w:r>
        <w:rPr>
          <w:rFonts w:hint="eastAsia" w:ascii="宋体" w:hAnsi="宋体"/>
          <w:sz w:val="24"/>
          <w:szCs w:val="24"/>
        </w:rPr>
        <w:t>层，共剖分有效单元约</w:t>
      </w:r>
      <w:r>
        <w:rPr>
          <w:sz w:val="24"/>
          <w:szCs w:val="24"/>
        </w:rPr>
        <w:t>280</w:t>
      </w:r>
      <w:r>
        <w:rPr>
          <w:rFonts w:hint="eastAsia"/>
          <w:sz w:val="24"/>
          <w:szCs w:val="24"/>
        </w:rPr>
        <w:t>00</w:t>
      </w:r>
      <w:r>
        <w:rPr>
          <w:rFonts w:hint="eastAsia" w:ascii="宋体" w:hAnsi="宋体"/>
          <w:sz w:val="24"/>
          <w:szCs w:val="24"/>
        </w:rPr>
        <w:t>个。最大单元格大小为</w:t>
      </w:r>
      <w:r>
        <w:rPr>
          <w:sz w:val="24"/>
          <w:szCs w:val="24"/>
        </w:rPr>
        <w:t>4</w:t>
      </w:r>
      <w:r>
        <w:rPr>
          <w:rFonts w:hint="eastAsia"/>
          <w:sz w:val="24"/>
          <w:szCs w:val="24"/>
        </w:rPr>
        <w:t>0m×</w:t>
      </w:r>
      <w:r>
        <w:rPr>
          <w:sz w:val="24"/>
          <w:szCs w:val="24"/>
        </w:rPr>
        <w:t>4</w:t>
      </w:r>
      <w:r>
        <w:rPr>
          <w:rFonts w:hint="eastAsia"/>
          <w:sz w:val="24"/>
          <w:szCs w:val="24"/>
        </w:rPr>
        <w:t>0m</w:t>
      </w:r>
      <w:r>
        <w:rPr>
          <w:rFonts w:hint="eastAsia" w:ascii="宋体" w:hAnsi="宋体"/>
          <w:sz w:val="24"/>
          <w:szCs w:val="24"/>
        </w:rPr>
        <w:t>，最小单元格大小为</w:t>
      </w:r>
      <w:r>
        <w:rPr>
          <w:sz w:val="24"/>
          <w:szCs w:val="24"/>
        </w:rPr>
        <w:t>5m×</w:t>
      </w:r>
      <w:r>
        <w:rPr>
          <w:rFonts w:hint="eastAsia"/>
          <w:sz w:val="24"/>
          <w:szCs w:val="24"/>
        </w:rPr>
        <w:t>5m</w:t>
      </w:r>
      <w:r>
        <w:rPr>
          <w:rFonts w:hint="eastAsia" w:ascii="宋体" w:hAnsi="宋体"/>
          <w:sz w:val="24"/>
          <w:szCs w:val="24"/>
        </w:rPr>
        <w:t>，剖分部分结果见</w:t>
      </w:r>
      <w:r>
        <w:rPr>
          <w:rFonts w:ascii="宋体" w:hAnsi="宋体"/>
          <w:sz w:val="24"/>
          <w:szCs w:val="24"/>
        </w:rPr>
        <w:t>下图</w:t>
      </w:r>
      <w:r>
        <w:rPr>
          <w:rFonts w:hint="eastAsia" w:ascii="宋体" w:hAnsi="宋体"/>
          <w:sz w:val="24"/>
          <w:szCs w:val="24"/>
        </w:rPr>
        <w:t>，图中为局部评价区范围。拟建项目</w:t>
      </w:r>
      <w:r>
        <w:rPr>
          <w:rFonts w:ascii="宋体" w:hAnsi="宋体"/>
          <w:sz w:val="24"/>
          <w:szCs w:val="24"/>
        </w:rPr>
        <w:t>厂区及</w:t>
      </w:r>
      <w:r>
        <w:rPr>
          <w:rFonts w:hint="eastAsia" w:ascii="宋体" w:hAnsi="宋体"/>
          <w:sz w:val="24"/>
          <w:szCs w:val="24"/>
        </w:rPr>
        <w:t>其下游区域的单元格进行了加密。</w:t>
      </w:r>
    </w:p>
    <w:p/>
    <w:p>
      <w:pPr>
        <w:jc w:val="center"/>
        <w:rPr>
          <w:b/>
          <w:bCs/>
          <w:sz w:val="24"/>
          <w:szCs w:val="24"/>
        </w:rPr>
      </w:pPr>
      <w:r>
        <w:drawing>
          <wp:inline distT="0" distB="0" distL="0" distR="0">
            <wp:extent cx="5271135" cy="3841750"/>
            <wp:effectExtent l="0" t="0" r="5715" b="635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271135" cy="3841750"/>
                    </a:xfrm>
                    <a:prstGeom prst="rect">
                      <a:avLst/>
                    </a:prstGeom>
                    <a:noFill/>
                    <a:ln>
                      <a:noFill/>
                    </a:ln>
                  </pic:spPr>
                </pic:pic>
              </a:graphicData>
            </a:graphic>
          </wp:inline>
        </w:drawing>
      </w:r>
      <w:r>
        <w:rPr>
          <w:b/>
          <w:bCs/>
          <w:sz w:val="24"/>
          <w:szCs w:val="24"/>
        </w:rPr>
        <w:t>图5.3.4-2  模型剖分图（局部）</w:t>
      </w:r>
    </w:p>
    <w:p>
      <w:pPr>
        <w:adjustRightInd w:val="0"/>
        <w:snapToGrid w:val="0"/>
        <w:spacing w:line="360" w:lineRule="auto"/>
        <w:ind w:firstLine="482"/>
        <w:rPr>
          <w:sz w:val="24"/>
          <w:szCs w:val="24"/>
        </w:rPr>
      </w:pPr>
      <w:r>
        <w:rPr>
          <w:rFonts w:hint="eastAsia" w:ascii="宋体" w:hAnsi="宋体"/>
          <w:sz w:val="24"/>
          <w:szCs w:val="24"/>
        </w:rPr>
        <w:t>②</w:t>
      </w:r>
      <w:r>
        <w:rPr>
          <w:rFonts w:hint="eastAsia"/>
          <w:sz w:val="24"/>
          <w:szCs w:val="24"/>
        </w:rPr>
        <w:t>参数识别</w:t>
      </w:r>
    </w:p>
    <w:p>
      <w:pPr>
        <w:adjustRightInd w:val="0"/>
        <w:snapToGrid w:val="0"/>
        <w:spacing w:line="360" w:lineRule="auto"/>
        <w:ind w:firstLine="482"/>
        <w:rPr>
          <w:sz w:val="24"/>
          <w:szCs w:val="24"/>
        </w:rPr>
      </w:pPr>
      <w:r>
        <w:rPr>
          <w:rFonts w:hint="eastAsia"/>
          <w:sz w:val="24"/>
          <w:szCs w:val="24"/>
        </w:rPr>
        <w:t>根据水文地质模型所建立的数值模型，必须反映实际流场的特点。因此，在进行模拟预测前，必须对数值模型进行校正（识别）。结合评价区水文地质条件以及水文地质参数，并通过计算水位和实测水位拟合分析，反复调整参数，最终得到了含水层参数。模型计算和实测地下水位等值线对比图如图</w:t>
      </w:r>
      <w:r>
        <w:rPr>
          <w:sz w:val="24"/>
          <w:szCs w:val="24"/>
        </w:rPr>
        <w:t>5.3.4-3</w:t>
      </w:r>
      <w:r>
        <w:rPr>
          <w:rFonts w:hint="eastAsia"/>
          <w:sz w:val="24"/>
          <w:szCs w:val="24"/>
        </w:rPr>
        <w:t>所示，各</w:t>
      </w:r>
      <w:r>
        <w:rPr>
          <w:sz w:val="24"/>
          <w:szCs w:val="24"/>
        </w:rPr>
        <w:t>等水位线拟合情况较好</w:t>
      </w:r>
      <w:r>
        <w:rPr>
          <w:rFonts w:hint="eastAsia"/>
          <w:sz w:val="24"/>
          <w:szCs w:val="24"/>
        </w:rPr>
        <w:t>，模型识别取得了较为理想的效果，说明建立的模型是可靠的。水文地质参数分区如图</w:t>
      </w:r>
      <w:r>
        <w:rPr>
          <w:sz w:val="24"/>
        </w:rPr>
        <w:t>5.3.4</w:t>
      </w:r>
      <w:r>
        <w:rPr>
          <w:rFonts w:hint="eastAsia"/>
          <w:sz w:val="24"/>
        </w:rPr>
        <w:t>-</w:t>
      </w:r>
      <w:r>
        <w:rPr>
          <w:sz w:val="24"/>
        </w:rPr>
        <w:t>4</w:t>
      </w:r>
      <w:r>
        <w:rPr>
          <w:rFonts w:hint="eastAsia"/>
          <w:sz w:val="24"/>
          <w:szCs w:val="24"/>
        </w:rPr>
        <w:t>所示，各分区参数见表</w:t>
      </w:r>
      <w:r>
        <w:rPr>
          <w:sz w:val="24"/>
        </w:rPr>
        <w:t>5.3.4</w:t>
      </w:r>
      <w:r>
        <w:rPr>
          <w:rFonts w:hint="eastAsia"/>
          <w:sz w:val="24"/>
        </w:rPr>
        <w:t>-</w:t>
      </w:r>
      <w:r>
        <w:rPr>
          <w:sz w:val="24"/>
        </w:rPr>
        <w:t>2</w:t>
      </w:r>
      <w:r>
        <w:rPr>
          <w:rFonts w:hint="eastAsia"/>
          <w:sz w:val="24"/>
          <w:szCs w:val="24"/>
        </w:rPr>
        <w:t>。</w:t>
      </w:r>
    </w:p>
    <w:p>
      <w:pPr>
        <w:spacing w:before="48"/>
        <w:rPr>
          <w:rFonts w:ascii="Arial" w:hAnsi="Arial" w:eastAsia="黑体" w:cs="Arial"/>
          <w:sz w:val="20"/>
          <w:szCs w:val="24"/>
        </w:rPr>
      </w:pPr>
      <w:r>
        <w:rPr>
          <w:rFonts w:ascii="Arial" w:hAnsi="Arial" w:eastAsia="黑体" w:cs="Arial"/>
          <w:sz w:val="20"/>
        </w:rPr>
        <w:drawing>
          <wp:inline distT="0" distB="0" distL="0" distR="0">
            <wp:extent cx="5274310" cy="3845560"/>
            <wp:effectExtent l="0" t="0" r="2540" b="254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74310" cy="3845560"/>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 xml:space="preserve">5.3.4-3  </w:t>
      </w:r>
      <w:r>
        <w:rPr>
          <w:rFonts w:hint="eastAsia"/>
          <w:b/>
          <w:bCs/>
          <w:sz w:val="24"/>
          <w:szCs w:val="24"/>
        </w:rPr>
        <w:t>模拟区计算与实测地下水位对比图</w:t>
      </w:r>
    </w:p>
    <w:p>
      <w:pPr>
        <w:spacing w:before="48"/>
        <w:ind w:firstLine="480"/>
        <w:jc w:val="center"/>
        <w:rPr>
          <w:rFonts w:ascii="Arial" w:hAnsi="Arial" w:eastAsia="黑体" w:cs="Arial"/>
          <w:sz w:val="20"/>
        </w:rPr>
      </w:pPr>
      <w:r>
        <w:rPr>
          <w:rFonts w:hint="eastAsia" w:ascii="Arial" w:hAnsi="Arial" w:eastAsia="黑体" w:cs="Arial"/>
          <w:sz w:val="20"/>
        </w:rPr>
        <mc:AlternateContent>
          <mc:Choice Requires="wps">
            <w:drawing>
              <wp:anchor distT="0" distB="0" distL="114300" distR="114300" simplePos="0" relativeHeight="251763712" behindDoc="0" locked="0" layoutInCell="1" allowOverlap="1">
                <wp:simplePos x="0" y="0"/>
                <wp:positionH relativeFrom="column">
                  <wp:posOffset>2921000</wp:posOffset>
                </wp:positionH>
                <wp:positionV relativeFrom="paragraph">
                  <wp:posOffset>125730</wp:posOffset>
                </wp:positionV>
                <wp:extent cx="374650" cy="0"/>
                <wp:effectExtent l="0" t="0" r="0" b="0"/>
                <wp:wrapNone/>
                <wp:docPr id="197" name="直接连接符 197"/>
                <wp:cNvGraphicFramePr/>
                <a:graphic xmlns:a="http://schemas.openxmlformats.org/drawingml/2006/main">
                  <a:graphicData uri="http://schemas.microsoft.com/office/word/2010/wordprocessingShape">
                    <wps:wsp>
                      <wps:cNvCnPr/>
                      <wps:spPr>
                        <a:xfrm flipH="1">
                          <a:off x="0" y="0"/>
                          <a:ext cx="374650" cy="0"/>
                        </a:xfrm>
                        <a:prstGeom prst="line">
                          <a:avLst/>
                        </a:prstGeom>
                        <a:noFill/>
                        <a:ln w="9525" cap="flat" cmpd="sng" algn="ctr">
                          <a:solidFill>
                            <a:srgbClr val="1F497D">
                              <a:lumMod val="60000"/>
                              <a:lumOff val="40000"/>
                            </a:srgbClr>
                          </a:solidFill>
                          <a:prstDash val="solid"/>
                        </a:ln>
                        <a:effectLst/>
                      </wps:spPr>
                      <wps:bodyPr/>
                    </wps:wsp>
                  </a:graphicData>
                </a:graphic>
              </wp:anchor>
            </w:drawing>
          </mc:Choice>
          <mc:Fallback>
            <w:pict>
              <v:line id="_x0000_s1026" o:spid="_x0000_s1026" o:spt="20" style="position:absolute;left:0pt;flip:x;margin-left:230pt;margin-top:9.9pt;height:0pt;width:29.5pt;z-index:251763712;mso-width-relative:page;mso-height-relative:page;" filled="f" stroked="t" coordsize="21600,21600" o:gfxdata="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APjHYAAAACQEAAA8AAAAAAAAAAQAgAAAAIgAAAGRycy9k&#10;b3ducmV2LnhtbFBLAQIUABQAAAAIAIdO4kBv550qAgIAAO4DAAAOAAAAAAAAAAEAIAAAACcBAABk&#10;cnMvZTJvRG9jLnhtbFBLBQYAAAAABgAGAFkBAACbBQAAAAA=&#10;">
                <v:fill on="f" focussize="0,0"/>
                <v:stroke color="#558ED5" joinstyle="round"/>
                <v:imagedata o:title=""/>
                <o:lock v:ext="edit" aspectratio="f"/>
              </v:line>
            </w:pict>
          </mc:Fallback>
        </mc:AlternateContent>
      </w:r>
      <w:r>
        <w:rPr>
          <w:rFonts w:hint="eastAsia" w:ascii="Arial" w:hAnsi="Arial" w:eastAsia="黑体" w:cs="Arial"/>
          <w:sz w:val="20"/>
        </w:rPr>
        <mc:AlternateContent>
          <mc:Choice Requires="wps">
            <w:drawing>
              <wp:anchor distT="0" distB="0" distL="114300" distR="114300" simplePos="0" relativeHeight="251760640" behindDoc="0" locked="0" layoutInCell="1" allowOverlap="1">
                <wp:simplePos x="0" y="0"/>
                <wp:positionH relativeFrom="column">
                  <wp:posOffset>1530350</wp:posOffset>
                </wp:positionH>
                <wp:positionV relativeFrom="paragraph">
                  <wp:posOffset>125730</wp:posOffset>
                </wp:positionV>
                <wp:extent cx="374650" cy="0"/>
                <wp:effectExtent l="0" t="0" r="0" b="0"/>
                <wp:wrapNone/>
                <wp:docPr id="198" name="直接连接符 198"/>
                <wp:cNvGraphicFramePr/>
                <a:graphic xmlns:a="http://schemas.openxmlformats.org/drawingml/2006/main">
                  <a:graphicData uri="http://schemas.microsoft.com/office/word/2010/wordprocessingShape">
                    <wps:wsp>
                      <wps:cNvCnPr/>
                      <wps:spPr>
                        <a:xfrm flipH="1">
                          <a:off x="0" y="0"/>
                          <a:ext cx="374650" cy="0"/>
                        </a:xfrm>
                        <a:prstGeom prst="line">
                          <a:avLst/>
                        </a:prstGeom>
                        <a:noFill/>
                        <a:ln w="9525" cap="flat" cmpd="sng" algn="ctr">
                          <a:solidFill>
                            <a:srgbClr val="00B050"/>
                          </a:solidFill>
                          <a:prstDash val="solid"/>
                        </a:ln>
                        <a:effectLst/>
                      </wps:spPr>
                      <wps:bodyPr/>
                    </wps:wsp>
                  </a:graphicData>
                </a:graphic>
              </wp:anchor>
            </w:drawing>
          </mc:Choice>
          <mc:Fallback>
            <w:pict>
              <v:line id="_x0000_s1026" o:spid="_x0000_s1026" o:spt="20" style="position:absolute;left:0pt;flip:x;margin-left:120.5pt;margin-top:9.9pt;height:0pt;width:29.5pt;z-index:251760640;mso-width-relative:page;mso-height-relative:page;" filled="f" stroked="t" coordsize="21600,21600" o:gfxdata="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67t4g1QAA&#10;AAkBAAAPAAAAAAAAAAEAIAAAACIAAABkcnMvZG93bnJldi54bWxQSwECFAAUAAAACACHTuJATJjy&#10;eugBAAC1AwAADgAAAAAAAAABACAAAAAkAQAAZHJzL2Uyb0RvYy54bWxQSwUGAAAAAAYABgBZAQAA&#10;fgUAAAAA&#10;">
                <v:fill on="f" focussize="0,0"/>
                <v:stroke color="#00B050" joinstyle="round"/>
                <v:imagedata o:title=""/>
                <o:lock v:ext="edit" aspectratio="f"/>
              </v:line>
            </w:pict>
          </mc:Fallback>
        </mc:AlternateContent>
      </w:r>
      <w:r>
        <w:rPr>
          <w:rFonts w:hint="eastAsia" w:ascii="Arial" w:hAnsi="Arial" w:eastAsia="黑体" w:cs="Arial"/>
          <w:sz w:val="20"/>
        </w:rPr>
        <w:t xml:space="preserve">（ </w:t>
      </w:r>
      <w:r>
        <w:rPr>
          <w:rFonts w:ascii="Arial" w:hAnsi="Arial" w:eastAsia="黑体" w:cs="Arial"/>
          <w:sz w:val="20"/>
        </w:rPr>
        <w:t xml:space="preserve">        </w:t>
      </w:r>
      <w:r>
        <w:rPr>
          <w:rFonts w:hint="eastAsia" w:ascii="Arial" w:hAnsi="Arial" w:eastAsia="黑体" w:cs="Arial"/>
          <w:sz w:val="20"/>
        </w:rPr>
        <w:t>实测地下水</w:t>
      </w:r>
      <w:r>
        <w:rPr>
          <w:rFonts w:ascii="Arial" w:hAnsi="Arial" w:eastAsia="黑体" w:cs="Arial"/>
          <w:sz w:val="20"/>
        </w:rPr>
        <w:t>位</w:t>
      </w:r>
      <w:r>
        <w:rPr>
          <w:rFonts w:hint="eastAsia" w:ascii="Arial" w:hAnsi="Arial" w:eastAsia="黑体" w:cs="Arial"/>
          <w:sz w:val="20"/>
        </w:rPr>
        <w:t xml:space="preserve">   </w:t>
      </w:r>
      <w:r>
        <w:rPr>
          <w:rFonts w:hint="eastAsia" w:ascii="Arial" w:hAnsi="Arial" w:eastAsia="黑体" w:cs="Arial"/>
          <w:b/>
          <w:bCs/>
          <w:sz w:val="20"/>
        </w:rPr>
        <w:t xml:space="preserve"> </w:t>
      </w:r>
      <w:r>
        <w:rPr>
          <w:rFonts w:ascii="Arial" w:hAnsi="Arial" w:eastAsia="黑体" w:cs="Arial"/>
          <w:b/>
          <w:bCs/>
          <w:sz w:val="20"/>
        </w:rPr>
        <w:t xml:space="preserve">     </w:t>
      </w:r>
      <w:r>
        <w:rPr>
          <w:rFonts w:hint="eastAsia" w:ascii="Arial" w:hAnsi="Arial" w:eastAsia="黑体" w:cs="Arial"/>
          <w:sz w:val="20"/>
        </w:rPr>
        <w:t>模拟</w:t>
      </w:r>
      <w:r>
        <w:rPr>
          <w:rFonts w:ascii="Arial" w:hAnsi="Arial" w:eastAsia="黑体" w:cs="Arial"/>
          <w:sz w:val="20"/>
        </w:rPr>
        <w:t>地下水位）</w:t>
      </w:r>
    </w:p>
    <w:p>
      <w:pPr>
        <w:jc w:val="center"/>
        <w:rPr>
          <w:b/>
          <w:bCs/>
          <w:sz w:val="24"/>
          <w:szCs w:val="24"/>
        </w:rPr>
      </w:pPr>
    </w:p>
    <w:p>
      <w:pPr>
        <w:jc w:val="center"/>
        <w:rPr>
          <w:b/>
          <w:bCs/>
          <w:sz w:val="24"/>
          <w:szCs w:val="24"/>
        </w:rPr>
      </w:pPr>
      <w:r>
        <w:rPr>
          <w:rFonts w:hint="eastAsia"/>
          <w:b/>
          <w:bCs/>
          <w:sz w:val="24"/>
          <w:szCs w:val="24"/>
        </w:rPr>
        <w:t>表5.3.4-2</w:t>
      </w:r>
      <w:r>
        <w:rPr>
          <w:b/>
          <w:bCs/>
          <w:sz w:val="24"/>
          <w:szCs w:val="24"/>
        </w:rPr>
        <w:t xml:space="preserve"> </w:t>
      </w:r>
      <w:r>
        <w:rPr>
          <w:rFonts w:hint="eastAsia"/>
          <w:b/>
          <w:bCs/>
          <w:sz w:val="24"/>
          <w:szCs w:val="24"/>
        </w:rPr>
        <w:t>各分区水文地质参数</w:t>
      </w:r>
      <w:r>
        <w:rPr>
          <w:b/>
          <w:bCs/>
          <w:sz w:val="24"/>
          <w:szCs w:val="24"/>
        </w:rPr>
        <w:t>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03"/>
        <w:gridCol w:w="1764"/>
        <w:gridCol w:w="1819"/>
        <w:gridCol w:w="1819"/>
        <w:gridCol w:w="18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 w:type="pct"/>
            <w:vMerge w:val="restart"/>
            <w:vAlign w:val="center"/>
          </w:tcPr>
          <w:p>
            <w:pPr>
              <w:spacing w:line="320" w:lineRule="exact"/>
              <w:jc w:val="center"/>
              <w:rPr>
                <w:rFonts w:cs="宋体"/>
                <w:kern w:val="0"/>
              </w:rPr>
            </w:pPr>
            <w:r>
              <w:rPr>
                <w:rFonts w:hint="eastAsia" w:cs="宋体"/>
                <w:kern w:val="0"/>
              </w:rPr>
              <w:t>分区号</w:t>
            </w:r>
          </w:p>
        </w:tc>
        <w:tc>
          <w:tcPr>
            <w:tcW w:w="3169" w:type="pct"/>
            <w:gridSpan w:val="3"/>
            <w:vAlign w:val="center"/>
          </w:tcPr>
          <w:p>
            <w:pPr>
              <w:spacing w:line="320" w:lineRule="exact"/>
              <w:jc w:val="center"/>
              <w:rPr>
                <w:rFonts w:cs="宋体"/>
                <w:kern w:val="0"/>
              </w:rPr>
            </w:pPr>
            <w:r>
              <w:rPr>
                <w:rFonts w:hint="eastAsia" w:cs="宋体"/>
                <w:kern w:val="0"/>
              </w:rPr>
              <w:t>渗透系数（m/d</w:t>
            </w:r>
            <w:r>
              <w:rPr>
                <w:rFonts w:hint="eastAsia" w:ascii="宋体" w:hAnsi="宋体" w:cs="宋体"/>
                <w:kern w:val="0"/>
              </w:rPr>
              <w:t>）</w:t>
            </w:r>
          </w:p>
        </w:tc>
        <w:tc>
          <w:tcPr>
            <w:tcW w:w="1066" w:type="pct"/>
            <w:vMerge w:val="restart"/>
            <w:vAlign w:val="center"/>
          </w:tcPr>
          <w:p>
            <w:pPr>
              <w:spacing w:line="320" w:lineRule="exact"/>
              <w:jc w:val="center"/>
              <w:rPr>
                <w:rFonts w:cs="宋体"/>
                <w:kern w:val="0"/>
              </w:rPr>
            </w:pPr>
            <w:r>
              <w:rPr>
                <w:rFonts w:hint="eastAsia" w:cs="宋体"/>
                <w:kern w:val="0"/>
              </w:rPr>
              <w:t>给水系数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 w:type="pct"/>
            <w:vMerge w:val="continue"/>
            <w:vAlign w:val="center"/>
          </w:tcPr>
          <w:p>
            <w:pPr>
              <w:spacing w:line="320" w:lineRule="exact"/>
              <w:jc w:val="center"/>
              <w:rPr>
                <w:rFonts w:cs="宋体"/>
                <w:kern w:val="0"/>
              </w:rPr>
            </w:pPr>
          </w:p>
        </w:tc>
        <w:tc>
          <w:tcPr>
            <w:tcW w:w="1035" w:type="pct"/>
            <w:vAlign w:val="center"/>
          </w:tcPr>
          <w:p>
            <w:pPr>
              <w:spacing w:line="320" w:lineRule="exact"/>
              <w:jc w:val="center"/>
              <w:rPr>
                <w:rFonts w:cs="宋体"/>
                <w:kern w:val="0"/>
              </w:rPr>
            </w:pPr>
            <w:r>
              <w:rPr>
                <w:rFonts w:cs="宋体"/>
                <w:kern w:val="0"/>
              </w:rPr>
              <w:t>X</w:t>
            </w:r>
            <w:r>
              <w:rPr>
                <w:rFonts w:hint="eastAsia" w:cs="宋体"/>
                <w:kern w:val="0"/>
              </w:rPr>
              <w:t>方向</w:t>
            </w:r>
          </w:p>
        </w:tc>
        <w:tc>
          <w:tcPr>
            <w:tcW w:w="1067" w:type="pct"/>
            <w:vAlign w:val="center"/>
          </w:tcPr>
          <w:p>
            <w:pPr>
              <w:spacing w:line="320" w:lineRule="exact"/>
              <w:jc w:val="center"/>
              <w:rPr>
                <w:rFonts w:cs="宋体"/>
                <w:kern w:val="0"/>
              </w:rPr>
            </w:pPr>
            <w:r>
              <w:rPr>
                <w:rFonts w:hint="eastAsia" w:cs="宋体"/>
                <w:kern w:val="0"/>
              </w:rPr>
              <w:t>Y</w:t>
            </w:r>
            <w:r>
              <w:rPr>
                <w:rFonts w:hint="eastAsia" w:ascii="宋体" w:hAnsi="宋体" w:cs="宋体"/>
                <w:kern w:val="0"/>
              </w:rPr>
              <w:t>方向</w:t>
            </w:r>
          </w:p>
        </w:tc>
        <w:tc>
          <w:tcPr>
            <w:tcW w:w="1067" w:type="pct"/>
            <w:vAlign w:val="center"/>
          </w:tcPr>
          <w:p>
            <w:pPr>
              <w:spacing w:line="320" w:lineRule="exact"/>
              <w:jc w:val="center"/>
              <w:rPr>
                <w:rFonts w:cs="宋体"/>
                <w:kern w:val="0"/>
              </w:rPr>
            </w:pPr>
            <w:r>
              <w:rPr>
                <w:rFonts w:hint="eastAsia" w:cs="宋体"/>
                <w:kern w:val="0"/>
              </w:rPr>
              <w:t>Z</w:t>
            </w:r>
            <w:r>
              <w:rPr>
                <w:rFonts w:hint="eastAsia" w:ascii="宋体" w:hAnsi="宋体" w:cs="宋体"/>
                <w:kern w:val="0"/>
              </w:rPr>
              <w:t>方向</w:t>
            </w:r>
          </w:p>
        </w:tc>
        <w:tc>
          <w:tcPr>
            <w:tcW w:w="1066" w:type="pct"/>
            <w:vMerge w:val="continue"/>
            <w:vAlign w:val="center"/>
          </w:tcPr>
          <w:p>
            <w:pPr>
              <w:spacing w:line="320" w:lineRule="exact"/>
              <w:jc w:val="center"/>
              <w:rPr>
                <w:rFonts w:cs="宋体"/>
                <w:kern w:val="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 w:type="pct"/>
            <w:vAlign w:val="center"/>
          </w:tcPr>
          <w:p>
            <w:pPr>
              <w:spacing w:line="320" w:lineRule="exact"/>
              <w:jc w:val="center"/>
              <w:rPr>
                <w:rFonts w:cs="宋体"/>
                <w:kern w:val="0"/>
              </w:rPr>
            </w:pPr>
            <w:r>
              <w:rPr>
                <w:rFonts w:cs="宋体"/>
                <w:kern w:val="0"/>
              </w:rPr>
              <w:t>1区</w:t>
            </w:r>
          </w:p>
        </w:tc>
        <w:tc>
          <w:tcPr>
            <w:tcW w:w="1035" w:type="pct"/>
            <w:vAlign w:val="center"/>
          </w:tcPr>
          <w:p>
            <w:pPr>
              <w:spacing w:line="320" w:lineRule="exact"/>
              <w:jc w:val="center"/>
              <w:rPr>
                <w:rFonts w:cs="宋体"/>
                <w:kern w:val="0"/>
              </w:rPr>
            </w:pPr>
            <w:r>
              <w:rPr>
                <w:rFonts w:cs="宋体"/>
                <w:kern w:val="0"/>
              </w:rPr>
              <w:t>1</w:t>
            </w:r>
          </w:p>
        </w:tc>
        <w:tc>
          <w:tcPr>
            <w:tcW w:w="1067" w:type="pct"/>
            <w:vAlign w:val="center"/>
          </w:tcPr>
          <w:p>
            <w:pPr>
              <w:spacing w:line="320" w:lineRule="exact"/>
              <w:jc w:val="center"/>
              <w:rPr>
                <w:rFonts w:cs="宋体"/>
                <w:kern w:val="0"/>
              </w:rPr>
            </w:pPr>
            <w:r>
              <w:rPr>
                <w:rFonts w:cs="宋体"/>
                <w:kern w:val="0"/>
              </w:rPr>
              <w:t>1</w:t>
            </w:r>
          </w:p>
        </w:tc>
        <w:tc>
          <w:tcPr>
            <w:tcW w:w="1067" w:type="pct"/>
            <w:vAlign w:val="center"/>
          </w:tcPr>
          <w:p>
            <w:pPr>
              <w:spacing w:line="320" w:lineRule="exact"/>
              <w:jc w:val="center"/>
              <w:rPr>
                <w:rFonts w:cs="宋体"/>
                <w:kern w:val="0"/>
              </w:rPr>
            </w:pPr>
            <w:r>
              <w:rPr>
                <w:rFonts w:cs="宋体"/>
                <w:kern w:val="0"/>
              </w:rPr>
              <w:t>0.1</w:t>
            </w:r>
          </w:p>
        </w:tc>
        <w:tc>
          <w:tcPr>
            <w:tcW w:w="1066" w:type="pct"/>
            <w:vAlign w:val="center"/>
          </w:tcPr>
          <w:p>
            <w:pPr>
              <w:spacing w:line="320" w:lineRule="exact"/>
              <w:jc w:val="center"/>
              <w:rPr>
                <w:rFonts w:cs="宋体"/>
                <w:kern w:val="0"/>
              </w:rPr>
            </w:pPr>
            <w:r>
              <w:rPr>
                <w:rFonts w:hint="eastAsia" w:cs="宋体"/>
                <w:kern w:val="0"/>
              </w:rPr>
              <w:t>1E-</w:t>
            </w:r>
            <w:r>
              <w:rPr>
                <w:rFonts w:cs="宋体"/>
                <w:kern w:val="0"/>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 w:type="pct"/>
            <w:vAlign w:val="center"/>
          </w:tcPr>
          <w:p>
            <w:pPr>
              <w:spacing w:line="320" w:lineRule="exact"/>
              <w:jc w:val="center"/>
              <w:rPr>
                <w:rFonts w:cs="宋体"/>
                <w:kern w:val="0"/>
              </w:rPr>
            </w:pPr>
            <w:r>
              <w:rPr>
                <w:rFonts w:cs="宋体"/>
                <w:kern w:val="0"/>
              </w:rPr>
              <w:t>2区</w:t>
            </w:r>
          </w:p>
        </w:tc>
        <w:tc>
          <w:tcPr>
            <w:tcW w:w="1035" w:type="pct"/>
            <w:vAlign w:val="center"/>
          </w:tcPr>
          <w:p>
            <w:pPr>
              <w:spacing w:line="320" w:lineRule="exact"/>
              <w:jc w:val="center"/>
              <w:rPr>
                <w:rFonts w:cs="宋体"/>
                <w:kern w:val="0"/>
              </w:rPr>
            </w:pPr>
            <w:r>
              <w:rPr>
                <w:rFonts w:cs="宋体"/>
                <w:kern w:val="0"/>
              </w:rPr>
              <w:t>8</w:t>
            </w:r>
          </w:p>
        </w:tc>
        <w:tc>
          <w:tcPr>
            <w:tcW w:w="1067" w:type="pct"/>
            <w:vAlign w:val="center"/>
          </w:tcPr>
          <w:p>
            <w:pPr>
              <w:spacing w:line="320" w:lineRule="exact"/>
              <w:jc w:val="center"/>
              <w:rPr>
                <w:rFonts w:cs="宋体"/>
                <w:kern w:val="0"/>
              </w:rPr>
            </w:pPr>
            <w:r>
              <w:rPr>
                <w:rFonts w:cs="宋体"/>
                <w:kern w:val="0"/>
              </w:rPr>
              <w:t>8</w:t>
            </w:r>
          </w:p>
        </w:tc>
        <w:tc>
          <w:tcPr>
            <w:tcW w:w="1067" w:type="pct"/>
            <w:vAlign w:val="center"/>
          </w:tcPr>
          <w:p>
            <w:pPr>
              <w:spacing w:line="320" w:lineRule="exact"/>
              <w:jc w:val="center"/>
              <w:rPr>
                <w:rFonts w:cs="宋体"/>
                <w:kern w:val="0"/>
              </w:rPr>
            </w:pPr>
            <w:r>
              <w:rPr>
                <w:rFonts w:hint="eastAsia" w:cs="宋体"/>
                <w:kern w:val="0"/>
              </w:rPr>
              <w:t>0.8</w:t>
            </w:r>
          </w:p>
        </w:tc>
        <w:tc>
          <w:tcPr>
            <w:tcW w:w="1066" w:type="pct"/>
            <w:vAlign w:val="center"/>
          </w:tcPr>
          <w:p>
            <w:pPr>
              <w:spacing w:line="320" w:lineRule="exact"/>
              <w:jc w:val="center"/>
              <w:rPr>
                <w:rFonts w:cs="宋体"/>
                <w:kern w:val="0"/>
              </w:rPr>
            </w:pPr>
            <w:r>
              <w:rPr>
                <w:rFonts w:hint="eastAsia" w:cs="宋体"/>
                <w:kern w:val="0"/>
              </w:rPr>
              <w:t>1E-</w:t>
            </w:r>
            <w:r>
              <w:rPr>
                <w:rFonts w:cs="宋体"/>
                <w:kern w:val="0"/>
              </w:rPr>
              <w:t>5</w:t>
            </w:r>
          </w:p>
        </w:tc>
      </w:tr>
    </w:tbl>
    <w:p>
      <w:pPr>
        <w:ind w:firstLine="480"/>
        <w:rPr>
          <w:lang w:val="zh-CN"/>
        </w:rPr>
      </w:pPr>
    </w:p>
    <w:p>
      <w:pPr>
        <w:rPr>
          <w:rFonts w:ascii="Arial" w:hAnsi="Arial" w:eastAsia="黑体" w:cs="Arial"/>
          <w:sz w:val="20"/>
          <w:szCs w:val="24"/>
        </w:rPr>
      </w:pPr>
      <w:r>
        <w:rPr>
          <w:rFonts w:ascii="Arial" w:hAnsi="Arial" w:eastAsia="黑体" w:cs="Arial"/>
          <w:sz w:val="20"/>
        </w:rPr>
        <w:drawing>
          <wp:inline distT="0" distB="0" distL="0" distR="0">
            <wp:extent cx="5130800" cy="370014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132905" cy="3702292"/>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5.3.4</w:t>
      </w:r>
      <w:r>
        <w:rPr>
          <w:rFonts w:hint="eastAsia"/>
          <w:b/>
          <w:bCs/>
          <w:sz w:val="24"/>
          <w:szCs w:val="24"/>
        </w:rPr>
        <w:t>-</w:t>
      </w:r>
      <w:r>
        <w:rPr>
          <w:b/>
          <w:bCs/>
          <w:sz w:val="24"/>
          <w:szCs w:val="24"/>
        </w:rPr>
        <w:t xml:space="preserve">4 </w:t>
      </w:r>
      <w:r>
        <w:rPr>
          <w:rFonts w:hint="eastAsia"/>
          <w:b/>
          <w:bCs/>
          <w:sz w:val="24"/>
          <w:szCs w:val="24"/>
        </w:rPr>
        <w:t>水文地质参数分区图</w:t>
      </w:r>
    </w:p>
    <w:p>
      <w:pPr>
        <w:adjustRightInd w:val="0"/>
        <w:snapToGrid w:val="0"/>
        <w:spacing w:line="360" w:lineRule="auto"/>
        <w:jc w:val="left"/>
        <w:rPr>
          <w:b/>
          <w:bCs/>
          <w:sz w:val="24"/>
        </w:rPr>
      </w:pPr>
      <w:r>
        <w:rPr>
          <w:b/>
          <w:bCs/>
          <w:sz w:val="24"/>
        </w:rPr>
        <w:t>5.3.4.2.4</w:t>
      </w:r>
      <w:r>
        <w:rPr>
          <w:rFonts w:hint="eastAsia"/>
          <w:b/>
          <w:bCs/>
          <w:sz w:val="24"/>
        </w:rPr>
        <w:t>溶质运移数学模型</w:t>
      </w:r>
    </w:p>
    <w:p>
      <w:pPr>
        <w:adjustRightInd w:val="0"/>
        <w:snapToGrid w:val="0"/>
        <w:spacing w:line="360" w:lineRule="auto"/>
        <w:ind w:firstLine="480"/>
        <w:rPr>
          <w:sz w:val="24"/>
          <w:szCs w:val="24"/>
        </w:rPr>
      </w:pPr>
      <w:r>
        <w:rPr>
          <w:rFonts w:hint="eastAsia" w:ascii="宋体" w:hAnsi="宋体"/>
          <w:sz w:val="24"/>
          <w:szCs w:val="24"/>
        </w:rPr>
        <w:t>①</w:t>
      </w:r>
      <w:r>
        <w:rPr>
          <w:rFonts w:hint="eastAsia"/>
          <w:sz w:val="24"/>
          <w:szCs w:val="24"/>
        </w:rPr>
        <w:t>控制方程</w:t>
      </w:r>
    </w:p>
    <w:p>
      <w:pPr>
        <w:adjustRightInd w:val="0"/>
        <w:snapToGrid w:val="0"/>
        <w:spacing w:line="360" w:lineRule="auto"/>
        <w:ind w:firstLine="480"/>
        <w:rPr>
          <w:sz w:val="24"/>
          <w:szCs w:val="24"/>
        </w:rPr>
      </w:pPr>
      <w:r>
        <w:rPr>
          <w:rFonts w:hint="eastAsia"/>
          <w:sz w:val="24"/>
          <w:szCs w:val="24"/>
        </w:rPr>
        <w:t>本次建立的地下水溶质运移模型是在三维水流影响下的三维弥散问题。溶质运移的三维水动力弥散方程的数学模型如下：</w:t>
      </w:r>
    </w:p>
    <w:p>
      <w:pPr>
        <w:adjustRightInd w:val="0"/>
        <w:snapToGrid w:val="0"/>
        <w:spacing w:line="360" w:lineRule="auto"/>
        <w:ind w:firstLine="480"/>
        <w:jc w:val="center"/>
        <w:rPr>
          <w:sz w:val="24"/>
          <w:szCs w:val="24"/>
        </w:rPr>
      </w:pPr>
      <w:r>
        <w:rPr>
          <w:snapToGrid w:val="0"/>
          <w:kern w:val="0"/>
          <w:position w:val="-34"/>
          <w:sz w:val="24"/>
          <w:szCs w:val="24"/>
        </w:rPr>
        <w:object>
          <v:shape id="_x0000_i1027" o:spt="75" type="#_x0000_t75" style="height:36pt;width:186pt;" o:ole="t" filled="f" o:preferrelative="t" stroked="f" coordsize="21600,21600">
            <v:path/>
            <v:fill on="f" focussize="0,0"/>
            <v:stroke on="f" joinstyle="miter"/>
            <v:imagedata r:id="rId92" o:title=""/>
            <o:lock v:ext="edit" aspectratio="t"/>
            <w10:wrap type="none"/>
            <w10:anchorlock/>
          </v:shape>
          <o:OLEObject Type="Embed" ProgID="Equation.3" ShapeID="_x0000_i1027" DrawAspect="Content" ObjectID="_1468075727" r:id="rId91">
            <o:LockedField>false</o:LockedField>
          </o:OLEObject>
        </w:object>
      </w:r>
      <w:r>
        <w:rPr>
          <w:snapToGrid w:val="0"/>
          <w:kern w:val="0"/>
          <w:sz w:val="24"/>
          <w:szCs w:val="24"/>
        </w:rPr>
        <w:t xml:space="preserve"> </w:t>
      </w:r>
      <w:r>
        <w:rPr>
          <w:sz w:val="24"/>
          <w:szCs w:val="24"/>
        </w:rPr>
        <w:t xml:space="preserve"> (</w:t>
      </w:r>
      <w:r>
        <w:rPr>
          <w:i/>
          <w:sz w:val="24"/>
          <w:szCs w:val="24"/>
        </w:rPr>
        <w:t>i,j</w:t>
      </w:r>
      <w:r>
        <w:rPr>
          <w:sz w:val="24"/>
          <w:szCs w:val="24"/>
        </w:rPr>
        <w:t>=1,2,3)</w:t>
      </w:r>
    </w:p>
    <w:p>
      <w:pPr>
        <w:adjustRightInd w:val="0"/>
        <w:snapToGrid w:val="0"/>
        <w:spacing w:line="360" w:lineRule="auto"/>
        <w:ind w:firstLine="480"/>
        <w:rPr>
          <w:sz w:val="24"/>
          <w:szCs w:val="24"/>
        </w:rPr>
      </w:pPr>
      <w:r>
        <w:rPr>
          <w:rFonts w:hint="eastAsia"/>
          <w:sz w:val="24"/>
          <w:szCs w:val="24"/>
        </w:rPr>
        <w:t>式中：</w:t>
      </w:r>
      <w:r>
        <w:rPr>
          <w:rFonts w:hint="eastAsia"/>
          <w:i/>
          <w:sz w:val="24"/>
          <w:szCs w:val="24"/>
        </w:rPr>
        <w:t>C</w:t>
      </w:r>
      <w:r>
        <w:rPr>
          <w:rFonts w:hint="eastAsia"/>
          <w:sz w:val="24"/>
          <w:szCs w:val="24"/>
        </w:rPr>
        <w:t>—地下水中组分的溶解相浓度，mg/m</w:t>
      </w:r>
      <w:r>
        <w:rPr>
          <w:rFonts w:hint="eastAsia"/>
          <w:sz w:val="24"/>
          <w:szCs w:val="24"/>
          <w:vertAlign w:val="superscript"/>
        </w:rPr>
        <w:t>3</w:t>
      </w:r>
      <w:r>
        <w:rPr>
          <w:rFonts w:hint="eastAsia"/>
          <w:sz w:val="24"/>
          <w:szCs w:val="24"/>
        </w:rPr>
        <w:t>；</w:t>
      </w:r>
    </w:p>
    <w:p>
      <w:pPr>
        <w:adjustRightInd w:val="0"/>
        <w:snapToGrid w:val="0"/>
        <w:spacing w:line="360" w:lineRule="auto"/>
        <w:ind w:firstLine="1200" w:firstLineChars="500"/>
        <w:rPr>
          <w:sz w:val="24"/>
          <w:szCs w:val="24"/>
        </w:rPr>
      </w:pPr>
      <w:r>
        <w:rPr>
          <w:i/>
          <w:sz w:val="24"/>
          <w:szCs w:val="24"/>
        </w:rPr>
        <w:t>θ</w:t>
      </w:r>
      <w:r>
        <w:rPr>
          <w:rFonts w:hint="eastAsia"/>
          <w:sz w:val="24"/>
          <w:szCs w:val="24"/>
        </w:rPr>
        <w:t>—含水介质的孔隙度，无量纲；</w:t>
      </w:r>
    </w:p>
    <w:p>
      <w:pPr>
        <w:adjustRightInd w:val="0"/>
        <w:snapToGrid w:val="0"/>
        <w:spacing w:line="360" w:lineRule="auto"/>
        <w:ind w:firstLine="1200" w:firstLineChars="500"/>
        <w:rPr>
          <w:sz w:val="24"/>
          <w:szCs w:val="24"/>
        </w:rPr>
      </w:pPr>
      <w:r>
        <w:rPr>
          <w:rFonts w:hint="eastAsia"/>
          <w:i/>
          <w:sz w:val="24"/>
          <w:szCs w:val="24"/>
        </w:rPr>
        <w:t>t</w:t>
      </w:r>
      <w:r>
        <w:rPr>
          <w:rFonts w:hint="eastAsia"/>
          <w:sz w:val="24"/>
          <w:szCs w:val="24"/>
        </w:rPr>
        <w:t>—时间，d；</w:t>
      </w:r>
    </w:p>
    <w:p>
      <w:pPr>
        <w:adjustRightInd w:val="0"/>
        <w:snapToGrid w:val="0"/>
        <w:spacing w:line="360" w:lineRule="auto"/>
        <w:ind w:firstLine="1200" w:firstLineChars="500"/>
        <w:rPr>
          <w:sz w:val="24"/>
          <w:szCs w:val="24"/>
        </w:rPr>
      </w:pPr>
      <w:r>
        <w:rPr>
          <w:rFonts w:hint="eastAsia"/>
          <w:i/>
          <w:sz w:val="24"/>
          <w:szCs w:val="24"/>
        </w:rPr>
        <w:t>x</w:t>
      </w:r>
      <w:r>
        <w:rPr>
          <w:rFonts w:hint="eastAsia"/>
          <w:i/>
          <w:sz w:val="24"/>
          <w:szCs w:val="24"/>
          <w:vertAlign w:val="subscript"/>
        </w:rPr>
        <w:t>i</w:t>
      </w:r>
      <w:r>
        <w:rPr>
          <w:rFonts w:hint="eastAsia"/>
          <w:sz w:val="24"/>
          <w:szCs w:val="24"/>
        </w:rPr>
        <w:t>—沿直角坐标系轴向的距离，m；</w:t>
      </w:r>
    </w:p>
    <w:p>
      <w:pPr>
        <w:adjustRightInd w:val="0"/>
        <w:snapToGrid w:val="0"/>
        <w:spacing w:line="360" w:lineRule="auto"/>
        <w:ind w:firstLine="1200" w:firstLineChars="500"/>
        <w:rPr>
          <w:sz w:val="24"/>
          <w:szCs w:val="24"/>
        </w:rPr>
      </w:pPr>
      <w:r>
        <w:rPr>
          <w:rFonts w:hint="eastAsia"/>
          <w:i/>
          <w:sz w:val="24"/>
          <w:szCs w:val="24"/>
        </w:rPr>
        <w:t>Dij</w:t>
      </w:r>
      <w:r>
        <w:rPr>
          <w:rFonts w:hint="eastAsia"/>
          <w:sz w:val="24"/>
          <w:szCs w:val="24"/>
        </w:rPr>
        <w:t>—水动力弥散系数张量，m</w:t>
      </w:r>
      <w:r>
        <w:rPr>
          <w:rFonts w:hint="eastAsia"/>
          <w:sz w:val="24"/>
          <w:szCs w:val="24"/>
          <w:vertAlign w:val="superscript"/>
        </w:rPr>
        <w:t>2</w:t>
      </w:r>
      <w:r>
        <w:rPr>
          <w:rFonts w:hint="eastAsia"/>
          <w:sz w:val="24"/>
          <w:szCs w:val="24"/>
        </w:rPr>
        <w:t>/d；</w:t>
      </w:r>
    </w:p>
    <w:p>
      <w:pPr>
        <w:adjustRightInd w:val="0"/>
        <w:snapToGrid w:val="0"/>
        <w:spacing w:line="360" w:lineRule="auto"/>
        <w:ind w:firstLine="1200" w:firstLineChars="500"/>
        <w:rPr>
          <w:sz w:val="24"/>
          <w:szCs w:val="24"/>
        </w:rPr>
      </w:pPr>
      <w:r>
        <w:rPr>
          <w:i/>
          <w:sz w:val="24"/>
          <w:szCs w:val="24"/>
        </w:rPr>
        <w:t>v</w:t>
      </w:r>
      <w:r>
        <w:rPr>
          <w:rFonts w:hint="eastAsia"/>
          <w:i/>
          <w:sz w:val="24"/>
          <w:szCs w:val="24"/>
          <w:vertAlign w:val="subscript"/>
        </w:rPr>
        <w:t>i</w:t>
      </w:r>
      <w:r>
        <w:rPr>
          <w:rFonts w:hint="eastAsia"/>
          <w:sz w:val="24"/>
          <w:szCs w:val="24"/>
        </w:rPr>
        <w:t>—孔隙水平均实际流速，m/d；</w:t>
      </w:r>
    </w:p>
    <w:p>
      <w:pPr>
        <w:adjustRightInd w:val="0"/>
        <w:snapToGrid w:val="0"/>
        <w:spacing w:line="360" w:lineRule="auto"/>
        <w:ind w:firstLine="1200" w:firstLineChars="500"/>
        <w:rPr>
          <w:sz w:val="24"/>
          <w:szCs w:val="24"/>
        </w:rPr>
      </w:pPr>
      <w:r>
        <w:rPr>
          <w:rFonts w:hint="eastAsia"/>
          <w:i/>
          <w:sz w:val="24"/>
          <w:szCs w:val="24"/>
        </w:rPr>
        <w:t>q</w:t>
      </w:r>
      <w:r>
        <w:rPr>
          <w:rFonts w:hint="eastAsia"/>
          <w:i/>
          <w:sz w:val="24"/>
          <w:szCs w:val="24"/>
          <w:vertAlign w:val="subscript"/>
        </w:rPr>
        <w:t>s</w:t>
      </w:r>
      <w:r>
        <w:rPr>
          <w:rFonts w:hint="eastAsia"/>
          <w:sz w:val="24"/>
          <w:szCs w:val="24"/>
        </w:rPr>
        <w:t>—含水层内源/汇的体积流量，1/d；</w:t>
      </w:r>
    </w:p>
    <w:p>
      <w:pPr>
        <w:adjustRightInd w:val="0"/>
        <w:snapToGrid w:val="0"/>
        <w:spacing w:line="360" w:lineRule="auto"/>
        <w:ind w:firstLine="1200" w:firstLineChars="500"/>
        <w:rPr>
          <w:sz w:val="24"/>
          <w:szCs w:val="24"/>
        </w:rPr>
      </w:pPr>
      <w:r>
        <w:rPr>
          <w:rFonts w:hint="eastAsia"/>
          <w:i/>
          <w:sz w:val="24"/>
          <w:szCs w:val="24"/>
        </w:rPr>
        <w:t>Cs</w:t>
      </w:r>
      <w:r>
        <w:rPr>
          <w:rFonts w:hint="eastAsia"/>
          <w:sz w:val="24"/>
          <w:szCs w:val="24"/>
        </w:rPr>
        <w:t>—源或汇水流中组分的浓度，mg/m</w:t>
      </w:r>
      <w:r>
        <w:rPr>
          <w:rFonts w:hint="eastAsia"/>
          <w:sz w:val="24"/>
          <w:szCs w:val="24"/>
          <w:vertAlign w:val="superscript"/>
        </w:rPr>
        <w:t>3</w:t>
      </w:r>
      <w:r>
        <w:rPr>
          <w:rFonts w:hint="eastAsia"/>
          <w:sz w:val="24"/>
          <w:szCs w:val="24"/>
        </w:rPr>
        <w:t>；</w:t>
      </w:r>
    </w:p>
    <w:p>
      <w:pPr>
        <w:adjustRightInd w:val="0"/>
        <w:snapToGrid w:val="0"/>
        <w:spacing w:line="360" w:lineRule="auto"/>
        <w:ind w:firstLine="480"/>
        <w:rPr>
          <w:sz w:val="24"/>
          <w:szCs w:val="24"/>
        </w:rPr>
      </w:pPr>
      <w:r>
        <w:rPr>
          <w:rFonts w:hint="eastAsia"/>
          <w:sz w:val="24"/>
          <w:szCs w:val="24"/>
        </w:rPr>
        <w:t>在模拟污染物扩散时，不考虑吸附作用、化学反应等因素，重点考虑对流、弥散作用。</w:t>
      </w:r>
    </w:p>
    <w:p>
      <w:pPr>
        <w:adjustRightInd w:val="0"/>
        <w:snapToGrid w:val="0"/>
        <w:spacing w:line="360" w:lineRule="auto"/>
        <w:ind w:firstLine="480"/>
        <w:rPr>
          <w:sz w:val="24"/>
          <w:szCs w:val="24"/>
        </w:rPr>
      </w:pPr>
      <w:r>
        <w:rPr>
          <w:rFonts w:hint="eastAsia" w:ascii="宋体" w:hAnsi="宋体"/>
          <w:sz w:val="24"/>
          <w:szCs w:val="24"/>
        </w:rPr>
        <w:t>②</w:t>
      </w:r>
      <w:r>
        <w:rPr>
          <w:rFonts w:hint="eastAsia"/>
          <w:sz w:val="24"/>
          <w:szCs w:val="24"/>
        </w:rPr>
        <w:t>初始条件</w:t>
      </w:r>
    </w:p>
    <w:p>
      <w:pPr>
        <w:adjustRightInd w:val="0"/>
        <w:snapToGrid w:val="0"/>
        <w:spacing w:line="360" w:lineRule="auto"/>
        <w:ind w:firstLine="480"/>
        <w:rPr>
          <w:sz w:val="24"/>
          <w:szCs w:val="24"/>
        </w:rPr>
      </w:pPr>
      <w:r>
        <w:rPr>
          <w:rFonts w:hint="eastAsia"/>
          <w:sz w:val="24"/>
          <w:szCs w:val="24"/>
        </w:rPr>
        <w:t>初始浓度定为0mg/L，具体表述为：</w:t>
      </w:r>
    </w:p>
    <w:p>
      <w:pPr>
        <w:adjustRightInd w:val="0"/>
        <w:snapToGrid w:val="0"/>
        <w:spacing w:line="360" w:lineRule="auto"/>
        <w:jc w:val="center"/>
        <w:rPr>
          <w:sz w:val="24"/>
          <w:szCs w:val="24"/>
        </w:rPr>
      </w:pPr>
      <w:r>
        <w:rPr>
          <w:position w:val="-10"/>
          <w:sz w:val="24"/>
          <w:szCs w:val="24"/>
        </w:rPr>
        <w:object>
          <v:shape id="_x0000_i1028" o:spt="75" type="#_x0000_t75" style="height:16.5pt;width:75.75pt;" o:ole="t" filled="f" o:preferrelative="t" stroked="f" coordsize="21600,21600">
            <v:path/>
            <v:fill on="f" focussize="0,0"/>
            <v:stroke on="f" joinstyle="miter"/>
            <v:imagedata r:id="rId94" o:title=""/>
            <o:lock v:ext="edit" aspectratio="t"/>
            <w10:wrap type="none"/>
            <w10:anchorlock/>
          </v:shape>
          <o:OLEObject Type="Embed" ProgID="Equation.3" ShapeID="_x0000_i1028" DrawAspect="Content" ObjectID="_1468075728" r:id="rId93">
            <o:LockedField>false</o:LockedField>
          </o:OLEObject>
        </w:object>
      </w:r>
    </w:p>
    <w:p>
      <w:pPr>
        <w:adjustRightInd w:val="0"/>
        <w:snapToGrid w:val="0"/>
        <w:spacing w:line="360" w:lineRule="auto"/>
        <w:ind w:firstLine="480"/>
        <w:rPr>
          <w:sz w:val="24"/>
          <w:szCs w:val="24"/>
        </w:rPr>
      </w:pPr>
      <w:r>
        <w:rPr>
          <w:rFonts w:hint="eastAsia" w:ascii="宋体" w:hAnsi="宋体"/>
          <w:sz w:val="24"/>
          <w:szCs w:val="24"/>
        </w:rPr>
        <w:t>③</w:t>
      </w:r>
      <w:r>
        <w:rPr>
          <w:rFonts w:hint="eastAsia"/>
          <w:sz w:val="24"/>
          <w:szCs w:val="24"/>
        </w:rPr>
        <w:t>边界条件</w:t>
      </w:r>
    </w:p>
    <w:p>
      <w:pPr>
        <w:adjustRightInd w:val="0"/>
        <w:snapToGrid w:val="0"/>
        <w:spacing w:line="360" w:lineRule="auto"/>
        <w:ind w:firstLine="480"/>
        <w:rPr>
          <w:sz w:val="24"/>
          <w:szCs w:val="24"/>
        </w:rPr>
      </w:pPr>
      <w:r>
        <w:rPr>
          <w:rFonts w:hint="eastAsia"/>
          <w:sz w:val="24"/>
          <w:szCs w:val="24"/>
        </w:rPr>
        <w:t>本次模拟将含水层各个边界均看做二类边界条件（Neumann边界），且穿越边界的弥散通量为0，具体可表述为：</w:t>
      </w:r>
    </w:p>
    <w:p>
      <w:pPr>
        <w:adjustRightInd w:val="0"/>
        <w:snapToGrid w:val="0"/>
        <w:spacing w:line="360" w:lineRule="auto"/>
        <w:jc w:val="center"/>
        <w:rPr>
          <w:sz w:val="24"/>
          <w:szCs w:val="24"/>
        </w:rPr>
      </w:pPr>
      <w:r>
        <w:rPr>
          <w:snapToGrid w:val="0"/>
          <w:kern w:val="0"/>
          <w:sz w:val="24"/>
          <w:szCs w:val="24"/>
        </w:rPr>
        <w:object>
          <v:shape id="_x0000_i1029" o:spt="75" type="#_x0000_t75" style="height:36pt;width:276pt;" o:ole="t" filled="f" o:preferrelative="t" stroked="f" coordsize="21600,21600">
            <v:path/>
            <v:fill on="f" focussize="0,0"/>
            <v:stroke on="f" joinstyle="miter"/>
            <v:imagedata r:id="rId96" o:title=""/>
            <o:lock v:ext="edit" aspectratio="t"/>
            <w10:wrap type="none"/>
            <w10:anchorlock/>
          </v:shape>
          <o:OLEObject Type="Embed" ProgID="Equation.3" ShapeID="_x0000_i1029" DrawAspect="Content" ObjectID="_1468075729" r:id="rId95">
            <o:LockedField>false</o:LockedField>
          </o:OLEObject>
        </w:object>
      </w:r>
    </w:p>
    <w:p>
      <w:pPr>
        <w:adjustRightInd w:val="0"/>
        <w:snapToGrid w:val="0"/>
        <w:spacing w:line="360" w:lineRule="auto"/>
        <w:ind w:firstLine="480"/>
        <w:rPr>
          <w:sz w:val="24"/>
          <w:szCs w:val="24"/>
        </w:rPr>
      </w:pPr>
      <w:r>
        <w:rPr>
          <w:rFonts w:hint="eastAsia"/>
          <w:sz w:val="24"/>
          <w:szCs w:val="24"/>
        </w:rPr>
        <w:t>式中：</w:t>
      </w:r>
      <w:r>
        <w:rPr>
          <w:sz w:val="24"/>
          <w:szCs w:val="24"/>
        </w:rPr>
        <w:t>Г2</w:t>
      </w:r>
      <w:r>
        <w:rPr>
          <w:rFonts w:hint="eastAsia"/>
          <w:sz w:val="24"/>
          <w:szCs w:val="24"/>
        </w:rPr>
        <w:t>为Neumann边界。</w:t>
      </w:r>
    </w:p>
    <w:p>
      <w:pPr>
        <w:adjustRightInd w:val="0"/>
        <w:snapToGrid w:val="0"/>
        <w:spacing w:line="360" w:lineRule="auto"/>
        <w:ind w:firstLine="480"/>
        <w:rPr>
          <w:sz w:val="24"/>
          <w:szCs w:val="24"/>
        </w:rPr>
      </w:pPr>
      <w:r>
        <w:rPr>
          <w:rFonts w:hint="eastAsia" w:ascii="宋体" w:hAnsi="宋体"/>
          <w:sz w:val="24"/>
          <w:szCs w:val="24"/>
        </w:rPr>
        <w:t>④</w:t>
      </w:r>
      <w:r>
        <w:rPr>
          <w:rFonts w:hint="eastAsia"/>
          <w:sz w:val="24"/>
          <w:szCs w:val="24"/>
        </w:rPr>
        <w:t>溶质运移数值模型及参数</w:t>
      </w:r>
    </w:p>
    <w:p>
      <w:pPr>
        <w:adjustRightInd w:val="0"/>
        <w:snapToGrid w:val="0"/>
        <w:spacing w:line="360" w:lineRule="auto"/>
        <w:ind w:firstLine="480"/>
        <w:rPr>
          <w:sz w:val="24"/>
          <w:szCs w:val="24"/>
        </w:rPr>
      </w:pPr>
      <w:r>
        <w:rPr>
          <w:rFonts w:hint="eastAsia" w:ascii="宋体" w:hAnsi="宋体"/>
          <w:sz w:val="24"/>
          <w:szCs w:val="24"/>
        </w:rPr>
        <w:t>在地下水流数值模型的基础上，建立评价区地下水流和污染物迁移耦合数值模型。根据数值模型所计算出的孔隙介质的纵向弥散度及有关资料与参数作出的</w:t>
      </w:r>
      <w:r>
        <w:rPr>
          <w:sz w:val="24"/>
          <w:szCs w:val="24"/>
        </w:rPr>
        <w:t>lg</w:t>
      </w:r>
      <w:r>
        <w:rPr>
          <w:i/>
          <w:sz w:val="24"/>
          <w:szCs w:val="24"/>
        </w:rPr>
        <w:t>a</w:t>
      </w:r>
      <w:r>
        <w:rPr>
          <w:i/>
          <w:sz w:val="24"/>
          <w:szCs w:val="24"/>
          <w:vertAlign w:val="subscript"/>
        </w:rPr>
        <w:t>L</w:t>
      </w:r>
      <w:r>
        <w:rPr>
          <w:rFonts w:hint="eastAsia"/>
          <w:sz w:val="24"/>
          <w:szCs w:val="24"/>
        </w:rPr>
        <w:t>-</w:t>
      </w:r>
      <w:r>
        <w:rPr>
          <w:sz w:val="24"/>
          <w:szCs w:val="24"/>
        </w:rPr>
        <w:t>lg</w:t>
      </w:r>
      <w:r>
        <w:rPr>
          <w:i/>
          <w:sz w:val="24"/>
          <w:szCs w:val="24"/>
        </w:rPr>
        <w:t>Ls</w:t>
      </w:r>
      <w:r>
        <w:rPr>
          <w:rFonts w:hint="eastAsia" w:ascii="宋体" w:hAnsi="宋体"/>
          <w:sz w:val="24"/>
          <w:szCs w:val="24"/>
        </w:rPr>
        <w:t>图示于下图，基准尺度</w:t>
      </w:r>
      <w:r>
        <w:rPr>
          <w:rFonts w:hint="eastAsia"/>
          <w:sz w:val="24"/>
          <w:szCs w:val="24"/>
        </w:rPr>
        <w:t>Ls</w:t>
      </w:r>
      <w:r>
        <w:rPr>
          <w:rFonts w:hint="eastAsia" w:ascii="宋体" w:hAnsi="宋体"/>
          <w:sz w:val="24"/>
          <w:szCs w:val="24"/>
        </w:rPr>
        <w:t>是指研究区大小的度量，一般用溶质运移到观测孔的最大距离表示，或用研究区的近似最大内径长度代替。本次计算依据上图，结合场区的具体水文地质条件，并从安全角度考虑，纵向弥散度参数值取为</w:t>
      </w:r>
      <w:r>
        <w:rPr>
          <w:rFonts w:hint="eastAsia"/>
          <w:sz w:val="24"/>
          <w:szCs w:val="24"/>
        </w:rPr>
        <w:t>5m</w:t>
      </w:r>
      <w:r>
        <w:rPr>
          <w:rFonts w:hint="eastAsia" w:ascii="宋体" w:hAnsi="宋体"/>
          <w:sz w:val="24"/>
          <w:szCs w:val="24"/>
        </w:rPr>
        <w:t>，水平横向与纵向弥散度的比值为</w:t>
      </w:r>
      <w:r>
        <w:rPr>
          <w:rFonts w:hint="eastAsia"/>
          <w:sz w:val="24"/>
          <w:szCs w:val="24"/>
        </w:rPr>
        <w:t>0.1</w:t>
      </w:r>
      <w:r>
        <w:rPr>
          <w:rFonts w:hint="eastAsia" w:ascii="宋体" w:hAnsi="宋体"/>
          <w:sz w:val="24"/>
          <w:szCs w:val="24"/>
        </w:rPr>
        <w:t>，垂向与纵向弥散度比值为</w:t>
      </w:r>
      <w:r>
        <w:rPr>
          <w:rFonts w:hint="eastAsia"/>
          <w:sz w:val="24"/>
          <w:szCs w:val="24"/>
        </w:rPr>
        <w:t>0.01</w:t>
      </w:r>
      <w:r>
        <w:rPr>
          <w:rFonts w:hint="eastAsia" w:ascii="宋体" w:hAnsi="宋体"/>
          <w:sz w:val="24"/>
          <w:szCs w:val="24"/>
        </w:rPr>
        <w:t>。</w:t>
      </w:r>
    </w:p>
    <w:p>
      <w:pPr>
        <w:adjustRightInd w:val="0"/>
        <w:snapToGrid w:val="0"/>
        <w:spacing w:line="360" w:lineRule="auto"/>
        <w:jc w:val="center"/>
        <w:rPr>
          <w:sz w:val="24"/>
          <w:szCs w:val="24"/>
        </w:rPr>
      </w:pPr>
      <w:r>
        <w:rPr>
          <w:sz w:val="24"/>
          <w:szCs w:val="24"/>
        </w:rPr>
        <w:drawing>
          <wp:inline distT="0" distB="0" distL="0" distR="0">
            <wp:extent cx="2929255" cy="2328545"/>
            <wp:effectExtent l="0" t="0" r="4445"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929255" cy="2328545"/>
                    </a:xfrm>
                    <a:prstGeom prst="rect">
                      <a:avLst/>
                    </a:prstGeom>
                    <a:noFill/>
                    <a:ln>
                      <a:noFill/>
                    </a:ln>
                  </pic:spPr>
                </pic:pic>
              </a:graphicData>
            </a:graphic>
          </wp:inline>
        </w:drawing>
      </w:r>
    </w:p>
    <w:p>
      <w:pPr>
        <w:jc w:val="center"/>
        <w:rPr>
          <w:b/>
          <w:bCs/>
          <w:sz w:val="24"/>
          <w:szCs w:val="24"/>
        </w:rPr>
      </w:pPr>
      <w:r>
        <w:rPr>
          <w:b/>
          <w:bCs/>
          <w:sz w:val="24"/>
          <w:szCs w:val="24"/>
        </w:rPr>
        <w:t>图</w:t>
      </w:r>
      <w:r>
        <w:rPr>
          <w:rFonts w:hint="eastAsia"/>
          <w:b/>
          <w:bCs/>
          <w:sz w:val="24"/>
          <w:szCs w:val="24"/>
        </w:rPr>
        <w:t>5.3.4-</w:t>
      </w:r>
      <w:r>
        <w:rPr>
          <w:b/>
          <w:bCs/>
          <w:sz w:val="24"/>
          <w:szCs w:val="24"/>
        </w:rPr>
        <w:t>5  孔隙介质数值模型的lgaL-lgLS图</w:t>
      </w:r>
    </w:p>
    <w:p>
      <w:pPr>
        <w:adjustRightInd w:val="0"/>
        <w:snapToGrid w:val="0"/>
        <w:spacing w:line="360" w:lineRule="auto"/>
        <w:ind w:firstLine="480" w:firstLineChars="200"/>
        <w:rPr>
          <w:sz w:val="24"/>
          <w:szCs w:val="24"/>
        </w:rPr>
      </w:pPr>
      <w:r>
        <w:rPr>
          <w:rFonts w:hint="eastAsia"/>
          <w:sz w:val="24"/>
          <w:szCs w:val="24"/>
        </w:rPr>
        <w:t>为了分析厂区内由于污染物的泄漏对周边地下水环境可能造成的影响，利用地下水流和污染物迁移耦合数值模型，结合风险事故情景，对各类污染物进入地下水的运移进行预测。</w:t>
      </w:r>
    </w:p>
    <w:p>
      <w:pPr>
        <w:keepNext/>
        <w:keepLines/>
        <w:numPr>
          <w:ilvl w:val="3"/>
          <w:numId w:val="5"/>
        </w:numPr>
        <w:tabs>
          <w:tab w:val="left" w:pos="432"/>
          <w:tab w:val="left" w:pos="851"/>
          <w:tab w:val="left" w:pos="1247"/>
          <w:tab w:val="clear" w:pos="1389"/>
        </w:tabs>
        <w:adjustRightInd w:val="0"/>
        <w:snapToGrid w:val="0"/>
        <w:spacing w:before="156" w:beforeLines="50" w:after="156" w:afterLines="50"/>
        <w:ind w:left="1290" w:hanging="1290" w:hangingChars="459"/>
        <w:jc w:val="left"/>
        <w:outlineLvl w:val="3"/>
        <w:rPr>
          <w:rFonts w:ascii="宋体" w:hAnsi="宋体"/>
          <w:b/>
          <w:bCs/>
          <w:snapToGrid w:val="0"/>
          <w:sz w:val="28"/>
          <w:szCs w:val="28"/>
        </w:rPr>
      </w:pPr>
      <w:r>
        <w:rPr>
          <w:rFonts w:ascii="宋体" w:hAnsi="宋体"/>
          <w:b/>
          <w:bCs/>
          <w:snapToGrid w:val="0"/>
          <w:sz w:val="28"/>
          <w:szCs w:val="28"/>
        </w:rPr>
        <w:t>污染情景预测及评价</w:t>
      </w:r>
    </w:p>
    <w:p>
      <w:pPr>
        <w:adjustRightInd w:val="0"/>
        <w:snapToGrid w:val="0"/>
        <w:spacing w:line="360" w:lineRule="auto"/>
        <w:rPr>
          <w:b/>
          <w:sz w:val="24"/>
          <w:szCs w:val="24"/>
        </w:rPr>
      </w:pPr>
      <w:r>
        <w:rPr>
          <w:b/>
          <w:sz w:val="24"/>
          <w:szCs w:val="24"/>
        </w:rPr>
        <w:t>5.3.4.3.1预测情景</w:t>
      </w:r>
    </w:p>
    <w:p>
      <w:pPr>
        <w:adjustRightInd w:val="0"/>
        <w:snapToGrid w:val="0"/>
        <w:spacing w:line="360" w:lineRule="auto"/>
        <w:ind w:firstLine="482" w:firstLineChars="200"/>
        <w:rPr>
          <w:sz w:val="24"/>
          <w:szCs w:val="24"/>
        </w:rPr>
      </w:pPr>
      <w:r>
        <w:rPr>
          <w:b/>
          <w:sz w:val="24"/>
          <w:szCs w:val="24"/>
        </w:rPr>
        <w:t>预测情景：调节池池</w:t>
      </w:r>
      <w:r>
        <w:rPr>
          <w:rFonts w:hint="eastAsia" w:ascii="宋体" w:hAnsi="宋体" w:cs="宋体"/>
          <w:b/>
          <w:sz w:val="24"/>
        </w:rPr>
        <w:t>体发生破裂、下方防渗措施因老化而有所降低的情景下，渗滤液泄漏并对地下水质造成影响</w:t>
      </w:r>
      <w:r>
        <w:rPr>
          <w:rFonts w:hint="eastAsia"/>
          <w:b/>
          <w:sz w:val="24"/>
          <w:szCs w:val="24"/>
        </w:rPr>
        <w:t>。</w:t>
      </w:r>
      <w:r>
        <w:rPr>
          <w:rFonts w:hint="eastAsia" w:ascii="宋体" w:hAnsi="宋体"/>
          <w:sz w:val="24"/>
          <w:szCs w:val="24"/>
        </w:rPr>
        <w:t>泄漏点位置</w:t>
      </w:r>
      <w:r>
        <w:rPr>
          <w:rFonts w:ascii="宋体" w:hAnsi="宋体"/>
          <w:sz w:val="24"/>
          <w:szCs w:val="24"/>
        </w:rPr>
        <w:t>如图</w:t>
      </w:r>
      <w:r>
        <w:rPr>
          <w:rFonts w:hint="eastAsia" w:ascii="宋体" w:hAnsi="宋体"/>
          <w:sz w:val="24"/>
          <w:szCs w:val="24"/>
        </w:rPr>
        <w:t>5</w:t>
      </w:r>
      <w:r>
        <w:rPr>
          <w:rFonts w:ascii="宋体" w:hAnsi="宋体"/>
          <w:sz w:val="24"/>
          <w:szCs w:val="24"/>
        </w:rPr>
        <w:t>.3.4-6所示。</w:t>
      </w:r>
    </w:p>
    <w:p>
      <w:pPr>
        <w:adjustRightInd w:val="0"/>
        <w:snapToGrid w:val="0"/>
        <w:spacing w:line="360" w:lineRule="auto"/>
        <w:jc w:val="center"/>
        <w:rPr>
          <w:rFonts w:ascii="Arial" w:hAnsi="Arial" w:eastAsia="黑体" w:cs="Arial"/>
          <w:sz w:val="24"/>
          <w:szCs w:val="24"/>
        </w:rPr>
      </w:pPr>
      <w:r>
        <w:rPr>
          <w:rFonts w:ascii="Arial" w:hAnsi="Arial" w:eastAsia="黑体" w:cs="Arial"/>
          <w:sz w:val="20"/>
        </w:rPr>
        <mc:AlternateContent>
          <mc:Choice Requires="wps">
            <w:drawing>
              <wp:anchor distT="0" distB="0" distL="114300" distR="114300" simplePos="0" relativeHeight="251702272" behindDoc="0" locked="0" layoutInCell="1" allowOverlap="1">
                <wp:simplePos x="0" y="0"/>
                <wp:positionH relativeFrom="column">
                  <wp:posOffset>886460</wp:posOffset>
                </wp:positionH>
                <wp:positionV relativeFrom="paragraph">
                  <wp:posOffset>2927985</wp:posOffset>
                </wp:positionV>
                <wp:extent cx="933450" cy="381000"/>
                <wp:effectExtent l="0" t="628650" r="171450" b="38100"/>
                <wp:wrapNone/>
                <wp:docPr id="1462" name="对话气泡: 椭圆形 1462"/>
                <wp:cNvGraphicFramePr/>
                <a:graphic xmlns:a="http://schemas.openxmlformats.org/drawingml/2006/main">
                  <a:graphicData uri="http://schemas.microsoft.com/office/word/2010/wordprocessingShape">
                    <wps:wsp>
                      <wps:cNvSpPr/>
                      <wps:spPr>
                        <a:xfrm>
                          <a:off x="0" y="0"/>
                          <a:ext cx="933450" cy="381000"/>
                        </a:xfrm>
                        <a:prstGeom prst="wedgeEllipseCallout">
                          <a:avLst>
                            <a:gd name="adj1" fmla="val 65562"/>
                            <a:gd name="adj2" fmla="val -210833"/>
                          </a:avLst>
                        </a:prstGeom>
                        <a:solidFill>
                          <a:srgbClr val="4F81BD"/>
                        </a:solidFill>
                        <a:ln w="25400" cap="flat" cmpd="sng" algn="ctr">
                          <a:solidFill>
                            <a:srgbClr val="4F81BD">
                              <a:shade val="50000"/>
                            </a:srgbClr>
                          </a:solidFill>
                          <a:prstDash val="solid"/>
                        </a:ln>
                        <a:effectLst/>
                      </wps:spPr>
                      <wps:txbx>
                        <w:txbxContent>
                          <w:p>
                            <w:pPr>
                              <w:adjustRightInd w:val="0"/>
                              <w:snapToGrid w:val="0"/>
                              <w:ind w:left="-210" w:leftChars="-100" w:right="-210" w:rightChars="-100"/>
                              <w:jc w:val="center"/>
                            </w:pPr>
                            <w:r>
                              <w:rPr>
                                <w:rFonts w:hint="eastAsia"/>
                              </w:rPr>
                              <w:t>泄漏点位置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1462" o:spid="_x0000_s1026" o:spt="63" type="#_x0000_t63" style="position:absolute;left:0pt;margin-left:69.8pt;margin-top:230.55pt;height:30pt;width:73.5pt;z-index:251702272;v-text-anchor:middle;mso-width-relative:page;mso-height-relative:page;" fillcolor="#4F81BD" filled="t" stroked="t" coordsize="21600,21600" o:gfxdata="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wJ6o&#10;gNkAAAALAQAADwAAAAAAAAABACAAAAAiAAAAZHJzL2Rvd25yZXYueG1sUEsBAhQAFAAAAAgAh07i&#10;QO6bJCXMAgAAjwUAAA4AAAAAAAAAAQAgAAAAKAEAAGRycy9lMm9Eb2MueG1sUEsFBgAAAAAGAAYA&#10;WQEAAGYGAAAAAA==&#10;" adj="24961,-34740">
                <v:fill on="t" focussize="0,0"/>
                <v:stroke weight="2pt" color="#385D8A" joinstyle="round"/>
                <v:imagedata o:title=""/>
                <o:lock v:ext="edit" aspectratio="f"/>
                <v:textbox>
                  <w:txbxContent>
                    <w:p>
                      <w:pPr>
                        <w:adjustRightInd w:val="0"/>
                        <w:snapToGrid w:val="0"/>
                        <w:ind w:left="-210" w:leftChars="-100" w:right="-210" w:rightChars="-100"/>
                        <w:jc w:val="center"/>
                      </w:pPr>
                      <w:r>
                        <w:rPr>
                          <w:rFonts w:hint="eastAsia"/>
                        </w:rPr>
                        <w:t>泄漏点位置</w:t>
                      </w:r>
                    </w:p>
                  </w:txbxContent>
                </v:textbox>
              </v:shape>
            </w:pict>
          </mc:Fallback>
        </mc:AlternateContent>
      </w:r>
      <w:r>
        <w:rPr>
          <w:rFonts w:eastAsia="Times New Roman"/>
          <w:snapToGrid w:val="0"/>
          <w:w w:val="0"/>
          <w:kern w:val="0"/>
          <w:sz w:val="0"/>
          <w:szCs w:val="0"/>
          <w:u w:color="000000"/>
          <w:shd w:val="clear" w:color="000000" w:fill="000000"/>
          <w:lang w:val="zh-CN" w:eastAsia="zh-CN" w:bidi="zh-CN"/>
        </w:rPr>
        <w:t xml:space="preserve"> </w:t>
      </w:r>
      <w:r>
        <w:rPr>
          <w:rFonts w:ascii="Arial" w:hAnsi="Arial" w:eastAsia="黑体" w:cs="Arial"/>
          <w:sz w:val="20"/>
        </w:rPr>
        <w:drawing>
          <wp:inline distT="0" distB="0" distL="0" distR="0">
            <wp:extent cx="5001260" cy="3810000"/>
            <wp:effectExtent l="0" t="0" r="889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009885" cy="3816221"/>
                    </a:xfrm>
                    <a:prstGeom prst="rect">
                      <a:avLst/>
                    </a:prstGeom>
                    <a:noFill/>
                    <a:ln>
                      <a:noFill/>
                    </a:ln>
                  </pic:spPr>
                </pic:pic>
              </a:graphicData>
            </a:graphic>
          </wp:inline>
        </w:drawing>
      </w:r>
    </w:p>
    <w:p>
      <w:pPr>
        <w:jc w:val="center"/>
        <w:rPr>
          <w:b/>
          <w:bCs/>
          <w:sz w:val="24"/>
          <w:szCs w:val="24"/>
        </w:rPr>
      </w:pPr>
      <w:r>
        <w:rPr>
          <w:b/>
          <w:bCs/>
          <w:sz w:val="24"/>
          <w:szCs w:val="24"/>
        </w:rPr>
        <w:t>图5.3.4-6 厂区泄漏点位置图</w:t>
      </w:r>
    </w:p>
    <w:p>
      <w:pPr>
        <w:adjustRightInd w:val="0"/>
        <w:snapToGrid w:val="0"/>
        <w:spacing w:line="360" w:lineRule="auto"/>
        <w:ind w:firstLine="482"/>
        <w:rPr>
          <w:sz w:val="24"/>
          <w:szCs w:val="24"/>
        </w:rPr>
      </w:pPr>
      <w:r>
        <w:rPr>
          <w:rFonts w:hint="eastAsia"/>
          <w:sz w:val="24"/>
          <w:szCs w:val="24"/>
        </w:rPr>
        <w:t>根据渗滤液中污染因子的浓度</w:t>
      </w:r>
      <w:r>
        <w:rPr>
          <w:sz w:val="24"/>
          <w:szCs w:val="24"/>
        </w:rPr>
        <w:t>情况</w:t>
      </w:r>
      <w:r>
        <w:rPr>
          <w:rFonts w:hint="eastAsia"/>
          <w:sz w:val="24"/>
          <w:szCs w:val="24"/>
        </w:rPr>
        <w:t>（见表5.3.4</w:t>
      </w:r>
      <w:r>
        <w:rPr>
          <w:sz w:val="24"/>
          <w:szCs w:val="24"/>
        </w:rPr>
        <w:t>-1）</w:t>
      </w:r>
      <w:r>
        <w:rPr>
          <w:rFonts w:hint="eastAsia"/>
          <w:sz w:val="24"/>
          <w:szCs w:val="24"/>
        </w:rPr>
        <w:t>，</w:t>
      </w:r>
      <w:r>
        <w:rPr>
          <w:sz w:val="24"/>
          <w:szCs w:val="24"/>
        </w:rPr>
        <w:t>选择</w:t>
      </w:r>
      <w:r>
        <w:rPr>
          <w:rFonts w:hint="eastAsia"/>
          <w:sz w:val="24"/>
          <w:szCs w:val="24"/>
        </w:rPr>
        <w:t>耗氧量、汞、铅、砷、六价铬</w:t>
      </w:r>
      <w:r>
        <w:rPr>
          <w:sz w:val="24"/>
          <w:szCs w:val="24"/>
        </w:rPr>
        <w:t>作为</w:t>
      </w:r>
      <w:r>
        <w:rPr>
          <w:rFonts w:hint="eastAsia"/>
          <w:sz w:val="24"/>
          <w:szCs w:val="24"/>
        </w:rPr>
        <w:t>渗滤液调节池</w:t>
      </w:r>
      <w:r>
        <w:rPr>
          <w:sz w:val="24"/>
          <w:szCs w:val="24"/>
        </w:rPr>
        <w:t>的</w:t>
      </w:r>
      <w:r>
        <w:rPr>
          <w:rFonts w:hint="eastAsia"/>
          <w:sz w:val="24"/>
          <w:szCs w:val="24"/>
        </w:rPr>
        <w:t>预测</w:t>
      </w:r>
      <w:r>
        <w:rPr>
          <w:sz w:val="24"/>
          <w:szCs w:val="24"/>
        </w:rPr>
        <w:t>因子。</w:t>
      </w:r>
      <w:r>
        <w:rPr>
          <w:rFonts w:hint="eastAsia"/>
          <w:sz w:val="24"/>
          <w:szCs w:val="24"/>
        </w:rPr>
        <w:t>本项目填埋场采用双人工复合衬层的防渗层结构，防渗措施破损率按</w:t>
      </w:r>
      <w:r>
        <w:rPr>
          <w:sz w:val="24"/>
          <w:szCs w:val="24"/>
        </w:rPr>
        <w:t>2</w:t>
      </w:r>
      <w:r>
        <w:rPr>
          <w:rFonts w:hint="eastAsia"/>
          <w:sz w:val="24"/>
          <w:szCs w:val="24"/>
        </w:rPr>
        <w:t>%考虑。</w:t>
      </w:r>
    </w:p>
    <w:p>
      <w:pPr>
        <w:adjustRightInd w:val="0"/>
        <w:snapToGrid w:val="0"/>
        <w:spacing w:line="360" w:lineRule="auto"/>
        <w:rPr>
          <w:sz w:val="24"/>
          <w:szCs w:val="24"/>
        </w:rPr>
      </w:pPr>
      <w:r>
        <w:rPr>
          <w:b/>
          <w:sz w:val="24"/>
          <w:szCs w:val="24"/>
        </w:rPr>
        <w:t>5.3.4.3.2</w:t>
      </w:r>
      <w:r>
        <w:rPr>
          <w:rFonts w:hint="eastAsia"/>
          <w:b/>
          <w:sz w:val="24"/>
          <w:szCs w:val="24"/>
        </w:rPr>
        <w:t>污染物迁移预测分析</w:t>
      </w:r>
    </w:p>
    <w:p>
      <w:pPr>
        <w:adjustRightInd w:val="0"/>
        <w:snapToGrid w:val="0"/>
        <w:spacing w:line="360" w:lineRule="auto"/>
        <w:ind w:firstLine="480"/>
        <w:rPr>
          <w:snapToGrid w:val="0"/>
          <w:sz w:val="24"/>
          <w:szCs w:val="24"/>
        </w:rPr>
      </w:pPr>
      <w:r>
        <w:rPr>
          <w:rFonts w:hint="eastAsia"/>
          <w:snapToGrid w:val="0"/>
          <w:sz w:val="24"/>
          <w:szCs w:val="24"/>
        </w:rPr>
        <w:t>（</w:t>
      </w:r>
      <w:r>
        <w:rPr>
          <w:snapToGrid w:val="0"/>
          <w:sz w:val="24"/>
          <w:szCs w:val="24"/>
        </w:rPr>
        <w:t>1</w:t>
      </w:r>
      <w:r>
        <w:rPr>
          <w:rFonts w:hint="eastAsia"/>
          <w:snapToGrid w:val="0"/>
          <w:sz w:val="24"/>
          <w:szCs w:val="24"/>
        </w:rPr>
        <w:t>）</w:t>
      </w:r>
      <w:r>
        <w:rPr>
          <w:snapToGrid w:val="0"/>
          <w:sz w:val="24"/>
          <w:szCs w:val="24"/>
        </w:rPr>
        <w:t>泄漏源强</w:t>
      </w:r>
    </w:p>
    <w:p>
      <w:pPr>
        <w:adjustRightInd w:val="0"/>
        <w:snapToGrid w:val="0"/>
        <w:spacing w:line="360" w:lineRule="auto"/>
        <w:ind w:firstLine="480"/>
        <w:rPr>
          <w:bCs/>
          <w:snapToGrid w:val="0"/>
          <w:sz w:val="24"/>
          <w:szCs w:val="24"/>
        </w:rPr>
      </w:pPr>
      <w:r>
        <w:rPr>
          <w:rFonts w:hint="eastAsia" w:ascii="宋体" w:hAnsi="宋体"/>
          <w:snapToGrid w:val="0"/>
          <w:sz w:val="24"/>
          <w:szCs w:val="24"/>
        </w:rPr>
        <w:t>①</w:t>
      </w:r>
      <w:r>
        <w:rPr>
          <w:snapToGrid w:val="0"/>
          <w:sz w:val="24"/>
          <w:szCs w:val="24"/>
        </w:rPr>
        <w:t>泄</w:t>
      </w:r>
      <w:r>
        <w:rPr>
          <w:bCs/>
          <w:snapToGrid w:val="0"/>
          <w:sz w:val="24"/>
          <w:szCs w:val="24"/>
        </w:rPr>
        <w:t>漏面积</w:t>
      </w:r>
    </w:p>
    <w:p>
      <w:pPr>
        <w:adjustRightInd w:val="0"/>
        <w:snapToGrid w:val="0"/>
        <w:spacing w:line="360" w:lineRule="auto"/>
        <w:ind w:firstLine="480"/>
        <w:rPr>
          <w:snapToGrid w:val="0"/>
          <w:sz w:val="24"/>
          <w:szCs w:val="24"/>
        </w:rPr>
      </w:pPr>
      <w:r>
        <w:rPr>
          <w:rFonts w:hint="eastAsia"/>
          <w:sz w:val="24"/>
          <w:szCs w:val="24"/>
        </w:rPr>
        <w:t>渗滤液调节池的</w:t>
      </w:r>
      <w:r>
        <w:rPr>
          <w:sz w:val="24"/>
          <w:szCs w:val="24"/>
        </w:rPr>
        <w:t>面积为651m</w:t>
      </w:r>
      <w:r>
        <w:rPr>
          <w:sz w:val="24"/>
          <w:szCs w:val="24"/>
          <w:vertAlign w:val="superscript"/>
        </w:rPr>
        <w:t>2</w:t>
      </w:r>
      <w:r>
        <w:rPr>
          <w:rFonts w:hint="eastAsia"/>
          <w:sz w:val="24"/>
          <w:szCs w:val="24"/>
        </w:rPr>
        <w:t>，</w:t>
      </w:r>
      <w:r>
        <w:rPr>
          <w:bCs/>
          <w:snapToGrid w:val="0"/>
          <w:sz w:val="24"/>
          <w:szCs w:val="24"/>
        </w:rPr>
        <w:t>防渗破损面积</w:t>
      </w:r>
      <w:r>
        <w:rPr>
          <w:rFonts w:hint="eastAsia"/>
          <w:bCs/>
          <w:snapToGrid w:val="0"/>
          <w:sz w:val="24"/>
          <w:szCs w:val="24"/>
        </w:rPr>
        <w:t>按调节池</w:t>
      </w:r>
      <w:r>
        <w:rPr>
          <w:bCs/>
          <w:snapToGrid w:val="0"/>
          <w:sz w:val="24"/>
          <w:szCs w:val="24"/>
        </w:rPr>
        <w:t>面积的</w:t>
      </w:r>
      <w:r>
        <w:rPr>
          <w:rFonts w:hint="eastAsia"/>
          <w:bCs/>
          <w:snapToGrid w:val="0"/>
          <w:sz w:val="24"/>
          <w:szCs w:val="24"/>
        </w:rPr>
        <w:t>2</w:t>
      </w:r>
      <w:r>
        <w:rPr>
          <w:bCs/>
          <w:snapToGrid w:val="0"/>
          <w:sz w:val="24"/>
          <w:szCs w:val="24"/>
        </w:rPr>
        <w:t>%</w:t>
      </w:r>
      <w:r>
        <w:rPr>
          <w:rFonts w:hint="eastAsia"/>
          <w:bCs/>
          <w:snapToGrid w:val="0"/>
          <w:sz w:val="24"/>
          <w:szCs w:val="24"/>
        </w:rPr>
        <w:t>计算</w:t>
      </w:r>
      <w:r>
        <w:rPr>
          <w:bCs/>
          <w:snapToGrid w:val="0"/>
          <w:sz w:val="24"/>
          <w:szCs w:val="24"/>
        </w:rPr>
        <w:t>，</w:t>
      </w:r>
      <w:r>
        <w:rPr>
          <w:rFonts w:hint="eastAsia"/>
          <w:bCs/>
          <w:snapToGrid w:val="0"/>
          <w:sz w:val="24"/>
          <w:szCs w:val="24"/>
        </w:rPr>
        <w:t>即</w:t>
      </w:r>
      <w:r>
        <w:rPr>
          <w:sz w:val="24"/>
          <w:szCs w:val="24"/>
        </w:rPr>
        <w:t>651</w:t>
      </w:r>
      <w:r>
        <w:rPr>
          <w:snapToGrid w:val="0"/>
          <w:sz w:val="24"/>
          <w:szCs w:val="24"/>
        </w:rPr>
        <w:t>m</w:t>
      </w:r>
      <w:r>
        <w:rPr>
          <w:snapToGrid w:val="0"/>
          <w:sz w:val="24"/>
          <w:szCs w:val="24"/>
          <w:vertAlign w:val="superscript"/>
        </w:rPr>
        <w:t>2</w:t>
      </w:r>
      <w:r>
        <w:rPr>
          <w:snapToGrid w:val="0"/>
          <w:sz w:val="24"/>
          <w:szCs w:val="24"/>
        </w:rPr>
        <w:t>×2</w:t>
      </w:r>
      <w:r>
        <w:rPr>
          <w:bCs/>
          <w:snapToGrid w:val="0"/>
          <w:sz w:val="24"/>
          <w:szCs w:val="24"/>
        </w:rPr>
        <w:t>%</w:t>
      </w:r>
      <w:r>
        <w:rPr>
          <w:snapToGrid w:val="0"/>
          <w:sz w:val="24"/>
          <w:szCs w:val="24"/>
        </w:rPr>
        <w:t>=13.02m</w:t>
      </w:r>
      <w:r>
        <w:rPr>
          <w:snapToGrid w:val="0"/>
          <w:sz w:val="24"/>
          <w:szCs w:val="24"/>
          <w:vertAlign w:val="superscript"/>
        </w:rPr>
        <w:t>2</w:t>
      </w:r>
      <w:r>
        <w:rPr>
          <w:snapToGrid w:val="0"/>
          <w:sz w:val="24"/>
          <w:szCs w:val="24"/>
        </w:rPr>
        <w:t>。</w:t>
      </w:r>
    </w:p>
    <w:p>
      <w:pPr>
        <w:adjustRightInd w:val="0"/>
        <w:snapToGrid w:val="0"/>
        <w:spacing w:line="360" w:lineRule="auto"/>
        <w:ind w:firstLine="480"/>
        <w:rPr>
          <w:snapToGrid w:val="0"/>
          <w:sz w:val="24"/>
          <w:szCs w:val="24"/>
        </w:rPr>
      </w:pPr>
      <w:r>
        <w:rPr>
          <w:rFonts w:hint="eastAsia" w:ascii="宋体" w:hAnsi="宋体"/>
          <w:snapToGrid w:val="0"/>
          <w:sz w:val="24"/>
          <w:szCs w:val="24"/>
        </w:rPr>
        <w:t>②</w:t>
      </w:r>
      <w:r>
        <w:rPr>
          <w:snapToGrid w:val="0"/>
          <w:sz w:val="24"/>
          <w:szCs w:val="24"/>
        </w:rPr>
        <w:t>泄漏量</w:t>
      </w:r>
    </w:p>
    <w:p>
      <w:pPr>
        <w:adjustRightInd w:val="0"/>
        <w:snapToGrid w:val="0"/>
        <w:spacing w:line="360" w:lineRule="auto"/>
        <w:ind w:firstLine="480"/>
        <w:rPr>
          <w:bCs/>
          <w:snapToGrid w:val="0"/>
          <w:sz w:val="24"/>
          <w:szCs w:val="24"/>
        </w:rPr>
      </w:pPr>
      <w:r>
        <w:rPr>
          <w:snapToGrid w:val="0"/>
          <w:sz w:val="24"/>
          <w:szCs w:val="24"/>
        </w:rPr>
        <w:t>防渗破损部分的渗漏量按下式计算：</w:t>
      </w:r>
    </w:p>
    <w:p>
      <w:pPr>
        <w:adjustRightInd w:val="0"/>
        <w:snapToGrid w:val="0"/>
        <w:spacing w:line="360" w:lineRule="auto"/>
        <w:ind w:firstLine="480"/>
        <w:jc w:val="center"/>
        <w:rPr>
          <w:bCs/>
          <w:snapToGrid w:val="0"/>
          <w:kern w:val="0"/>
          <w:sz w:val="24"/>
          <w:szCs w:val="24"/>
        </w:rPr>
      </w:pPr>
      <w:r>
        <w:rPr>
          <w:bCs/>
          <w:snapToGrid w:val="0"/>
          <w:kern w:val="0"/>
          <w:sz w:val="24"/>
          <w:szCs w:val="24"/>
        </w:rPr>
        <w:t>Q=Kv×A</w:t>
      </w:r>
      <w:r>
        <w:rPr>
          <w:bCs/>
          <w:snapToGrid w:val="0"/>
          <w:kern w:val="0"/>
          <w:sz w:val="24"/>
          <w:szCs w:val="24"/>
          <w:vertAlign w:val="subscript"/>
        </w:rPr>
        <w:t>1</w:t>
      </w:r>
      <w:r>
        <w:rPr>
          <w:bCs/>
          <w:snapToGrid w:val="0"/>
          <w:kern w:val="0"/>
          <w:sz w:val="24"/>
          <w:szCs w:val="24"/>
        </w:rPr>
        <w:t>×</w:t>
      </w:r>
      <w:r>
        <w:rPr>
          <w:rFonts w:hint="eastAsia"/>
          <w:bCs/>
          <w:snapToGrid w:val="0"/>
          <w:kern w:val="0"/>
          <w:sz w:val="24"/>
          <w:szCs w:val="24"/>
        </w:rPr>
        <w:t>I</w:t>
      </w:r>
      <w:r>
        <w:rPr>
          <w:bCs/>
          <w:snapToGrid w:val="0"/>
          <w:kern w:val="0"/>
          <w:sz w:val="24"/>
          <w:szCs w:val="24"/>
          <w:vertAlign w:val="subscript"/>
        </w:rPr>
        <w:t>1</w:t>
      </w:r>
    </w:p>
    <w:p>
      <w:pPr>
        <w:adjustRightInd w:val="0"/>
        <w:snapToGrid w:val="0"/>
        <w:spacing w:line="360" w:lineRule="auto"/>
        <w:ind w:firstLine="480"/>
        <w:rPr>
          <w:snapToGrid w:val="0"/>
          <w:sz w:val="24"/>
          <w:szCs w:val="24"/>
        </w:rPr>
      </w:pPr>
      <w:r>
        <w:rPr>
          <w:snapToGrid w:val="0"/>
          <w:sz w:val="24"/>
          <w:szCs w:val="24"/>
        </w:rPr>
        <w:t>式中：Q——防渗</w:t>
      </w:r>
      <w:r>
        <w:rPr>
          <w:rFonts w:hint="eastAsia"/>
          <w:snapToGrid w:val="0"/>
          <w:sz w:val="24"/>
          <w:szCs w:val="24"/>
        </w:rPr>
        <w:t>破损区域</w:t>
      </w:r>
      <w:r>
        <w:rPr>
          <w:snapToGrid w:val="0"/>
          <w:sz w:val="24"/>
          <w:szCs w:val="24"/>
        </w:rPr>
        <w:t>的渗透量，m</w:t>
      </w:r>
      <w:r>
        <w:rPr>
          <w:snapToGrid w:val="0"/>
          <w:sz w:val="24"/>
          <w:szCs w:val="24"/>
          <w:vertAlign w:val="superscript"/>
        </w:rPr>
        <w:t>3</w:t>
      </w:r>
      <w:r>
        <w:rPr>
          <w:snapToGrid w:val="0"/>
          <w:sz w:val="24"/>
          <w:szCs w:val="24"/>
        </w:rPr>
        <w:t>/d；</w:t>
      </w:r>
    </w:p>
    <w:p>
      <w:pPr>
        <w:adjustRightInd w:val="0"/>
        <w:snapToGrid w:val="0"/>
        <w:spacing w:line="360" w:lineRule="auto"/>
        <w:ind w:firstLine="1200" w:firstLineChars="500"/>
        <w:rPr>
          <w:snapToGrid w:val="0"/>
          <w:kern w:val="0"/>
          <w:sz w:val="24"/>
          <w:szCs w:val="24"/>
        </w:rPr>
      </w:pPr>
      <w:r>
        <w:rPr>
          <w:snapToGrid w:val="0"/>
          <w:kern w:val="0"/>
          <w:sz w:val="24"/>
          <w:szCs w:val="24"/>
        </w:rPr>
        <w:t>K</w:t>
      </w:r>
      <w:r>
        <w:rPr>
          <w:bCs/>
          <w:snapToGrid w:val="0"/>
          <w:kern w:val="0"/>
          <w:sz w:val="24"/>
          <w:szCs w:val="24"/>
        </w:rPr>
        <w:t>v</w:t>
      </w:r>
      <w:r>
        <w:rPr>
          <w:snapToGrid w:val="0"/>
          <w:kern w:val="0"/>
          <w:sz w:val="24"/>
          <w:szCs w:val="24"/>
        </w:rPr>
        <w:t>——</w:t>
      </w:r>
      <w:r>
        <w:rPr>
          <w:rFonts w:hint="eastAsia"/>
          <w:snapToGrid w:val="0"/>
          <w:sz w:val="24"/>
          <w:szCs w:val="24"/>
        </w:rPr>
        <w:t>包气带</w:t>
      </w:r>
      <w:r>
        <w:rPr>
          <w:snapToGrid w:val="0"/>
          <w:kern w:val="0"/>
          <w:sz w:val="24"/>
          <w:szCs w:val="24"/>
        </w:rPr>
        <w:t>垂向渗透系数，m/d；</w:t>
      </w:r>
      <w:r>
        <w:rPr>
          <w:rFonts w:hint="eastAsia"/>
          <w:snapToGrid w:val="0"/>
          <w:kern w:val="0"/>
          <w:sz w:val="24"/>
          <w:szCs w:val="24"/>
        </w:rPr>
        <w:t>包气带岩性主要为细砂，细砂的</w:t>
      </w:r>
      <w:r>
        <w:rPr>
          <w:snapToGrid w:val="0"/>
          <w:kern w:val="0"/>
          <w:sz w:val="24"/>
          <w:szCs w:val="24"/>
        </w:rPr>
        <w:t>渗透系数</w:t>
      </w:r>
      <w:r>
        <w:rPr>
          <w:rFonts w:hint="eastAsia"/>
          <w:snapToGrid w:val="0"/>
          <w:kern w:val="0"/>
          <w:sz w:val="24"/>
          <w:szCs w:val="24"/>
        </w:rPr>
        <w:t>取经验值</w:t>
      </w:r>
      <w:r>
        <w:rPr>
          <w:snapToGrid w:val="0"/>
          <w:kern w:val="0"/>
          <w:sz w:val="24"/>
          <w:szCs w:val="24"/>
        </w:rPr>
        <w:t>5m/d</w:t>
      </w:r>
      <w:r>
        <w:rPr>
          <w:rFonts w:hint="eastAsia"/>
          <w:snapToGrid w:val="0"/>
          <w:kern w:val="0"/>
          <w:sz w:val="24"/>
          <w:szCs w:val="24"/>
        </w:rPr>
        <w:t>，则垂向渗透系数为0</w:t>
      </w:r>
      <w:r>
        <w:rPr>
          <w:snapToGrid w:val="0"/>
          <w:kern w:val="0"/>
          <w:sz w:val="24"/>
          <w:szCs w:val="24"/>
        </w:rPr>
        <w:t>.5m/d</w:t>
      </w:r>
      <w:r>
        <w:rPr>
          <w:rFonts w:hint="eastAsia"/>
          <w:snapToGrid w:val="0"/>
          <w:kern w:val="0"/>
          <w:sz w:val="24"/>
          <w:szCs w:val="24"/>
        </w:rPr>
        <w:t>；</w:t>
      </w:r>
    </w:p>
    <w:p>
      <w:pPr>
        <w:adjustRightInd w:val="0"/>
        <w:snapToGrid w:val="0"/>
        <w:spacing w:line="360" w:lineRule="auto"/>
        <w:ind w:firstLine="1200" w:firstLineChars="500"/>
        <w:rPr>
          <w:sz w:val="24"/>
          <w:szCs w:val="24"/>
        </w:rPr>
      </w:pPr>
      <w:r>
        <w:rPr>
          <w:snapToGrid w:val="0"/>
          <w:kern w:val="0"/>
          <w:sz w:val="24"/>
          <w:szCs w:val="24"/>
        </w:rPr>
        <w:t>A</w:t>
      </w:r>
      <w:r>
        <w:rPr>
          <w:snapToGrid w:val="0"/>
          <w:kern w:val="0"/>
          <w:sz w:val="24"/>
          <w:szCs w:val="24"/>
          <w:vertAlign w:val="subscript"/>
        </w:rPr>
        <w:t>1</w:t>
      </w:r>
      <w:r>
        <w:rPr>
          <w:snapToGrid w:val="0"/>
          <w:kern w:val="0"/>
          <w:sz w:val="24"/>
          <w:szCs w:val="24"/>
        </w:rPr>
        <w:t>——防渗破损部分泄漏面积，m</w:t>
      </w:r>
      <w:r>
        <w:rPr>
          <w:snapToGrid w:val="0"/>
          <w:kern w:val="0"/>
          <w:sz w:val="24"/>
          <w:szCs w:val="24"/>
          <w:vertAlign w:val="superscript"/>
        </w:rPr>
        <w:t>2</w:t>
      </w:r>
      <w:r>
        <w:rPr>
          <w:snapToGrid w:val="0"/>
          <w:kern w:val="0"/>
          <w:sz w:val="24"/>
          <w:szCs w:val="24"/>
        </w:rPr>
        <w:t>；</w:t>
      </w:r>
      <w:r>
        <w:rPr>
          <w:rFonts w:hint="eastAsia"/>
          <w:snapToGrid w:val="0"/>
          <w:kern w:val="0"/>
          <w:sz w:val="24"/>
          <w:szCs w:val="24"/>
        </w:rPr>
        <w:t>经计算破损面积</w:t>
      </w:r>
      <w:r>
        <w:rPr>
          <w:snapToGrid w:val="0"/>
          <w:kern w:val="0"/>
          <w:sz w:val="24"/>
          <w:szCs w:val="24"/>
        </w:rPr>
        <w:t>为13.02m</w:t>
      </w:r>
      <w:r>
        <w:rPr>
          <w:snapToGrid w:val="0"/>
          <w:kern w:val="0"/>
          <w:sz w:val="24"/>
          <w:szCs w:val="24"/>
          <w:vertAlign w:val="superscript"/>
        </w:rPr>
        <w:t>2</w:t>
      </w:r>
      <w:r>
        <w:rPr>
          <w:rFonts w:hint="eastAsia"/>
          <w:sz w:val="24"/>
          <w:szCs w:val="24"/>
        </w:rPr>
        <w:t>；</w:t>
      </w:r>
    </w:p>
    <w:p>
      <w:pPr>
        <w:adjustRightInd w:val="0"/>
        <w:snapToGrid w:val="0"/>
        <w:spacing w:line="360" w:lineRule="auto"/>
        <w:ind w:firstLine="1200" w:firstLineChars="500"/>
        <w:rPr>
          <w:snapToGrid w:val="0"/>
          <w:sz w:val="24"/>
          <w:szCs w:val="24"/>
        </w:rPr>
      </w:pPr>
      <w:r>
        <w:rPr>
          <w:rFonts w:hint="eastAsia"/>
          <w:snapToGrid w:val="0"/>
          <w:sz w:val="24"/>
          <w:szCs w:val="24"/>
        </w:rPr>
        <w:t>I</w:t>
      </w:r>
      <w:r>
        <w:rPr>
          <w:snapToGrid w:val="0"/>
          <w:sz w:val="24"/>
          <w:szCs w:val="24"/>
          <w:vertAlign w:val="subscript"/>
        </w:rPr>
        <w:t>1</w:t>
      </w:r>
      <w:r>
        <w:rPr>
          <w:snapToGrid w:val="0"/>
          <w:sz w:val="24"/>
          <w:szCs w:val="24"/>
        </w:rPr>
        <w:t>——</w:t>
      </w:r>
      <w:r>
        <w:rPr>
          <w:rFonts w:hint="eastAsia"/>
          <w:snapToGrid w:val="0"/>
          <w:sz w:val="24"/>
          <w:szCs w:val="24"/>
        </w:rPr>
        <w:t>水力梯度；调节池</w:t>
      </w:r>
      <w:r>
        <w:rPr>
          <w:snapToGrid w:val="0"/>
          <w:sz w:val="24"/>
          <w:szCs w:val="24"/>
        </w:rPr>
        <w:t>内</w:t>
      </w:r>
      <w:r>
        <w:rPr>
          <w:rFonts w:hint="eastAsia"/>
          <w:snapToGrid w:val="0"/>
          <w:sz w:val="24"/>
          <w:szCs w:val="24"/>
        </w:rPr>
        <w:t>的渗滤液</w:t>
      </w:r>
      <w:r>
        <w:rPr>
          <w:snapToGrid w:val="0"/>
          <w:sz w:val="24"/>
          <w:szCs w:val="24"/>
        </w:rPr>
        <w:t>平均深度按h=4m</w:t>
      </w:r>
      <w:r>
        <w:rPr>
          <w:rFonts w:hint="eastAsia"/>
          <w:snapToGrid w:val="0"/>
          <w:sz w:val="24"/>
          <w:szCs w:val="24"/>
        </w:rPr>
        <w:t>计</w:t>
      </w:r>
      <w:r>
        <w:rPr>
          <w:snapToGrid w:val="0"/>
          <w:sz w:val="24"/>
          <w:szCs w:val="24"/>
        </w:rPr>
        <w:t>，</w:t>
      </w:r>
      <w:r>
        <w:rPr>
          <w:rFonts w:hint="eastAsia"/>
          <w:snapToGrid w:val="0"/>
          <w:sz w:val="24"/>
          <w:szCs w:val="24"/>
        </w:rPr>
        <w:t>防渗层</w:t>
      </w:r>
      <w:r>
        <w:rPr>
          <w:snapToGrid w:val="0"/>
          <w:sz w:val="24"/>
          <w:szCs w:val="24"/>
        </w:rPr>
        <w:t>厚度取H=0.3m，下</w:t>
      </w:r>
      <w:r>
        <w:rPr>
          <w:rFonts w:hint="eastAsia"/>
          <w:snapToGrid w:val="0"/>
          <w:sz w:val="24"/>
          <w:szCs w:val="24"/>
        </w:rPr>
        <w:t>方</w:t>
      </w:r>
      <w:r>
        <w:rPr>
          <w:snapToGrid w:val="0"/>
          <w:sz w:val="24"/>
          <w:szCs w:val="24"/>
        </w:rPr>
        <w:t>包气带厚度L</w:t>
      </w:r>
      <w:r>
        <w:rPr>
          <w:rFonts w:hint="eastAsia"/>
          <w:snapToGrid w:val="0"/>
          <w:sz w:val="24"/>
          <w:szCs w:val="24"/>
        </w:rPr>
        <w:t>约为</w:t>
      </w:r>
      <w:r>
        <w:rPr>
          <w:snapToGrid w:val="0"/>
          <w:sz w:val="24"/>
          <w:szCs w:val="24"/>
        </w:rPr>
        <w:t>21m，则</w:t>
      </w:r>
      <w:r>
        <w:rPr>
          <w:rFonts w:hint="eastAsia"/>
          <w:snapToGrid w:val="0"/>
          <w:sz w:val="24"/>
          <w:szCs w:val="24"/>
        </w:rPr>
        <w:t>I</w:t>
      </w:r>
      <w:r>
        <w:rPr>
          <w:snapToGrid w:val="0"/>
          <w:sz w:val="24"/>
          <w:szCs w:val="24"/>
          <w:vertAlign w:val="subscript"/>
        </w:rPr>
        <w:t>1</w:t>
      </w:r>
      <w:r>
        <w:rPr>
          <w:snapToGrid w:val="0"/>
          <w:sz w:val="24"/>
          <w:szCs w:val="24"/>
        </w:rPr>
        <w:t>=h/(</w:t>
      </w:r>
      <w:r>
        <w:rPr>
          <w:rFonts w:hint="eastAsia"/>
          <w:snapToGrid w:val="0"/>
          <w:sz w:val="24"/>
          <w:szCs w:val="24"/>
        </w:rPr>
        <w:t>h+</w:t>
      </w:r>
      <w:r>
        <w:rPr>
          <w:snapToGrid w:val="0"/>
          <w:sz w:val="24"/>
          <w:szCs w:val="24"/>
        </w:rPr>
        <w:t>H+L)=0.158</w:t>
      </w:r>
      <w:r>
        <w:rPr>
          <w:rFonts w:hint="eastAsia"/>
          <w:snapToGrid w:val="0"/>
          <w:sz w:val="24"/>
          <w:szCs w:val="24"/>
        </w:rPr>
        <w:t>。</w:t>
      </w:r>
    </w:p>
    <w:p>
      <w:pPr>
        <w:adjustRightInd w:val="0"/>
        <w:snapToGrid w:val="0"/>
        <w:spacing w:line="360" w:lineRule="auto"/>
        <w:ind w:firstLine="480"/>
        <w:rPr>
          <w:rFonts w:ascii="宋体" w:hAnsi="宋体" w:cs="宋体"/>
          <w:sz w:val="24"/>
          <w:szCs w:val="24"/>
        </w:rPr>
      </w:pPr>
      <w:r>
        <w:rPr>
          <w:rFonts w:hint="eastAsia"/>
          <w:snapToGrid w:val="0"/>
          <w:sz w:val="24"/>
          <w:szCs w:val="24"/>
        </w:rPr>
        <w:t>经</w:t>
      </w:r>
      <w:r>
        <w:rPr>
          <w:snapToGrid w:val="0"/>
          <w:sz w:val="24"/>
          <w:szCs w:val="24"/>
        </w:rPr>
        <w:t>计算可知</w:t>
      </w:r>
      <w:r>
        <w:rPr>
          <w:rFonts w:hint="eastAsia"/>
          <w:snapToGrid w:val="0"/>
          <w:sz w:val="24"/>
          <w:szCs w:val="24"/>
        </w:rPr>
        <w:t>调节池防渗破损区域的渗滤液日</w:t>
      </w:r>
      <w:r>
        <w:rPr>
          <w:snapToGrid w:val="0"/>
          <w:sz w:val="24"/>
          <w:szCs w:val="24"/>
        </w:rPr>
        <w:t>渗漏量为</w:t>
      </w:r>
      <w:r>
        <w:rPr>
          <w:rFonts w:hint="eastAsia"/>
          <w:snapToGrid w:val="0"/>
          <w:sz w:val="24"/>
          <w:szCs w:val="24"/>
        </w:rPr>
        <w:t>Q</w:t>
      </w:r>
      <w:r>
        <w:rPr>
          <w:snapToGrid w:val="0"/>
          <w:sz w:val="24"/>
          <w:szCs w:val="24"/>
        </w:rPr>
        <w:t>=1.028m</w:t>
      </w:r>
      <w:r>
        <w:rPr>
          <w:snapToGrid w:val="0"/>
          <w:sz w:val="24"/>
          <w:szCs w:val="24"/>
          <w:vertAlign w:val="superscript"/>
        </w:rPr>
        <w:t>3</w:t>
      </w:r>
      <w:r>
        <w:rPr>
          <w:snapToGrid w:val="0"/>
          <w:sz w:val="24"/>
          <w:szCs w:val="24"/>
        </w:rPr>
        <w:t>/d。</w:t>
      </w:r>
    </w:p>
    <w:p>
      <w:pPr>
        <w:adjustRightInd w:val="0"/>
        <w:snapToGrid w:val="0"/>
        <w:spacing w:line="360" w:lineRule="auto"/>
        <w:ind w:firstLine="480"/>
        <w:rPr>
          <w:snapToGrid w:val="0"/>
          <w:sz w:val="24"/>
          <w:szCs w:val="24"/>
        </w:rPr>
      </w:pPr>
      <w:r>
        <w:rPr>
          <w:rFonts w:hint="eastAsia"/>
          <w:snapToGrid w:val="0"/>
          <w:sz w:val="24"/>
          <w:szCs w:val="24"/>
        </w:rPr>
        <w:t>（2）</w:t>
      </w:r>
      <w:r>
        <w:rPr>
          <w:snapToGrid w:val="0"/>
          <w:sz w:val="24"/>
          <w:szCs w:val="24"/>
        </w:rPr>
        <w:t>泄漏污染物源强</w:t>
      </w:r>
    </w:p>
    <w:p>
      <w:pPr>
        <w:adjustRightInd w:val="0"/>
        <w:snapToGrid w:val="0"/>
        <w:spacing w:line="360" w:lineRule="auto"/>
        <w:ind w:firstLine="480"/>
        <w:rPr>
          <w:rFonts w:ascii="宋体" w:hAnsi="宋体"/>
          <w:sz w:val="24"/>
          <w:szCs w:val="24"/>
        </w:rPr>
      </w:pPr>
      <w:r>
        <w:rPr>
          <w:rFonts w:hint="eastAsia" w:ascii="宋体" w:hAnsi="宋体"/>
          <w:sz w:val="24"/>
          <w:szCs w:val="24"/>
        </w:rPr>
        <w:t>调节池</w:t>
      </w:r>
      <w:r>
        <w:rPr>
          <w:rFonts w:ascii="宋体" w:hAnsi="宋体"/>
          <w:sz w:val="24"/>
          <w:szCs w:val="24"/>
        </w:rPr>
        <w:t>的特征污染物因子</w:t>
      </w:r>
      <w:r>
        <w:rPr>
          <w:rFonts w:hint="eastAsia" w:ascii="宋体" w:hAnsi="宋体"/>
          <w:sz w:val="24"/>
          <w:szCs w:val="24"/>
        </w:rPr>
        <w:t>及其</w:t>
      </w:r>
      <w:r>
        <w:rPr>
          <w:rFonts w:ascii="宋体" w:hAnsi="宋体"/>
          <w:sz w:val="24"/>
          <w:szCs w:val="24"/>
        </w:rPr>
        <w:t>超标倍数见</w:t>
      </w:r>
      <w:r>
        <w:rPr>
          <w:rFonts w:hint="eastAsia"/>
          <w:sz w:val="24"/>
          <w:szCs w:val="24"/>
        </w:rPr>
        <w:t>表5.3.4-</w:t>
      </w:r>
      <w:r>
        <w:rPr>
          <w:sz w:val="24"/>
          <w:szCs w:val="24"/>
        </w:rPr>
        <w:t>3</w:t>
      </w:r>
      <w:r>
        <w:rPr>
          <w:rFonts w:hint="eastAsia" w:ascii="宋体" w:hAnsi="宋体"/>
          <w:sz w:val="24"/>
          <w:szCs w:val="24"/>
        </w:rPr>
        <w:t>。本项目</w:t>
      </w:r>
      <w:r>
        <w:rPr>
          <w:rFonts w:ascii="宋体" w:hAnsi="宋体"/>
          <w:sz w:val="24"/>
          <w:szCs w:val="24"/>
        </w:rPr>
        <w:t>厂区</w:t>
      </w:r>
      <w:r>
        <w:rPr>
          <w:rFonts w:hint="eastAsia" w:ascii="宋体" w:hAnsi="宋体"/>
          <w:sz w:val="24"/>
          <w:szCs w:val="24"/>
        </w:rPr>
        <w:t>下方地下水总</w:t>
      </w:r>
      <w:r>
        <w:rPr>
          <w:rFonts w:hint="eastAsia"/>
          <w:sz w:val="24"/>
          <w:szCs w:val="24"/>
        </w:rPr>
        <w:t>污染物</w:t>
      </w:r>
      <w:r>
        <w:rPr>
          <w:rFonts w:ascii="宋体" w:hAnsi="宋体"/>
          <w:sz w:val="24"/>
          <w:szCs w:val="24"/>
        </w:rPr>
        <w:t>浓度背景值取</w:t>
      </w:r>
      <w:r>
        <w:rPr>
          <w:rFonts w:hint="eastAsia" w:ascii="宋体" w:hAnsi="宋体"/>
          <w:sz w:val="24"/>
          <w:szCs w:val="24"/>
        </w:rPr>
        <w:t>厂址内</w:t>
      </w:r>
      <w:r>
        <w:rPr>
          <w:rFonts w:ascii="宋体" w:hAnsi="宋体"/>
          <w:sz w:val="24"/>
          <w:szCs w:val="24"/>
        </w:rPr>
        <w:t>监测点的</w:t>
      </w:r>
      <w:r>
        <w:rPr>
          <w:rFonts w:hint="eastAsia" w:ascii="宋体" w:hAnsi="宋体"/>
          <w:sz w:val="24"/>
          <w:szCs w:val="24"/>
        </w:rPr>
        <w:t>现状监测值</w:t>
      </w:r>
      <w:r>
        <w:rPr>
          <w:rFonts w:ascii="宋体" w:hAnsi="宋体"/>
          <w:sz w:val="24"/>
          <w:szCs w:val="24"/>
        </w:rPr>
        <w:t>，</w:t>
      </w:r>
      <w:r>
        <w:rPr>
          <w:rFonts w:hint="eastAsia" w:ascii="宋体" w:hAnsi="宋体"/>
          <w:sz w:val="24"/>
          <w:szCs w:val="24"/>
        </w:rPr>
        <w:t>叠加</w:t>
      </w:r>
      <w:r>
        <w:rPr>
          <w:rFonts w:ascii="宋体" w:hAnsi="宋体"/>
          <w:sz w:val="24"/>
          <w:szCs w:val="24"/>
        </w:rPr>
        <w:t>背景值后</w:t>
      </w:r>
      <w:r>
        <w:rPr>
          <w:rFonts w:hint="eastAsia"/>
          <w:sz w:val="24"/>
          <w:szCs w:val="24"/>
        </w:rPr>
        <w:t>各污染物</w:t>
      </w:r>
      <w:r>
        <w:rPr>
          <w:rFonts w:hint="eastAsia" w:ascii="宋体" w:hAnsi="宋体"/>
          <w:sz w:val="24"/>
          <w:szCs w:val="24"/>
        </w:rPr>
        <w:t>的</w:t>
      </w:r>
      <w:r>
        <w:rPr>
          <w:rFonts w:ascii="宋体" w:hAnsi="宋体"/>
          <w:sz w:val="24"/>
          <w:szCs w:val="24"/>
        </w:rPr>
        <w:t>源强</w:t>
      </w:r>
      <w:r>
        <w:rPr>
          <w:rFonts w:hint="eastAsia" w:ascii="宋体" w:hAnsi="宋体"/>
          <w:sz w:val="24"/>
          <w:szCs w:val="24"/>
        </w:rPr>
        <w:t>如下表所示。</w:t>
      </w:r>
    </w:p>
    <w:p>
      <w:pPr>
        <w:jc w:val="center"/>
        <w:rPr>
          <w:b/>
          <w:bCs/>
          <w:sz w:val="24"/>
          <w:szCs w:val="24"/>
        </w:rPr>
      </w:pPr>
      <w:r>
        <w:rPr>
          <w:b/>
          <w:bCs/>
          <w:sz w:val="24"/>
          <w:szCs w:val="24"/>
        </w:rPr>
        <w:t>表5.3.4</w:t>
      </w:r>
      <w:r>
        <w:rPr>
          <w:rFonts w:hint="eastAsia"/>
          <w:b/>
          <w:bCs/>
          <w:sz w:val="24"/>
          <w:szCs w:val="24"/>
        </w:rPr>
        <w:t>-</w:t>
      </w:r>
      <w:r>
        <w:rPr>
          <w:b/>
          <w:bCs/>
          <w:sz w:val="24"/>
          <w:szCs w:val="24"/>
        </w:rPr>
        <w:t>3 污染物泄漏源强</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17"/>
        <w:gridCol w:w="1202"/>
        <w:gridCol w:w="1300"/>
        <w:gridCol w:w="1300"/>
        <w:gridCol w:w="1202"/>
        <w:gridCol w:w="13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01" w:type="pct"/>
            <w:shd w:val="clear" w:color="auto" w:fill="auto"/>
            <w:vAlign w:val="center"/>
          </w:tcPr>
          <w:p>
            <w:pPr>
              <w:jc w:val="center"/>
              <w:rPr>
                <w:sz w:val="20"/>
              </w:rPr>
            </w:pPr>
            <w:r>
              <w:rPr>
                <w:sz w:val="20"/>
              </w:rPr>
              <w:t>污染因子</w:t>
            </w:r>
          </w:p>
        </w:tc>
        <w:tc>
          <w:tcPr>
            <w:tcW w:w="705" w:type="pct"/>
            <w:shd w:val="clear" w:color="auto" w:fill="auto"/>
            <w:vAlign w:val="center"/>
          </w:tcPr>
          <w:p>
            <w:pPr>
              <w:jc w:val="center"/>
              <w:rPr>
                <w:sz w:val="20"/>
              </w:rPr>
            </w:pPr>
            <w:r>
              <w:rPr>
                <w:sz w:val="20"/>
              </w:rPr>
              <w:t>耗氧量</w:t>
            </w:r>
          </w:p>
        </w:tc>
        <w:tc>
          <w:tcPr>
            <w:tcW w:w="763" w:type="pct"/>
          </w:tcPr>
          <w:p>
            <w:pPr>
              <w:jc w:val="center"/>
              <w:rPr>
                <w:sz w:val="20"/>
              </w:rPr>
            </w:pPr>
            <w:r>
              <w:rPr>
                <w:sz w:val="20"/>
              </w:rPr>
              <w:t>汞</w:t>
            </w:r>
          </w:p>
        </w:tc>
        <w:tc>
          <w:tcPr>
            <w:tcW w:w="763" w:type="pct"/>
          </w:tcPr>
          <w:p>
            <w:pPr>
              <w:jc w:val="center"/>
              <w:rPr>
                <w:sz w:val="20"/>
              </w:rPr>
            </w:pPr>
            <w:r>
              <w:rPr>
                <w:sz w:val="20"/>
              </w:rPr>
              <w:t>铅</w:t>
            </w:r>
          </w:p>
        </w:tc>
        <w:tc>
          <w:tcPr>
            <w:tcW w:w="705" w:type="pct"/>
          </w:tcPr>
          <w:p>
            <w:pPr>
              <w:jc w:val="center"/>
              <w:rPr>
                <w:sz w:val="20"/>
              </w:rPr>
            </w:pPr>
            <w:r>
              <w:rPr>
                <w:sz w:val="20"/>
              </w:rPr>
              <w:t>砷</w:t>
            </w:r>
          </w:p>
        </w:tc>
        <w:tc>
          <w:tcPr>
            <w:tcW w:w="763" w:type="pct"/>
          </w:tcPr>
          <w:p>
            <w:pPr>
              <w:jc w:val="center"/>
              <w:rPr>
                <w:sz w:val="20"/>
              </w:rPr>
            </w:pPr>
            <w:r>
              <w:rPr>
                <w:sz w:val="20"/>
              </w:rPr>
              <w:t>六价铬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01" w:type="pct"/>
            <w:shd w:val="clear" w:color="auto" w:fill="auto"/>
            <w:vAlign w:val="center"/>
          </w:tcPr>
          <w:p>
            <w:pPr>
              <w:jc w:val="center"/>
              <w:rPr>
                <w:sz w:val="20"/>
              </w:rPr>
            </w:pPr>
            <w:r>
              <w:rPr>
                <w:sz w:val="20"/>
              </w:rPr>
              <w:t>背景值</w:t>
            </w:r>
          </w:p>
        </w:tc>
        <w:tc>
          <w:tcPr>
            <w:tcW w:w="705" w:type="pct"/>
            <w:shd w:val="clear" w:color="auto" w:fill="auto"/>
            <w:vAlign w:val="center"/>
          </w:tcPr>
          <w:p>
            <w:pPr>
              <w:jc w:val="center"/>
              <w:rPr>
                <w:sz w:val="20"/>
              </w:rPr>
            </w:pPr>
            <w:r>
              <w:rPr>
                <w:sz w:val="20"/>
              </w:rPr>
              <w:t>1.54mg/L</w:t>
            </w:r>
          </w:p>
        </w:tc>
        <w:tc>
          <w:tcPr>
            <w:tcW w:w="763" w:type="pct"/>
          </w:tcPr>
          <w:p>
            <w:pPr>
              <w:jc w:val="center"/>
              <w:rPr>
                <w:sz w:val="20"/>
              </w:rPr>
            </w:pPr>
            <w:r>
              <w:rPr>
                <w:sz w:val="20"/>
              </w:rPr>
              <w:t>＜</w:t>
            </w:r>
            <w:r>
              <w:rPr>
                <w:rFonts w:hint="eastAsia"/>
                <w:sz w:val="20"/>
              </w:rPr>
              <w:t>0</w:t>
            </w:r>
            <w:r>
              <w:rPr>
                <w:sz w:val="20"/>
              </w:rPr>
              <w:t>.04μg/L</w:t>
            </w:r>
          </w:p>
        </w:tc>
        <w:tc>
          <w:tcPr>
            <w:tcW w:w="763" w:type="pct"/>
          </w:tcPr>
          <w:p>
            <w:pPr>
              <w:jc w:val="center"/>
              <w:rPr>
                <w:sz w:val="20"/>
              </w:rPr>
            </w:pPr>
            <w:r>
              <w:rPr>
                <w:sz w:val="20"/>
              </w:rPr>
              <w:t>＜0.09μg/L</w:t>
            </w:r>
          </w:p>
        </w:tc>
        <w:tc>
          <w:tcPr>
            <w:tcW w:w="705" w:type="pct"/>
          </w:tcPr>
          <w:p>
            <w:pPr>
              <w:jc w:val="center"/>
              <w:rPr>
                <w:sz w:val="20"/>
              </w:rPr>
            </w:pPr>
            <w:r>
              <w:rPr>
                <w:sz w:val="20"/>
              </w:rPr>
              <w:t>＜0.3μg/L</w:t>
            </w:r>
          </w:p>
        </w:tc>
        <w:tc>
          <w:tcPr>
            <w:tcW w:w="763" w:type="pct"/>
          </w:tcPr>
          <w:p>
            <w:pPr>
              <w:jc w:val="center"/>
              <w:rPr>
                <w:sz w:val="20"/>
              </w:rPr>
            </w:pPr>
            <w:r>
              <w:rPr>
                <w:sz w:val="20"/>
              </w:rPr>
              <w:t>＜0.004mg/L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01" w:type="pct"/>
            <w:shd w:val="clear" w:color="auto" w:fill="auto"/>
            <w:vAlign w:val="center"/>
          </w:tcPr>
          <w:p>
            <w:pPr>
              <w:jc w:val="center"/>
              <w:rPr>
                <w:sz w:val="20"/>
              </w:rPr>
            </w:pPr>
            <w:r>
              <w:rPr>
                <w:sz w:val="20"/>
              </w:rPr>
              <w:t>渗滤液中污染物浓度</w:t>
            </w:r>
          </w:p>
        </w:tc>
        <w:tc>
          <w:tcPr>
            <w:tcW w:w="705" w:type="pct"/>
            <w:shd w:val="clear" w:color="auto" w:fill="auto"/>
            <w:vAlign w:val="center"/>
          </w:tcPr>
          <w:p>
            <w:pPr>
              <w:jc w:val="center"/>
              <w:rPr>
                <w:sz w:val="20"/>
              </w:rPr>
            </w:pPr>
            <w:r>
              <w:rPr>
                <w:sz w:val="20"/>
              </w:rPr>
              <w:t>125.58mg/L</w:t>
            </w:r>
          </w:p>
        </w:tc>
        <w:tc>
          <w:tcPr>
            <w:tcW w:w="763" w:type="pct"/>
            <w:vAlign w:val="center"/>
          </w:tcPr>
          <w:p>
            <w:pPr>
              <w:jc w:val="center"/>
              <w:rPr>
                <w:sz w:val="20"/>
              </w:rPr>
            </w:pPr>
            <w:r>
              <w:rPr>
                <w:sz w:val="20"/>
              </w:rPr>
              <w:t>0.05mg/L</w:t>
            </w:r>
          </w:p>
        </w:tc>
        <w:tc>
          <w:tcPr>
            <w:tcW w:w="763" w:type="pct"/>
            <w:vAlign w:val="center"/>
          </w:tcPr>
          <w:p>
            <w:pPr>
              <w:jc w:val="center"/>
              <w:rPr>
                <w:sz w:val="20"/>
              </w:rPr>
            </w:pPr>
            <w:r>
              <w:rPr>
                <w:sz w:val="20"/>
              </w:rPr>
              <w:t>0.25mg/L</w:t>
            </w:r>
          </w:p>
        </w:tc>
        <w:tc>
          <w:tcPr>
            <w:tcW w:w="705" w:type="pct"/>
            <w:vAlign w:val="center"/>
          </w:tcPr>
          <w:p>
            <w:pPr>
              <w:jc w:val="center"/>
              <w:rPr>
                <w:sz w:val="20"/>
              </w:rPr>
            </w:pPr>
            <w:r>
              <w:rPr>
                <w:sz w:val="20"/>
              </w:rPr>
              <w:t>0.3mg/L</w:t>
            </w:r>
          </w:p>
        </w:tc>
        <w:tc>
          <w:tcPr>
            <w:tcW w:w="763" w:type="pct"/>
            <w:vAlign w:val="center"/>
          </w:tcPr>
          <w:p>
            <w:pPr>
              <w:jc w:val="center"/>
              <w:rPr>
                <w:sz w:val="20"/>
              </w:rPr>
            </w:pPr>
            <w:r>
              <w:rPr>
                <w:sz w:val="20"/>
              </w:rPr>
              <w:t>1.5mg/L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01" w:type="pct"/>
            <w:shd w:val="clear" w:color="auto" w:fill="auto"/>
            <w:vAlign w:val="center"/>
          </w:tcPr>
          <w:p>
            <w:pPr>
              <w:jc w:val="center"/>
              <w:rPr>
                <w:sz w:val="20"/>
              </w:rPr>
            </w:pPr>
            <w:r>
              <w:rPr>
                <w:sz w:val="20"/>
              </w:rPr>
              <w:t>叠加背景值后污染源强</w:t>
            </w:r>
          </w:p>
        </w:tc>
        <w:tc>
          <w:tcPr>
            <w:tcW w:w="705" w:type="pct"/>
            <w:shd w:val="clear" w:color="auto" w:fill="auto"/>
          </w:tcPr>
          <w:p>
            <w:pPr>
              <w:jc w:val="center"/>
              <w:rPr>
                <w:sz w:val="20"/>
              </w:rPr>
            </w:pPr>
            <w:r>
              <w:rPr>
                <w:sz w:val="20"/>
              </w:rPr>
              <w:t>127.12mg/L</w:t>
            </w:r>
          </w:p>
        </w:tc>
        <w:tc>
          <w:tcPr>
            <w:tcW w:w="763" w:type="pct"/>
          </w:tcPr>
          <w:p>
            <w:pPr>
              <w:jc w:val="center"/>
              <w:rPr>
                <w:sz w:val="20"/>
              </w:rPr>
            </w:pPr>
            <w:r>
              <w:rPr>
                <w:sz w:val="20"/>
              </w:rPr>
              <w:t>0.05004mg/L</w:t>
            </w:r>
          </w:p>
        </w:tc>
        <w:tc>
          <w:tcPr>
            <w:tcW w:w="763" w:type="pct"/>
          </w:tcPr>
          <w:p>
            <w:pPr>
              <w:jc w:val="center"/>
              <w:rPr>
                <w:sz w:val="20"/>
              </w:rPr>
            </w:pPr>
            <w:r>
              <w:rPr>
                <w:sz w:val="20"/>
              </w:rPr>
              <w:t>0.25009mg/L</w:t>
            </w:r>
          </w:p>
        </w:tc>
        <w:tc>
          <w:tcPr>
            <w:tcW w:w="705" w:type="pct"/>
          </w:tcPr>
          <w:p>
            <w:pPr>
              <w:jc w:val="center"/>
              <w:rPr>
                <w:sz w:val="20"/>
              </w:rPr>
            </w:pPr>
            <w:r>
              <w:rPr>
                <w:sz w:val="20"/>
              </w:rPr>
              <w:t>0.3003mg/L</w:t>
            </w:r>
          </w:p>
        </w:tc>
        <w:tc>
          <w:tcPr>
            <w:tcW w:w="763" w:type="pct"/>
          </w:tcPr>
          <w:p>
            <w:pPr>
              <w:jc w:val="center"/>
              <w:rPr>
                <w:sz w:val="20"/>
              </w:rPr>
            </w:pPr>
            <w:r>
              <w:rPr>
                <w:sz w:val="20"/>
              </w:rPr>
              <w:t>1.504mg/L</w:t>
            </w:r>
          </w:p>
        </w:tc>
      </w:tr>
    </w:tbl>
    <w:p>
      <w:pPr>
        <w:adjustRightInd w:val="0"/>
        <w:snapToGrid w:val="0"/>
        <w:spacing w:before="156" w:beforeLines="50" w:line="360" w:lineRule="auto"/>
        <w:ind w:firstLine="482"/>
        <w:rPr>
          <w:rFonts w:ascii="宋体" w:hAnsi="宋体"/>
          <w:sz w:val="24"/>
          <w:szCs w:val="24"/>
        </w:rPr>
      </w:pPr>
      <w:r>
        <w:rPr>
          <w:rFonts w:hint="eastAsia"/>
          <w:sz w:val="24"/>
          <w:szCs w:val="24"/>
        </w:rPr>
        <w:t>（3</w:t>
      </w:r>
      <w:r>
        <w:rPr>
          <w:rFonts w:hint="eastAsia" w:ascii="宋体" w:hAnsi="宋体"/>
          <w:sz w:val="24"/>
          <w:szCs w:val="24"/>
        </w:rPr>
        <w:t>）泄漏时间</w:t>
      </w:r>
      <w:r>
        <w:rPr>
          <w:rFonts w:ascii="宋体" w:hAnsi="宋体"/>
          <w:sz w:val="24"/>
          <w:szCs w:val="24"/>
        </w:rPr>
        <w:t>及</w:t>
      </w:r>
      <w:r>
        <w:rPr>
          <w:rFonts w:hint="eastAsia" w:ascii="宋体" w:hAnsi="宋体"/>
          <w:sz w:val="24"/>
          <w:szCs w:val="24"/>
        </w:rPr>
        <w:t>预测时段</w:t>
      </w:r>
    </w:p>
    <w:p>
      <w:pPr>
        <w:adjustRightInd w:val="0"/>
        <w:snapToGrid w:val="0"/>
        <w:spacing w:line="360" w:lineRule="auto"/>
        <w:ind w:firstLine="480"/>
        <w:rPr>
          <w:sz w:val="24"/>
          <w:szCs w:val="24"/>
        </w:rPr>
      </w:pPr>
      <w:r>
        <w:rPr>
          <w:rFonts w:hint="eastAsia"/>
          <w:sz w:val="24"/>
          <w:szCs w:val="24"/>
        </w:rPr>
        <w:t>考虑不利情况，调节池中的渗滤液泄漏后直接进入地下水，污染物持续泄漏时间取</w:t>
      </w:r>
      <w:r>
        <w:rPr>
          <w:sz w:val="24"/>
          <w:szCs w:val="24"/>
        </w:rPr>
        <w:t>60天</w:t>
      </w:r>
      <w:r>
        <w:rPr>
          <w:rFonts w:hint="eastAsia"/>
          <w:sz w:val="24"/>
          <w:szCs w:val="24"/>
        </w:rPr>
        <w:t>。</w:t>
      </w:r>
    </w:p>
    <w:p>
      <w:pPr>
        <w:adjustRightInd w:val="0"/>
        <w:snapToGrid w:val="0"/>
        <w:spacing w:line="360" w:lineRule="auto"/>
        <w:ind w:firstLine="480"/>
        <w:rPr>
          <w:sz w:val="24"/>
          <w:szCs w:val="24"/>
        </w:rPr>
      </w:pPr>
      <w:r>
        <w:rPr>
          <w:sz w:val="24"/>
          <w:szCs w:val="24"/>
        </w:rPr>
        <w:t>预测时段按照100天、1000天</w:t>
      </w:r>
      <w:r>
        <w:rPr>
          <w:rFonts w:hint="eastAsia"/>
          <w:sz w:val="24"/>
          <w:szCs w:val="24"/>
        </w:rPr>
        <w:t>、3</w:t>
      </w:r>
      <w:r>
        <w:rPr>
          <w:sz w:val="24"/>
          <w:szCs w:val="24"/>
        </w:rPr>
        <w:t>600</w:t>
      </w:r>
      <w:r>
        <w:rPr>
          <w:rFonts w:hint="eastAsia"/>
          <w:sz w:val="24"/>
          <w:szCs w:val="24"/>
        </w:rPr>
        <w:t>天、</w:t>
      </w:r>
      <w:r>
        <w:rPr>
          <w:sz w:val="24"/>
          <w:szCs w:val="24"/>
        </w:rPr>
        <w:t>7300天</w:t>
      </w:r>
      <w:r>
        <w:rPr>
          <w:rFonts w:hint="eastAsia"/>
          <w:sz w:val="24"/>
          <w:szCs w:val="24"/>
        </w:rPr>
        <w:t>4</w:t>
      </w:r>
      <w:r>
        <w:rPr>
          <w:sz w:val="24"/>
          <w:szCs w:val="24"/>
        </w:rPr>
        <w:t>个时间给出污染物浓度时空变化过程，从而确定评价区地下水环境的影响范围和程度。</w:t>
      </w:r>
    </w:p>
    <w:p>
      <w:pPr>
        <w:adjustRightInd w:val="0"/>
        <w:snapToGrid w:val="0"/>
        <w:spacing w:line="360" w:lineRule="auto"/>
        <w:ind w:firstLine="480"/>
        <w:rPr>
          <w:snapToGrid w:val="0"/>
          <w:sz w:val="24"/>
          <w:szCs w:val="24"/>
        </w:rPr>
      </w:pPr>
      <w:r>
        <w:rPr>
          <w:rFonts w:hint="eastAsia"/>
          <w:snapToGrid w:val="0"/>
          <w:sz w:val="24"/>
          <w:szCs w:val="24"/>
        </w:rPr>
        <w:t>（4）</w:t>
      </w:r>
      <w:r>
        <w:rPr>
          <w:snapToGrid w:val="0"/>
          <w:sz w:val="24"/>
          <w:szCs w:val="24"/>
        </w:rPr>
        <w:t>预测结果及分析</w:t>
      </w:r>
    </w:p>
    <w:p>
      <w:pPr>
        <w:adjustRightInd w:val="0"/>
        <w:snapToGrid w:val="0"/>
        <w:spacing w:line="360" w:lineRule="auto"/>
        <w:ind w:firstLine="480"/>
        <w:rPr>
          <w:snapToGrid w:val="0"/>
          <w:sz w:val="24"/>
          <w:szCs w:val="24"/>
        </w:rPr>
      </w:pPr>
      <w:r>
        <w:rPr>
          <w:rFonts w:hint="eastAsia"/>
          <w:snapToGrid w:val="0"/>
          <w:sz w:val="24"/>
          <w:szCs w:val="24"/>
        </w:rPr>
        <w:t>利用Visual Modflow软件，联合运行水流和水质模型，得到</w:t>
      </w:r>
      <w:r>
        <w:rPr>
          <w:rFonts w:hint="eastAsia" w:ascii="宋体" w:hAnsi="宋体"/>
          <w:sz w:val="24"/>
          <w:szCs w:val="24"/>
        </w:rPr>
        <w:t>污染物</w:t>
      </w:r>
      <w:r>
        <w:rPr>
          <w:rFonts w:hint="eastAsia"/>
          <w:snapToGrid w:val="0"/>
          <w:sz w:val="24"/>
          <w:szCs w:val="24"/>
        </w:rPr>
        <w:t>运移的预测结果（见图</w:t>
      </w:r>
      <w:r>
        <w:rPr>
          <w:snapToGrid w:val="0"/>
          <w:sz w:val="24"/>
          <w:szCs w:val="24"/>
        </w:rPr>
        <w:t>5.3.4-7</w:t>
      </w:r>
      <w:r>
        <w:rPr>
          <w:rFonts w:hint="eastAsia"/>
          <w:snapToGrid w:val="0"/>
          <w:sz w:val="24"/>
          <w:szCs w:val="24"/>
        </w:rPr>
        <w:t>~图5.3.4-1</w:t>
      </w:r>
      <w:r>
        <w:rPr>
          <w:snapToGrid w:val="0"/>
          <w:sz w:val="24"/>
          <w:szCs w:val="24"/>
        </w:rPr>
        <w:t>6</w:t>
      </w:r>
      <w:r>
        <w:rPr>
          <w:rFonts w:hint="eastAsia"/>
          <w:snapToGrid w:val="0"/>
          <w:sz w:val="24"/>
          <w:szCs w:val="24"/>
        </w:rPr>
        <w:t>）。各污染因子执行</w:t>
      </w:r>
      <w:r>
        <w:rPr>
          <w:sz w:val="24"/>
          <w:szCs w:val="24"/>
        </w:rPr>
        <w:t>《地下水质量标准》（GB/T14848-2017）中的Ⅲ类标准</w:t>
      </w:r>
      <w:r>
        <w:rPr>
          <w:rFonts w:hint="eastAsia"/>
          <w:snapToGrid w:val="0"/>
          <w:sz w:val="24"/>
          <w:szCs w:val="24"/>
        </w:rPr>
        <w:t>。各污染物在模拟期内迁移特征见</w:t>
      </w:r>
      <w:r>
        <w:rPr>
          <w:snapToGrid w:val="0"/>
          <w:sz w:val="24"/>
          <w:szCs w:val="24"/>
        </w:rPr>
        <w:t>5.3.4-4</w:t>
      </w:r>
      <w:r>
        <w:rPr>
          <w:rFonts w:hint="eastAsia"/>
          <w:snapToGrid w:val="0"/>
          <w:sz w:val="24"/>
          <w:szCs w:val="24"/>
        </w:rPr>
        <w:t>。</w:t>
      </w:r>
    </w:p>
    <w:p>
      <w:pPr>
        <w:pStyle w:val="2"/>
      </w:pPr>
    </w:p>
    <w:p>
      <w:pPr>
        <w:jc w:val="center"/>
      </w:pPr>
      <w:r>
        <w:drawing>
          <wp:anchor distT="0" distB="0" distL="114300" distR="114300" simplePos="0" relativeHeight="251787264" behindDoc="0" locked="0" layoutInCell="1" allowOverlap="1">
            <wp:simplePos x="0" y="0"/>
            <wp:positionH relativeFrom="column">
              <wp:posOffset>3345180</wp:posOffset>
            </wp:positionH>
            <wp:positionV relativeFrom="paragraph">
              <wp:posOffset>3549650</wp:posOffset>
            </wp:positionV>
            <wp:extent cx="658495" cy="265430"/>
            <wp:effectExtent l="19050" t="57150" r="27940" b="59055"/>
            <wp:wrapNone/>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drawing>
          <wp:anchor distT="0" distB="0" distL="114300" distR="114300" simplePos="0" relativeHeight="251786240" behindDoc="0" locked="0" layoutInCell="1" allowOverlap="1">
            <wp:simplePos x="0" y="0"/>
            <wp:positionH relativeFrom="column">
              <wp:posOffset>772160</wp:posOffset>
            </wp:positionH>
            <wp:positionV relativeFrom="paragraph">
              <wp:posOffset>3549650</wp:posOffset>
            </wp:positionV>
            <wp:extent cx="658495" cy="265430"/>
            <wp:effectExtent l="19050" t="57150" r="27940" b="59055"/>
            <wp:wrapNone/>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drawing>
          <wp:anchor distT="0" distB="0" distL="114300" distR="114300" simplePos="0" relativeHeight="251784192" behindDoc="0" locked="0" layoutInCell="1" allowOverlap="1">
            <wp:simplePos x="0" y="0"/>
            <wp:positionH relativeFrom="column">
              <wp:posOffset>3328670</wp:posOffset>
            </wp:positionH>
            <wp:positionV relativeFrom="paragraph">
              <wp:posOffset>184150</wp:posOffset>
            </wp:positionV>
            <wp:extent cx="658495" cy="265430"/>
            <wp:effectExtent l="19050" t="57150" r="27940" b="59055"/>
            <wp:wrapNone/>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drawing>
          <wp:anchor distT="0" distB="0" distL="114300" distR="114300" simplePos="0" relativeHeight="251783168" behindDoc="0" locked="0" layoutInCell="1" allowOverlap="1">
            <wp:simplePos x="0" y="0"/>
            <wp:positionH relativeFrom="column">
              <wp:posOffset>814705</wp:posOffset>
            </wp:positionH>
            <wp:positionV relativeFrom="paragraph">
              <wp:posOffset>191770</wp:posOffset>
            </wp:positionV>
            <wp:extent cx="658495" cy="265430"/>
            <wp:effectExtent l="19050" t="57150" r="27940" b="59055"/>
            <wp:wrapNone/>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rPr>
          <w:rFonts w:eastAsiaTheme="minorEastAsia"/>
          <w:b/>
          <w:sz w:val="24"/>
          <w:szCs w:val="24"/>
        </w:rPr>
        <mc:AlternateContent>
          <mc:Choice Requires="wps">
            <w:drawing>
              <wp:anchor distT="0" distB="0" distL="114300" distR="114300" simplePos="0" relativeHeight="251687936" behindDoc="0" locked="0" layoutInCell="1" allowOverlap="1">
                <wp:simplePos x="0" y="0"/>
                <wp:positionH relativeFrom="column">
                  <wp:posOffset>3169920</wp:posOffset>
                </wp:positionH>
                <wp:positionV relativeFrom="paragraph">
                  <wp:posOffset>438785</wp:posOffset>
                </wp:positionV>
                <wp:extent cx="654685" cy="367030"/>
                <wp:effectExtent l="19050" t="19050" r="12065" b="13970"/>
                <wp:wrapNone/>
                <wp:docPr id="1436" name="任意多边形: 形状 1436"/>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36" o:spid="_x0000_s1026" o:spt="100" style="position:absolute;left:0pt;margin-left:249.6pt;margin-top:34.55pt;height:28.9pt;width:51.55pt;z-index:251687936;v-text-anchor:middle;mso-width-relative:page;mso-height-relative:page;" filled="f" stroked="t" coordsize="654908,367614" o:gfxdata="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A2gJNH1QAA&#10;AAoBAAAPAAAAAAAAAAEAIAAAACIAAABkcnMvZG93bnJldi54bWxQSwECFAAUAAAACACHTuJA0bhs&#10;GpQEAAAJDwAADgAAAAAAAAABACAAAAAkAQAAZHJzL2Uyb0RvYy54bWxQSwUGAAAAAAYABgBZAQAA&#10;Kgg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692032" behindDoc="0" locked="0" layoutInCell="1" allowOverlap="1">
                <wp:simplePos x="0" y="0"/>
                <wp:positionH relativeFrom="column">
                  <wp:posOffset>615315</wp:posOffset>
                </wp:positionH>
                <wp:positionV relativeFrom="paragraph">
                  <wp:posOffset>3811270</wp:posOffset>
                </wp:positionV>
                <wp:extent cx="654685" cy="367030"/>
                <wp:effectExtent l="19050" t="19050" r="12065" b="13970"/>
                <wp:wrapNone/>
                <wp:docPr id="1460" name="任意多边形: 形状 1460"/>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60" o:spid="_x0000_s1026" o:spt="100" style="position:absolute;left:0pt;margin-left:48.45pt;margin-top:300.1pt;height:28.9pt;width:51.55pt;z-index:251692032;v-text-anchor:middle;mso-width-relative:page;mso-height-relative:page;" filled="f" stroked="t" coordsize="654908,367614" o:gfxdata="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697152" behindDoc="0" locked="0" layoutInCell="1" allowOverlap="1">
                <wp:simplePos x="0" y="0"/>
                <wp:positionH relativeFrom="column">
                  <wp:posOffset>3169285</wp:posOffset>
                </wp:positionH>
                <wp:positionV relativeFrom="paragraph">
                  <wp:posOffset>3818890</wp:posOffset>
                </wp:positionV>
                <wp:extent cx="654685" cy="367665"/>
                <wp:effectExtent l="19050" t="19050" r="12065" b="13970"/>
                <wp:wrapNone/>
                <wp:docPr id="1461" name="任意多边形: 形状 1461"/>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61" o:spid="_x0000_s1026" o:spt="100" style="position:absolute;left:0pt;margin-left:249.55pt;margin-top:300.7pt;height:28.95pt;width:51.55pt;z-index:251697152;v-text-anchor:middle;mso-width-relative:page;mso-height-relative:page;" filled="f" stroked="t" coordsize="654908,367614" o:gfxdata="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684864" behindDoc="0" locked="0" layoutInCell="1" allowOverlap="1">
                <wp:simplePos x="0" y="0"/>
                <wp:positionH relativeFrom="column">
                  <wp:posOffset>631825</wp:posOffset>
                </wp:positionH>
                <wp:positionV relativeFrom="paragraph">
                  <wp:posOffset>455295</wp:posOffset>
                </wp:positionV>
                <wp:extent cx="654685" cy="367665"/>
                <wp:effectExtent l="19050" t="19050" r="12065" b="13970"/>
                <wp:wrapNone/>
                <wp:docPr id="60" name="任意多边形: 形状 60"/>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0" o:spid="_x0000_s1026" o:spt="100" style="position:absolute;left:0pt;margin-left:49.75pt;margin-top:35.85pt;height:28.95pt;width:51.55pt;z-index:251684864;v-text-anchor:middle;mso-width-relative:page;mso-height-relative:page;" filled="f" stroked="t" coordsize="654908,367614" o:gfxdata="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45720" distB="45720" distL="114300" distR="114300" simplePos="0" relativeHeight="251679744" behindDoc="0" locked="0" layoutInCell="1" allowOverlap="1">
                <wp:simplePos x="0" y="0"/>
                <wp:positionH relativeFrom="column">
                  <wp:posOffset>4340860</wp:posOffset>
                </wp:positionH>
                <wp:positionV relativeFrom="paragraph">
                  <wp:posOffset>5805805</wp:posOffset>
                </wp:positionV>
                <wp:extent cx="621030" cy="1404620"/>
                <wp:effectExtent l="0" t="0" r="26670" b="25400"/>
                <wp:wrapNone/>
                <wp:docPr id="28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7300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1.8pt;margin-top:457.15pt;height:110.6pt;width:48.9pt;z-index:251679744;mso-width-relative:page;mso-height-relative:margin;mso-height-percent:200;" fillcolor="#FFFFFF" filled="t" stroked="t" coordsize="21600,21600" o:gfxdata="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ADzjYAAAADAEAAA8AAAAAAAAAAQAgAAAAIgAAAGRycy9k&#10;b3ducmV2LnhtbFBLAQIUABQAAAAIAIdO4kCDbJlBOwIAAH0EAAAOAAAAAAAAAAEAIAAAACcBAABk&#10;cnMvZTJvRG9jLnhtbFBLBQYAAAAABgAGAFkBAADUBQAAAAA=&#10;">
                <v:fill on="t" focussize="0,0"/>
                <v:stroke color="#000000" miterlimit="8" joinstyle="miter"/>
                <v:imagedata o:title=""/>
                <o:lock v:ext="edit" aspectratio="f"/>
                <v:textbox style="mso-fit-shape-to-text:t;">
                  <w:txbxContent>
                    <w:p>
                      <w:r>
                        <w:t>7300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59264" behindDoc="0" locked="0" layoutInCell="1" allowOverlap="1">
                <wp:simplePos x="0" y="0"/>
                <wp:positionH relativeFrom="column">
                  <wp:posOffset>1814830</wp:posOffset>
                </wp:positionH>
                <wp:positionV relativeFrom="paragraph">
                  <wp:posOffset>2649855</wp:posOffset>
                </wp:positionV>
                <wp:extent cx="569595" cy="1404620"/>
                <wp:effectExtent l="0" t="0" r="21590" b="2540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69344" cy="1404620"/>
                        </a:xfrm>
                        <a:prstGeom prst="rect">
                          <a:avLst/>
                        </a:prstGeom>
                        <a:solidFill>
                          <a:srgbClr val="FFFFFF"/>
                        </a:solidFill>
                        <a:ln w="9525">
                          <a:solidFill>
                            <a:srgbClr val="000000"/>
                          </a:solidFill>
                          <a:miter lim="800000"/>
                        </a:ln>
                      </wps:spPr>
                      <wps:txbx>
                        <w:txbxContent>
                          <w:p>
                            <w:r>
                              <w:rPr>
                                <w:rFonts w:hint="eastAsia"/>
                              </w:rPr>
                              <w:t>1</w:t>
                            </w:r>
                            <w:r>
                              <w:t>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2.9pt;margin-top:208.65pt;height:110.6pt;width:44.85pt;z-index:251659264;mso-width-relative:page;mso-height-relative:margin;mso-height-percent:200;" fillcolor="#FFFFFF" filled="t" stroked="t" coordsize="21600,21600" o:gfxdata="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&#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cE0q/ZAAAACwEAAA8AAAAAAAAAAQAgAAAAIgAAAGRy&#10;cy9kb3ducmV2LnhtbFBLAQIUABQAAAAIAIdO4kDkCg8TPQIAAH0EAAAOAAAAAAAAAAEAIAAAACgB&#10;AABkcnMvZTJvRG9jLnhtbFBLBQYAAAAABgAGAFkBAADXBQAAAAA=&#10;">
                <v:fill on="t" focussize="0,0"/>
                <v:stroke color="#000000" miterlimit="8" joinstyle="miter"/>
                <v:imagedata o:title=""/>
                <o:lock v:ext="edit" aspectratio="f"/>
                <v:textbox style="mso-fit-shape-to-text:t;">
                  <w:txbxContent>
                    <w:p>
                      <w:r>
                        <w:rPr>
                          <w:rFonts w:hint="eastAsia"/>
                        </w:rPr>
                        <w:t>1</w:t>
                      </w:r>
                      <w:r>
                        <w:t>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1312" behindDoc="0" locked="0" layoutInCell="1" allowOverlap="1">
                <wp:simplePos x="0" y="0"/>
                <wp:positionH relativeFrom="column">
                  <wp:posOffset>1814830</wp:posOffset>
                </wp:positionH>
                <wp:positionV relativeFrom="paragraph">
                  <wp:posOffset>5823585</wp:posOffset>
                </wp:positionV>
                <wp:extent cx="621030" cy="1404620"/>
                <wp:effectExtent l="0" t="0" r="26670" b="25400"/>
                <wp:wrapNone/>
                <wp:docPr id="10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rPr>
                                <w:rFonts w:hint="eastAsia"/>
                              </w:rPr>
                              <w:t>3</w:t>
                            </w:r>
                            <w:r>
                              <w:t>650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2.9pt;margin-top:458.55pt;height:110.6pt;width:48.9pt;z-index:251661312;mso-width-relative:page;mso-height-relative:margin;mso-height-percent:200;" fillcolor="#FFFFFF" filled="t" stroked="t" coordsize="21600,21600" o:gfxdata="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2+DbtgAAAAMAQAADwAAAAAAAAABACAAAAAiAAAAZHJzL2Rv&#10;d25yZXYueG1sUEsBAhQAFAAAAAgAh07iQHFMzmo6AgAAfQQAAA4AAAAAAAAAAQAgAAAAJwEAAGRy&#10;cy9lMm9Eb2MueG1sUEsFBgAAAAAGAAYAWQEAANMFAAAAAA==&#10;">
                <v:fill on="t" focussize="0,0"/>
                <v:stroke color="#000000" miterlimit="8" joinstyle="miter"/>
                <v:imagedata o:title=""/>
                <o:lock v:ext="edit" aspectratio="f"/>
                <v:textbox style="mso-fit-shape-to-text:t;">
                  <w:txbxContent>
                    <w:p>
                      <w:r>
                        <w:rPr>
                          <w:rFonts w:hint="eastAsia"/>
                        </w:rPr>
                        <w:t>3</w:t>
                      </w:r>
                      <w:r>
                        <w:t>650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0288" behindDoc="0" locked="0" layoutInCell="1" allowOverlap="1">
                <wp:simplePos x="0" y="0"/>
                <wp:positionH relativeFrom="column">
                  <wp:posOffset>3704590</wp:posOffset>
                </wp:positionH>
                <wp:positionV relativeFrom="paragraph">
                  <wp:posOffset>2615565</wp:posOffset>
                </wp:positionV>
                <wp:extent cx="621030" cy="1404620"/>
                <wp:effectExtent l="0" t="0" r="26670" b="25400"/>
                <wp:wrapNone/>
                <wp:docPr id="9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rPr>
                                <w:rFonts w:hint="eastAsia"/>
                              </w:rPr>
                              <w:t>1</w:t>
                            </w:r>
                            <w:r>
                              <w:t>000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91.7pt;margin-top:205.95pt;height:110.6pt;width:48.9pt;z-index:251660288;mso-width-relative:page;mso-height-relative:margin;mso-height-percent:200;" fillcolor="#FFFFFF" filled="t" stroked="t" coordsize="21600,21600" o:gfxdata="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8+kNjZAAAACwEAAA8AAAAAAAAAAQAgAAAAIgAAAGRycy9k&#10;b3ducmV2LnhtbFBLAQIUABQAAAAIAIdO4kCT/izHOgIAAHwEAAAOAAAAAAAAAAEAIAAAACgBAABk&#10;cnMvZTJvRG9jLnhtbFBLBQYAAAAABgAGAFkBAADUBQAAAAA=&#10;">
                <v:fill on="t" focussize="0,0"/>
                <v:stroke color="#000000" miterlimit="8" joinstyle="miter"/>
                <v:imagedata o:title=""/>
                <o:lock v:ext="edit" aspectratio="f"/>
                <v:textbox style="mso-fit-shape-to-text:t;">
                  <w:txbxContent>
                    <w:p>
                      <w:r>
                        <w:rPr>
                          <w:rFonts w:hint="eastAsia"/>
                        </w:rPr>
                        <w:t>1</w:t>
                      </w:r>
                      <w:r>
                        <w:t>000</w:t>
                      </w:r>
                      <w:r>
                        <w:rPr>
                          <w:rFonts w:hint="eastAsia"/>
                        </w:rPr>
                        <w:t>天</w:t>
                      </w:r>
                    </w:p>
                  </w:txbxContent>
                </v:textbox>
              </v:shape>
            </w:pict>
          </mc:Fallback>
        </mc:AlternateContent>
      </w:r>
      <w:r>
        <w:drawing>
          <wp:inline distT="0" distB="0" distL="0" distR="0">
            <wp:extent cx="2422525" cy="3214370"/>
            <wp:effectExtent l="0" t="0" r="0" b="5080"/>
            <wp:docPr id="1467" name="图片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图片 146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rPr>
          <w:rFonts w:hint="eastAsia"/>
        </w:rPr>
        <w:t xml:space="preserve"> </w:t>
      </w:r>
      <w:r>
        <w:t xml:space="preserve"> </w:t>
      </w:r>
      <w:r>
        <w:drawing>
          <wp:inline distT="0" distB="0" distL="0" distR="0">
            <wp:extent cx="2422525" cy="3214370"/>
            <wp:effectExtent l="0" t="0" r="0" b="5080"/>
            <wp:docPr id="1468" name="图片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图片 146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drawing>
          <wp:inline distT="0" distB="0" distL="0" distR="0">
            <wp:extent cx="2422525" cy="3214370"/>
            <wp:effectExtent l="0" t="0" r="0" b="5080"/>
            <wp:docPr id="1469" name="图片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图片 146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t xml:space="preserve">  </w:t>
      </w:r>
      <w:r>
        <w:drawing>
          <wp:inline distT="0" distB="0" distL="0" distR="0">
            <wp:extent cx="2422525" cy="3214370"/>
            <wp:effectExtent l="0" t="0" r="0" b="5080"/>
            <wp:docPr id="1470" name="图片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图片 147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5.3.4-7</w:t>
      </w:r>
      <w:r>
        <w:rPr>
          <w:rFonts w:hint="eastAsia"/>
          <w:b/>
          <w:bCs/>
          <w:sz w:val="24"/>
          <w:szCs w:val="24"/>
        </w:rPr>
        <w:t xml:space="preserve"> 非正常状况下渗滤液泄漏后，地下水中的耗氧量在不同运移时间下的浓度分布图</w:t>
      </w:r>
    </w:p>
    <w:p>
      <w:pPr>
        <w:adjustRightInd w:val="0"/>
        <w:snapToGrid w:val="0"/>
        <w:jc w:val="center"/>
      </w:pPr>
      <w:r>
        <w:drawing>
          <wp:inline distT="0" distB="0" distL="0" distR="0">
            <wp:extent cx="1954530" cy="1814195"/>
            <wp:effectExtent l="0" t="0" r="7620" b="0"/>
            <wp:docPr id="1471" name="图片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图片 14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1954800" cy="1814400"/>
                    </a:xfrm>
                    <a:prstGeom prst="rect">
                      <a:avLst/>
                    </a:prstGeom>
                    <a:noFill/>
                    <a:ln>
                      <a:noFill/>
                    </a:ln>
                  </pic:spPr>
                </pic:pic>
              </a:graphicData>
            </a:graphic>
          </wp:inline>
        </w:drawing>
      </w:r>
      <w:r>
        <w:rPr>
          <w:rFonts w:hint="eastAsia"/>
        </w:rPr>
        <w:t xml:space="preserve">  </w:t>
      </w:r>
      <w:r>
        <w:t xml:space="preserve">     </w:t>
      </w:r>
      <w:r>
        <w:drawing>
          <wp:inline distT="0" distB="0" distL="0" distR="0">
            <wp:extent cx="1954530" cy="1814195"/>
            <wp:effectExtent l="0" t="0" r="762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1954800" cy="1814400"/>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5.3.4-8</w:t>
      </w:r>
      <w:r>
        <w:rPr>
          <w:rFonts w:hint="eastAsia"/>
          <w:b/>
          <w:bCs/>
          <w:sz w:val="24"/>
          <w:szCs w:val="24"/>
        </w:rPr>
        <w:t xml:space="preserve"> 厂界处及下游保护目标G</w:t>
      </w:r>
      <w:r>
        <w:rPr>
          <w:b/>
          <w:bCs/>
          <w:sz w:val="24"/>
          <w:szCs w:val="24"/>
        </w:rPr>
        <w:t>9</w:t>
      </w:r>
      <w:r>
        <w:rPr>
          <w:rFonts w:hint="eastAsia"/>
          <w:b/>
          <w:bCs/>
          <w:sz w:val="24"/>
          <w:szCs w:val="24"/>
        </w:rPr>
        <w:t>处地下水中耗氧量浓度随时间变化的特征曲线图</w:t>
      </w:r>
    </w:p>
    <w:p>
      <w:pPr>
        <w:adjustRightInd w:val="0"/>
        <w:snapToGrid w:val="0"/>
        <w:jc w:val="center"/>
      </w:pPr>
      <w:r>
        <w:drawing>
          <wp:anchor distT="0" distB="0" distL="114300" distR="114300" simplePos="0" relativeHeight="251791360" behindDoc="0" locked="0" layoutInCell="1" allowOverlap="1">
            <wp:simplePos x="0" y="0"/>
            <wp:positionH relativeFrom="column">
              <wp:posOffset>3354070</wp:posOffset>
            </wp:positionH>
            <wp:positionV relativeFrom="paragraph">
              <wp:posOffset>3321050</wp:posOffset>
            </wp:positionV>
            <wp:extent cx="657860" cy="264795"/>
            <wp:effectExtent l="19050" t="57150" r="27940" b="59055"/>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90336" behindDoc="0" locked="0" layoutInCell="1" allowOverlap="1">
            <wp:simplePos x="0" y="0"/>
            <wp:positionH relativeFrom="column">
              <wp:posOffset>795020</wp:posOffset>
            </wp:positionH>
            <wp:positionV relativeFrom="paragraph">
              <wp:posOffset>3343910</wp:posOffset>
            </wp:positionV>
            <wp:extent cx="657860" cy="264795"/>
            <wp:effectExtent l="19050" t="57150" r="27940" b="59055"/>
            <wp:wrapNone/>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89312" behindDoc="0" locked="0" layoutInCell="1" allowOverlap="1">
            <wp:simplePos x="0" y="0"/>
            <wp:positionH relativeFrom="column">
              <wp:posOffset>3321050</wp:posOffset>
            </wp:positionH>
            <wp:positionV relativeFrom="paragraph">
              <wp:posOffset>86995</wp:posOffset>
            </wp:positionV>
            <wp:extent cx="658495" cy="265430"/>
            <wp:effectExtent l="19050" t="57150" r="27940" b="590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drawing>
          <wp:anchor distT="0" distB="0" distL="114300" distR="114300" simplePos="0" relativeHeight="251788288" behindDoc="0" locked="0" layoutInCell="1" allowOverlap="1">
            <wp:simplePos x="0" y="0"/>
            <wp:positionH relativeFrom="column">
              <wp:posOffset>753745</wp:posOffset>
            </wp:positionH>
            <wp:positionV relativeFrom="paragraph">
              <wp:posOffset>109855</wp:posOffset>
            </wp:positionV>
            <wp:extent cx="658495" cy="265430"/>
            <wp:effectExtent l="19050" t="57150" r="27940" b="59055"/>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rPr>
          <w:rFonts w:eastAsiaTheme="minorEastAsia"/>
          <w:b/>
          <w:sz w:val="24"/>
          <w:szCs w:val="24"/>
        </w:rPr>
        <mc:AlternateContent>
          <mc:Choice Requires="wps">
            <w:drawing>
              <wp:anchor distT="0" distB="0" distL="114300" distR="114300" simplePos="0" relativeHeight="251724800" behindDoc="0" locked="0" layoutInCell="1" allowOverlap="1">
                <wp:simplePos x="0" y="0"/>
                <wp:positionH relativeFrom="column">
                  <wp:posOffset>3190240</wp:posOffset>
                </wp:positionH>
                <wp:positionV relativeFrom="paragraph">
                  <wp:posOffset>370840</wp:posOffset>
                </wp:positionV>
                <wp:extent cx="654685" cy="367030"/>
                <wp:effectExtent l="19050" t="19050" r="12065" b="13970"/>
                <wp:wrapNone/>
                <wp:docPr id="1465" name="任意多边形: 形状 1465"/>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65" o:spid="_x0000_s1026" o:spt="100" style="position:absolute;left:0pt;margin-left:251.2pt;margin-top:29.2pt;height:28.9pt;width:51.55pt;z-index:251724800;v-text-anchor:middle;mso-width-relative:page;mso-height-relative:page;" filled="f" stroked="t" coordsize="654908,367614" o:gfxdata="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50400" behindDoc="0" locked="0" layoutInCell="1" allowOverlap="1">
                <wp:simplePos x="0" y="0"/>
                <wp:positionH relativeFrom="column">
                  <wp:posOffset>621030</wp:posOffset>
                </wp:positionH>
                <wp:positionV relativeFrom="paragraph">
                  <wp:posOffset>3606800</wp:posOffset>
                </wp:positionV>
                <wp:extent cx="654685" cy="367665"/>
                <wp:effectExtent l="19050" t="19050" r="12065" b="13970"/>
                <wp:wrapNone/>
                <wp:docPr id="101" name="任意多边形: 形状 101"/>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01" o:spid="_x0000_s1026" o:spt="100" style="position:absolute;left:0pt;margin-left:48.9pt;margin-top:284pt;height:28.95pt;width:51.55pt;z-index:251750400;v-text-anchor:middle;mso-width-relative:page;mso-height-relative:page;" filled="f" stroked="t" coordsize="654908,367614" o:gfxdata="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41184" behindDoc="0" locked="0" layoutInCell="1" allowOverlap="1">
                <wp:simplePos x="0" y="0"/>
                <wp:positionH relativeFrom="column">
                  <wp:posOffset>3162300</wp:posOffset>
                </wp:positionH>
                <wp:positionV relativeFrom="paragraph">
                  <wp:posOffset>3586480</wp:posOffset>
                </wp:positionV>
                <wp:extent cx="654685" cy="367665"/>
                <wp:effectExtent l="19050" t="19050" r="12065" b="13970"/>
                <wp:wrapNone/>
                <wp:docPr id="77" name="任意多边形: 形状 77"/>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7" o:spid="_x0000_s1026" o:spt="100" style="position:absolute;left:0pt;margin-left:249pt;margin-top:282.4pt;height:28.95pt;width:51.55pt;z-index:251741184;v-text-anchor:middle;mso-width-relative:page;mso-height-relative:page;" filled="f" stroked="t" coordsize="654908,367614" o:gfxdata="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MAYcnLXAAAACwEAAA8A&#10;AAAAAAAAAQAgAAAAIgAAAGRycy9kb3ducmV2LnhtbFBLAQIUABQAAAAIAIdO4kCrlEpciwQAAAUP&#10;AAAOAAAAAAAAAAEAIAAAACYBAABkcnMvZTJvRG9jLnhtbFBLBQYAAAAABgAGAFkBAAAjCA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04320" behindDoc="0" locked="0" layoutInCell="1" allowOverlap="1">
                <wp:simplePos x="0" y="0"/>
                <wp:positionH relativeFrom="column">
                  <wp:posOffset>641985</wp:posOffset>
                </wp:positionH>
                <wp:positionV relativeFrom="paragraph">
                  <wp:posOffset>381635</wp:posOffset>
                </wp:positionV>
                <wp:extent cx="654685" cy="367665"/>
                <wp:effectExtent l="19050" t="19050" r="12065" b="13970"/>
                <wp:wrapNone/>
                <wp:docPr id="1463" name="任意多边形: 形状 1463"/>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463" o:spid="_x0000_s1026" o:spt="100" style="position:absolute;left:0pt;margin-left:50.55pt;margin-top:30.05pt;height:28.95pt;width:51.55pt;z-index:251704320;v-text-anchor:middle;mso-width-relative:page;mso-height-relative:page;" filled="f" stroked="t" coordsize="654908,367614" o:gfxdata="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45720" distB="45720" distL="114300" distR="114300" simplePos="0" relativeHeight="251665408" behindDoc="0" locked="0" layoutInCell="1" allowOverlap="1">
                <wp:simplePos x="0" y="0"/>
                <wp:positionH relativeFrom="column">
                  <wp:posOffset>4443730</wp:posOffset>
                </wp:positionH>
                <wp:positionV relativeFrom="paragraph">
                  <wp:posOffset>5430520</wp:posOffset>
                </wp:positionV>
                <wp:extent cx="621030" cy="1404620"/>
                <wp:effectExtent l="0" t="0" r="26670" b="25400"/>
                <wp:wrapNone/>
                <wp:docPr id="10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7300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9.9pt;margin-top:427.6pt;height:110.6pt;width:48.9pt;z-index:251665408;mso-width-relative:page;mso-height-relative:margin;mso-height-percent:200;" fillcolor="#FFFFFF" filled="t" stroked="t" coordsize="21600,21600" o:gfxdata="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XkIGzYAAAADAEAAA8AAAAAAAAAAQAgAAAAIgAAAGRycy9k&#10;b3ducmV2LnhtbFBLAQIUABQAAAAIAIdO4kChKZdiOwIAAH0EAAAOAAAAAAAAAAEAIAAAACcBAABk&#10;cnMvZTJvRG9jLnhtbFBLBQYAAAAABgAGAFkBAADUBQAAAAA=&#10;">
                <v:fill on="t" focussize="0,0"/>
                <v:stroke color="#000000" miterlimit="8" joinstyle="miter"/>
                <v:imagedata o:title=""/>
                <o:lock v:ext="edit" aspectratio="f"/>
                <v:textbox style="mso-fit-shape-to-text:t;">
                  <w:txbxContent>
                    <w:p>
                      <w:r>
                        <w:t>7300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4384" behindDoc="0" locked="0" layoutInCell="1" allowOverlap="1">
                <wp:simplePos x="0" y="0"/>
                <wp:positionH relativeFrom="column">
                  <wp:posOffset>1778635</wp:posOffset>
                </wp:positionH>
                <wp:positionV relativeFrom="paragraph">
                  <wp:posOffset>5529580</wp:posOffset>
                </wp:positionV>
                <wp:extent cx="621030" cy="1404620"/>
                <wp:effectExtent l="0" t="0" r="26670" b="25400"/>
                <wp:wrapNone/>
                <wp:docPr id="1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3650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0.05pt;margin-top:435.4pt;height:110.6pt;width:48.9pt;z-index:251664384;mso-width-relative:page;mso-height-relative:margin;mso-height-percent:200;" fillcolor="#FFFFFF" filled="t" stroked="t" coordsize="21600,21600" o:gfxdata="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DeANU2QAAAAwBAAAPAAAAAAAAAAEAIAAAACIAAABkcnMv&#10;ZG93bnJldi54bWxQSwECFAAUAAAACACHTuJASZu7ZjsCAAB9BAAADgAAAAAAAAABACAAAAAoAQAA&#10;ZHJzL2Uyb0RvYy54bWxQSwUGAAAAAAYABgBZAQAA1QUAAAAA&#10;">
                <v:fill on="t" focussize="0,0"/>
                <v:stroke color="#000000" miterlimit="8" joinstyle="miter"/>
                <v:imagedata o:title=""/>
                <o:lock v:ext="edit" aspectratio="f"/>
                <v:textbox style="mso-fit-shape-to-text:t;">
                  <w:txbxContent>
                    <w:p>
                      <w:r>
                        <w:t>3650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3360" behindDoc="0" locked="0" layoutInCell="1" allowOverlap="1">
                <wp:simplePos x="0" y="0"/>
                <wp:positionH relativeFrom="column">
                  <wp:posOffset>1774190</wp:posOffset>
                </wp:positionH>
                <wp:positionV relativeFrom="paragraph">
                  <wp:posOffset>2407285</wp:posOffset>
                </wp:positionV>
                <wp:extent cx="621030" cy="1404620"/>
                <wp:effectExtent l="0" t="0" r="26670" b="25400"/>
                <wp:wrapNone/>
                <wp:docPr id="10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9.7pt;margin-top:189.55pt;height:110.6pt;width:48.9pt;z-index:251663360;mso-width-relative:page;mso-height-relative:margin;mso-height-percent:200;" fillcolor="#FFFFFF" filled="t" stroked="t" coordsize="21600,21600" o:gfxdata="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QmOg/YAAAACwEAAA8AAAAAAAAAAQAgAAAAIgAAAGRycy9k&#10;b3ducmV2LnhtbFBLAQIUABQAAAAIAIdO4kAR9V9lOwIAAH0EAAAOAAAAAAAAAAEAIAAAACcBAABk&#10;cnMvZTJvRG9jLnhtbFBLBQYAAAAABgAGAFkBAADUBQAAAAA=&#10;">
                <v:fill on="t" focussize="0,0"/>
                <v:stroke color="#000000" miterlimit="8" joinstyle="miter"/>
                <v:imagedata o:title=""/>
                <o:lock v:ext="edit" aspectratio="f"/>
                <v:textbox style="mso-fit-shape-to-text:t;">
                  <w:txbxContent>
                    <w:p>
                      <w:r>
                        <w:t>100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2336" behindDoc="0" locked="0" layoutInCell="1" allowOverlap="1">
                <wp:simplePos x="0" y="0"/>
                <wp:positionH relativeFrom="column">
                  <wp:posOffset>4389120</wp:posOffset>
                </wp:positionH>
                <wp:positionV relativeFrom="paragraph">
                  <wp:posOffset>2402205</wp:posOffset>
                </wp:positionV>
                <wp:extent cx="621030" cy="1404620"/>
                <wp:effectExtent l="0" t="0" r="26670" b="25400"/>
                <wp:wrapNone/>
                <wp:docPr id="10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5.6pt;margin-top:189.15pt;height:110.6pt;width:48.9pt;z-index:251662336;mso-width-relative:page;mso-height-relative:margin;mso-height-percent:200;" fillcolor="#FFFFFF" filled="t" stroked="t" coordsize="21600,21600" o:gfxdata="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NfUn52QAAAAsBAAAPAAAAAAAAAAEAIAAAACIAAABkcnMv&#10;ZG93bnJldi54bWxQSwECFAAUAAAACACHTuJAmf7ibjsCAAB9BAAADgAAAAAAAAABACAAAAAoAQAA&#10;ZHJzL2Uyb0RvYy54bWxQSwUGAAAAAAYABgBZAQAA1QUAAAAA&#10;">
                <v:fill on="t" focussize="0,0"/>
                <v:stroke color="#000000" miterlimit="8" joinstyle="miter"/>
                <v:imagedata o:title=""/>
                <o:lock v:ext="edit" aspectratio="f"/>
                <v:textbox style="mso-fit-shape-to-text:t;">
                  <w:txbxContent>
                    <w:p>
                      <w:r>
                        <w:t>1000</w:t>
                      </w:r>
                      <w:r>
                        <w:rPr>
                          <w:rFonts w:hint="eastAsia"/>
                        </w:rPr>
                        <w:t>天</w:t>
                      </w:r>
                    </w:p>
                  </w:txbxContent>
                </v:textbox>
              </v:shape>
            </w:pict>
          </mc:Fallback>
        </mc:AlternateContent>
      </w:r>
      <w:r>
        <w:drawing>
          <wp:inline distT="0" distB="0" distL="0" distR="0">
            <wp:extent cx="2422525" cy="3214370"/>
            <wp:effectExtent l="0" t="0" r="0" b="508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rPr>
          <w:rFonts w:hint="eastAsia"/>
        </w:rPr>
        <w:t xml:space="preserve"> </w:t>
      </w:r>
      <w:r>
        <w:t xml:space="preserve"> </w:t>
      </w:r>
      <w:r>
        <w:drawing>
          <wp:inline distT="0" distB="0" distL="0" distR="0">
            <wp:extent cx="2422525" cy="3214370"/>
            <wp:effectExtent l="0" t="0" r="0" b="50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drawing>
          <wp:inline distT="0" distB="0" distL="0" distR="0">
            <wp:extent cx="2422525" cy="3214370"/>
            <wp:effectExtent l="0" t="0" r="0" b="508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t xml:space="preserve">  </w:t>
      </w:r>
      <w:r>
        <w:drawing>
          <wp:inline distT="0" distB="0" distL="0" distR="0">
            <wp:extent cx="2422525" cy="3214370"/>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p>
    <w:p>
      <w:pPr>
        <w:jc w:val="center"/>
        <w:rPr>
          <w:b/>
          <w:bCs/>
          <w:szCs w:val="21"/>
        </w:rPr>
      </w:pPr>
      <w:r>
        <w:rPr>
          <w:rFonts w:hint="eastAsia"/>
          <w:b/>
          <w:bCs/>
          <w:szCs w:val="21"/>
        </w:rPr>
        <w:t>图</w:t>
      </w:r>
      <w:r>
        <w:rPr>
          <w:b/>
          <w:bCs/>
          <w:szCs w:val="21"/>
        </w:rPr>
        <w:t>5.3.4-9</w:t>
      </w:r>
      <w:r>
        <w:rPr>
          <w:rFonts w:hint="eastAsia"/>
          <w:b/>
          <w:bCs/>
          <w:szCs w:val="21"/>
        </w:rPr>
        <w:t xml:space="preserve"> 非正常状况下渗滤液泄漏后，地下水中的汞在不同运移时间下的浓度分布图</w:t>
      </w:r>
    </w:p>
    <w:p>
      <w:pPr>
        <w:adjustRightInd w:val="0"/>
        <w:snapToGrid w:val="0"/>
        <w:jc w:val="center"/>
      </w:pPr>
      <w:r>
        <w:drawing>
          <wp:inline distT="0" distB="0" distL="0" distR="0">
            <wp:extent cx="1950720" cy="181419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r>
        <w:rPr>
          <w:rFonts w:hint="eastAsia"/>
        </w:rPr>
        <w:t xml:space="preserve">  </w:t>
      </w:r>
      <w:r>
        <w:t xml:space="preserve">     </w:t>
      </w:r>
      <w:r>
        <w:drawing>
          <wp:inline distT="0" distB="0" distL="0" distR="0">
            <wp:extent cx="1950720" cy="181419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5.3.4-10</w:t>
      </w:r>
      <w:r>
        <w:rPr>
          <w:rFonts w:hint="eastAsia"/>
          <w:b/>
          <w:bCs/>
          <w:sz w:val="24"/>
          <w:szCs w:val="24"/>
        </w:rPr>
        <w:t xml:space="preserve"> 厂界处及下游保护目标G</w:t>
      </w:r>
      <w:r>
        <w:rPr>
          <w:b/>
          <w:bCs/>
          <w:sz w:val="24"/>
          <w:szCs w:val="24"/>
        </w:rPr>
        <w:t>9</w:t>
      </w:r>
      <w:r>
        <w:rPr>
          <w:rFonts w:hint="eastAsia"/>
          <w:b/>
          <w:bCs/>
          <w:sz w:val="24"/>
          <w:szCs w:val="24"/>
        </w:rPr>
        <w:t>处地下水中汞浓度随时间变化的特征曲线图</w:t>
      </w:r>
    </w:p>
    <w:p>
      <w:pPr>
        <w:adjustRightInd w:val="0"/>
        <w:snapToGrid w:val="0"/>
        <w:jc w:val="center"/>
      </w:pPr>
      <w:r>
        <w:drawing>
          <wp:anchor distT="0" distB="0" distL="114300" distR="114300" simplePos="0" relativeHeight="251795456" behindDoc="0" locked="0" layoutInCell="1" allowOverlap="1">
            <wp:simplePos x="0" y="0"/>
            <wp:positionH relativeFrom="column">
              <wp:posOffset>3239770</wp:posOffset>
            </wp:positionH>
            <wp:positionV relativeFrom="paragraph">
              <wp:posOffset>3305810</wp:posOffset>
            </wp:positionV>
            <wp:extent cx="657860" cy="264795"/>
            <wp:effectExtent l="19050" t="57150" r="27940" b="590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94432" behindDoc="0" locked="0" layoutInCell="1" allowOverlap="1">
            <wp:simplePos x="0" y="0"/>
            <wp:positionH relativeFrom="column">
              <wp:posOffset>795020</wp:posOffset>
            </wp:positionH>
            <wp:positionV relativeFrom="paragraph">
              <wp:posOffset>3321050</wp:posOffset>
            </wp:positionV>
            <wp:extent cx="657860" cy="264795"/>
            <wp:effectExtent l="19050" t="57150" r="27940" b="59055"/>
            <wp:wrapNone/>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93408" behindDoc="0" locked="0" layoutInCell="1" allowOverlap="1">
            <wp:simplePos x="0" y="0"/>
            <wp:positionH relativeFrom="column">
              <wp:posOffset>3277870</wp:posOffset>
            </wp:positionH>
            <wp:positionV relativeFrom="paragraph">
              <wp:posOffset>101600</wp:posOffset>
            </wp:positionV>
            <wp:extent cx="657860" cy="264795"/>
            <wp:effectExtent l="19050" t="57150" r="27940" b="59055"/>
            <wp:wrapNone/>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92384" behindDoc="0" locked="0" layoutInCell="1" allowOverlap="1">
            <wp:simplePos x="0" y="0"/>
            <wp:positionH relativeFrom="column">
              <wp:posOffset>738505</wp:posOffset>
            </wp:positionH>
            <wp:positionV relativeFrom="paragraph">
              <wp:posOffset>83185</wp:posOffset>
            </wp:positionV>
            <wp:extent cx="658495" cy="265430"/>
            <wp:effectExtent l="19050" t="57150" r="27940" b="590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8379" cy="265317"/>
                    </a:xfrm>
                    <a:prstGeom prst="rect">
                      <a:avLst/>
                    </a:prstGeom>
                    <a:noFill/>
                    <a:ln>
                      <a:noFill/>
                    </a:ln>
                  </pic:spPr>
                </pic:pic>
              </a:graphicData>
            </a:graphic>
          </wp:anchor>
        </w:drawing>
      </w:r>
      <w:r>
        <w:rPr>
          <w:rFonts w:eastAsiaTheme="minorEastAsia"/>
          <w:b/>
          <w:sz w:val="24"/>
          <w:szCs w:val="24"/>
        </w:rPr>
        <mc:AlternateContent>
          <mc:Choice Requires="wps">
            <w:drawing>
              <wp:anchor distT="0" distB="0" distL="114300" distR="114300" simplePos="0" relativeHeight="251755520" behindDoc="0" locked="0" layoutInCell="1" allowOverlap="1">
                <wp:simplePos x="0" y="0"/>
                <wp:positionH relativeFrom="column">
                  <wp:posOffset>3182620</wp:posOffset>
                </wp:positionH>
                <wp:positionV relativeFrom="paragraph">
                  <wp:posOffset>368935</wp:posOffset>
                </wp:positionV>
                <wp:extent cx="654685" cy="367030"/>
                <wp:effectExtent l="19050" t="19050" r="12065" b="13970"/>
                <wp:wrapNone/>
                <wp:docPr id="102" name="任意多边形: 形状 102"/>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02" o:spid="_x0000_s1026" o:spt="100" style="position:absolute;left:0pt;margin-left:250.6pt;margin-top:29.05pt;height:28.9pt;width:51.55pt;z-index:251755520;v-text-anchor:middle;mso-width-relative:page;mso-height-relative:page;" filled="f" stroked="t" coordsize="654908,367614" o:gfxdata="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71904" behindDoc="0" locked="0" layoutInCell="1" allowOverlap="1">
                <wp:simplePos x="0" y="0"/>
                <wp:positionH relativeFrom="column">
                  <wp:posOffset>617220</wp:posOffset>
                </wp:positionH>
                <wp:positionV relativeFrom="paragraph">
                  <wp:posOffset>3578860</wp:posOffset>
                </wp:positionV>
                <wp:extent cx="654685" cy="367030"/>
                <wp:effectExtent l="19050" t="19050" r="12065" b="13970"/>
                <wp:wrapNone/>
                <wp:docPr id="115" name="任意多边形: 形状 115"/>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15" o:spid="_x0000_s1026" o:spt="100" style="position:absolute;left:0pt;margin-left:48.6pt;margin-top:281.8pt;height:28.9pt;width:51.55pt;z-index:251771904;v-text-anchor:middle;mso-width-relative:page;mso-height-relative:page;" filled="f" stroked="t" coordsize="654908,367614" o:gfxdata="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77024" behindDoc="0" locked="0" layoutInCell="1" allowOverlap="1">
                <wp:simplePos x="0" y="0"/>
                <wp:positionH relativeFrom="column">
                  <wp:posOffset>3173095</wp:posOffset>
                </wp:positionH>
                <wp:positionV relativeFrom="paragraph">
                  <wp:posOffset>3589020</wp:posOffset>
                </wp:positionV>
                <wp:extent cx="654685" cy="367665"/>
                <wp:effectExtent l="19050" t="19050" r="12065" b="13970"/>
                <wp:wrapNone/>
                <wp:docPr id="116" name="任意多边形: 形状 116"/>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16" o:spid="_x0000_s1026" o:spt="100" style="position:absolute;left:0pt;margin-left:249.85pt;margin-top:282.6pt;height:28.95pt;width:51.55pt;z-index:251777024;v-text-anchor:middle;mso-width-relative:page;mso-height-relative:page;" filled="f" stroked="t" coordsize="654908,367614" o:gfxdata="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62688" behindDoc="0" locked="0" layoutInCell="1" allowOverlap="1">
                <wp:simplePos x="0" y="0"/>
                <wp:positionH relativeFrom="column">
                  <wp:posOffset>638810</wp:posOffset>
                </wp:positionH>
                <wp:positionV relativeFrom="paragraph">
                  <wp:posOffset>366395</wp:posOffset>
                </wp:positionV>
                <wp:extent cx="654685" cy="367665"/>
                <wp:effectExtent l="19050" t="19050" r="12065" b="13970"/>
                <wp:wrapNone/>
                <wp:docPr id="112" name="任意多边形: 形状 112"/>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12" o:spid="_x0000_s1026" o:spt="100" style="position:absolute;left:0pt;margin-left:50.3pt;margin-top:28.85pt;height:28.95pt;width:51.55pt;z-index:251762688;v-text-anchor:middle;mso-width-relative:page;mso-height-relative:page;" filled="f" stroked="t" coordsize="654908,367614" o:gfxdata="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45720" distB="45720" distL="114300" distR="114300" simplePos="0" relativeHeight="251672576" behindDoc="0" locked="0" layoutInCell="1" allowOverlap="1">
                <wp:simplePos x="0" y="0"/>
                <wp:positionH relativeFrom="column">
                  <wp:posOffset>4382135</wp:posOffset>
                </wp:positionH>
                <wp:positionV relativeFrom="paragraph">
                  <wp:posOffset>5727065</wp:posOffset>
                </wp:positionV>
                <wp:extent cx="621030" cy="1404620"/>
                <wp:effectExtent l="0" t="0" r="26670" b="25400"/>
                <wp:wrapNone/>
                <wp:docPr id="11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7300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5.05pt;margin-top:450.95pt;height:110.6pt;width:48.9pt;z-index:251672576;mso-width-relative:page;mso-height-relative:margin;mso-height-percent:200;" fillcolor="#FFFFFF" filled="t" stroked="t" coordsize="21600,21600" o:gfxdata="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9D1kotcAAAAMAQAADwAAAAAAAAABACAAAAAiAAAAZHJzL2Rv&#10;d25yZXYueG1sUEsBAhQAFAAAAAgAh07iQIEfmQw7AgAAfQQAAA4AAAAAAAAAAQAgAAAAJgEAAGRy&#10;cy9lMm9Eb2MueG1sUEsFBgAAAAAGAAYAWQEAANMFAAAAAA==&#10;">
                <v:fill on="t" focussize="0,0"/>
                <v:stroke color="#000000" miterlimit="8" joinstyle="miter"/>
                <v:imagedata o:title=""/>
                <o:lock v:ext="edit" aspectratio="f"/>
                <v:textbox style="mso-fit-shape-to-text:t;">
                  <w:txbxContent>
                    <w:p>
                      <w:r>
                        <w:t>7300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70528" behindDoc="0" locked="0" layoutInCell="1" allowOverlap="1">
                <wp:simplePos x="0" y="0"/>
                <wp:positionH relativeFrom="column">
                  <wp:posOffset>1725930</wp:posOffset>
                </wp:positionH>
                <wp:positionV relativeFrom="paragraph">
                  <wp:posOffset>5666740</wp:posOffset>
                </wp:positionV>
                <wp:extent cx="621030" cy="1404620"/>
                <wp:effectExtent l="0" t="0" r="26670" b="25400"/>
                <wp:wrapNone/>
                <wp:docPr id="1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3650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5.9pt;margin-top:446.2pt;height:110.6pt;width:48.9pt;z-index:251670528;mso-width-relative:page;mso-height-relative:margin;mso-height-percent:200;" fillcolor="#FFFFFF" filled="t" stroked="t" coordsize="21600,21600" o:gfxdata="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m5rTHZAAAADAEAAA8AAAAAAAAAAQAgAAAAIgAAAGRycy9k&#10;b3ducmV2LnhtbFBLAQIUABQAAAAIAIdO4kDZcX0POgIAAH0EAAAOAAAAAAAAAAEAIAAAACgBAABk&#10;cnMvZTJvRG9jLnhtbFBLBQYAAAAABgAGAFkBAADUBQAAAAA=&#10;">
                <v:fill on="t" focussize="0,0"/>
                <v:stroke color="#000000" miterlimit="8" joinstyle="miter"/>
                <v:imagedata o:title=""/>
                <o:lock v:ext="edit" aspectratio="f"/>
                <v:textbox style="mso-fit-shape-to-text:t;">
                  <w:txbxContent>
                    <w:p>
                      <w:r>
                        <w:t>3650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9504" behindDoc="0" locked="0" layoutInCell="1" allowOverlap="1">
                <wp:simplePos x="0" y="0"/>
                <wp:positionH relativeFrom="column">
                  <wp:posOffset>1804035</wp:posOffset>
                </wp:positionH>
                <wp:positionV relativeFrom="paragraph">
                  <wp:posOffset>2510155</wp:posOffset>
                </wp:positionV>
                <wp:extent cx="621030" cy="1404620"/>
                <wp:effectExtent l="0" t="0" r="26670" b="25400"/>
                <wp:wrapNone/>
                <wp:docPr id="10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2.05pt;margin-top:197.65pt;height:110.6pt;width:48.9pt;z-index:251669504;mso-width-relative:page;mso-height-relative:margin;mso-height-percent:200;" fillcolor="#FFFFFF" filled="t" stroked="t" coordsize="21600,21600" o:gfxdata="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yeNP7YAAAACwEAAA8AAAAAAAAAAQAgAAAAIgAAAGRycy9k&#10;b3ducmV2LnhtbFBLAQIUABQAAAAIAIdO4kDpUAl2OwIAAH0EAAAOAAAAAAAAAAEAIAAAACcBAABk&#10;cnMvZTJvRG9jLnhtbFBLBQYAAAAABgAGAFkBAADUBQAAAAA=&#10;">
                <v:fill on="t" focussize="0,0"/>
                <v:stroke color="#000000" miterlimit="8" joinstyle="miter"/>
                <v:imagedata o:title=""/>
                <o:lock v:ext="edit" aspectratio="f"/>
                <v:textbox style="mso-fit-shape-to-text:t;">
                  <w:txbxContent>
                    <w:p>
                      <w:r>
                        <w:t>100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7456" behindDoc="0" locked="0" layoutInCell="1" allowOverlap="1">
                <wp:simplePos x="0" y="0"/>
                <wp:positionH relativeFrom="column">
                  <wp:posOffset>4382770</wp:posOffset>
                </wp:positionH>
                <wp:positionV relativeFrom="paragraph">
                  <wp:posOffset>2479675</wp:posOffset>
                </wp:positionV>
                <wp:extent cx="621030" cy="1404620"/>
                <wp:effectExtent l="0" t="0" r="26670" b="25400"/>
                <wp:wrapNone/>
                <wp:docPr id="10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5.1pt;margin-top:195.25pt;height:110.6pt;width:48.9pt;z-index:251667456;mso-width-relative:page;mso-height-relative:margin;mso-height-percent:200;" fillcolor="#FFFFFF" filled="t" stroked="t" coordsize="21600,21600" o:gfxdata="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EzftYNgAAAALAQAADwAAAAAAAAABACAAAAAiAAAAZHJzL2Rv&#10;d25yZXYueG1sUEsBAhQAFAAAAAgAh07iQLE+7XU6AgAAfQQAAA4AAAAAAAAAAQAgAAAAJwEAAGRy&#10;cy9lMm9Eb2MueG1sUEsFBgAAAAAGAAYAWQEAANMFAAAAAA==&#10;">
                <v:fill on="t" focussize="0,0"/>
                <v:stroke color="#000000" miterlimit="8" joinstyle="miter"/>
                <v:imagedata o:title=""/>
                <o:lock v:ext="edit" aspectratio="f"/>
                <v:textbox style="mso-fit-shape-to-text:t;">
                  <w:txbxContent>
                    <w:p>
                      <w:r>
                        <w:t>1000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66432" behindDoc="0" locked="0" layoutInCell="1" allowOverlap="1">
                <wp:simplePos x="0" y="0"/>
                <wp:positionH relativeFrom="column">
                  <wp:posOffset>4382770</wp:posOffset>
                </wp:positionH>
                <wp:positionV relativeFrom="paragraph">
                  <wp:posOffset>909955</wp:posOffset>
                </wp:positionV>
                <wp:extent cx="621030" cy="1404620"/>
                <wp:effectExtent l="0" t="0" r="26670" b="25400"/>
                <wp:wrapNone/>
                <wp:docPr id="1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7300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5.1pt;margin-top:71.65pt;height:110.6pt;width:48.9pt;z-index:251666432;mso-width-relative:page;mso-height-relative:margin;mso-height-percent:200;" fillcolor="#FFFFFF" filled="t" stroked="t" coordsize="21600,21600" o:gfxdata="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KuGjX2AAAAAsBAAAPAAAAAAAAAAEAIAAAACIAAABkcnMv&#10;ZG93bnJldi54bWxQSwECFAAUAAAACACHTuJA+UdzYTwCAAB9BAAADgAAAAAAAAABACAAAAAnAQAA&#10;ZHJzL2Uyb0RvYy54bWxQSwUGAAAAAAYABgBZAQAA1QUAAAAA&#10;">
                <v:fill on="t" focussize="0,0"/>
                <v:stroke color="#000000" miterlimit="8" joinstyle="miter"/>
                <v:imagedata o:title=""/>
                <o:lock v:ext="edit" aspectratio="f"/>
                <v:textbox style="mso-fit-shape-to-text:t;">
                  <w:txbxContent>
                    <w:p>
                      <w:r>
                        <w:t>7300</w:t>
                      </w:r>
                      <w:r>
                        <w:rPr>
                          <w:rFonts w:hint="eastAsia"/>
                        </w:rPr>
                        <w:t>天</w:t>
                      </w:r>
                    </w:p>
                  </w:txbxContent>
                </v:textbox>
              </v:shape>
            </w:pict>
          </mc:Fallback>
        </mc:AlternateContent>
      </w:r>
      <w:r>
        <w:drawing>
          <wp:inline distT="0" distB="0" distL="0" distR="0">
            <wp:extent cx="2422525" cy="3214370"/>
            <wp:effectExtent l="0" t="0" r="0"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rPr>
          <w:rFonts w:hint="eastAsia"/>
        </w:rPr>
        <w:t xml:space="preserve"> </w:t>
      </w:r>
      <w:r>
        <w:t xml:space="preserve"> </w:t>
      </w:r>
      <w:r>
        <w:drawing>
          <wp:inline distT="0" distB="0" distL="0" distR="0">
            <wp:extent cx="2422525" cy="3214370"/>
            <wp:effectExtent l="0" t="0" r="0" b="508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drawing>
          <wp:inline distT="0" distB="0" distL="0" distR="0">
            <wp:extent cx="2422525" cy="3214370"/>
            <wp:effectExtent l="0" t="0" r="0"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t xml:space="preserve">  </w:t>
      </w:r>
      <w:r>
        <w:drawing>
          <wp:inline distT="0" distB="0" distL="0" distR="0">
            <wp:extent cx="2422525" cy="3214370"/>
            <wp:effectExtent l="0" t="0" r="0" b="508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p>
    <w:p>
      <w:pPr>
        <w:jc w:val="center"/>
        <w:rPr>
          <w:b/>
          <w:bCs/>
          <w:szCs w:val="21"/>
        </w:rPr>
      </w:pPr>
      <w:r>
        <w:rPr>
          <w:rFonts w:hint="eastAsia"/>
          <w:b/>
          <w:bCs/>
          <w:szCs w:val="21"/>
        </w:rPr>
        <w:t>图</w:t>
      </w:r>
      <w:r>
        <w:rPr>
          <w:b/>
          <w:bCs/>
          <w:szCs w:val="21"/>
        </w:rPr>
        <w:t>5.3.4-11</w:t>
      </w:r>
      <w:r>
        <w:rPr>
          <w:rFonts w:hint="eastAsia"/>
          <w:b/>
          <w:bCs/>
          <w:szCs w:val="21"/>
        </w:rPr>
        <w:t xml:space="preserve"> 非正常状况下渗滤液泄漏后，地下水中的铅在不同运移时间下的浓度分布图</w:t>
      </w:r>
    </w:p>
    <w:p>
      <w:pPr>
        <w:adjustRightInd w:val="0"/>
        <w:snapToGrid w:val="0"/>
        <w:jc w:val="center"/>
      </w:pPr>
      <w:r>
        <w:drawing>
          <wp:inline distT="0" distB="0" distL="0" distR="0">
            <wp:extent cx="1950720" cy="181419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r>
        <w:rPr>
          <w:rFonts w:hint="eastAsia"/>
        </w:rPr>
        <w:t xml:space="preserve">  </w:t>
      </w:r>
      <w:r>
        <w:t xml:space="preserve">     </w:t>
      </w:r>
      <w:r>
        <w:drawing>
          <wp:inline distT="0" distB="0" distL="0" distR="0">
            <wp:extent cx="1950720" cy="181419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p>
    <w:p>
      <w:pPr>
        <w:jc w:val="center"/>
        <w:rPr>
          <w:b/>
          <w:bCs/>
          <w:szCs w:val="21"/>
        </w:rPr>
      </w:pPr>
      <w:r>
        <w:rPr>
          <w:rFonts w:hint="eastAsia"/>
          <w:b/>
          <w:bCs/>
          <w:szCs w:val="21"/>
        </w:rPr>
        <w:t>图</w:t>
      </w:r>
      <w:r>
        <w:rPr>
          <w:b/>
          <w:bCs/>
          <w:szCs w:val="21"/>
        </w:rPr>
        <w:t>5.3.4-12</w:t>
      </w:r>
      <w:r>
        <w:rPr>
          <w:rFonts w:hint="eastAsia"/>
          <w:b/>
          <w:bCs/>
          <w:szCs w:val="21"/>
        </w:rPr>
        <w:t xml:space="preserve"> 厂界处及下游保护目标G</w:t>
      </w:r>
      <w:r>
        <w:rPr>
          <w:b/>
          <w:bCs/>
          <w:szCs w:val="21"/>
        </w:rPr>
        <w:t>9</w:t>
      </w:r>
      <w:r>
        <w:rPr>
          <w:rFonts w:hint="eastAsia"/>
          <w:b/>
          <w:bCs/>
          <w:szCs w:val="21"/>
        </w:rPr>
        <w:t>处地下水中铅浓度随时间变化的特征曲线图</w:t>
      </w:r>
    </w:p>
    <w:p>
      <w:pPr>
        <w:adjustRightInd w:val="0"/>
        <w:snapToGrid w:val="0"/>
        <w:jc w:val="center"/>
      </w:pPr>
      <w:r>
        <w:drawing>
          <wp:anchor distT="0" distB="0" distL="114300" distR="114300" simplePos="0" relativeHeight="251799552" behindDoc="0" locked="0" layoutInCell="1" allowOverlap="1">
            <wp:simplePos x="0" y="0"/>
            <wp:positionH relativeFrom="column">
              <wp:posOffset>3354070</wp:posOffset>
            </wp:positionH>
            <wp:positionV relativeFrom="paragraph">
              <wp:posOffset>3319145</wp:posOffset>
            </wp:positionV>
            <wp:extent cx="657860" cy="264795"/>
            <wp:effectExtent l="19050" t="57150" r="27940" b="59055"/>
            <wp:wrapNone/>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98528" behindDoc="0" locked="0" layoutInCell="1" allowOverlap="1">
            <wp:simplePos x="0" y="0"/>
            <wp:positionH relativeFrom="column">
              <wp:posOffset>786765</wp:posOffset>
            </wp:positionH>
            <wp:positionV relativeFrom="paragraph">
              <wp:posOffset>3334385</wp:posOffset>
            </wp:positionV>
            <wp:extent cx="657860" cy="264795"/>
            <wp:effectExtent l="19050" t="57150" r="27940" b="59055"/>
            <wp:wrapNone/>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797504" behindDoc="0" locked="0" layoutInCell="1" allowOverlap="1">
            <wp:simplePos x="0" y="0"/>
            <wp:positionH relativeFrom="column">
              <wp:posOffset>3247390</wp:posOffset>
            </wp:positionH>
            <wp:positionV relativeFrom="paragraph">
              <wp:posOffset>84455</wp:posOffset>
            </wp:positionV>
            <wp:extent cx="657860" cy="264795"/>
            <wp:effectExtent l="19050" t="57150" r="27940" b="59055"/>
            <wp:wrapNone/>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rPr>
          <w:rFonts w:eastAsiaTheme="minorEastAsia"/>
          <w:b/>
          <w:sz w:val="24"/>
          <w:szCs w:val="24"/>
        </w:rPr>
        <mc:AlternateContent>
          <mc:Choice Requires="wps">
            <w:drawing>
              <wp:anchor distT="0" distB="0" distL="114300" distR="114300" simplePos="0" relativeHeight="251778048" behindDoc="0" locked="0" layoutInCell="1" allowOverlap="1">
                <wp:simplePos x="0" y="0"/>
                <wp:positionH relativeFrom="column">
                  <wp:posOffset>3175635</wp:posOffset>
                </wp:positionH>
                <wp:positionV relativeFrom="paragraph">
                  <wp:posOffset>361950</wp:posOffset>
                </wp:positionV>
                <wp:extent cx="654685" cy="367030"/>
                <wp:effectExtent l="19050" t="19050" r="12065" b="13970"/>
                <wp:wrapNone/>
                <wp:docPr id="117" name="任意多边形: 形状 117"/>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17" o:spid="_x0000_s1026" o:spt="100" style="position:absolute;left:0pt;margin-left:250.05pt;margin-top:28.5pt;height:28.9pt;width:51.55pt;z-index:251778048;v-text-anchor:middle;mso-width-relative:page;mso-height-relative:page;" filled="f" stroked="t" coordsize="654908,367614" o:gfxdata="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CLpIed1AAA&#10;AAoBAAAPAAAAAAAAAAEAIAAAACIAAABkcnMvZG93bnJldi54bWxQSwECFAAUAAAACACHTuJA5ApS&#10;sJUEAAAHDwAADgAAAAAAAAABACAAAAAjAQAAZHJzL2Uyb0RvYy54bWxQSwUGAAAAAAYABgBZAQAA&#10;Kgg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81120" behindDoc="0" locked="0" layoutInCell="1" allowOverlap="1">
                <wp:simplePos x="0" y="0"/>
                <wp:positionH relativeFrom="column">
                  <wp:posOffset>631190</wp:posOffset>
                </wp:positionH>
                <wp:positionV relativeFrom="paragraph">
                  <wp:posOffset>353695</wp:posOffset>
                </wp:positionV>
                <wp:extent cx="654685" cy="367030"/>
                <wp:effectExtent l="19050" t="19050" r="12065" b="13970"/>
                <wp:wrapNone/>
                <wp:docPr id="124" name="任意多边形: 形状 124"/>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4" o:spid="_x0000_s1026" o:spt="100" style="position:absolute;left:0pt;margin-left:49.7pt;margin-top:27.85pt;height:28.9pt;width:51.55pt;z-index:251781120;v-text-anchor:middle;mso-width-relative:page;mso-height-relative:page;" filled="f" stroked="t" coordsize="654908,367614" o:gfxdata="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drawing>
          <wp:anchor distT="0" distB="0" distL="114300" distR="114300" simplePos="0" relativeHeight="251796480" behindDoc="0" locked="0" layoutInCell="1" allowOverlap="1">
            <wp:simplePos x="0" y="0"/>
            <wp:positionH relativeFrom="column">
              <wp:posOffset>741680</wp:posOffset>
            </wp:positionH>
            <wp:positionV relativeFrom="paragraph">
              <wp:posOffset>92075</wp:posOffset>
            </wp:positionV>
            <wp:extent cx="657860" cy="264795"/>
            <wp:effectExtent l="19050" t="57150" r="27940" b="59055"/>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rPr>
          <w:rFonts w:eastAsiaTheme="minorEastAsia"/>
          <w:b/>
          <w:sz w:val="24"/>
          <w:szCs w:val="24"/>
        </w:rPr>
        <mc:AlternateContent>
          <mc:Choice Requires="wps">
            <w:drawing>
              <wp:anchor distT="0" distB="0" distL="114300" distR="114300" simplePos="0" relativeHeight="251782144" behindDoc="0" locked="0" layoutInCell="1" allowOverlap="1">
                <wp:simplePos x="0" y="0"/>
                <wp:positionH relativeFrom="column">
                  <wp:posOffset>3172460</wp:posOffset>
                </wp:positionH>
                <wp:positionV relativeFrom="paragraph">
                  <wp:posOffset>3583940</wp:posOffset>
                </wp:positionV>
                <wp:extent cx="654685" cy="367030"/>
                <wp:effectExtent l="19050" t="19050" r="12065" b="13970"/>
                <wp:wrapNone/>
                <wp:docPr id="125" name="任意多边形: 形状 125"/>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5" o:spid="_x0000_s1026" o:spt="100" style="position:absolute;left:0pt;margin-left:249.8pt;margin-top:282.2pt;height:28.9pt;width:51.55pt;z-index:251782144;v-text-anchor:middle;mso-width-relative:page;mso-height-relative:page;" filled="f" stroked="t" coordsize="654908,367614" o:gfxdata="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79072" behindDoc="0" locked="0" layoutInCell="1" allowOverlap="1">
                <wp:simplePos x="0" y="0"/>
                <wp:positionH relativeFrom="column">
                  <wp:posOffset>618490</wp:posOffset>
                </wp:positionH>
                <wp:positionV relativeFrom="paragraph">
                  <wp:posOffset>3594735</wp:posOffset>
                </wp:positionV>
                <wp:extent cx="654685" cy="367030"/>
                <wp:effectExtent l="19050" t="19050" r="12065" b="13970"/>
                <wp:wrapNone/>
                <wp:docPr id="121" name="任意多边形: 形状 121"/>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1" o:spid="_x0000_s1026" o:spt="100" style="position:absolute;left:0pt;margin-left:48.7pt;margin-top:283.05pt;height:28.9pt;width:51.55pt;z-index:251779072;v-text-anchor:middle;mso-width-relative:page;mso-height-relative:page;" filled="f" stroked="t" coordsize="654908,367614" o:gfxdata="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45720" distB="45720" distL="114300" distR="114300" simplePos="0" relativeHeight="251678720" behindDoc="0" locked="0" layoutInCell="1" allowOverlap="1">
                <wp:simplePos x="0" y="0"/>
                <wp:positionH relativeFrom="column">
                  <wp:posOffset>4332605</wp:posOffset>
                </wp:positionH>
                <wp:positionV relativeFrom="paragraph">
                  <wp:posOffset>5721350</wp:posOffset>
                </wp:positionV>
                <wp:extent cx="621030" cy="1404620"/>
                <wp:effectExtent l="0" t="0" r="26670" b="25400"/>
                <wp:wrapNone/>
                <wp:docPr id="11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7300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1.15pt;margin-top:450.5pt;height:110.6pt;width:48.9pt;z-index:251678720;mso-width-relative:page;mso-height-relative:margin;mso-height-percent:200;" fillcolor="#FFFFFF" filled="t" stroked="t" coordsize="21600,21600" o:gfxdata="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QLi2PYAAAADAEAAA8AAAAAAAAAAQAgAAAAIgAAAGRycy9k&#10;b3ducmV2LnhtbFBLAQIUABQAAAAIAIdO4kBBbboTOwIAAH0EAAAOAAAAAAAAAAEAIAAAACcBAABk&#10;cnMvZTJvRG9jLnhtbFBLBQYAAAAABgAGAFkBAADUBQAAAAA=&#10;">
                <v:fill on="t" focussize="0,0"/>
                <v:stroke color="#000000" miterlimit="8" joinstyle="miter"/>
                <v:imagedata o:title=""/>
                <o:lock v:ext="edit" aspectratio="f"/>
                <v:textbox style="mso-fit-shape-to-text:t;">
                  <w:txbxContent>
                    <w:p>
                      <w:r>
                        <w:t>7300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77696" behindDoc="0" locked="0" layoutInCell="1" allowOverlap="1">
                <wp:simplePos x="0" y="0"/>
                <wp:positionH relativeFrom="column">
                  <wp:posOffset>1752600</wp:posOffset>
                </wp:positionH>
                <wp:positionV relativeFrom="paragraph">
                  <wp:posOffset>5725160</wp:posOffset>
                </wp:positionV>
                <wp:extent cx="621030" cy="1404620"/>
                <wp:effectExtent l="0" t="0" r="26670" b="25400"/>
                <wp:wrapNone/>
                <wp:docPr id="11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3650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8pt;margin-top:450.8pt;height:110.6pt;width:48.9pt;z-index:251677696;mso-width-relative:page;mso-height-relative:margin;mso-height-percent:200;" fillcolor="#FFFFFF" filled="t" stroked="t" coordsize="21600,21600" o:gfxdata="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iAoKnZAAAADAEAAA8AAAAAAAAAAQAgAAAAIgAAAGRycy9k&#10;b3ducmV2LnhtbFBLAQIUABQAAAAIAIdO4kAZA14QOgIAAH0EAAAOAAAAAAAAAAEAIAAAACgBAABk&#10;cnMvZTJvRG9jLnhtbFBLBQYAAAAABgAGAFkBAADUBQAAAAA=&#10;">
                <v:fill on="t" focussize="0,0"/>
                <v:stroke color="#000000" miterlimit="8" joinstyle="miter"/>
                <v:imagedata o:title=""/>
                <o:lock v:ext="edit" aspectratio="f"/>
                <v:textbox style="mso-fit-shape-to-text:t;">
                  <w:txbxContent>
                    <w:p>
                      <w:r>
                        <w:t>3650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75648" behindDoc="0" locked="0" layoutInCell="1" allowOverlap="1">
                <wp:simplePos x="0" y="0"/>
                <wp:positionH relativeFrom="column">
                  <wp:posOffset>1752600</wp:posOffset>
                </wp:positionH>
                <wp:positionV relativeFrom="paragraph">
                  <wp:posOffset>2439035</wp:posOffset>
                </wp:positionV>
                <wp:extent cx="621030" cy="1404620"/>
                <wp:effectExtent l="0" t="0" r="26670" b="25400"/>
                <wp:wrapNone/>
                <wp:docPr id="11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8pt;margin-top:192.05pt;height:110.6pt;width:48.9pt;z-index:251675648;mso-width-relative:page;mso-height-relative:margin;mso-height-percent:200;" fillcolor="#FFFFFF" filled="t" stroked="t" coordsize="21600,21600" o:gfxdata="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vFjUr2QAAAAsBAAAPAAAAAAAAAAEAIAAAACIAAABkcnMv&#10;ZG93bnJldi54bWxQSwECFAAUAAAACACHTuJAucjsADsCAAB9BAAADgAAAAAAAAABACAAAAAoAQAA&#10;ZHJzL2Uyb0RvYy54bWxQSwUGAAAAAAYABgBZAQAA1QUAAAAA&#10;">
                <v:fill on="t" focussize="0,0"/>
                <v:stroke color="#000000" miterlimit="8" joinstyle="miter"/>
                <v:imagedata o:title=""/>
                <o:lock v:ext="edit" aspectratio="f"/>
                <v:textbox style="mso-fit-shape-to-text:t;">
                  <w:txbxContent>
                    <w:p>
                      <w:r>
                        <w:t>100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673600" behindDoc="0" locked="0" layoutInCell="1" allowOverlap="1">
                <wp:simplePos x="0" y="0"/>
                <wp:positionH relativeFrom="column">
                  <wp:posOffset>4305300</wp:posOffset>
                </wp:positionH>
                <wp:positionV relativeFrom="paragraph">
                  <wp:posOffset>2396490</wp:posOffset>
                </wp:positionV>
                <wp:extent cx="621030" cy="1404620"/>
                <wp:effectExtent l="0" t="0" r="26670" b="25400"/>
                <wp:wrapNone/>
                <wp:docPr id="11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39pt;margin-top:188.7pt;height:110.6pt;width:48.9pt;z-index:251673600;mso-width-relative:page;mso-height-relative:margin;mso-height-percent:200;" fillcolor="#FFFFFF" filled="t" stroked="t" coordsize="21600,21600" o:gfxdata="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lN6AD2QAAAAsBAAAPAAAAAAAAAAEAIAAAACIAAABkcnMv&#10;ZG93bnJldi54bWxQSwECFAAUAAAACACHTuJAMcNRCzsCAAB9BAAADgAAAAAAAAABACAAAAAoAQAA&#10;ZHJzL2Uyb0RvYy54bWxQSwUGAAAAAAYABgBZAQAA1QUAAAAA&#10;">
                <v:fill on="t" focussize="0,0"/>
                <v:stroke color="#000000" miterlimit="8" joinstyle="miter"/>
                <v:imagedata o:title=""/>
                <o:lock v:ext="edit" aspectratio="f"/>
                <v:textbox style="mso-fit-shape-to-text:t;">
                  <w:txbxContent>
                    <w:p>
                      <w:r>
                        <w:t>1000</w:t>
                      </w:r>
                      <w:r>
                        <w:rPr>
                          <w:rFonts w:hint="eastAsia"/>
                        </w:rPr>
                        <w:t>天</w:t>
                      </w:r>
                    </w:p>
                  </w:txbxContent>
                </v:textbox>
              </v:shape>
            </w:pict>
          </mc:Fallback>
        </mc:AlternateContent>
      </w:r>
      <w:r>
        <w:drawing>
          <wp:inline distT="0" distB="0" distL="0" distR="0">
            <wp:extent cx="2422525" cy="3214370"/>
            <wp:effectExtent l="0" t="0" r="0" b="508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rPr>
          <w:rFonts w:hint="eastAsia"/>
        </w:rPr>
        <w:t xml:space="preserve"> </w:t>
      </w:r>
      <w:r>
        <w:t xml:space="preserve"> </w:t>
      </w:r>
      <w:r>
        <w:drawing>
          <wp:inline distT="0" distB="0" distL="0" distR="0">
            <wp:extent cx="2422525" cy="3214370"/>
            <wp:effectExtent l="0" t="0" r="0" b="508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drawing>
          <wp:inline distT="0" distB="0" distL="0" distR="0">
            <wp:extent cx="2422525" cy="3214370"/>
            <wp:effectExtent l="0" t="0" r="0" b="50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t xml:space="preserve">  </w:t>
      </w:r>
      <w:r>
        <w:drawing>
          <wp:inline distT="0" distB="0" distL="0" distR="0">
            <wp:extent cx="2422525" cy="3214370"/>
            <wp:effectExtent l="0" t="0" r="0" b="508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p>
    <w:p>
      <w:pPr>
        <w:jc w:val="center"/>
        <w:rPr>
          <w:b/>
          <w:bCs/>
          <w:sz w:val="24"/>
          <w:szCs w:val="24"/>
        </w:rPr>
      </w:pPr>
      <w:r>
        <w:rPr>
          <w:rFonts w:hint="eastAsia"/>
          <w:b/>
          <w:bCs/>
          <w:sz w:val="24"/>
          <w:szCs w:val="24"/>
        </w:rPr>
        <w:t>图</w:t>
      </w:r>
      <w:r>
        <w:rPr>
          <w:b/>
          <w:bCs/>
          <w:sz w:val="24"/>
          <w:szCs w:val="24"/>
        </w:rPr>
        <w:t>5.3.4-13</w:t>
      </w:r>
      <w:r>
        <w:rPr>
          <w:rFonts w:hint="eastAsia"/>
          <w:b/>
          <w:bCs/>
          <w:sz w:val="24"/>
          <w:szCs w:val="24"/>
        </w:rPr>
        <w:t xml:space="preserve"> 非正常状况下渗滤液泄漏后，地下水中的砷在不同运移时间下的浓度分布图</w:t>
      </w:r>
    </w:p>
    <w:p>
      <w:pPr>
        <w:adjustRightInd w:val="0"/>
        <w:snapToGrid w:val="0"/>
        <w:jc w:val="center"/>
      </w:pPr>
      <w:r>
        <w:drawing>
          <wp:inline distT="0" distB="0" distL="0" distR="0">
            <wp:extent cx="1950720" cy="181419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r>
        <w:rPr>
          <w:rFonts w:hint="eastAsia"/>
        </w:rPr>
        <w:t xml:space="preserve">  </w:t>
      </w:r>
      <w:r>
        <w:t xml:space="preserve">     </w:t>
      </w:r>
      <w:r>
        <w:drawing>
          <wp:inline distT="0" distB="0" distL="0" distR="0">
            <wp:extent cx="1950720" cy="181419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p>
    <w:p>
      <w:pPr>
        <w:jc w:val="center"/>
        <w:rPr>
          <w:b/>
          <w:bCs/>
          <w:szCs w:val="21"/>
        </w:rPr>
      </w:pPr>
      <w:r>
        <w:rPr>
          <w:rFonts w:hint="eastAsia"/>
          <w:b/>
          <w:bCs/>
          <w:szCs w:val="21"/>
        </w:rPr>
        <w:t>图</w:t>
      </w:r>
      <w:r>
        <w:rPr>
          <w:b/>
          <w:bCs/>
          <w:szCs w:val="21"/>
        </w:rPr>
        <w:t>5.3.4-14</w:t>
      </w:r>
      <w:r>
        <w:rPr>
          <w:rFonts w:hint="eastAsia"/>
          <w:b/>
          <w:bCs/>
          <w:szCs w:val="21"/>
        </w:rPr>
        <w:t xml:space="preserve"> 厂界处及下游保护目标G</w:t>
      </w:r>
      <w:r>
        <w:rPr>
          <w:b/>
          <w:bCs/>
          <w:szCs w:val="21"/>
        </w:rPr>
        <w:t>9</w:t>
      </w:r>
      <w:r>
        <w:rPr>
          <w:rFonts w:hint="eastAsia"/>
          <w:b/>
          <w:bCs/>
          <w:szCs w:val="21"/>
        </w:rPr>
        <w:t>处地下水中砷浓度随时间变化的特征曲线图</w:t>
      </w:r>
    </w:p>
    <w:p>
      <w:pPr>
        <w:adjustRightInd w:val="0"/>
        <w:snapToGrid w:val="0"/>
        <w:jc w:val="center"/>
      </w:pPr>
      <w:r>
        <w:drawing>
          <wp:anchor distT="0" distB="0" distL="114300" distR="114300" simplePos="0" relativeHeight="251801600" behindDoc="0" locked="0" layoutInCell="1" allowOverlap="1">
            <wp:simplePos x="0" y="0"/>
            <wp:positionH relativeFrom="column">
              <wp:posOffset>3365500</wp:posOffset>
            </wp:positionH>
            <wp:positionV relativeFrom="paragraph">
              <wp:posOffset>106680</wp:posOffset>
            </wp:positionV>
            <wp:extent cx="657860" cy="264795"/>
            <wp:effectExtent l="19050" t="57150" r="27940" b="59055"/>
            <wp:wrapNone/>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803648" behindDoc="0" locked="0" layoutInCell="1" allowOverlap="1">
            <wp:simplePos x="0" y="0"/>
            <wp:positionH relativeFrom="column">
              <wp:posOffset>3288030</wp:posOffset>
            </wp:positionH>
            <wp:positionV relativeFrom="paragraph">
              <wp:posOffset>3311525</wp:posOffset>
            </wp:positionV>
            <wp:extent cx="657860" cy="264795"/>
            <wp:effectExtent l="19050" t="57150" r="27940" b="59055"/>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802624" behindDoc="0" locked="0" layoutInCell="1" allowOverlap="1">
            <wp:simplePos x="0" y="0"/>
            <wp:positionH relativeFrom="column">
              <wp:posOffset>726440</wp:posOffset>
            </wp:positionH>
            <wp:positionV relativeFrom="paragraph">
              <wp:posOffset>3332480</wp:posOffset>
            </wp:positionV>
            <wp:extent cx="657860" cy="264795"/>
            <wp:effectExtent l="19050" t="57150" r="27940" b="59055"/>
            <wp:wrapNone/>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drawing>
          <wp:anchor distT="0" distB="0" distL="114300" distR="114300" simplePos="0" relativeHeight="251800576" behindDoc="0" locked="0" layoutInCell="1" allowOverlap="1">
            <wp:simplePos x="0" y="0"/>
            <wp:positionH relativeFrom="column">
              <wp:posOffset>741680</wp:posOffset>
            </wp:positionH>
            <wp:positionV relativeFrom="paragraph">
              <wp:posOffset>92075</wp:posOffset>
            </wp:positionV>
            <wp:extent cx="657860" cy="264795"/>
            <wp:effectExtent l="19050" t="57150" r="27940" b="59055"/>
            <wp:wrapNone/>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7307">
                      <a:off x="0" y="0"/>
                      <a:ext cx="657860" cy="264795"/>
                    </a:xfrm>
                    <a:prstGeom prst="rect">
                      <a:avLst/>
                    </a:prstGeom>
                    <a:noFill/>
                    <a:ln>
                      <a:noFill/>
                    </a:ln>
                  </pic:spPr>
                </pic:pic>
              </a:graphicData>
            </a:graphic>
          </wp:anchor>
        </w:drawing>
      </w:r>
      <w:r>
        <w:rPr>
          <w:rFonts w:eastAsiaTheme="minorEastAsia"/>
          <w:b/>
          <w:sz w:val="24"/>
          <w:szCs w:val="24"/>
        </w:rPr>
        <mc:AlternateContent>
          <mc:Choice Requires="wps">
            <w:drawing>
              <wp:anchor distT="0" distB="0" distL="114300" distR="114300" simplePos="0" relativeHeight="251773952" behindDoc="0" locked="0" layoutInCell="1" allowOverlap="1">
                <wp:simplePos x="0" y="0"/>
                <wp:positionH relativeFrom="column">
                  <wp:posOffset>628650</wp:posOffset>
                </wp:positionH>
                <wp:positionV relativeFrom="paragraph">
                  <wp:posOffset>361315</wp:posOffset>
                </wp:positionV>
                <wp:extent cx="654685" cy="367030"/>
                <wp:effectExtent l="19050" t="19050" r="12065" b="13970"/>
                <wp:wrapNone/>
                <wp:docPr id="127" name="任意多边形: 形状 127"/>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7" o:spid="_x0000_s1026" o:spt="100" style="position:absolute;left:0pt;margin-left:49.5pt;margin-top:28.45pt;height:28.9pt;width:51.55pt;z-index:251773952;v-text-anchor:middle;mso-width-relative:page;mso-height-relative:page;" filled="f" stroked="t" coordsize="654908,367614" o:gfxdata="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CE18tw1AAA&#10;AAkBAAAPAAAAAAAAAAEAIAAAACIAAABkcnMvZG93bnJldi54bWxQSwECFAAUAAAACACHTuJATlP2&#10;55UEAAAHDwAADgAAAAAAAAABACAAAAAjAQAAZHJzL2Uyb0RvYy54bWxQSwUGAAAAAAYABgBZAQAA&#10;Kgg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69856" behindDoc="0" locked="0" layoutInCell="1" allowOverlap="1">
                <wp:simplePos x="0" y="0"/>
                <wp:positionH relativeFrom="column">
                  <wp:posOffset>3183255</wp:posOffset>
                </wp:positionH>
                <wp:positionV relativeFrom="paragraph">
                  <wp:posOffset>375285</wp:posOffset>
                </wp:positionV>
                <wp:extent cx="654685" cy="367030"/>
                <wp:effectExtent l="19050" t="19050" r="12065" b="13970"/>
                <wp:wrapNone/>
                <wp:docPr id="126" name="任意多边形: 形状 126"/>
                <wp:cNvGraphicFramePr/>
                <a:graphic xmlns:a="http://schemas.openxmlformats.org/drawingml/2006/main">
                  <a:graphicData uri="http://schemas.microsoft.com/office/word/2010/wordprocessingShape">
                    <wps:wsp>
                      <wps:cNvSpPr/>
                      <wps:spPr>
                        <a:xfrm>
                          <a:off x="0" y="0"/>
                          <a:ext cx="654685" cy="367030"/>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6" o:spid="_x0000_s1026" o:spt="100" style="position:absolute;left:0pt;margin-left:250.65pt;margin-top:29.55pt;height:28.9pt;width:51.55pt;z-index:251769856;v-text-anchor:middle;mso-width-relative:page;mso-height-relative:page;" filled="f" stroked="t" coordsize="654908,367614" o:gfxdata="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" path="m475735,367614l608570,290384,654908,176084,639462,67963,274937,0,278027,83409,247135,89587,172994,52517,114300,46338,43248,6179,0,9268,475735,367614xe">
                <v:path o:connectlocs="475573,367030;608362,289922;654685,175804;639244,67855;274843,0;277932,83276;247050,89444;172935,52433;114261,46264;43233,6169;0,9253;475573,367030"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76000" behindDoc="0" locked="0" layoutInCell="1" allowOverlap="1">
                <wp:simplePos x="0" y="0"/>
                <wp:positionH relativeFrom="column">
                  <wp:posOffset>3170555</wp:posOffset>
                </wp:positionH>
                <wp:positionV relativeFrom="paragraph">
                  <wp:posOffset>3582670</wp:posOffset>
                </wp:positionV>
                <wp:extent cx="654685" cy="367665"/>
                <wp:effectExtent l="19050" t="19050" r="12065" b="13970"/>
                <wp:wrapNone/>
                <wp:docPr id="130" name="任意多边形: 形状 130"/>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30" o:spid="_x0000_s1026" o:spt="100" style="position:absolute;left:0pt;margin-left:249.65pt;margin-top:282.1pt;height:28.95pt;width:51.55pt;z-index:251776000;v-text-anchor:middle;mso-width-relative:page;mso-height-relative:page;" filled="f" stroked="t" coordsize="654908,367614" o:gfxdata="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0" distB="0" distL="114300" distR="114300" simplePos="0" relativeHeight="251774976" behindDoc="0" locked="0" layoutInCell="1" allowOverlap="1">
                <wp:simplePos x="0" y="0"/>
                <wp:positionH relativeFrom="column">
                  <wp:posOffset>617855</wp:posOffset>
                </wp:positionH>
                <wp:positionV relativeFrom="paragraph">
                  <wp:posOffset>3594100</wp:posOffset>
                </wp:positionV>
                <wp:extent cx="654685" cy="367665"/>
                <wp:effectExtent l="19050" t="19050" r="12065" b="13970"/>
                <wp:wrapNone/>
                <wp:docPr id="129" name="任意多边形: 形状 129"/>
                <wp:cNvGraphicFramePr/>
                <a:graphic xmlns:a="http://schemas.openxmlformats.org/drawingml/2006/main">
                  <a:graphicData uri="http://schemas.microsoft.com/office/word/2010/wordprocessingShape">
                    <wps:wsp>
                      <wps:cNvSpPr/>
                      <wps:spPr>
                        <a:xfrm>
                          <a:off x="0" y="0"/>
                          <a:ext cx="654908" cy="367614"/>
                        </a:xfrm>
                        <a:custGeom>
                          <a:avLst/>
                          <a:gdLst>
                            <a:gd name="connsiteX0" fmla="*/ 475735 w 654908"/>
                            <a:gd name="connsiteY0" fmla="*/ 367614 h 367614"/>
                            <a:gd name="connsiteX1" fmla="*/ 608570 w 654908"/>
                            <a:gd name="connsiteY1" fmla="*/ 290384 h 367614"/>
                            <a:gd name="connsiteX2" fmla="*/ 654908 w 654908"/>
                            <a:gd name="connsiteY2" fmla="*/ 176084 h 367614"/>
                            <a:gd name="connsiteX3" fmla="*/ 639462 w 654908"/>
                            <a:gd name="connsiteY3" fmla="*/ 67963 h 367614"/>
                            <a:gd name="connsiteX4" fmla="*/ 274937 w 654908"/>
                            <a:gd name="connsiteY4" fmla="*/ 0 h 367614"/>
                            <a:gd name="connsiteX5" fmla="*/ 278027 w 654908"/>
                            <a:gd name="connsiteY5" fmla="*/ 83409 h 367614"/>
                            <a:gd name="connsiteX6" fmla="*/ 247135 w 654908"/>
                            <a:gd name="connsiteY6" fmla="*/ 89587 h 367614"/>
                            <a:gd name="connsiteX7" fmla="*/ 172994 w 654908"/>
                            <a:gd name="connsiteY7" fmla="*/ 52517 h 367614"/>
                            <a:gd name="connsiteX8" fmla="*/ 114300 w 654908"/>
                            <a:gd name="connsiteY8" fmla="*/ 46338 h 367614"/>
                            <a:gd name="connsiteX9" fmla="*/ 43248 w 654908"/>
                            <a:gd name="connsiteY9" fmla="*/ 6179 h 367614"/>
                            <a:gd name="connsiteX10" fmla="*/ 0 w 654908"/>
                            <a:gd name="connsiteY10" fmla="*/ 9268 h 367614"/>
                            <a:gd name="connsiteX11" fmla="*/ 475735 w 654908"/>
                            <a:gd name="connsiteY11" fmla="*/ 367614 h 367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4908" h="367614">
                              <a:moveTo>
                                <a:pt x="475735" y="367614"/>
                              </a:moveTo>
                              <a:lnTo>
                                <a:pt x="608570" y="290384"/>
                              </a:lnTo>
                              <a:lnTo>
                                <a:pt x="654908" y="176084"/>
                              </a:lnTo>
                              <a:lnTo>
                                <a:pt x="639462" y="67963"/>
                              </a:lnTo>
                              <a:lnTo>
                                <a:pt x="274937" y="0"/>
                              </a:lnTo>
                              <a:lnTo>
                                <a:pt x="278027" y="83409"/>
                              </a:lnTo>
                              <a:lnTo>
                                <a:pt x="247135" y="89587"/>
                              </a:lnTo>
                              <a:lnTo>
                                <a:pt x="172994" y="52517"/>
                              </a:lnTo>
                              <a:lnTo>
                                <a:pt x="114300" y="46338"/>
                              </a:lnTo>
                              <a:lnTo>
                                <a:pt x="43248" y="6179"/>
                              </a:lnTo>
                              <a:lnTo>
                                <a:pt x="0" y="9268"/>
                              </a:lnTo>
                              <a:lnTo>
                                <a:pt x="475735" y="367614"/>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9" o:spid="_x0000_s1026" o:spt="100" style="position:absolute;left:0pt;margin-left:48.65pt;margin-top:283pt;height:28.95pt;width:51.55pt;z-index:251774976;v-text-anchor:middle;mso-width-relative:page;mso-height-relative:page;" filled="f" stroked="t" coordsize="654908,367614" o:gfxdata="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" path="m475735,367614l608570,290384,654908,176084,639462,67963,274937,0,278027,83409,247135,89587,172994,52517,114300,46338,43248,6179,0,9268,475735,367614xe">
                <v:path o:connectlocs="475735,367614;608570,290384;654908,176084;639462,67963;274937,0;278027,83409;247135,89587;172994,52517;114300,46338;43248,6179;0,9268;475735,367614" o:connectangles="0,0,0,0,0,0,0,0,0,0,0,0"/>
                <v:fill on="f" focussize="0,0"/>
                <v:stroke weight="3pt" color="#FFFF00 [3204]" joinstyle="round"/>
                <v:imagedata o:title=""/>
                <o:lock v:ext="edit" aspectratio="f"/>
              </v:shape>
            </w:pict>
          </mc:Fallback>
        </mc:AlternateContent>
      </w:r>
      <w:r>
        <w:rPr>
          <w:rFonts w:eastAsiaTheme="minorEastAsia"/>
          <w:b/>
          <w:sz w:val="24"/>
          <w:szCs w:val="24"/>
        </w:rPr>
        <mc:AlternateContent>
          <mc:Choice Requires="wps">
            <w:drawing>
              <wp:anchor distT="45720" distB="45720" distL="114300" distR="114300" simplePos="0" relativeHeight="251729920" behindDoc="0" locked="0" layoutInCell="1" allowOverlap="1">
                <wp:simplePos x="0" y="0"/>
                <wp:positionH relativeFrom="column">
                  <wp:posOffset>1865630</wp:posOffset>
                </wp:positionH>
                <wp:positionV relativeFrom="paragraph">
                  <wp:posOffset>5641975</wp:posOffset>
                </wp:positionV>
                <wp:extent cx="621030" cy="1404620"/>
                <wp:effectExtent l="0" t="0" r="26670" b="25400"/>
                <wp:wrapNone/>
                <wp:docPr id="12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3650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6.9pt;margin-top:444.25pt;height:110.6pt;width:48.9pt;z-index:251729920;mso-width-relative:page;mso-height-relative:margin;mso-height-percent:200;" fillcolor="#FFFFFF" filled="t" stroked="t" coordsize="21600,21600" o:gfxdata="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2tzaDZAAAADAEAAA8AAAAAAAAAAQAgAAAAIgAAAGRycy9k&#10;b3ducmV2LnhtbFBLAQIUABQAAAAIAIdO4kDhRYu+OgIAAH0EAAAOAAAAAAAAAAEAIAAAACgBAABk&#10;cnMvZTJvRG9jLnhtbFBLBQYAAAAABgAGAFkBAADUBQAAAAA=&#10;">
                <v:fill on="t" focussize="0,0"/>
                <v:stroke color="#000000" miterlimit="8" joinstyle="miter"/>
                <v:imagedata o:title=""/>
                <o:lock v:ext="edit" aspectratio="f"/>
                <v:textbox style="mso-fit-shape-to-text:t;">
                  <w:txbxContent>
                    <w:p>
                      <w:r>
                        <w:t>3650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716608" behindDoc="0" locked="0" layoutInCell="1" allowOverlap="1">
                <wp:simplePos x="0" y="0"/>
                <wp:positionH relativeFrom="column">
                  <wp:posOffset>1753870</wp:posOffset>
                </wp:positionH>
                <wp:positionV relativeFrom="paragraph">
                  <wp:posOffset>2485390</wp:posOffset>
                </wp:positionV>
                <wp:extent cx="621030" cy="1404620"/>
                <wp:effectExtent l="0" t="0" r="26670" b="25400"/>
                <wp:wrapNone/>
                <wp:docPr id="12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8.1pt;margin-top:195.7pt;height:110.6pt;width:48.9pt;z-index:251716608;mso-width-relative:page;mso-height-relative:margin;mso-height-percent:200;" fillcolor="#FFFFFF" filled="t" stroked="t" coordsize="21600,21600" o:gfxdata="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siaR3YAAAACwEAAA8AAAAAAAAAAQAgAAAAIgAAAGRycy9k&#10;b3ducmV2LnhtbFBLAQIUABQAAAAIAIdO4kDJhYSlOwIAAH0EAAAOAAAAAAAAAAEAIAAAACcBAABk&#10;cnMvZTJvRG9jLnhtbFBLBQYAAAAABgAGAFkBAADUBQAAAAA=&#10;">
                <v:fill on="t" focussize="0,0"/>
                <v:stroke color="#000000" miterlimit="8" joinstyle="miter"/>
                <v:imagedata o:title=""/>
                <o:lock v:ext="edit" aspectratio="f"/>
                <v:textbox style="mso-fit-shape-to-text:t;">
                  <w:txbxContent>
                    <w:p>
                      <w:r>
                        <w:t>100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712512" behindDoc="0" locked="0" layoutInCell="1" allowOverlap="1">
                <wp:simplePos x="0" y="0"/>
                <wp:positionH relativeFrom="column">
                  <wp:posOffset>4402455</wp:posOffset>
                </wp:positionH>
                <wp:positionV relativeFrom="paragraph">
                  <wp:posOffset>5650865</wp:posOffset>
                </wp:positionV>
                <wp:extent cx="621030" cy="1404620"/>
                <wp:effectExtent l="0" t="0" r="26670" b="25400"/>
                <wp:wrapNone/>
                <wp:docPr id="12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7300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6.65pt;margin-top:444.95pt;height:110.6pt;width:48.9pt;z-index:251712512;mso-width-relative:page;mso-height-relative:margin;mso-height-percent:200;" fillcolor="#FFFFFF" filled="t" stroked="t" coordsize="21600,21600" o:gfxdata="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o8tSJdgAAAAMAQAADwAAAAAAAAABACAAAAAiAAAAZHJzL2Rv&#10;d25yZXYueG1sUEsBAhQAFAAAAAgAh07iQJHrYKY6AgAAfQQAAA4AAAAAAAAAAQAgAAAAJwEAAGRy&#10;cy9lMm9Eb2MueG1sUEsFBgAAAAAGAAYAWQEAANMFAAAAAA==&#10;">
                <v:fill on="t" focussize="0,0"/>
                <v:stroke color="#000000" miterlimit="8" joinstyle="miter"/>
                <v:imagedata o:title=""/>
                <o:lock v:ext="edit" aspectratio="f"/>
                <v:textbox style="mso-fit-shape-to-text:t;">
                  <w:txbxContent>
                    <w:p>
                      <w:r>
                        <w:t>7300</w:t>
                      </w:r>
                      <w:r>
                        <w:rPr>
                          <w:rFonts w:hint="eastAsia"/>
                        </w:rPr>
                        <w:t>天</w:t>
                      </w:r>
                    </w:p>
                  </w:txbxContent>
                </v:textbox>
              </v:shape>
            </w:pict>
          </mc:Fallback>
        </mc:AlternateContent>
      </w:r>
      <w:r>
        <w:rPr>
          <w:rFonts w:eastAsiaTheme="minorEastAsia"/>
          <w:b/>
          <w:sz w:val="24"/>
          <w:szCs w:val="24"/>
        </w:rPr>
        <mc:AlternateContent>
          <mc:Choice Requires="wps">
            <w:drawing>
              <wp:anchor distT="45720" distB="45720" distL="114300" distR="114300" simplePos="0" relativeHeight="251707392" behindDoc="0" locked="0" layoutInCell="1" allowOverlap="1">
                <wp:simplePos x="0" y="0"/>
                <wp:positionH relativeFrom="column">
                  <wp:posOffset>4402455</wp:posOffset>
                </wp:positionH>
                <wp:positionV relativeFrom="paragraph">
                  <wp:posOffset>2442845</wp:posOffset>
                </wp:positionV>
                <wp:extent cx="621030" cy="1404620"/>
                <wp:effectExtent l="0" t="0" r="26670" b="25400"/>
                <wp:wrapNone/>
                <wp:docPr id="12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102" cy="1404620"/>
                        </a:xfrm>
                        <a:prstGeom prst="rect">
                          <a:avLst/>
                        </a:prstGeom>
                        <a:solidFill>
                          <a:srgbClr val="FFFFFF"/>
                        </a:solidFill>
                        <a:ln w="9525">
                          <a:solidFill>
                            <a:srgbClr val="000000"/>
                          </a:solidFill>
                          <a:miter lim="800000"/>
                        </a:ln>
                      </wps:spPr>
                      <wps:txbx>
                        <w:txbxContent>
                          <w:p>
                            <w:r>
                              <w:t>1000</w:t>
                            </w:r>
                            <w:r>
                              <w:rPr>
                                <w:rFonts w:hint="eastAsia"/>
                              </w:rPr>
                              <w:t>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46.65pt;margin-top:192.35pt;height:110.6pt;width:48.9pt;z-index:251707392;mso-width-relative:page;mso-height-relative:margin;mso-height-percent:200;" fillcolor="#FFFFFF" filled="t" stroked="t" coordsize="21600,21600" o:gfxdata="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cBND3tgAAAALAQAADwAAAAAAAAABACAAAAAiAAAAZHJzL2Rv&#10;d25yZXYueG1sUEsBAhQAFAAAAAgAh07iQCE3qKE6AgAAfQQAAA4AAAAAAAAAAQAgAAAAJwEAAGRy&#10;cy9lMm9Eb2MueG1sUEsFBgAAAAAGAAYAWQEAANMFAAAAAA==&#10;">
                <v:fill on="t" focussize="0,0"/>
                <v:stroke color="#000000" miterlimit="8" joinstyle="miter"/>
                <v:imagedata o:title=""/>
                <o:lock v:ext="edit" aspectratio="f"/>
                <v:textbox style="mso-fit-shape-to-text:t;">
                  <w:txbxContent>
                    <w:p>
                      <w:r>
                        <w:t>1000</w:t>
                      </w:r>
                      <w:r>
                        <w:rPr>
                          <w:rFonts w:hint="eastAsia"/>
                        </w:rPr>
                        <w:t>天</w:t>
                      </w:r>
                    </w:p>
                  </w:txbxContent>
                </v:textbox>
              </v:shape>
            </w:pict>
          </mc:Fallback>
        </mc:AlternateContent>
      </w:r>
      <w:r>
        <w:drawing>
          <wp:inline distT="0" distB="0" distL="0" distR="0">
            <wp:extent cx="2422525" cy="3214370"/>
            <wp:effectExtent l="0" t="0" r="0" b="508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rPr>
          <w:rFonts w:hint="eastAsia"/>
        </w:rPr>
        <w:t xml:space="preserve"> </w:t>
      </w:r>
      <w:r>
        <w:t xml:space="preserve"> </w:t>
      </w:r>
      <w:r>
        <w:drawing>
          <wp:inline distT="0" distB="0" distL="0" distR="0">
            <wp:extent cx="2422525" cy="3214370"/>
            <wp:effectExtent l="0" t="0" r="0" b="508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drawing>
          <wp:inline distT="0" distB="0" distL="0" distR="0">
            <wp:extent cx="2422525" cy="3214370"/>
            <wp:effectExtent l="0" t="0" r="0" b="508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r>
        <w:t xml:space="preserve">  </w:t>
      </w:r>
      <w:r>
        <w:drawing>
          <wp:inline distT="0" distB="0" distL="0" distR="0">
            <wp:extent cx="2422525" cy="3214370"/>
            <wp:effectExtent l="0" t="0" r="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2422800" cy="3214800"/>
                    </a:xfrm>
                    <a:prstGeom prst="rect">
                      <a:avLst/>
                    </a:prstGeom>
                    <a:noFill/>
                    <a:ln>
                      <a:noFill/>
                    </a:ln>
                  </pic:spPr>
                </pic:pic>
              </a:graphicData>
            </a:graphic>
          </wp:inline>
        </w:drawing>
      </w:r>
    </w:p>
    <w:p>
      <w:pPr>
        <w:jc w:val="center"/>
        <w:rPr>
          <w:b/>
          <w:bCs/>
          <w:szCs w:val="21"/>
        </w:rPr>
      </w:pPr>
      <w:r>
        <w:rPr>
          <w:rFonts w:hint="eastAsia"/>
          <w:b/>
          <w:bCs/>
          <w:szCs w:val="21"/>
        </w:rPr>
        <w:t>图</w:t>
      </w:r>
      <w:r>
        <w:rPr>
          <w:b/>
          <w:bCs/>
          <w:szCs w:val="21"/>
        </w:rPr>
        <w:t>5.3.4-15</w:t>
      </w:r>
      <w:r>
        <w:rPr>
          <w:rFonts w:hint="eastAsia"/>
          <w:b/>
          <w:bCs/>
          <w:szCs w:val="21"/>
        </w:rPr>
        <w:t xml:space="preserve"> 非正常状况下渗滤液泄漏后，地下水中的六价铬在不同运移时间下的浓度分布图</w:t>
      </w:r>
    </w:p>
    <w:p>
      <w:pPr>
        <w:jc w:val="center"/>
      </w:pPr>
      <w:r>
        <w:drawing>
          <wp:inline distT="0" distB="0" distL="0" distR="0">
            <wp:extent cx="1950720" cy="181419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r>
        <w:rPr>
          <w:rFonts w:hint="eastAsia"/>
        </w:rPr>
        <w:t xml:space="preserve">  </w:t>
      </w:r>
      <w:r>
        <w:t xml:space="preserve">     </w:t>
      </w:r>
      <w:r>
        <w:drawing>
          <wp:inline distT="0" distB="0" distL="0" distR="0">
            <wp:extent cx="1950720" cy="181419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1951200" cy="1814400"/>
                    </a:xfrm>
                    <a:prstGeom prst="rect">
                      <a:avLst/>
                    </a:prstGeom>
                    <a:noFill/>
                    <a:ln>
                      <a:noFill/>
                    </a:ln>
                  </pic:spPr>
                </pic:pic>
              </a:graphicData>
            </a:graphic>
          </wp:inline>
        </w:drawing>
      </w:r>
    </w:p>
    <w:p>
      <w:pPr>
        <w:jc w:val="center"/>
        <w:rPr>
          <w:szCs w:val="21"/>
        </w:rPr>
      </w:pPr>
      <w:r>
        <w:rPr>
          <w:rFonts w:hint="eastAsia"/>
          <w:b/>
          <w:bCs/>
          <w:szCs w:val="21"/>
        </w:rPr>
        <w:t>图</w:t>
      </w:r>
      <w:r>
        <w:rPr>
          <w:b/>
          <w:bCs/>
          <w:szCs w:val="21"/>
        </w:rPr>
        <w:t>5.3.4-16</w:t>
      </w:r>
      <w:r>
        <w:rPr>
          <w:rFonts w:hint="eastAsia"/>
          <w:b/>
          <w:bCs/>
          <w:szCs w:val="21"/>
        </w:rPr>
        <w:t xml:space="preserve"> 厂界处及下游保护目标G</w:t>
      </w:r>
      <w:r>
        <w:rPr>
          <w:b/>
          <w:bCs/>
          <w:szCs w:val="21"/>
        </w:rPr>
        <w:t>9</w:t>
      </w:r>
      <w:r>
        <w:rPr>
          <w:rFonts w:hint="eastAsia"/>
          <w:b/>
          <w:bCs/>
          <w:szCs w:val="21"/>
        </w:rPr>
        <w:t>处地下水中六价铬浓度随时间变化的特征曲线图</w:t>
      </w:r>
    </w:p>
    <w:p>
      <w:pPr>
        <w:jc w:val="center"/>
      </w:pPr>
    </w:p>
    <w:p>
      <w:pPr>
        <w:jc w:val="center"/>
        <w:rPr>
          <w:b/>
          <w:bCs/>
          <w:szCs w:val="21"/>
        </w:rPr>
      </w:pPr>
      <w:r>
        <w:rPr>
          <w:rFonts w:hint="eastAsia"/>
          <w:b/>
          <w:bCs/>
          <w:szCs w:val="21"/>
        </w:rPr>
        <w:t>表5.3.4</w:t>
      </w:r>
      <w:r>
        <w:rPr>
          <w:b/>
          <w:bCs/>
          <w:szCs w:val="21"/>
        </w:rPr>
        <w:t xml:space="preserve">-3 </w:t>
      </w:r>
      <w:r>
        <w:rPr>
          <w:rFonts w:hint="eastAsia"/>
          <w:b/>
          <w:bCs/>
          <w:szCs w:val="21"/>
        </w:rPr>
        <w:t>非正常状况下，调节池泄漏后，地下水中污染物浓度随时间变化特征统计表</w:t>
      </w:r>
    </w:p>
    <w:tbl>
      <w:tblPr>
        <w:tblStyle w:val="798"/>
        <w:tblW w:w="503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7"/>
        <w:gridCol w:w="778"/>
        <w:gridCol w:w="1116"/>
        <w:gridCol w:w="1116"/>
        <w:gridCol w:w="907"/>
        <w:gridCol w:w="1016"/>
        <w:gridCol w:w="915"/>
        <w:gridCol w:w="1104"/>
        <w:gridCol w:w="8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tblHeader/>
          <w:jc w:val="center"/>
        </w:trPr>
        <w:tc>
          <w:tcPr>
            <w:tcW w:w="429" w:type="pct"/>
            <w:shd w:val="clear" w:color="auto" w:fill="auto"/>
            <w:vAlign w:val="center"/>
          </w:tcPr>
          <w:p>
            <w:pPr>
              <w:widowControl/>
              <w:adjustRightInd w:val="0"/>
              <w:snapToGrid w:val="0"/>
              <w:jc w:val="center"/>
              <w:rPr>
                <w:b/>
                <w:bCs/>
                <w:szCs w:val="21"/>
              </w:rPr>
            </w:pPr>
            <w:r>
              <w:rPr>
                <w:rFonts w:hint="eastAsia"/>
                <w:b/>
                <w:bCs/>
                <w:szCs w:val="21"/>
              </w:rPr>
              <w:t>污染物</w:t>
            </w:r>
          </w:p>
        </w:tc>
        <w:tc>
          <w:tcPr>
            <w:tcW w:w="453" w:type="pct"/>
            <w:shd w:val="clear" w:color="auto" w:fill="auto"/>
            <w:vAlign w:val="center"/>
          </w:tcPr>
          <w:p>
            <w:pPr>
              <w:widowControl/>
              <w:adjustRightInd w:val="0"/>
              <w:snapToGrid w:val="0"/>
              <w:jc w:val="center"/>
              <w:rPr>
                <w:b/>
                <w:bCs/>
                <w:szCs w:val="21"/>
              </w:rPr>
            </w:pPr>
            <w:r>
              <w:rPr>
                <w:b/>
                <w:bCs/>
                <w:szCs w:val="21"/>
              </w:rPr>
              <w:t>时间</w:t>
            </w:r>
          </w:p>
          <w:p>
            <w:pPr>
              <w:widowControl/>
              <w:adjustRightInd w:val="0"/>
              <w:snapToGrid w:val="0"/>
              <w:jc w:val="center"/>
              <w:rPr>
                <w:b/>
                <w:bCs/>
                <w:szCs w:val="21"/>
              </w:rPr>
            </w:pPr>
            <w:r>
              <w:rPr>
                <w:b/>
                <w:bCs/>
                <w:szCs w:val="21"/>
              </w:rPr>
              <w:t>（d）</w:t>
            </w:r>
          </w:p>
        </w:tc>
        <w:tc>
          <w:tcPr>
            <w:tcW w:w="650" w:type="pct"/>
            <w:shd w:val="clear" w:color="auto" w:fill="auto"/>
            <w:vAlign w:val="center"/>
          </w:tcPr>
          <w:p>
            <w:pPr>
              <w:widowControl/>
              <w:adjustRightInd w:val="0"/>
              <w:snapToGrid w:val="0"/>
              <w:jc w:val="center"/>
              <w:rPr>
                <w:b/>
                <w:bCs/>
                <w:szCs w:val="21"/>
              </w:rPr>
            </w:pPr>
            <w:r>
              <w:rPr>
                <w:rFonts w:hint="eastAsia"/>
                <w:b/>
                <w:bCs/>
                <w:szCs w:val="21"/>
              </w:rPr>
              <w:t>污染晕</w:t>
            </w:r>
          </w:p>
          <w:p>
            <w:pPr>
              <w:widowControl/>
              <w:adjustRightInd w:val="0"/>
              <w:snapToGrid w:val="0"/>
              <w:jc w:val="center"/>
              <w:rPr>
                <w:b/>
                <w:bCs/>
                <w:szCs w:val="21"/>
              </w:rPr>
            </w:pPr>
            <w:r>
              <w:rPr>
                <w:b/>
                <w:bCs/>
                <w:szCs w:val="21"/>
              </w:rPr>
              <w:t>最</w:t>
            </w:r>
            <w:r>
              <w:rPr>
                <w:rFonts w:hint="eastAsia"/>
                <w:b/>
                <w:bCs/>
                <w:szCs w:val="21"/>
              </w:rPr>
              <w:t>小</w:t>
            </w:r>
            <w:r>
              <w:rPr>
                <w:b/>
                <w:bCs/>
                <w:szCs w:val="21"/>
              </w:rPr>
              <w:t>浓度</w:t>
            </w:r>
          </w:p>
          <w:p>
            <w:pPr>
              <w:widowControl/>
              <w:adjustRightInd w:val="0"/>
              <w:snapToGrid w:val="0"/>
              <w:jc w:val="center"/>
              <w:rPr>
                <w:b/>
                <w:bCs/>
                <w:szCs w:val="21"/>
              </w:rPr>
            </w:pPr>
            <w:r>
              <w:rPr>
                <w:b/>
                <w:bCs/>
                <w:szCs w:val="21"/>
              </w:rPr>
              <w:t>（mg/L）</w:t>
            </w:r>
          </w:p>
        </w:tc>
        <w:tc>
          <w:tcPr>
            <w:tcW w:w="650" w:type="pct"/>
            <w:shd w:val="clear" w:color="auto" w:fill="auto"/>
            <w:vAlign w:val="center"/>
          </w:tcPr>
          <w:p>
            <w:pPr>
              <w:widowControl/>
              <w:adjustRightInd w:val="0"/>
              <w:snapToGrid w:val="0"/>
              <w:jc w:val="center"/>
              <w:rPr>
                <w:b/>
                <w:bCs/>
                <w:szCs w:val="21"/>
              </w:rPr>
            </w:pPr>
            <w:r>
              <w:rPr>
                <w:rFonts w:hint="eastAsia"/>
                <w:b/>
                <w:bCs/>
                <w:szCs w:val="21"/>
              </w:rPr>
              <w:t>污染晕</w:t>
            </w:r>
          </w:p>
          <w:p>
            <w:pPr>
              <w:widowControl/>
              <w:adjustRightInd w:val="0"/>
              <w:snapToGrid w:val="0"/>
              <w:jc w:val="center"/>
              <w:rPr>
                <w:b/>
                <w:bCs/>
                <w:szCs w:val="21"/>
              </w:rPr>
            </w:pPr>
            <w:r>
              <w:rPr>
                <w:b/>
                <w:bCs/>
                <w:szCs w:val="21"/>
              </w:rPr>
              <w:t>最大浓度</w:t>
            </w:r>
          </w:p>
          <w:p>
            <w:pPr>
              <w:widowControl/>
              <w:adjustRightInd w:val="0"/>
              <w:snapToGrid w:val="0"/>
              <w:jc w:val="center"/>
              <w:rPr>
                <w:b/>
                <w:bCs/>
                <w:szCs w:val="21"/>
              </w:rPr>
            </w:pPr>
            <w:r>
              <w:rPr>
                <w:b/>
                <w:bCs/>
                <w:szCs w:val="21"/>
              </w:rPr>
              <w:t>（mg/L）</w:t>
            </w:r>
          </w:p>
        </w:tc>
        <w:tc>
          <w:tcPr>
            <w:tcW w:w="528" w:type="pct"/>
            <w:shd w:val="clear" w:color="auto" w:fill="auto"/>
            <w:vAlign w:val="center"/>
          </w:tcPr>
          <w:p>
            <w:pPr>
              <w:widowControl/>
              <w:adjustRightInd w:val="0"/>
              <w:snapToGrid w:val="0"/>
              <w:ind w:left="-105" w:leftChars="-50" w:right="-105" w:rightChars="-50"/>
              <w:jc w:val="center"/>
              <w:rPr>
                <w:b/>
                <w:bCs/>
                <w:szCs w:val="21"/>
              </w:rPr>
            </w:pPr>
            <w:r>
              <w:rPr>
                <w:rFonts w:hint="eastAsia"/>
                <w:b/>
                <w:bCs/>
                <w:szCs w:val="21"/>
              </w:rPr>
              <w:t>标准值</w:t>
            </w:r>
          </w:p>
          <w:p>
            <w:pPr>
              <w:widowControl/>
              <w:adjustRightInd w:val="0"/>
              <w:snapToGrid w:val="0"/>
              <w:ind w:left="-105" w:leftChars="-50" w:right="-105" w:rightChars="-50"/>
              <w:jc w:val="center"/>
              <w:rPr>
                <w:b/>
                <w:bCs/>
                <w:szCs w:val="21"/>
              </w:rPr>
            </w:pPr>
            <w:r>
              <w:rPr>
                <w:b/>
                <w:bCs/>
                <w:szCs w:val="21"/>
              </w:rPr>
              <w:t>（mg/L）</w:t>
            </w:r>
          </w:p>
        </w:tc>
        <w:tc>
          <w:tcPr>
            <w:tcW w:w="592" w:type="pct"/>
            <w:shd w:val="clear" w:color="auto" w:fill="auto"/>
            <w:vAlign w:val="center"/>
          </w:tcPr>
          <w:p>
            <w:pPr>
              <w:widowControl/>
              <w:adjustRightInd w:val="0"/>
              <w:snapToGrid w:val="0"/>
              <w:jc w:val="center"/>
              <w:rPr>
                <w:b/>
                <w:bCs/>
                <w:szCs w:val="21"/>
              </w:rPr>
            </w:pPr>
            <w:r>
              <w:rPr>
                <w:b/>
                <w:bCs/>
                <w:szCs w:val="21"/>
              </w:rPr>
              <w:t>最大迁移距离</w:t>
            </w:r>
          </w:p>
          <w:p>
            <w:pPr>
              <w:widowControl/>
              <w:adjustRightInd w:val="0"/>
              <w:snapToGrid w:val="0"/>
              <w:jc w:val="center"/>
              <w:rPr>
                <w:b/>
                <w:bCs/>
                <w:szCs w:val="21"/>
              </w:rPr>
            </w:pPr>
            <w:r>
              <w:rPr>
                <w:b/>
                <w:bCs/>
                <w:szCs w:val="21"/>
              </w:rPr>
              <w:t>（m）</w:t>
            </w:r>
          </w:p>
        </w:tc>
        <w:tc>
          <w:tcPr>
            <w:tcW w:w="533" w:type="pct"/>
            <w:shd w:val="clear" w:color="auto" w:fill="auto"/>
            <w:vAlign w:val="center"/>
          </w:tcPr>
          <w:p>
            <w:pPr>
              <w:widowControl/>
              <w:adjustRightInd w:val="0"/>
              <w:snapToGrid w:val="0"/>
              <w:jc w:val="center"/>
              <w:rPr>
                <w:b/>
                <w:bCs/>
                <w:szCs w:val="21"/>
              </w:rPr>
            </w:pPr>
            <w:r>
              <w:rPr>
                <w:b/>
                <w:bCs/>
                <w:szCs w:val="21"/>
              </w:rPr>
              <w:t>污染物影响范围</w:t>
            </w:r>
          </w:p>
          <w:p>
            <w:pPr>
              <w:widowControl/>
              <w:adjustRightInd w:val="0"/>
              <w:snapToGrid w:val="0"/>
              <w:jc w:val="center"/>
              <w:rPr>
                <w:b/>
                <w:bCs/>
                <w:szCs w:val="21"/>
              </w:rPr>
            </w:pPr>
            <w:r>
              <w:rPr>
                <w:b/>
                <w:bCs/>
                <w:szCs w:val="21"/>
              </w:rPr>
              <w:t>（m</w:t>
            </w:r>
            <w:r>
              <w:rPr>
                <w:b/>
                <w:bCs/>
                <w:szCs w:val="21"/>
                <w:vertAlign w:val="superscript"/>
              </w:rPr>
              <w:t>2</w:t>
            </w:r>
            <w:r>
              <w:rPr>
                <w:b/>
                <w:bCs/>
                <w:szCs w:val="21"/>
              </w:rPr>
              <w:t>）</w:t>
            </w:r>
          </w:p>
        </w:tc>
        <w:tc>
          <w:tcPr>
            <w:tcW w:w="643" w:type="pct"/>
            <w:shd w:val="clear" w:color="auto" w:fill="auto"/>
            <w:vAlign w:val="center"/>
          </w:tcPr>
          <w:p>
            <w:pPr>
              <w:widowControl/>
              <w:adjustRightInd w:val="0"/>
              <w:snapToGrid w:val="0"/>
              <w:jc w:val="center"/>
              <w:rPr>
                <w:b/>
                <w:bCs/>
                <w:szCs w:val="21"/>
              </w:rPr>
            </w:pPr>
            <w:r>
              <w:rPr>
                <w:b/>
                <w:bCs/>
                <w:szCs w:val="21"/>
              </w:rPr>
              <w:t>污染晕与保护目标</w:t>
            </w:r>
            <w:r>
              <w:rPr>
                <w:rFonts w:hint="eastAsia"/>
                <w:b/>
                <w:bCs/>
                <w:szCs w:val="21"/>
              </w:rPr>
              <w:t>G</w:t>
            </w:r>
            <w:r>
              <w:rPr>
                <w:b/>
                <w:bCs/>
                <w:szCs w:val="21"/>
              </w:rPr>
              <w:t>9的距离（m）</w:t>
            </w:r>
          </w:p>
        </w:tc>
        <w:tc>
          <w:tcPr>
            <w:tcW w:w="522" w:type="pct"/>
            <w:shd w:val="clear" w:color="auto" w:fill="auto"/>
            <w:vAlign w:val="center"/>
          </w:tcPr>
          <w:p>
            <w:pPr>
              <w:widowControl/>
              <w:adjustRightInd w:val="0"/>
              <w:snapToGrid w:val="0"/>
              <w:jc w:val="center"/>
              <w:rPr>
                <w:b/>
                <w:bCs/>
                <w:szCs w:val="21"/>
              </w:rPr>
            </w:pPr>
            <w:r>
              <w:rPr>
                <w:b/>
                <w:bCs/>
                <w:szCs w:val="21"/>
              </w:rPr>
              <w:t>超标</w:t>
            </w:r>
          </w:p>
          <w:p>
            <w:pPr>
              <w:widowControl/>
              <w:adjustRightInd w:val="0"/>
              <w:snapToGrid w:val="0"/>
              <w:jc w:val="center"/>
              <w:rPr>
                <w:b/>
                <w:bCs/>
                <w:szCs w:val="21"/>
              </w:rPr>
            </w:pPr>
            <w:r>
              <w:rPr>
                <w:b/>
                <w:bCs/>
                <w:szCs w:val="21"/>
              </w:rPr>
              <w:t>范围（m</w:t>
            </w:r>
            <w:r>
              <w:rPr>
                <w:b/>
                <w:bCs/>
                <w:szCs w:val="21"/>
                <w:vertAlign w:val="superscript"/>
              </w:rPr>
              <w:t>2</w:t>
            </w:r>
            <w:r>
              <w:rPr>
                <w:b/>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restart"/>
            <w:shd w:val="clear" w:color="auto" w:fill="auto"/>
            <w:vAlign w:val="center"/>
          </w:tcPr>
          <w:p>
            <w:pPr>
              <w:widowControl/>
              <w:adjustRightInd w:val="0"/>
              <w:snapToGrid w:val="0"/>
              <w:jc w:val="center"/>
              <w:rPr>
                <w:szCs w:val="21"/>
              </w:rPr>
            </w:pPr>
            <w:r>
              <w:rPr>
                <w:rFonts w:hint="eastAsia"/>
                <w:szCs w:val="21"/>
              </w:rPr>
              <w:t>耗氧量</w:t>
            </w:r>
          </w:p>
        </w:tc>
        <w:tc>
          <w:tcPr>
            <w:tcW w:w="453" w:type="pct"/>
            <w:shd w:val="clear" w:color="auto" w:fill="auto"/>
            <w:vAlign w:val="center"/>
          </w:tcPr>
          <w:p>
            <w:pPr>
              <w:widowControl/>
              <w:adjustRightInd w:val="0"/>
              <w:snapToGrid w:val="0"/>
              <w:jc w:val="center"/>
              <w:rPr>
                <w:szCs w:val="21"/>
              </w:rPr>
            </w:pPr>
            <w:r>
              <w:rPr>
                <w:szCs w:val="21"/>
              </w:rPr>
              <w:t>100</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.005</w:t>
            </w:r>
          </w:p>
        </w:tc>
        <w:tc>
          <w:tcPr>
            <w:tcW w:w="650" w:type="pct"/>
            <w:shd w:val="clear" w:color="auto" w:fill="auto"/>
            <w:vAlign w:val="center"/>
          </w:tcPr>
          <w:p>
            <w:pPr>
              <w:widowControl/>
              <w:adjustRightInd w:val="0"/>
              <w:snapToGrid w:val="0"/>
              <w:jc w:val="center"/>
              <w:rPr>
                <w:szCs w:val="21"/>
              </w:rPr>
            </w:pPr>
            <w:r>
              <w:rPr>
                <w:rFonts w:hint="eastAsia"/>
                <w:szCs w:val="21"/>
              </w:rPr>
              <w:t>2</w:t>
            </w:r>
            <w:r>
              <w:rPr>
                <w:szCs w:val="21"/>
              </w:rPr>
              <w:t>.5</w:t>
            </w:r>
          </w:p>
        </w:tc>
        <w:tc>
          <w:tcPr>
            <w:tcW w:w="528" w:type="pct"/>
            <w:vMerge w:val="restart"/>
            <w:shd w:val="clear" w:color="auto" w:fill="auto"/>
            <w:vAlign w:val="center"/>
          </w:tcPr>
          <w:p>
            <w:pPr>
              <w:widowControl/>
              <w:adjustRightInd w:val="0"/>
              <w:snapToGrid w:val="0"/>
              <w:jc w:val="center"/>
              <w:rPr>
                <w:szCs w:val="21"/>
              </w:rPr>
            </w:pPr>
            <w:r>
              <w:rPr>
                <w:rFonts w:hint="eastAsia"/>
                <w:szCs w:val="21"/>
              </w:rPr>
              <w:t>3</w:t>
            </w:r>
            <w:r>
              <w:rPr>
                <w:szCs w:val="21"/>
              </w:rPr>
              <w:t>.0</w:t>
            </w: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75</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5670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074</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1000</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.005</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.07</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8</w:t>
            </w:r>
            <w:r>
              <w:rPr>
                <w:szCs w:val="21"/>
              </w:rPr>
              <w:t>31</w:t>
            </w:r>
          </w:p>
        </w:tc>
        <w:tc>
          <w:tcPr>
            <w:tcW w:w="533" w:type="pct"/>
            <w:shd w:val="clear" w:color="auto" w:fill="auto"/>
            <w:vAlign w:val="center"/>
          </w:tcPr>
          <w:p>
            <w:pPr>
              <w:widowControl/>
              <w:adjustRightInd w:val="0"/>
              <w:snapToGrid w:val="0"/>
              <w:jc w:val="center"/>
              <w:rPr>
                <w:szCs w:val="21"/>
              </w:rPr>
            </w:pPr>
            <w:r>
              <w:rPr>
                <w:rFonts w:hint="eastAsia"/>
                <w:szCs w:val="21"/>
              </w:rPr>
              <w:t>8</w:t>
            </w:r>
            <w:r>
              <w:rPr>
                <w:szCs w:val="21"/>
              </w:rPr>
              <w:t>9710</w:t>
            </w:r>
          </w:p>
        </w:tc>
        <w:tc>
          <w:tcPr>
            <w:tcW w:w="643" w:type="pct"/>
            <w:shd w:val="clear" w:color="auto" w:fill="auto"/>
            <w:vAlign w:val="center"/>
          </w:tcPr>
          <w:p>
            <w:pPr>
              <w:widowControl/>
              <w:adjustRightInd w:val="0"/>
              <w:snapToGrid w:val="0"/>
              <w:jc w:val="center"/>
              <w:rPr>
                <w:szCs w:val="21"/>
              </w:rPr>
            </w:pPr>
            <w:r>
              <w:rPr>
                <w:rFonts w:hint="eastAsia"/>
                <w:szCs w:val="21"/>
              </w:rPr>
              <w:t>5</w:t>
            </w:r>
            <w:r>
              <w:rPr>
                <w:szCs w:val="21"/>
              </w:rPr>
              <w:t>15</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rFonts w:hint="eastAsia"/>
                <w:szCs w:val="21"/>
              </w:rPr>
              <w:t>3</w:t>
            </w:r>
            <w:r>
              <w:rPr>
                <w:szCs w:val="21"/>
              </w:rPr>
              <w:t>650</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.005</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.02</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556</w:t>
            </w:r>
          </w:p>
        </w:tc>
        <w:tc>
          <w:tcPr>
            <w:tcW w:w="533" w:type="pct"/>
            <w:shd w:val="clear" w:color="auto" w:fill="auto"/>
            <w:vAlign w:val="center"/>
          </w:tcPr>
          <w:p>
            <w:pPr>
              <w:widowControl/>
              <w:adjustRightInd w:val="0"/>
              <w:snapToGrid w:val="0"/>
              <w:jc w:val="center"/>
              <w:rPr>
                <w:szCs w:val="21"/>
              </w:rPr>
            </w:pPr>
            <w:r>
              <w:rPr>
                <w:rFonts w:hint="eastAsia"/>
                <w:szCs w:val="21"/>
              </w:rPr>
              <w:t>6</w:t>
            </w:r>
            <w:r>
              <w:rPr>
                <w:szCs w:val="21"/>
              </w:rPr>
              <w:t>7900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29</w:t>
            </w:r>
          </w:p>
        </w:tc>
        <w:tc>
          <w:tcPr>
            <w:tcW w:w="522" w:type="pct"/>
            <w:shd w:val="clear" w:color="auto" w:fill="auto"/>
            <w:vAlign w:val="center"/>
          </w:tcPr>
          <w:p>
            <w:pPr>
              <w:widowControl/>
              <w:adjustRightInd w:val="0"/>
              <w:snapToGrid w:val="0"/>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7300</w:t>
            </w:r>
          </w:p>
        </w:tc>
        <w:tc>
          <w:tcPr>
            <w:tcW w:w="650" w:type="pct"/>
            <w:shd w:val="clear" w:color="auto" w:fill="auto"/>
            <w:vAlign w:val="center"/>
          </w:tcPr>
          <w:p>
            <w:pPr>
              <w:widowControl/>
              <w:adjustRightInd w:val="0"/>
              <w:snapToGrid w:val="0"/>
              <w:jc w:val="center"/>
              <w:rPr>
                <w:szCs w:val="21"/>
              </w:rPr>
            </w:pPr>
            <w:r>
              <w:rPr>
                <w:rFonts w:hint="eastAsia"/>
                <w:szCs w:val="21"/>
              </w:rPr>
              <w:t>1</w:t>
            </w:r>
            <w:r>
              <w:rPr>
                <w:szCs w:val="21"/>
              </w:rPr>
              <w:t>E-6</w:t>
            </w:r>
          </w:p>
        </w:tc>
        <w:tc>
          <w:tcPr>
            <w:tcW w:w="650" w:type="pct"/>
            <w:shd w:val="clear" w:color="auto" w:fill="auto"/>
            <w:vAlign w:val="center"/>
          </w:tcPr>
          <w:p>
            <w:pPr>
              <w:widowControl/>
              <w:adjustRightInd w:val="0"/>
              <w:snapToGrid w:val="0"/>
              <w:jc w:val="center"/>
              <w:rPr>
                <w:szCs w:val="21"/>
              </w:rPr>
            </w:pPr>
            <w:r>
              <w:rPr>
                <w:rFonts w:hint="eastAsia"/>
                <w:szCs w:val="21"/>
              </w:rPr>
              <w:t>8</w:t>
            </w:r>
            <w:r>
              <w:rPr>
                <w:szCs w:val="21"/>
              </w:rPr>
              <w:t>E-6</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658</w:t>
            </w:r>
          </w:p>
        </w:tc>
        <w:tc>
          <w:tcPr>
            <w:tcW w:w="533" w:type="pct"/>
            <w:shd w:val="clear" w:color="auto" w:fill="auto"/>
            <w:vAlign w:val="center"/>
          </w:tcPr>
          <w:p>
            <w:pPr>
              <w:widowControl/>
              <w:adjustRightInd w:val="0"/>
              <w:snapToGrid w:val="0"/>
              <w:jc w:val="center"/>
              <w:rPr>
                <w:szCs w:val="21"/>
              </w:rPr>
            </w:pPr>
            <w:r>
              <w:rPr>
                <w:rFonts w:hint="eastAsia"/>
                <w:szCs w:val="21"/>
              </w:rPr>
              <w:t>4</w:t>
            </w:r>
            <w:r>
              <w:rPr>
                <w:szCs w:val="21"/>
              </w:rPr>
              <w:t>6520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78</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restart"/>
            <w:shd w:val="clear" w:color="auto" w:fill="auto"/>
            <w:vAlign w:val="center"/>
          </w:tcPr>
          <w:p>
            <w:pPr>
              <w:widowControl/>
              <w:adjustRightInd w:val="0"/>
              <w:snapToGrid w:val="0"/>
              <w:jc w:val="center"/>
              <w:rPr>
                <w:szCs w:val="21"/>
              </w:rPr>
            </w:pPr>
            <w:r>
              <w:rPr>
                <w:rFonts w:hint="eastAsia"/>
                <w:szCs w:val="21"/>
              </w:rPr>
              <w:t>汞</w:t>
            </w:r>
          </w:p>
        </w:tc>
        <w:tc>
          <w:tcPr>
            <w:tcW w:w="453" w:type="pct"/>
            <w:shd w:val="clear" w:color="auto" w:fill="auto"/>
            <w:vAlign w:val="center"/>
          </w:tcPr>
          <w:p>
            <w:pPr>
              <w:widowControl/>
              <w:adjustRightInd w:val="0"/>
              <w:snapToGrid w:val="0"/>
              <w:jc w:val="center"/>
              <w:rPr>
                <w:szCs w:val="21"/>
              </w:rPr>
            </w:pPr>
            <w:r>
              <w:rPr>
                <w:szCs w:val="21"/>
              </w:rPr>
              <w:t>100</w:t>
            </w:r>
          </w:p>
        </w:tc>
        <w:tc>
          <w:tcPr>
            <w:tcW w:w="650" w:type="pct"/>
            <w:shd w:val="clear" w:color="auto" w:fill="auto"/>
            <w:vAlign w:val="center"/>
          </w:tcPr>
          <w:p>
            <w:pPr>
              <w:widowControl/>
              <w:adjustRightInd w:val="0"/>
              <w:snapToGrid w:val="0"/>
              <w:jc w:val="center"/>
              <w:rPr>
                <w:szCs w:val="21"/>
              </w:rPr>
            </w:pPr>
            <w:r>
              <w:rPr>
                <w:rFonts w:hint="eastAsia"/>
                <w:szCs w:val="21"/>
              </w:rPr>
              <w:t>1E-</w:t>
            </w:r>
            <w:r>
              <w:rPr>
                <w:szCs w:val="21"/>
              </w:rPr>
              <w:t>6</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w:t>
            </w:r>
            <w:r>
              <w:rPr>
                <w:rFonts w:hint="eastAsia"/>
                <w:szCs w:val="21"/>
              </w:rPr>
              <w:t>0</w:t>
            </w:r>
            <w:r>
              <w:rPr>
                <w:szCs w:val="21"/>
              </w:rPr>
              <w:t>009</w:t>
            </w:r>
          </w:p>
        </w:tc>
        <w:tc>
          <w:tcPr>
            <w:tcW w:w="528" w:type="pct"/>
            <w:vMerge w:val="restart"/>
            <w:shd w:val="clear" w:color="auto" w:fill="auto"/>
            <w:vAlign w:val="center"/>
          </w:tcPr>
          <w:p>
            <w:pPr>
              <w:widowControl/>
              <w:adjustRightInd w:val="0"/>
              <w:snapToGrid w:val="0"/>
              <w:jc w:val="center"/>
              <w:rPr>
                <w:rFonts w:eastAsiaTheme="minorEastAsia"/>
                <w:szCs w:val="21"/>
              </w:rPr>
            </w:pPr>
            <w:r>
              <w:rPr>
                <w:rFonts w:eastAsiaTheme="minorEastAsia"/>
                <w:szCs w:val="21"/>
              </w:rPr>
              <w:t>0.001</w:t>
            </w: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87</w:t>
            </w:r>
            <w:r>
              <w:rPr>
                <w:rFonts w:hint="eastAsia"/>
                <w:szCs w:val="21"/>
              </w:rPr>
              <w:t>.</w:t>
            </w:r>
            <w:r>
              <w:rPr>
                <w:szCs w:val="21"/>
              </w:rPr>
              <w:t>5</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6950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067</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1000</w:t>
            </w:r>
          </w:p>
        </w:tc>
        <w:tc>
          <w:tcPr>
            <w:tcW w:w="650" w:type="pct"/>
            <w:shd w:val="clear" w:color="auto" w:fill="auto"/>
            <w:vAlign w:val="center"/>
          </w:tcPr>
          <w:p>
            <w:pPr>
              <w:widowControl/>
              <w:adjustRightInd w:val="0"/>
              <w:snapToGrid w:val="0"/>
              <w:jc w:val="center"/>
              <w:rPr>
                <w:szCs w:val="21"/>
              </w:rPr>
            </w:pPr>
            <w:r>
              <w:rPr>
                <w:rFonts w:hint="eastAsia"/>
                <w:szCs w:val="21"/>
              </w:rPr>
              <w:t>1E-</w:t>
            </w:r>
            <w:r>
              <w:rPr>
                <w:szCs w:val="21"/>
              </w:rPr>
              <w:t>6</w:t>
            </w:r>
          </w:p>
        </w:tc>
        <w:tc>
          <w:tcPr>
            <w:tcW w:w="650" w:type="pct"/>
            <w:shd w:val="clear" w:color="auto" w:fill="auto"/>
            <w:vAlign w:val="center"/>
          </w:tcPr>
          <w:p>
            <w:pPr>
              <w:widowControl/>
              <w:adjustRightInd w:val="0"/>
              <w:snapToGrid w:val="0"/>
              <w:jc w:val="center"/>
              <w:rPr>
                <w:szCs w:val="21"/>
              </w:rPr>
            </w:pPr>
            <w:r>
              <w:rPr>
                <w:szCs w:val="21"/>
              </w:rPr>
              <w:t>3</w:t>
            </w:r>
            <w:r>
              <w:rPr>
                <w:rFonts w:hint="eastAsia"/>
                <w:szCs w:val="21"/>
              </w:rPr>
              <w:t>E-</w:t>
            </w:r>
            <w:r>
              <w:rPr>
                <w:szCs w:val="21"/>
              </w:rPr>
              <w:t>5</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8</w:t>
            </w:r>
            <w:r>
              <w:rPr>
                <w:szCs w:val="21"/>
              </w:rPr>
              <w:t>63</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10890</w:t>
            </w:r>
          </w:p>
        </w:tc>
        <w:tc>
          <w:tcPr>
            <w:tcW w:w="643" w:type="pct"/>
            <w:shd w:val="clear" w:color="auto" w:fill="auto"/>
            <w:vAlign w:val="center"/>
          </w:tcPr>
          <w:p>
            <w:pPr>
              <w:widowControl/>
              <w:adjustRightInd w:val="0"/>
              <w:snapToGrid w:val="0"/>
              <w:jc w:val="center"/>
              <w:rPr>
                <w:szCs w:val="21"/>
              </w:rPr>
            </w:pPr>
            <w:r>
              <w:rPr>
                <w:rFonts w:hint="eastAsia"/>
                <w:szCs w:val="21"/>
              </w:rPr>
              <w:t>4</w:t>
            </w:r>
            <w:r>
              <w:rPr>
                <w:szCs w:val="21"/>
              </w:rPr>
              <w:t>83</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rFonts w:hint="eastAsia"/>
                <w:szCs w:val="21"/>
              </w:rPr>
              <w:t>3</w:t>
            </w:r>
            <w:r>
              <w:rPr>
                <w:szCs w:val="21"/>
              </w:rPr>
              <w:t>650</w:t>
            </w:r>
          </w:p>
        </w:tc>
        <w:tc>
          <w:tcPr>
            <w:tcW w:w="650" w:type="pct"/>
            <w:shd w:val="clear" w:color="auto" w:fill="auto"/>
            <w:vAlign w:val="center"/>
          </w:tcPr>
          <w:p>
            <w:pPr>
              <w:widowControl/>
              <w:adjustRightInd w:val="0"/>
              <w:snapToGrid w:val="0"/>
              <w:jc w:val="center"/>
              <w:rPr>
                <w:szCs w:val="21"/>
              </w:rPr>
            </w:pPr>
            <w:r>
              <w:rPr>
                <w:rFonts w:hint="eastAsia"/>
                <w:szCs w:val="21"/>
              </w:rPr>
              <w:t>1E-</w:t>
            </w:r>
            <w:r>
              <w:rPr>
                <w:szCs w:val="21"/>
              </w:rPr>
              <w:t>6</w:t>
            </w:r>
          </w:p>
        </w:tc>
        <w:tc>
          <w:tcPr>
            <w:tcW w:w="650" w:type="pct"/>
            <w:shd w:val="clear" w:color="auto" w:fill="auto"/>
            <w:vAlign w:val="center"/>
          </w:tcPr>
          <w:p>
            <w:pPr>
              <w:widowControl/>
              <w:adjustRightInd w:val="0"/>
              <w:snapToGrid w:val="0"/>
              <w:jc w:val="center"/>
              <w:rPr>
                <w:szCs w:val="21"/>
              </w:rPr>
            </w:pPr>
            <w:r>
              <w:rPr>
                <w:szCs w:val="21"/>
              </w:rPr>
              <w:t>7</w:t>
            </w:r>
            <w:r>
              <w:rPr>
                <w:rFonts w:hint="eastAsia"/>
                <w:szCs w:val="21"/>
              </w:rPr>
              <w:t>E-</w:t>
            </w:r>
            <w:r>
              <w:rPr>
                <w:szCs w:val="21"/>
              </w:rPr>
              <w:t>6</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560</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02900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04</w:t>
            </w:r>
          </w:p>
        </w:tc>
        <w:tc>
          <w:tcPr>
            <w:tcW w:w="522" w:type="pct"/>
            <w:shd w:val="clear" w:color="auto" w:fill="auto"/>
            <w:vAlign w:val="center"/>
          </w:tcPr>
          <w:p>
            <w:pPr>
              <w:widowControl/>
              <w:adjustRightInd w:val="0"/>
              <w:snapToGrid w:val="0"/>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7300</w:t>
            </w:r>
          </w:p>
        </w:tc>
        <w:tc>
          <w:tcPr>
            <w:tcW w:w="650" w:type="pct"/>
            <w:shd w:val="clear" w:color="auto" w:fill="auto"/>
            <w:vAlign w:val="center"/>
          </w:tcPr>
          <w:p>
            <w:pPr>
              <w:widowControl/>
              <w:adjustRightInd w:val="0"/>
              <w:snapToGrid w:val="0"/>
              <w:jc w:val="center"/>
              <w:rPr>
                <w:szCs w:val="21"/>
              </w:rPr>
            </w:pPr>
            <w:r>
              <w:rPr>
                <w:rFonts w:hint="eastAsia"/>
                <w:szCs w:val="21"/>
              </w:rPr>
              <w:t>1E-</w:t>
            </w:r>
            <w:r>
              <w:rPr>
                <w:szCs w:val="21"/>
              </w:rPr>
              <w:t>9</w:t>
            </w:r>
          </w:p>
        </w:tc>
        <w:tc>
          <w:tcPr>
            <w:tcW w:w="650" w:type="pct"/>
            <w:shd w:val="clear" w:color="auto" w:fill="auto"/>
            <w:vAlign w:val="center"/>
          </w:tcPr>
          <w:p>
            <w:pPr>
              <w:widowControl/>
              <w:adjustRightInd w:val="0"/>
              <w:snapToGrid w:val="0"/>
              <w:jc w:val="center"/>
              <w:rPr>
                <w:szCs w:val="21"/>
              </w:rPr>
            </w:pPr>
            <w:r>
              <w:rPr>
                <w:szCs w:val="21"/>
              </w:rPr>
              <w:t>3</w:t>
            </w:r>
            <w:r>
              <w:rPr>
                <w:rFonts w:hint="eastAsia"/>
                <w:szCs w:val="21"/>
              </w:rPr>
              <w:t>E-</w:t>
            </w:r>
            <w:r>
              <w:rPr>
                <w:szCs w:val="21"/>
              </w:rPr>
              <w:t>9</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582</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8270</w:t>
            </w:r>
          </w:p>
        </w:tc>
        <w:tc>
          <w:tcPr>
            <w:tcW w:w="643" w:type="pct"/>
            <w:shd w:val="clear" w:color="auto" w:fill="auto"/>
            <w:vAlign w:val="center"/>
          </w:tcPr>
          <w:p>
            <w:pPr>
              <w:widowControl/>
              <w:adjustRightInd w:val="0"/>
              <w:snapToGrid w:val="0"/>
              <w:jc w:val="center"/>
              <w:rPr>
                <w:szCs w:val="21"/>
              </w:rPr>
            </w:pPr>
            <w:r>
              <w:rPr>
                <w:rFonts w:hint="eastAsia"/>
                <w:szCs w:val="21"/>
              </w:rPr>
              <w:t>2</w:t>
            </w:r>
            <w:r>
              <w:rPr>
                <w:szCs w:val="21"/>
              </w:rPr>
              <w:t>38</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restart"/>
            <w:shd w:val="clear" w:color="auto" w:fill="auto"/>
            <w:vAlign w:val="center"/>
          </w:tcPr>
          <w:p>
            <w:pPr>
              <w:widowControl/>
              <w:adjustRightInd w:val="0"/>
              <w:snapToGrid w:val="0"/>
              <w:jc w:val="center"/>
              <w:rPr>
                <w:szCs w:val="21"/>
              </w:rPr>
            </w:pPr>
            <w:r>
              <w:rPr>
                <w:rFonts w:hint="eastAsia"/>
                <w:szCs w:val="21"/>
              </w:rPr>
              <w:t>铅</w:t>
            </w:r>
          </w:p>
        </w:tc>
        <w:tc>
          <w:tcPr>
            <w:tcW w:w="453" w:type="pct"/>
            <w:shd w:val="clear" w:color="auto" w:fill="auto"/>
            <w:vAlign w:val="center"/>
          </w:tcPr>
          <w:p>
            <w:pPr>
              <w:widowControl/>
              <w:adjustRightInd w:val="0"/>
              <w:snapToGrid w:val="0"/>
              <w:jc w:val="center"/>
              <w:rPr>
                <w:szCs w:val="21"/>
              </w:rPr>
            </w:pPr>
            <w:r>
              <w:rPr>
                <w:szCs w:val="21"/>
              </w:rPr>
              <w:t>100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5</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.0045</w:t>
            </w:r>
          </w:p>
        </w:tc>
        <w:tc>
          <w:tcPr>
            <w:tcW w:w="528" w:type="pct"/>
            <w:vMerge w:val="restart"/>
            <w:shd w:val="clear" w:color="auto" w:fill="auto"/>
            <w:vAlign w:val="center"/>
          </w:tcPr>
          <w:p>
            <w:pPr>
              <w:widowControl/>
              <w:adjustRightInd w:val="0"/>
              <w:snapToGrid w:val="0"/>
              <w:jc w:val="center"/>
              <w:rPr>
                <w:szCs w:val="21"/>
              </w:rPr>
            </w:pPr>
            <w:r>
              <w:rPr>
                <w:szCs w:val="21"/>
              </w:rPr>
              <w:t>0.01</w:t>
            </w: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76</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5110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076</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1000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5</w:t>
            </w:r>
          </w:p>
        </w:tc>
        <w:tc>
          <w:tcPr>
            <w:tcW w:w="650" w:type="pct"/>
            <w:shd w:val="clear" w:color="auto" w:fill="auto"/>
            <w:vAlign w:val="center"/>
          </w:tcPr>
          <w:p>
            <w:pPr>
              <w:widowControl/>
              <w:adjustRightInd w:val="0"/>
              <w:snapToGrid w:val="0"/>
              <w:jc w:val="center"/>
              <w:rPr>
                <w:szCs w:val="21"/>
              </w:rPr>
            </w:pPr>
            <w:r>
              <w:rPr>
                <w:szCs w:val="21"/>
              </w:rPr>
              <w:t>1.4</w:t>
            </w:r>
            <w:r>
              <w:rPr>
                <w:rFonts w:hint="eastAsia"/>
                <w:szCs w:val="21"/>
              </w:rPr>
              <w:t>E-</w:t>
            </w:r>
            <w:r>
              <w:rPr>
                <w:szCs w:val="21"/>
              </w:rPr>
              <w:t>4</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8</w:t>
            </w:r>
            <w:r>
              <w:rPr>
                <w:szCs w:val="21"/>
              </w:rPr>
              <w:t>27</w:t>
            </w:r>
          </w:p>
        </w:tc>
        <w:tc>
          <w:tcPr>
            <w:tcW w:w="533" w:type="pct"/>
            <w:shd w:val="clear" w:color="auto" w:fill="auto"/>
            <w:vAlign w:val="center"/>
          </w:tcPr>
          <w:p>
            <w:pPr>
              <w:widowControl/>
              <w:adjustRightInd w:val="0"/>
              <w:snapToGrid w:val="0"/>
              <w:jc w:val="center"/>
              <w:rPr>
                <w:szCs w:val="21"/>
              </w:rPr>
            </w:pPr>
            <w:r>
              <w:rPr>
                <w:rFonts w:hint="eastAsia"/>
                <w:szCs w:val="21"/>
              </w:rPr>
              <w:t>8</w:t>
            </w:r>
            <w:r>
              <w:rPr>
                <w:szCs w:val="21"/>
              </w:rPr>
              <w:t>5350</w:t>
            </w:r>
          </w:p>
        </w:tc>
        <w:tc>
          <w:tcPr>
            <w:tcW w:w="643" w:type="pct"/>
            <w:shd w:val="clear" w:color="auto" w:fill="auto"/>
            <w:vAlign w:val="center"/>
          </w:tcPr>
          <w:p>
            <w:pPr>
              <w:widowControl/>
              <w:adjustRightInd w:val="0"/>
              <w:snapToGrid w:val="0"/>
              <w:jc w:val="center"/>
              <w:rPr>
                <w:szCs w:val="21"/>
              </w:rPr>
            </w:pPr>
            <w:r>
              <w:rPr>
                <w:rFonts w:hint="eastAsia"/>
                <w:szCs w:val="21"/>
              </w:rPr>
              <w:t>5</w:t>
            </w:r>
            <w:r>
              <w:rPr>
                <w:szCs w:val="21"/>
              </w:rPr>
              <w:t>20</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rFonts w:hint="eastAsia"/>
                <w:szCs w:val="21"/>
              </w:rPr>
              <w:t>3</w:t>
            </w:r>
            <w:r>
              <w:rPr>
                <w:szCs w:val="21"/>
              </w:rPr>
              <w:t>650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5</w:t>
            </w:r>
          </w:p>
        </w:tc>
        <w:tc>
          <w:tcPr>
            <w:tcW w:w="650" w:type="pct"/>
            <w:shd w:val="clear" w:color="auto" w:fill="auto"/>
            <w:vAlign w:val="center"/>
          </w:tcPr>
          <w:p>
            <w:pPr>
              <w:widowControl/>
              <w:adjustRightInd w:val="0"/>
              <w:snapToGrid w:val="0"/>
              <w:jc w:val="center"/>
              <w:rPr>
                <w:szCs w:val="21"/>
              </w:rPr>
            </w:pPr>
            <w:r>
              <w:rPr>
                <w:szCs w:val="21"/>
              </w:rPr>
              <w:t>3.5</w:t>
            </w:r>
            <w:r>
              <w:rPr>
                <w:rFonts w:hint="eastAsia"/>
                <w:szCs w:val="21"/>
              </w:rPr>
              <w:t>E-</w:t>
            </w:r>
            <w:r>
              <w:rPr>
                <w:szCs w:val="21"/>
              </w:rPr>
              <w:t>5</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555</w:t>
            </w:r>
          </w:p>
        </w:tc>
        <w:tc>
          <w:tcPr>
            <w:tcW w:w="533" w:type="pct"/>
            <w:shd w:val="clear" w:color="auto" w:fill="auto"/>
            <w:vAlign w:val="center"/>
          </w:tcPr>
          <w:p>
            <w:pPr>
              <w:widowControl/>
              <w:adjustRightInd w:val="0"/>
              <w:snapToGrid w:val="0"/>
              <w:jc w:val="center"/>
              <w:rPr>
                <w:szCs w:val="21"/>
              </w:rPr>
            </w:pPr>
            <w:r>
              <w:rPr>
                <w:rFonts w:hint="eastAsia"/>
                <w:szCs w:val="21"/>
              </w:rPr>
              <w:t>6</w:t>
            </w:r>
            <w:r>
              <w:rPr>
                <w:szCs w:val="21"/>
              </w:rPr>
              <w:t>4910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35</w:t>
            </w:r>
          </w:p>
        </w:tc>
        <w:tc>
          <w:tcPr>
            <w:tcW w:w="522" w:type="pct"/>
            <w:shd w:val="clear" w:color="auto" w:fill="auto"/>
            <w:vAlign w:val="center"/>
          </w:tcPr>
          <w:p>
            <w:pPr>
              <w:widowControl/>
              <w:adjustRightInd w:val="0"/>
              <w:snapToGrid w:val="0"/>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7300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8</w:t>
            </w:r>
          </w:p>
        </w:tc>
        <w:tc>
          <w:tcPr>
            <w:tcW w:w="650" w:type="pct"/>
            <w:shd w:val="clear" w:color="auto" w:fill="auto"/>
            <w:vAlign w:val="center"/>
          </w:tcPr>
          <w:p>
            <w:pPr>
              <w:widowControl/>
              <w:adjustRightInd w:val="0"/>
              <w:snapToGrid w:val="0"/>
              <w:jc w:val="center"/>
              <w:rPr>
                <w:szCs w:val="21"/>
              </w:rPr>
            </w:pPr>
            <w:r>
              <w:rPr>
                <w:szCs w:val="21"/>
              </w:rPr>
              <w:t>1.6</w:t>
            </w:r>
            <w:r>
              <w:rPr>
                <w:rFonts w:hint="eastAsia"/>
                <w:szCs w:val="21"/>
              </w:rPr>
              <w:t>E-</w:t>
            </w:r>
            <w:r>
              <w:rPr>
                <w:szCs w:val="21"/>
              </w:rPr>
              <w:t>8</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572</w:t>
            </w:r>
          </w:p>
        </w:tc>
        <w:tc>
          <w:tcPr>
            <w:tcW w:w="533" w:type="pct"/>
            <w:shd w:val="clear" w:color="auto" w:fill="auto"/>
            <w:vAlign w:val="center"/>
          </w:tcPr>
          <w:p>
            <w:pPr>
              <w:widowControl/>
              <w:adjustRightInd w:val="0"/>
              <w:snapToGrid w:val="0"/>
              <w:jc w:val="center"/>
              <w:rPr>
                <w:szCs w:val="21"/>
              </w:rPr>
            </w:pPr>
            <w:r>
              <w:rPr>
                <w:rFonts w:hint="eastAsia"/>
                <w:szCs w:val="21"/>
              </w:rPr>
              <w:t>6</w:t>
            </w:r>
            <w:r>
              <w:rPr>
                <w:szCs w:val="21"/>
              </w:rPr>
              <w:t>140</w:t>
            </w:r>
          </w:p>
        </w:tc>
        <w:tc>
          <w:tcPr>
            <w:tcW w:w="643" w:type="pct"/>
            <w:shd w:val="clear" w:color="auto" w:fill="auto"/>
            <w:vAlign w:val="center"/>
          </w:tcPr>
          <w:p>
            <w:pPr>
              <w:widowControl/>
              <w:adjustRightInd w:val="0"/>
              <w:snapToGrid w:val="0"/>
              <w:jc w:val="center"/>
              <w:rPr>
                <w:szCs w:val="21"/>
              </w:rPr>
            </w:pPr>
            <w:r>
              <w:rPr>
                <w:rFonts w:hint="eastAsia"/>
                <w:szCs w:val="21"/>
              </w:rPr>
              <w:t>2</w:t>
            </w:r>
            <w:r>
              <w:rPr>
                <w:szCs w:val="21"/>
              </w:rPr>
              <w:t>87</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restart"/>
            <w:shd w:val="clear" w:color="auto" w:fill="auto"/>
            <w:vAlign w:val="center"/>
          </w:tcPr>
          <w:p>
            <w:pPr>
              <w:widowControl/>
              <w:adjustRightInd w:val="0"/>
              <w:snapToGrid w:val="0"/>
              <w:jc w:val="center"/>
              <w:rPr>
                <w:szCs w:val="21"/>
              </w:rPr>
            </w:pPr>
            <w:r>
              <w:rPr>
                <w:rFonts w:hint="eastAsia"/>
                <w:szCs w:val="21"/>
              </w:rPr>
              <w:t>砷</w:t>
            </w:r>
          </w:p>
        </w:tc>
        <w:tc>
          <w:tcPr>
            <w:tcW w:w="453" w:type="pct"/>
            <w:shd w:val="clear" w:color="auto" w:fill="auto"/>
            <w:vAlign w:val="center"/>
          </w:tcPr>
          <w:p>
            <w:pPr>
              <w:widowControl/>
              <w:adjustRightInd w:val="0"/>
              <w:snapToGrid w:val="0"/>
              <w:jc w:val="center"/>
              <w:rPr>
                <w:szCs w:val="21"/>
              </w:rPr>
            </w:pPr>
            <w:r>
              <w:rPr>
                <w:szCs w:val="21"/>
              </w:rPr>
              <w:t>100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5</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.006</w:t>
            </w:r>
          </w:p>
        </w:tc>
        <w:tc>
          <w:tcPr>
            <w:tcW w:w="528" w:type="pct"/>
            <w:vMerge w:val="restart"/>
            <w:shd w:val="clear" w:color="auto" w:fill="auto"/>
            <w:vAlign w:val="center"/>
          </w:tcPr>
          <w:p>
            <w:pPr>
              <w:widowControl/>
              <w:adjustRightInd w:val="0"/>
              <w:snapToGrid w:val="0"/>
              <w:jc w:val="center"/>
              <w:rPr>
                <w:szCs w:val="21"/>
              </w:rPr>
            </w:pPr>
            <w:r>
              <w:rPr>
                <w:szCs w:val="21"/>
              </w:rPr>
              <w:t>0.01</w:t>
            </w: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78</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5850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073</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1000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5</w:t>
            </w:r>
          </w:p>
        </w:tc>
        <w:tc>
          <w:tcPr>
            <w:tcW w:w="650" w:type="pct"/>
            <w:shd w:val="clear" w:color="auto" w:fill="auto"/>
            <w:vAlign w:val="center"/>
          </w:tcPr>
          <w:p>
            <w:pPr>
              <w:widowControl/>
              <w:adjustRightInd w:val="0"/>
              <w:snapToGrid w:val="0"/>
              <w:jc w:val="center"/>
              <w:rPr>
                <w:szCs w:val="21"/>
              </w:rPr>
            </w:pPr>
            <w:r>
              <w:rPr>
                <w:rFonts w:hint="eastAsia"/>
                <w:szCs w:val="21"/>
              </w:rPr>
              <w:t>1</w:t>
            </w:r>
            <w:r>
              <w:rPr>
                <w:szCs w:val="21"/>
              </w:rPr>
              <w:t>.8</w:t>
            </w:r>
            <w:r>
              <w:rPr>
                <w:rFonts w:hint="eastAsia"/>
                <w:szCs w:val="21"/>
              </w:rPr>
              <w:t>E-</w:t>
            </w:r>
            <w:r>
              <w:rPr>
                <w:szCs w:val="21"/>
              </w:rPr>
              <w:t>4</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8</w:t>
            </w:r>
            <w:r>
              <w:rPr>
                <w:szCs w:val="21"/>
              </w:rPr>
              <w:t>42</w:t>
            </w:r>
          </w:p>
        </w:tc>
        <w:tc>
          <w:tcPr>
            <w:tcW w:w="533" w:type="pct"/>
            <w:shd w:val="clear" w:color="auto" w:fill="auto"/>
            <w:vAlign w:val="center"/>
          </w:tcPr>
          <w:p>
            <w:pPr>
              <w:widowControl/>
              <w:adjustRightInd w:val="0"/>
              <w:snapToGrid w:val="0"/>
              <w:jc w:val="center"/>
              <w:rPr>
                <w:szCs w:val="21"/>
              </w:rPr>
            </w:pPr>
            <w:r>
              <w:rPr>
                <w:rFonts w:eastAsiaTheme="minorEastAsia"/>
                <w:szCs w:val="21"/>
              </w:rPr>
              <w:t>89560</w:t>
            </w:r>
          </w:p>
        </w:tc>
        <w:tc>
          <w:tcPr>
            <w:tcW w:w="643" w:type="pct"/>
            <w:shd w:val="clear" w:color="auto" w:fill="auto"/>
            <w:vAlign w:val="center"/>
          </w:tcPr>
          <w:p>
            <w:pPr>
              <w:widowControl/>
              <w:adjustRightInd w:val="0"/>
              <w:snapToGrid w:val="0"/>
              <w:jc w:val="center"/>
              <w:rPr>
                <w:szCs w:val="21"/>
              </w:rPr>
            </w:pPr>
            <w:r>
              <w:rPr>
                <w:rFonts w:hint="eastAsia"/>
                <w:szCs w:val="21"/>
              </w:rPr>
              <w:t>5</w:t>
            </w:r>
            <w:r>
              <w:rPr>
                <w:szCs w:val="21"/>
              </w:rPr>
              <w:t>06</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rFonts w:hint="eastAsia"/>
                <w:szCs w:val="21"/>
              </w:rPr>
              <w:t>3</w:t>
            </w:r>
            <w:r>
              <w:rPr>
                <w:szCs w:val="21"/>
              </w:rPr>
              <w:t>650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5</w:t>
            </w:r>
          </w:p>
        </w:tc>
        <w:tc>
          <w:tcPr>
            <w:tcW w:w="650" w:type="pct"/>
            <w:shd w:val="clear" w:color="auto" w:fill="auto"/>
            <w:vAlign w:val="center"/>
          </w:tcPr>
          <w:p>
            <w:pPr>
              <w:widowControl/>
              <w:adjustRightInd w:val="0"/>
              <w:snapToGrid w:val="0"/>
              <w:jc w:val="center"/>
              <w:rPr>
                <w:szCs w:val="21"/>
              </w:rPr>
            </w:pPr>
            <w:r>
              <w:rPr>
                <w:szCs w:val="21"/>
              </w:rPr>
              <w:t>4.5</w:t>
            </w:r>
            <w:r>
              <w:rPr>
                <w:rFonts w:hint="eastAsia"/>
                <w:szCs w:val="21"/>
              </w:rPr>
              <w:t>E-</w:t>
            </w:r>
            <w:r>
              <w:rPr>
                <w:szCs w:val="21"/>
              </w:rPr>
              <w:t>5</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557</w:t>
            </w:r>
          </w:p>
        </w:tc>
        <w:tc>
          <w:tcPr>
            <w:tcW w:w="533" w:type="pct"/>
            <w:shd w:val="clear" w:color="auto" w:fill="auto"/>
            <w:vAlign w:val="center"/>
          </w:tcPr>
          <w:p>
            <w:pPr>
              <w:widowControl/>
              <w:adjustRightInd w:val="0"/>
              <w:snapToGrid w:val="0"/>
              <w:jc w:val="center"/>
              <w:rPr>
                <w:szCs w:val="21"/>
              </w:rPr>
            </w:pPr>
            <w:r>
              <w:rPr>
                <w:rFonts w:eastAsiaTheme="minorEastAsia"/>
                <w:szCs w:val="21"/>
              </w:rPr>
              <w:t>68100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23</w:t>
            </w:r>
          </w:p>
        </w:tc>
        <w:tc>
          <w:tcPr>
            <w:tcW w:w="522" w:type="pct"/>
            <w:shd w:val="clear" w:color="auto" w:fill="auto"/>
            <w:vAlign w:val="center"/>
          </w:tcPr>
          <w:p>
            <w:pPr>
              <w:widowControl/>
              <w:adjustRightInd w:val="0"/>
              <w:snapToGrid w:val="0"/>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7300</w:t>
            </w:r>
          </w:p>
        </w:tc>
        <w:tc>
          <w:tcPr>
            <w:tcW w:w="650" w:type="pct"/>
            <w:shd w:val="clear" w:color="auto" w:fill="auto"/>
            <w:vAlign w:val="center"/>
          </w:tcPr>
          <w:p>
            <w:pPr>
              <w:widowControl/>
              <w:adjustRightInd w:val="0"/>
              <w:snapToGrid w:val="0"/>
              <w:jc w:val="center"/>
              <w:rPr>
                <w:szCs w:val="21"/>
              </w:rPr>
            </w:pPr>
            <w:r>
              <w:rPr>
                <w:szCs w:val="21"/>
              </w:rPr>
              <w:t>1</w:t>
            </w:r>
            <w:r>
              <w:rPr>
                <w:rFonts w:hint="eastAsia"/>
                <w:szCs w:val="21"/>
              </w:rPr>
              <w:t>E-</w:t>
            </w:r>
            <w:r>
              <w:rPr>
                <w:szCs w:val="21"/>
              </w:rPr>
              <w:t>8</w:t>
            </w:r>
          </w:p>
        </w:tc>
        <w:tc>
          <w:tcPr>
            <w:tcW w:w="650" w:type="pct"/>
            <w:shd w:val="clear" w:color="auto" w:fill="auto"/>
            <w:vAlign w:val="center"/>
          </w:tcPr>
          <w:p>
            <w:pPr>
              <w:widowControl/>
              <w:adjustRightInd w:val="0"/>
              <w:snapToGrid w:val="0"/>
              <w:jc w:val="center"/>
              <w:rPr>
                <w:szCs w:val="21"/>
              </w:rPr>
            </w:pPr>
            <w:r>
              <w:rPr>
                <w:szCs w:val="21"/>
              </w:rPr>
              <w:t>1.8</w:t>
            </w:r>
            <w:r>
              <w:rPr>
                <w:rFonts w:hint="eastAsia"/>
                <w:szCs w:val="21"/>
              </w:rPr>
              <w:t>E-</w:t>
            </w:r>
            <w:r>
              <w:rPr>
                <w:szCs w:val="21"/>
              </w:rPr>
              <w:t>8</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574</w:t>
            </w:r>
          </w:p>
        </w:tc>
        <w:tc>
          <w:tcPr>
            <w:tcW w:w="533" w:type="pct"/>
            <w:shd w:val="clear" w:color="auto" w:fill="auto"/>
            <w:vAlign w:val="center"/>
          </w:tcPr>
          <w:p>
            <w:pPr>
              <w:widowControl/>
              <w:adjustRightInd w:val="0"/>
              <w:snapToGrid w:val="0"/>
              <w:jc w:val="center"/>
              <w:rPr>
                <w:szCs w:val="21"/>
              </w:rPr>
            </w:pPr>
            <w:r>
              <w:rPr>
                <w:rFonts w:eastAsiaTheme="minorEastAsia"/>
                <w:szCs w:val="21"/>
              </w:rPr>
              <w:t>6420</w:t>
            </w:r>
          </w:p>
        </w:tc>
        <w:tc>
          <w:tcPr>
            <w:tcW w:w="643" w:type="pct"/>
            <w:shd w:val="clear" w:color="auto" w:fill="auto"/>
            <w:vAlign w:val="center"/>
          </w:tcPr>
          <w:p>
            <w:pPr>
              <w:widowControl/>
              <w:adjustRightInd w:val="0"/>
              <w:snapToGrid w:val="0"/>
              <w:jc w:val="center"/>
              <w:rPr>
                <w:szCs w:val="21"/>
              </w:rPr>
            </w:pPr>
            <w:r>
              <w:rPr>
                <w:rFonts w:hint="eastAsia"/>
                <w:szCs w:val="21"/>
              </w:rPr>
              <w:t>2</w:t>
            </w:r>
            <w:r>
              <w:rPr>
                <w:szCs w:val="21"/>
              </w:rPr>
              <w:t>70</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restart"/>
            <w:shd w:val="clear" w:color="auto" w:fill="auto"/>
            <w:vAlign w:val="center"/>
          </w:tcPr>
          <w:p>
            <w:pPr>
              <w:widowControl/>
              <w:adjustRightInd w:val="0"/>
              <w:snapToGrid w:val="0"/>
              <w:jc w:val="center"/>
              <w:rPr>
                <w:szCs w:val="21"/>
              </w:rPr>
            </w:pPr>
            <w:r>
              <w:rPr>
                <w:rFonts w:hint="eastAsia"/>
                <w:szCs w:val="21"/>
              </w:rPr>
              <w:t>六价铬</w:t>
            </w:r>
          </w:p>
        </w:tc>
        <w:tc>
          <w:tcPr>
            <w:tcW w:w="453" w:type="pct"/>
            <w:shd w:val="clear" w:color="auto" w:fill="auto"/>
            <w:vAlign w:val="center"/>
          </w:tcPr>
          <w:p>
            <w:pPr>
              <w:widowControl/>
              <w:adjustRightInd w:val="0"/>
              <w:snapToGrid w:val="0"/>
              <w:jc w:val="center"/>
              <w:rPr>
                <w:szCs w:val="21"/>
              </w:rPr>
            </w:pPr>
            <w:r>
              <w:rPr>
                <w:szCs w:val="21"/>
              </w:rPr>
              <w:t>100</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.0001</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.03</w:t>
            </w:r>
          </w:p>
        </w:tc>
        <w:tc>
          <w:tcPr>
            <w:tcW w:w="528" w:type="pct"/>
            <w:vMerge w:val="restart"/>
            <w:shd w:val="clear" w:color="auto" w:fill="auto"/>
            <w:vAlign w:val="center"/>
          </w:tcPr>
          <w:p>
            <w:pPr>
              <w:widowControl/>
              <w:adjustRightInd w:val="0"/>
              <w:snapToGrid w:val="0"/>
              <w:jc w:val="center"/>
              <w:rPr>
                <w:szCs w:val="21"/>
              </w:rPr>
            </w:pPr>
            <w:r>
              <w:rPr>
                <w:szCs w:val="21"/>
              </w:rPr>
              <w:t>0.05</w:t>
            </w: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75</w:t>
            </w:r>
          </w:p>
        </w:tc>
        <w:tc>
          <w:tcPr>
            <w:tcW w:w="533" w:type="pct"/>
            <w:shd w:val="clear" w:color="auto" w:fill="auto"/>
            <w:vAlign w:val="center"/>
          </w:tcPr>
          <w:p>
            <w:pPr>
              <w:widowControl/>
              <w:adjustRightInd w:val="0"/>
              <w:snapToGrid w:val="0"/>
              <w:jc w:val="center"/>
              <w:rPr>
                <w:szCs w:val="21"/>
              </w:rPr>
            </w:pPr>
            <w:r>
              <w:rPr>
                <w:rFonts w:hint="eastAsia"/>
                <w:szCs w:val="21"/>
              </w:rPr>
              <w:t>1</w:t>
            </w:r>
            <w:r>
              <w:rPr>
                <w:szCs w:val="21"/>
              </w:rPr>
              <w:t>3825</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078</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1000</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.0001</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.0009</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8</w:t>
            </w:r>
            <w:r>
              <w:rPr>
                <w:szCs w:val="21"/>
              </w:rPr>
              <w:t>02</w:t>
            </w:r>
          </w:p>
        </w:tc>
        <w:tc>
          <w:tcPr>
            <w:tcW w:w="533" w:type="pct"/>
            <w:shd w:val="clear" w:color="auto" w:fill="auto"/>
            <w:vAlign w:val="center"/>
          </w:tcPr>
          <w:p>
            <w:pPr>
              <w:widowControl/>
              <w:adjustRightInd w:val="0"/>
              <w:snapToGrid w:val="0"/>
              <w:jc w:val="center"/>
              <w:rPr>
                <w:szCs w:val="21"/>
              </w:rPr>
            </w:pPr>
            <w:r>
              <w:rPr>
                <w:rFonts w:hint="eastAsia"/>
                <w:szCs w:val="21"/>
              </w:rPr>
              <w:t>7</w:t>
            </w:r>
            <w:r>
              <w:rPr>
                <w:szCs w:val="21"/>
              </w:rPr>
              <w:t>0660</w:t>
            </w:r>
          </w:p>
        </w:tc>
        <w:tc>
          <w:tcPr>
            <w:tcW w:w="643" w:type="pct"/>
            <w:shd w:val="clear" w:color="auto" w:fill="auto"/>
            <w:vAlign w:val="center"/>
          </w:tcPr>
          <w:p>
            <w:pPr>
              <w:widowControl/>
              <w:adjustRightInd w:val="0"/>
              <w:snapToGrid w:val="0"/>
              <w:jc w:val="center"/>
              <w:rPr>
                <w:szCs w:val="21"/>
              </w:rPr>
            </w:pPr>
            <w:r>
              <w:rPr>
                <w:rFonts w:hint="eastAsia"/>
                <w:szCs w:val="21"/>
              </w:rPr>
              <w:t>5</w:t>
            </w:r>
            <w:r>
              <w:rPr>
                <w:szCs w:val="21"/>
              </w:rPr>
              <w:t>47</w:t>
            </w:r>
          </w:p>
        </w:tc>
        <w:tc>
          <w:tcPr>
            <w:tcW w:w="522" w:type="pct"/>
            <w:shd w:val="clear" w:color="auto" w:fill="auto"/>
            <w:vAlign w:val="center"/>
          </w:tcPr>
          <w:p>
            <w:pPr>
              <w:widowControl/>
              <w:adjustRightInd w:val="0"/>
              <w:snapToGrid w:val="0"/>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rFonts w:hint="eastAsia"/>
                <w:szCs w:val="21"/>
              </w:rPr>
              <w:t>3</w:t>
            </w:r>
            <w:r>
              <w:rPr>
                <w:szCs w:val="21"/>
              </w:rPr>
              <w:t>650</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.0001</w:t>
            </w:r>
          </w:p>
        </w:tc>
        <w:tc>
          <w:tcPr>
            <w:tcW w:w="650" w:type="pct"/>
            <w:shd w:val="clear" w:color="auto" w:fill="auto"/>
            <w:vAlign w:val="center"/>
          </w:tcPr>
          <w:p>
            <w:pPr>
              <w:widowControl/>
              <w:adjustRightInd w:val="0"/>
              <w:snapToGrid w:val="0"/>
              <w:jc w:val="center"/>
              <w:rPr>
                <w:szCs w:val="21"/>
              </w:rPr>
            </w:pPr>
            <w:r>
              <w:rPr>
                <w:rFonts w:hint="eastAsia"/>
                <w:szCs w:val="21"/>
              </w:rPr>
              <w:t>0</w:t>
            </w:r>
            <w:r>
              <w:rPr>
                <w:szCs w:val="21"/>
              </w:rPr>
              <w:t>.00025</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553</w:t>
            </w:r>
          </w:p>
        </w:tc>
        <w:tc>
          <w:tcPr>
            <w:tcW w:w="533" w:type="pct"/>
            <w:shd w:val="clear" w:color="auto" w:fill="auto"/>
            <w:vAlign w:val="center"/>
          </w:tcPr>
          <w:p>
            <w:pPr>
              <w:widowControl/>
              <w:adjustRightInd w:val="0"/>
              <w:snapToGrid w:val="0"/>
              <w:jc w:val="center"/>
              <w:rPr>
                <w:szCs w:val="21"/>
              </w:rPr>
            </w:pPr>
            <w:r>
              <w:rPr>
                <w:rFonts w:hint="eastAsia"/>
                <w:szCs w:val="21"/>
              </w:rPr>
              <w:t>4</w:t>
            </w:r>
            <w:r>
              <w:rPr>
                <w:szCs w:val="21"/>
              </w:rPr>
              <w:t>0040</w:t>
            </w:r>
          </w:p>
        </w:tc>
        <w:tc>
          <w:tcPr>
            <w:tcW w:w="643" w:type="pct"/>
            <w:shd w:val="clear" w:color="auto" w:fill="auto"/>
            <w:vAlign w:val="center"/>
          </w:tcPr>
          <w:p>
            <w:pPr>
              <w:widowControl/>
              <w:adjustRightInd w:val="0"/>
              <w:snapToGrid w:val="0"/>
              <w:jc w:val="center"/>
              <w:rPr>
                <w:szCs w:val="21"/>
              </w:rPr>
            </w:pPr>
            <w:r>
              <w:rPr>
                <w:rFonts w:hint="eastAsia"/>
                <w:szCs w:val="21"/>
              </w:rPr>
              <w:t>1</w:t>
            </w:r>
            <w:r>
              <w:rPr>
                <w:szCs w:val="21"/>
              </w:rPr>
              <w:t>64</w:t>
            </w:r>
          </w:p>
        </w:tc>
        <w:tc>
          <w:tcPr>
            <w:tcW w:w="522" w:type="pct"/>
            <w:shd w:val="clear" w:color="auto" w:fill="auto"/>
            <w:vAlign w:val="center"/>
          </w:tcPr>
          <w:p>
            <w:pPr>
              <w:widowControl/>
              <w:adjustRightInd w:val="0"/>
              <w:snapToGrid w:val="0"/>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429" w:type="pct"/>
            <w:vMerge w:val="continue"/>
            <w:shd w:val="clear" w:color="auto" w:fill="auto"/>
            <w:vAlign w:val="center"/>
          </w:tcPr>
          <w:p>
            <w:pPr>
              <w:widowControl/>
              <w:adjustRightInd w:val="0"/>
              <w:snapToGrid w:val="0"/>
              <w:jc w:val="center"/>
              <w:rPr>
                <w:szCs w:val="21"/>
              </w:rPr>
            </w:pPr>
          </w:p>
        </w:tc>
        <w:tc>
          <w:tcPr>
            <w:tcW w:w="453" w:type="pct"/>
            <w:shd w:val="clear" w:color="auto" w:fill="auto"/>
            <w:vAlign w:val="center"/>
          </w:tcPr>
          <w:p>
            <w:pPr>
              <w:widowControl/>
              <w:adjustRightInd w:val="0"/>
              <w:snapToGrid w:val="0"/>
              <w:jc w:val="center"/>
              <w:rPr>
                <w:szCs w:val="21"/>
              </w:rPr>
            </w:pPr>
            <w:r>
              <w:rPr>
                <w:szCs w:val="21"/>
              </w:rPr>
              <w:t>7300</w:t>
            </w:r>
          </w:p>
        </w:tc>
        <w:tc>
          <w:tcPr>
            <w:tcW w:w="650" w:type="pct"/>
            <w:shd w:val="clear" w:color="auto" w:fill="auto"/>
            <w:vAlign w:val="center"/>
          </w:tcPr>
          <w:p>
            <w:pPr>
              <w:widowControl/>
              <w:adjustRightInd w:val="0"/>
              <w:snapToGrid w:val="0"/>
              <w:jc w:val="center"/>
              <w:rPr>
                <w:szCs w:val="21"/>
              </w:rPr>
            </w:pPr>
            <w:r>
              <w:rPr>
                <w:szCs w:val="21"/>
              </w:rPr>
              <w:t>2</w:t>
            </w:r>
            <w:r>
              <w:rPr>
                <w:rFonts w:hint="eastAsia"/>
                <w:szCs w:val="21"/>
              </w:rPr>
              <w:t>E-</w:t>
            </w:r>
            <w:r>
              <w:rPr>
                <w:szCs w:val="21"/>
              </w:rPr>
              <w:t>8</w:t>
            </w:r>
          </w:p>
        </w:tc>
        <w:tc>
          <w:tcPr>
            <w:tcW w:w="650" w:type="pct"/>
            <w:shd w:val="clear" w:color="auto" w:fill="auto"/>
            <w:vAlign w:val="center"/>
          </w:tcPr>
          <w:p>
            <w:pPr>
              <w:widowControl/>
              <w:adjustRightInd w:val="0"/>
              <w:snapToGrid w:val="0"/>
              <w:jc w:val="center"/>
              <w:rPr>
                <w:szCs w:val="21"/>
              </w:rPr>
            </w:pPr>
            <w:r>
              <w:rPr>
                <w:rFonts w:hint="eastAsia"/>
                <w:szCs w:val="21"/>
              </w:rPr>
              <w:t>9E-</w:t>
            </w:r>
            <w:r>
              <w:rPr>
                <w:szCs w:val="21"/>
              </w:rPr>
              <w:t>8</w:t>
            </w:r>
          </w:p>
        </w:tc>
        <w:tc>
          <w:tcPr>
            <w:tcW w:w="528" w:type="pct"/>
            <w:vMerge w:val="continue"/>
            <w:shd w:val="clear" w:color="auto" w:fill="auto"/>
            <w:vAlign w:val="center"/>
          </w:tcPr>
          <w:p>
            <w:pPr>
              <w:widowControl/>
              <w:adjustRightInd w:val="0"/>
              <w:snapToGrid w:val="0"/>
              <w:jc w:val="center"/>
              <w:rPr>
                <w:szCs w:val="21"/>
              </w:rPr>
            </w:pPr>
          </w:p>
        </w:tc>
        <w:tc>
          <w:tcPr>
            <w:tcW w:w="592" w:type="pct"/>
            <w:shd w:val="clear" w:color="auto" w:fill="auto"/>
            <w:vAlign w:val="center"/>
          </w:tcPr>
          <w:p>
            <w:pPr>
              <w:widowControl/>
              <w:adjustRightInd w:val="0"/>
              <w:snapToGrid w:val="0"/>
              <w:jc w:val="center"/>
              <w:rPr>
                <w:szCs w:val="21"/>
              </w:rPr>
            </w:pPr>
            <w:r>
              <w:rPr>
                <w:rFonts w:hint="eastAsia"/>
                <w:szCs w:val="21"/>
              </w:rPr>
              <w:t>1</w:t>
            </w:r>
            <w:r>
              <w:rPr>
                <w:szCs w:val="21"/>
              </w:rPr>
              <w:t>595</w:t>
            </w:r>
          </w:p>
        </w:tc>
        <w:tc>
          <w:tcPr>
            <w:tcW w:w="533" w:type="pct"/>
            <w:shd w:val="clear" w:color="auto" w:fill="auto"/>
            <w:vAlign w:val="center"/>
          </w:tcPr>
          <w:p>
            <w:pPr>
              <w:widowControl/>
              <w:adjustRightInd w:val="0"/>
              <w:snapToGrid w:val="0"/>
              <w:jc w:val="center"/>
              <w:rPr>
                <w:szCs w:val="21"/>
              </w:rPr>
            </w:pPr>
            <w:r>
              <w:rPr>
                <w:rFonts w:hint="eastAsia"/>
                <w:szCs w:val="21"/>
              </w:rPr>
              <w:t>2</w:t>
            </w:r>
            <w:r>
              <w:rPr>
                <w:szCs w:val="21"/>
              </w:rPr>
              <w:t>9170</w:t>
            </w:r>
          </w:p>
        </w:tc>
        <w:tc>
          <w:tcPr>
            <w:tcW w:w="643" w:type="pct"/>
            <w:shd w:val="clear" w:color="auto" w:fill="auto"/>
            <w:vAlign w:val="center"/>
          </w:tcPr>
          <w:p>
            <w:pPr>
              <w:widowControl/>
              <w:adjustRightInd w:val="0"/>
              <w:snapToGrid w:val="0"/>
              <w:jc w:val="center"/>
              <w:rPr>
                <w:szCs w:val="21"/>
              </w:rPr>
            </w:pPr>
            <w:r>
              <w:rPr>
                <w:rFonts w:hint="eastAsia"/>
                <w:szCs w:val="21"/>
              </w:rPr>
              <w:t>2</w:t>
            </w:r>
            <w:r>
              <w:rPr>
                <w:szCs w:val="21"/>
              </w:rPr>
              <w:t>09</w:t>
            </w:r>
          </w:p>
        </w:tc>
        <w:tc>
          <w:tcPr>
            <w:tcW w:w="522" w:type="pct"/>
            <w:shd w:val="clear" w:color="auto" w:fill="auto"/>
            <w:vAlign w:val="center"/>
          </w:tcPr>
          <w:p>
            <w:pPr>
              <w:widowControl/>
              <w:adjustRightInd w:val="0"/>
              <w:snapToGrid w:val="0"/>
              <w:jc w:val="center"/>
              <w:rPr>
                <w:szCs w:val="21"/>
              </w:rPr>
            </w:pPr>
            <w:r>
              <w:rPr>
                <w:szCs w:val="21"/>
              </w:rPr>
              <w:t>0</w:t>
            </w:r>
          </w:p>
        </w:tc>
      </w:tr>
    </w:tbl>
    <w:p>
      <w:pPr>
        <w:adjustRightInd w:val="0"/>
        <w:snapToGrid w:val="0"/>
        <w:spacing w:before="156" w:beforeLines="50" w:line="360" w:lineRule="auto"/>
        <w:ind w:firstLine="480" w:firstLineChars="200"/>
        <w:rPr>
          <w:sz w:val="24"/>
          <w:szCs w:val="24"/>
        </w:rPr>
      </w:pPr>
      <w:r>
        <w:rPr>
          <w:rFonts w:hint="eastAsia"/>
          <w:sz w:val="24"/>
          <w:szCs w:val="24"/>
        </w:rPr>
        <w:t>根据预测结果，非正常状况下调节池中的渗滤液泄漏后，污染物向下游南方向运移。各污染物运移特征如下：</w:t>
      </w:r>
    </w:p>
    <w:p>
      <w:pPr>
        <w:adjustRightInd w:val="0"/>
        <w:snapToGrid w:val="0"/>
        <w:spacing w:line="360" w:lineRule="auto"/>
        <w:ind w:firstLine="480" w:firstLineChars="200"/>
        <w:rPr>
          <w:sz w:val="24"/>
          <w:szCs w:val="24"/>
        </w:rPr>
      </w:pPr>
      <w:r>
        <w:rPr>
          <w:rFonts w:hint="eastAsia"/>
          <w:sz w:val="24"/>
          <w:szCs w:val="24"/>
        </w:rPr>
        <w:t>（1）由表5.3.4</w:t>
      </w:r>
      <w:r>
        <w:rPr>
          <w:sz w:val="24"/>
          <w:szCs w:val="24"/>
        </w:rPr>
        <w:t>-3</w:t>
      </w:r>
      <w:r>
        <w:rPr>
          <w:rFonts w:hint="eastAsia"/>
          <w:sz w:val="24"/>
          <w:szCs w:val="24"/>
        </w:rPr>
        <w:t>可知，预测期间，污染物泄漏会对下游一定范围内的地下水环境造成影响，但各污染物在地下水中的浓度均满足《地下水质量标准》（GB/T14848-2017）中的Ⅲ类标准，未出现超标现象；</w:t>
      </w:r>
    </w:p>
    <w:p>
      <w:pPr>
        <w:adjustRightInd w:val="0"/>
        <w:snapToGrid w:val="0"/>
        <w:spacing w:line="360" w:lineRule="auto"/>
        <w:ind w:firstLine="480" w:firstLineChars="200"/>
        <w:rPr>
          <w:sz w:val="24"/>
          <w:szCs w:val="24"/>
        </w:rPr>
      </w:pPr>
      <w:r>
        <w:rPr>
          <w:rFonts w:hint="eastAsia"/>
          <w:sz w:val="24"/>
          <w:szCs w:val="24"/>
        </w:rPr>
        <w:t>（2）由图5.3.4</w:t>
      </w:r>
      <w:r>
        <w:rPr>
          <w:sz w:val="24"/>
          <w:szCs w:val="24"/>
        </w:rPr>
        <w:t>-8</w:t>
      </w:r>
      <w:r>
        <w:rPr>
          <w:rFonts w:hint="eastAsia"/>
          <w:sz w:val="24"/>
          <w:szCs w:val="24"/>
        </w:rPr>
        <w:t>、图5.3.4</w:t>
      </w:r>
      <w:r>
        <w:rPr>
          <w:sz w:val="24"/>
          <w:szCs w:val="24"/>
        </w:rPr>
        <w:t>-10</w:t>
      </w:r>
      <w:r>
        <w:rPr>
          <w:rFonts w:hint="eastAsia"/>
          <w:sz w:val="24"/>
          <w:szCs w:val="24"/>
        </w:rPr>
        <w:t>、图5.3.4</w:t>
      </w:r>
      <w:r>
        <w:rPr>
          <w:sz w:val="24"/>
          <w:szCs w:val="24"/>
        </w:rPr>
        <w:t>-12</w:t>
      </w:r>
      <w:r>
        <w:rPr>
          <w:rFonts w:hint="eastAsia"/>
          <w:sz w:val="24"/>
          <w:szCs w:val="24"/>
        </w:rPr>
        <w:t>、图5.3.4</w:t>
      </w:r>
      <w:r>
        <w:rPr>
          <w:sz w:val="24"/>
          <w:szCs w:val="24"/>
        </w:rPr>
        <w:t>-14</w:t>
      </w:r>
      <w:r>
        <w:rPr>
          <w:rFonts w:hint="eastAsia"/>
          <w:sz w:val="24"/>
          <w:szCs w:val="24"/>
        </w:rPr>
        <w:t>、图5.3.4</w:t>
      </w:r>
      <w:r>
        <w:rPr>
          <w:sz w:val="24"/>
          <w:szCs w:val="24"/>
        </w:rPr>
        <w:t>-16</w:t>
      </w:r>
      <w:r>
        <w:rPr>
          <w:rFonts w:hint="eastAsia"/>
          <w:sz w:val="24"/>
          <w:szCs w:val="24"/>
        </w:rPr>
        <w:t>可知，预测期间，各污染物在厂界处地下水中的浓度均满足《地下水质量标准》（GB/T14848-2017）中的Ⅲ类标准；</w:t>
      </w:r>
    </w:p>
    <w:p>
      <w:pPr>
        <w:adjustRightInd w:val="0"/>
        <w:snapToGrid w:val="0"/>
        <w:spacing w:line="360" w:lineRule="auto"/>
        <w:ind w:firstLine="480" w:firstLineChars="200"/>
        <w:rPr>
          <w:sz w:val="24"/>
          <w:szCs w:val="24"/>
        </w:rPr>
      </w:pPr>
      <w:r>
        <w:rPr>
          <w:rFonts w:hint="eastAsia"/>
          <w:sz w:val="24"/>
          <w:szCs w:val="24"/>
        </w:rPr>
        <w:t>（3）由图5.3.4</w:t>
      </w:r>
      <w:r>
        <w:rPr>
          <w:sz w:val="24"/>
          <w:szCs w:val="24"/>
        </w:rPr>
        <w:t>-8</w:t>
      </w:r>
      <w:r>
        <w:rPr>
          <w:rFonts w:hint="eastAsia"/>
          <w:sz w:val="24"/>
          <w:szCs w:val="24"/>
        </w:rPr>
        <w:t>、图5.3.4</w:t>
      </w:r>
      <w:r>
        <w:rPr>
          <w:sz w:val="24"/>
          <w:szCs w:val="24"/>
        </w:rPr>
        <w:t>-10</w:t>
      </w:r>
      <w:r>
        <w:rPr>
          <w:rFonts w:hint="eastAsia"/>
          <w:sz w:val="24"/>
          <w:szCs w:val="24"/>
        </w:rPr>
        <w:t>、图5.3.4</w:t>
      </w:r>
      <w:r>
        <w:rPr>
          <w:sz w:val="24"/>
          <w:szCs w:val="24"/>
        </w:rPr>
        <w:t>-12</w:t>
      </w:r>
      <w:r>
        <w:rPr>
          <w:rFonts w:hint="eastAsia"/>
          <w:sz w:val="24"/>
          <w:szCs w:val="24"/>
        </w:rPr>
        <w:t>、图5.3.4</w:t>
      </w:r>
      <w:r>
        <w:rPr>
          <w:sz w:val="24"/>
          <w:szCs w:val="24"/>
        </w:rPr>
        <w:t>-14</w:t>
      </w:r>
      <w:r>
        <w:rPr>
          <w:rFonts w:hint="eastAsia"/>
          <w:sz w:val="24"/>
          <w:szCs w:val="24"/>
        </w:rPr>
        <w:t>、图5.3.4</w:t>
      </w:r>
      <w:r>
        <w:rPr>
          <w:sz w:val="24"/>
          <w:szCs w:val="24"/>
        </w:rPr>
        <w:t>-16</w:t>
      </w:r>
      <w:r>
        <w:rPr>
          <w:rFonts w:hint="eastAsia"/>
          <w:sz w:val="24"/>
          <w:szCs w:val="24"/>
        </w:rPr>
        <w:t>可知，预测期间，各污染物在厂址下游保护目标G5（二十三号村民井）处地下水中的浓度均满足《地下水质量标准》（GB/T14848-2017）中的Ⅲ类标准，对下游保护目标的影响较小。</w:t>
      </w:r>
    </w:p>
    <w:p>
      <w:pPr>
        <w:adjustRightInd w:val="0"/>
        <w:snapToGrid w:val="0"/>
        <w:spacing w:line="360" w:lineRule="auto"/>
        <w:ind w:firstLine="480" w:firstLineChars="200"/>
        <w:rPr>
          <w:sz w:val="24"/>
          <w:szCs w:val="24"/>
        </w:rPr>
      </w:pPr>
      <w:r>
        <w:rPr>
          <w:rFonts w:hint="eastAsia"/>
          <w:sz w:val="24"/>
          <w:szCs w:val="24"/>
        </w:rPr>
        <w:t>可见污染物泄漏会对下游一定范围内的地下水环境造成影响，但均未出现超标现象。模拟期内对下游保护目标二十三号村民井的影响很小。</w:t>
      </w:r>
    </w:p>
    <w:p>
      <w:pPr>
        <w:keepNext/>
        <w:keepLines/>
        <w:numPr>
          <w:ilvl w:val="1"/>
          <w:numId w:val="5"/>
        </w:numPr>
        <w:tabs>
          <w:tab w:val="left" w:pos="432"/>
          <w:tab w:val="left" w:pos="720"/>
        </w:tabs>
        <w:adjustRightInd w:val="0"/>
        <w:snapToGrid w:val="0"/>
        <w:spacing w:line="360" w:lineRule="auto"/>
        <w:outlineLvl w:val="1"/>
        <w:rPr>
          <w:b/>
          <w:bCs/>
          <w:sz w:val="30"/>
          <w:szCs w:val="30"/>
        </w:rPr>
      </w:pPr>
      <w:bookmarkStart w:id="134" w:name="_Toc94101226"/>
      <w:r>
        <w:rPr>
          <w:b/>
          <w:bCs/>
          <w:sz w:val="30"/>
          <w:szCs w:val="30"/>
        </w:rPr>
        <w:t>运营期</w:t>
      </w:r>
      <w:r>
        <w:rPr>
          <w:rFonts w:hint="eastAsia"/>
          <w:b/>
          <w:bCs/>
          <w:sz w:val="30"/>
          <w:szCs w:val="30"/>
        </w:rPr>
        <w:t>地表</w:t>
      </w:r>
      <w:r>
        <w:rPr>
          <w:b/>
          <w:bCs/>
          <w:sz w:val="30"/>
          <w:szCs w:val="30"/>
        </w:rPr>
        <w:t>水环境影响分析</w:t>
      </w:r>
      <w:bookmarkEnd w:id="134"/>
    </w:p>
    <w:p>
      <w:pPr>
        <w:adjustRightInd w:val="0"/>
        <w:snapToGrid w:val="0"/>
        <w:spacing w:line="440" w:lineRule="exact"/>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1</w:t>
      </w:r>
      <w:r>
        <w:rPr>
          <w:rFonts w:hint="eastAsia" w:asciiTheme="minorEastAsia" w:hAnsiTheme="minorEastAsia" w:eastAsiaTheme="minorEastAsia"/>
          <w:sz w:val="24"/>
          <w:szCs w:val="24"/>
        </w:rPr>
        <w:t>、降雨环境影响</w:t>
      </w:r>
    </w:p>
    <w:p>
      <w:pPr>
        <w:adjustRightInd w:val="0"/>
        <w:snapToGrid w:val="0"/>
        <w:spacing w:line="440" w:lineRule="exact"/>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本项目为了减少渗滤液的产生量和处理量，在填埋过程采用了雨污分流，把未进入填埋区域的降水及径流导排出库区，不进入渗滤液调节池。本项目地表水导排系统由环库区四周永久排雨水沟以及必要的排放管组成。</w:t>
      </w:r>
    </w:p>
    <w:p>
      <w:pPr>
        <w:adjustRightInd w:val="0"/>
        <w:snapToGrid w:val="0"/>
        <w:spacing w:line="440" w:lineRule="exact"/>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环填埋库区设置截洪沟，将整个填埋区与场外分开，将填埋区外汇集的雨水排出场外；每日填埋作业完成后及时采用</w:t>
      </w:r>
      <w:r>
        <w:rPr>
          <w:rFonts w:asciiTheme="minorEastAsia" w:hAnsiTheme="minorEastAsia" w:eastAsiaTheme="minorEastAsia"/>
          <w:sz w:val="24"/>
          <w:szCs w:val="24"/>
        </w:rPr>
        <w:t xml:space="preserve">1.0mm </w:t>
      </w:r>
      <w:r>
        <w:rPr>
          <w:rFonts w:hint="eastAsia" w:asciiTheme="minorEastAsia" w:hAnsiTheme="minorEastAsia" w:eastAsiaTheme="minorEastAsia"/>
          <w:sz w:val="24"/>
          <w:szCs w:val="24"/>
        </w:rPr>
        <w:t>厚的</w:t>
      </w:r>
      <w:r>
        <w:rPr>
          <w:rFonts w:asciiTheme="minorEastAsia" w:hAnsiTheme="minorEastAsia" w:eastAsiaTheme="minorEastAsia"/>
          <w:sz w:val="24"/>
          <w:szCs w:val="24"/>
        </w:rPr>
        <w:t xml:space="preserve"> HDPE </w:t>
      </w:r>
      <w:r>
        <w:rPr>
          <w:rFonts w:hint="eastAsia" w:asciiTheme="minorEastAsia" w:hAnsiTheme="minorEastAsia" w:eastAsiaTheme="minorEastAsia"/>
          <w:sz w:val="24"/>
          <w:szCs w:val="24"/>
        </w:rPr>
        <w:t>膜对作业面进行每日覆盖，雨天不进行填埋作业，减少雨水的入渗；在填埋场封场层的各级管道内侧设置雨水截水沟并将其排入排雨水沟。</w:t>
      </w:r>
    </w:p>
    <w:p>
      <w:pPr>
        <w:adjustRightInd w:val="0"/>
        <w:snapToGrid w:val="0"/>
        <w:spacing w:line="440" w:lineRule="exact"/>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经过以上雨污分流措施，可以避免雨水带出有害物质污染地表水，各种污染防治措施落实后，项目填埋区不会对周围地表水环境造成污染。</w:t>
      </w:r>
    </w:p>
    <w:p>
      <w:pPr>
        <w:adjustRightInd w:val="0"/>
        <w:snapToGrid w:val="0"/>
        <w:spacing w:line="440" w:lineRule="exact"/>
        <w:ind w:firstLine="482" w:firstLineChars="200"/>
        <w:rPr>
          <w:sz w:val="24"/>
          <w:szCs w:val="24"/>
        </w:rPr>
      </w:pPr>
      <w:r>
        <w:rPr>
          <w:b/>
          <w:bCs/>
          <w:sz w:val="24"/>
          <w:szCs w:val="24"/>
        </w:rPr>
        <w:t>2</w:t>
      </w:r>
      <w:r>
        <w:rPr>
          <w:rFonts w:hint="eastAsia"/>
          <w:sz w:val="24"/>
          <w:szCs w:val="24"/>
        </w:rPr>
        <w:t>、填埋场渗滤液、生活污水环境影响</w:t>
      </w:r>
    </w:p>
    <w:p>
      <w:pPr>
        <w:adjustRightInd w:val="0"/>
        <w:snapToGrid w:val="0"/>
        <w:spacing w:line="440" w:lineRule="exact"/>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本项目生产废水、渗滤液和生活污水经本项目渗滤液经预处理系统处理后，出水满足《生活垃圾填满场污染控制标准》（G</w:t>
      </w:r>
      <w:r>
        <w:rPr>
          <w:rFonts w:asciiTheme="minorEastAsia" w:hAnsiTheme="minorEastAsia" w:eastAsiaTheme="minorEastAsia"/>
          <w:sz w:val="24"/>
          <w:szCs w:val="24"/>
        </w:rPr>
        <w:t>B-16889-2008</w:t>
      </w:r>
      <w:r>
        <w:rPr>
          <w:rFonts w:hint="eastAsia" w:asciiTheme="minorEastAsia" w:hAnsiTheme="minorEastAsia" w:eastAsiaTheme="minorEastAsia"/>
          <w:sz w:val="24"/>
          <w:szCs w:val="24"/>
        </w:rPr>
        <w:t>）中表2标准。预处理后的废水，分批通过压力管道泵入紧邻的围场生活垃圾焚烧发电项目的渗滤液处理站（依托可行性分析见6</w:t>
      </w:r>
      <w:r>
        <w:rPr>
          <w:rFonts w:asciiTheme="minorEastAsia" w:hAnsiTheme="minorEastAsia" w:eastAsiaTheme="minorEastAsia"/>
          <w:sz w:val="24"/>
          <w:szCs w:val="24"/>
        </w:rPr>
        <w:t>.3</w:t>
      </w:r>
      <w:r>
        <w:rPr>
          <w:rFonts w:hint="eastAsia" w:asciiTheme="minorEastAsia" w:hAnsiTheme="minorEastAsia" w:eastAsiaTheme="minorEastAsia"/>
          <w:sz w:val="24"/>
          <w:szCs w:val="24"/>
        </w:rPr>
        <w:t>章节），进一步深化处理达标后，全部回用不外排，不会对周围地表水环境造成污染。</w:t>
      </w:r>
    </w:p>
    <w:p>
      <w:pPr>
        <w:pStyle w:val="20"/>
        <w:adjustRightInd w:val="0"/>
        <w:snapToGrid w:val="0"/>
        <w:spacing w:after="0" w:line="440" w:lineRule="exact"/>
        <w:ind w:firstLine="480" w:firstLineChars="200"/>
        <w:rPr>
          <w:sz w:val="24"/>
          <w:szCs w:val="24"/>
        </w:rPr>
      </w:pPr>
      <w:r>
        <w:rPr>
          <w:sz w:val="24"/>
          <w:szCs w:val="22"/>
          <w:lang w:val="da-DK"/>
        </w:rPr>
        <w:t>当废水处理装置出现故障时，</w:t>
      </w:r>
      <w:r>
        <w:rPr>
          <w:rFonts w:hint="eastAsia"/>
          <w:sz w:val="24"/>
          <w:szCs w:val="22"/>
          <w:lang w:val="da-DK"/>
        </w:rPr>
        <w:t>本</w:t>
      </w:r>
      <w:r>
        <w:rPr>
          <w:sz w:val="24"/>
          <w:szCs w:val="22"/>
        </w:rPr>
        <w:t>项目</w:t>
      </w:r>
      <w:r>
        <w:rPr>
          <w:rFonts w:hint="eastAsia"/>
          <w:sz w:val="24"/>
          <w:szCs w:val="22"/>
        </w:rPr>
        <w:t>渗滤液调节池容积</w:t>
      </w:r>
      <w:r>
        <w:rPr>
          <w:sz w:val="24"/>
          <w:szCs w:val="22"/>
        </w:rPr>
        <w:t>300</w:t>
      </w:r>
      <w:r>
        <w:rPr>
          <w:rFonts w:hint="eastAsia"/>
          <w:sz w:val="24"/>
          <w:szCs w:val="22"/>
        </w:rPr>
        <w:t>0</w:t>
      </w:r>
      <w:r>
        <w:rPr>
          <w:sz w:val="24"/>
          <w:szCs w:val="22"/>
        </w:rPr>
        <w:t>m</w:t>
      </w:r>
      <w:r>
        <w:rPr>
          <w:sz w:val="24"/>
          <w:szCs w:val="22"/>
          <w:vertAlign w:val="superscript"/>
        </w:rPr>
        <w:t>3</w:t>
      </w:r>
      <w:r>
        <w:rPr>
          <w:rFonts w:hint="eastAsia"/>
          <w:sz w:val="24"/>
          <w:szCs w:val="22"/>
        </w:rPr>
        <w:t>，</w:t>
      </w:r>
      <w:r>
        <w:rPr>
          <w:sz w:val="24"/>
          <w:szCs w:val="22"/>
        </w:rPr>
        <w:t>能够容纳</w:t>
      </w:r>
      <w:r>
        <w:rPr>
          <w:kern w:val="10"/>
          <w:sz w:val="24"/>
        </w:rPr>
        <w:t>正常生产约140天</w:t>
      </w:r>
      <w:r>
        <w:rPr>
          <w:rFonts w:hint="eastAsia"/>
          <w:kern w:val="10"/>
          <w:sz w:val="24"/>
        </w:rPr>
        <w:t>左右</w:t>
      </w:r>
      <w:r>
        <w:rPr>
          <w:kern w:val="10"/>
          <w:sz w:val="24"/>
        </w:rPr>
        <w:t>产生的生产废水，</w:t>
      </w:r>
      <w:r>
        <w:rPr>
          <w:sz w:val="24"/>
          <w:szCs w:val="22"/>
        </w:rPr>
        <w:t>待故障消除时，再</w:t>
      </w:r>
      <w:r>
        <w:rPr>
          <w:rFonts w:hint="eastAsia"/>
          <w:sz w:val="24"/>
          <w:szCs w:val="22"/>
        </w:rPr>
        <w:t>进行废水</w:t>
      </w:r>
      <w:r>
        <w:rPr>
          <w:sz w:val="24"/>
          <w:szCs w:val="22"/>
        </w:rPr>
        <w:t>处理，不会出现未经处理废水直接排放的情况。</w:t>
      </w:r>
      <w:r>
        <w:rPr>
          <w:sz w:val="24"/>
          <w:szCs w:val="21"/>
        </w:rPr>
        <w:t>因此本项目实施后不会对周围地表水环境产生影响。</w:t>
      </w:r>
    </w:p>
    <w:p>
      <w:pPr>
        <w:pStyle w:val="20"/>
        <w:adjustRightInd w:val="0"/>
        <w:snapToGrid w:val="0"/>
        <w:spacing w:after="0" w:line="440" w:lineRule="exact"/>
        <w:ind w:firstLine="480" w:firstLineChars="200"/>
        <w:rPr>
          <w:sz w:val="24"/>
          <w:szCs w:val="24"/>
        </w:rPr>
        <w:sectPr>
          <w:footerReference r:id="rId21" w:type="default"/>
          <w:pgSz w:w="11906" w:h="16838"/>
          <w:pgMar w:top="1440" w:right="1800" w:bottom="1440" w:left="1800" w:header="851" w:footer="992" w:gutter="0"/>
          <w:cols w:space="425" w:num="1"/>
          <w:docGrid w:type="lines" w:linePitch="312" w:charSpace="0"/>
        </w:sectPr>
      </w:pPr>
      <w:r>
        <w:rPr>
          <w:sz w:val="24"/>
          <w:szCs w:val="24"/>
        </w:rPr>
        <w:t>本项目</w:t>
      </w:r>
      <w:r>
        <w:rPr>
          <w:rFonts w:hint="eastAsia"/>
          <w:sz w:val="24"/>
          <w:szCs w:val="24"/>
        </w:rPr>
        <w:t>无废水外排，排放量为零。</w:t>
      </w:r>
      <w:r>
        <w:rPr>
          <w:sz w:val="24"/>
          <w:szCs w:val="24"/>
        </w:rPr>
        <w:t>废水类别、污染物及污染治理设施信息见表5.4-1</w:t>
      </w:r>
      <w:r>
        <w:rPr>
          <w:rFonts w:hint="eastAsia"/>
          <w:sz w:val="24"/>
          <w:szCs w:val="24"/>
        </w:rPr>
        <w:t>，表水环境影响评价自查表见表5</w:t>
      </w:r>
      <w:r>
        <w:rPr>
          <w:sz w:val="24"/>
          <w:szCs w:val="24"/>
        </w:rPr>
        <w:t>.4-2</w:t>
      </w:r>
      <w:r>
        <w:rPr>
          <w:rFonts w:hint="eastAsia"/>
          <w:sz w:val="24"/>
          <w:szCs w:val="24"/>
        </w:rPr>
        <w:t>。</w:t>
      </w:r>
    </w:p>
    <w:p>
      <w:pPr>
        <w:pStyle w:val="202"/>
        <w:ind w:firstLine="0" w:firstLineChars="0"/>
        <w:jc w:val="center"/>
        <w:rPr>
          <w:b/>
          <w:color w:val="auto"/>
        </w:rPr>
      </w:pPr>
      <w:r>
        <w:rPr>
          <w:b/>
          <w:color w:val="auto"/>
        </w:rPr>
        <w:t>表5.4-1  废水类别、污染物及污染治理设施信息表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713"/>
        <w:gridCol w:w="1210"/>
        <w:gridCol w:w="869"/>
        <w:gridCol w:w="2072"/>
        <w:gridCol w:w="1101"/>
        <w:gridCol w:w="956"/>
        <w:gridCol w:w="956"/>
        <w:gridCol w:w="1635"/>
        <w:gridCol w:w="595"/>
        <w:gridCol w:w="963"/>
        <w:gridCol w:w="2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blHeader/>
        </w:trPr>
        <w:tc>
          <w:tcPr>
            <w:tcW w:w="255" w:type="pct"/>
            <w:vMerge w:val="restart"/>
            <w:shd w:val="clear" w:color="auto" w:fill="auto"/>
            <w:vAlign w:val="center"/>
          </w:tcPr>
          <w:p>
            <w:pPr>
              <w:adjustRightInd w:val="0"/>
              <w:snapToGrid w:val="0"/>
              <w:spacing w:line="360" w:lineRule="auto"/>
              <w:jc w:val="center"/>
            </w:pPr>
            <w:r>
              <w:t>序号</w:t>
            </w:r>
          </w:p>
        </w:tc>
        <w:tc>
          <w:tcPr>
            <w:tcW w:w="433" w:type="pct"/>
            <w:vMerge w:val="restart"/>
            <w:shd w:val="clear" w:color="auto" w:fill="auto"/>
            <w:vAlign w:val="center"/>
          </w:tcPr>
          <w:p>
            <w:pPr>
              <w:adjustRightInd w:val="0"/>
              <w:snapToGrid w:val="0"/>
              <w:spacing w:line="360" w:lineRule="auto"/>
              <w:jc w:val="center"/>
            </w:pPr>
            <w:r>
              <w:t>废水类别</w:t>
            </w:r>
          </w:p>
        </w:tc>
        <w:tc>
          <w:tcPr>
            <w:tcW w:w="311" w:type="pct"/>
            <w:vMerge w:val="restart"/>
            <w:shd w:val="clear" w:color="auto" w:fill="auto"/>
            <w:vAlign w:val="center"/>
          </w:tcPr>
          <w:p>
            <w:pPr>
              <w:adjustRightInd w:val="0"/>
              <w:snapToGrid w:val="0"/>
              <w:spacing w:line="360" w:lineRule="auto"/>
              <w:jc w:val="center"/>
            </w:pPr>
            <w:r>
              <w:t>污染物种类</w:t>
            </w:r>
          </w:p>
        </w:tc>
        <w:tc>
          <w:tcPr>
            <w:tcW w:w="741" w:type="pct"/>
            <w:vMerge w:val="restart"/>
            <w:shd w:val="clear" w:color="auto" w:fill="auto"/>
            <w:vAlign w:val="center"/>
          </w:tcPr>
          <w:p>
            <w:pPr>
              <w:adjustRightInd w:val="0"/>
              <w:snapToGrid w:val="0"/>
              <w:spacing w:line="360" w:lineRule="auto"/>
              <w:jc w:val="center"/>
            </w:pPr>
            <w:r>
              <w:t>排放去向</w:t>
            </w:r>
          </w:p>
        </w:tc>
        <w:tc>
          <w:tcPr>
            <w:tcW w:w="394" w:type="pct"/>
            <w:vMerge w:val="restart"/>
            <w:shd w:val="clear" w:color="auto" w:fill="auto"/>
            <w:vAlign w:val="center"/>
          </w:tcPr>
          <w:p>
            <w:pPr>
              <w:adjustRightInd w:val="0"/>
              <w:snapToGrid w:val="0"/>
              <w:spacing w:line="360" w:lineRule="auto"/>
              <w:jc w:val="center"/>
            </w:pPr>
            <w:r>
              <w:t>排放规律</w:t>
            </w:r>
          </w:p>
        </w:tc>
        <w:tc>
          <w:tcPr>
            <w:tcW w:w="1269" w:type="pct"/>
            <w:gridSpan w:val="3"/>
            <w:shd w:val="clear" w:color="auto" w:fill="auto"/>
            <w:vAlign w:val="center"/>
          </w:tcPr>
          <w:p>
            <w:pPr>
              <w:adjustRightInd w:val="0"/>
              <w:snapToGrid w:val="0"/>
              <w:spacing w:line="360" w:lineRule="auto"/>
              <w:jc w:val="center"/>
            </w:pPr>
            <w:r>
              <w:t>污染治理设施</w:t>
            </w:r>
          </w:p>
        </w:tc>
        <w:tc>
          <w:tcPr>
            <w:tcW w:w="213" w:type="pct"/>
            <w:vMerge w:val="restart"/>
            <w:shd w:val="clear" w:color="auto" w:fill="auto"/>
            <w:vAlign w:val="center"/>
          </w:tcPr>
          <w:p>
            <w:pPr>
              <w:adjustRightInd w:val="0"/>
              <w:snapToGrid w:val="0"/>
              <w:spacing w:line="360" w:lineRule="auto"/>
              <w:jc w:val="left"/>
            </w:pPr>
            <w:r>
              <w:t>排放口编号</w:t>
            </w:r>
          </w:p>
        </w:tc>
        <w:tc>
          <w:tcPr>
            <w:tcW w:w="344" w:type="pct"/>
            <w:vMerge w:val="restart"/>
            <w:shd w:val="clear" w:color="auto" w:fill="auto"/>
            <w:vAlign w:val="center"/>
          </w:tcPr>
          <w:p>
            <w:pPr>
              <w:adjustRightInd w:val="0"/>
              <w:snapToGrid w:val="0"/>
              <w:spacing w:line="360" w:lineRule="auto"/>
              <w:jc w:val="left"/>
            </w:pPr>
            <w:r>
              <w:t>排放口设置是否符合要求</w:t>
            </w:r>
          </w:p>
        </w:tc>
        <w:tc>
          <w:tcPr>
            <w:tcW w:w="1041" w:type="pct"/>
            <w:vMerge w:val="restart"/>
            <w:shd w:val="clear" w:color="auto" w:fill="auto"/>
            <w:vAlign w:val="center"/>
          </w:tcPr>
          <w:p>
            <w:pPr>
              <w:adjustRightInd w:val="0"/>
              <w:snapToGrid w:val="0"/>
              <w:spacing w:line="360" w:lineRule="auto"/>
            </w:pPr>
            <w: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blHeader/>
        </w:trPr>
        <w:tc>
          <w:tcPr>
            <w:tcW w:w="255" w:type="pct"/>
            <w:vMerge w:val="continue"/>
            <w:shd w:val="clear" w:color="auto" w:fill="auto"/>
            <w:vAlign w:val="center"/>
          </w:tcPr>
          <w:p>
            <w:pPr>
              <w:adjustRightInd w:val="0"/>
              <w:snapToGrid w:val="0"/>
              <w:spacing w:line="360" w:lineRule="auto"/>
              <w:jc w:val="center"/>
            </w:pPr>
          </w:p>
        </w:tc>
        <w:tc>
          <w:tcPr>
            <w:tcW w:w="433" w:type="pct"/>
            <w:vMerge w:val="continue"/>
            <w:shd w:val="clear" w:color="auto" w:fill="auto"/>
            <w:vAlign w:val="center"/>
          </w:tcPr>
          <w:p>
            <w:pPr>
              <w:adjustRightInd w:val="0"/>
              <w:snapToGrid w:val="0"/>
              <w:spacing w:line="360" w:lineRule="auto"/>
              <w:jc w:val="center"/>
            </w:pPr>
          </w:p>
        </w:tc>
        <w:tc>
          <w:tcPr>
            <w:tcW w:w="311" w:type="pct"/>
            <w:vMerge w:val="continue"/>
            <w:shd w:val="clear" w:color="auto" w:fill="auto"/>
            <w:vAlign w:val="center"/>
          </w:tcPr>
          <w:p>
            <w:pPr>
              <w:adjustRightInd w:val="0"/>
              <w:snapToGrid w:val="0"/>
              <w:spacing w:line="360" w:lineRule="auto"/>
              <w:jc w:val="center"/>
            </w:pPr>
          </w:p>
        </w:tc>
        <w:tc>
          <w:tcPr>
            <w:tcW w:w="741" w:type="pct"/>
            <w:vMerge w:val="continue"/>
            <w:shd w:val="clear" w:color="auto" w:fill="auto"/>
            <w:vAlign w:val="center"/>
          </w:tcPr>
          <w:p>
            <w:pPr>
              <w:adjustRightInd w:val="0"/>
              <w:snapToGrid w:val="0"/>
              <w:spacing w:line="360" w:lineRule="auto"/>
              <w:jc w:val="center"/>
            </w:pPr>
          </w:p>
        </w:tc>
        <w:tc>
          <w:tcPr>
            <w:tcW w:w="394" w:type="pct"/>
            <w:vMerge w:val="continue"/>
            <w:shd w:val="clear" w:color="auto" w:fill="auto"/>
            <w:vAlign w:val="center"/>
          </w:tcPr>
          <w:p>
            <w:pPr>
              <w:adjustRightInd w:val="0"/>
              <w:snapToGrid w:val="0"/>
              <w:spacing w:line="360" w:lineRule="auto"/>
              <w:jc w:val="center"/>
            </w:pPr>
          </w:p>
        </w:tc>
        <w:tc>
          <w:tcPr>
            <w:tcW w:w="342" w:type="pct"/>
            <w:shd w:val="clear" w:color="auto" w:fill="auto"/>
            <w:vAlign w:val="center"/>
          </w:tcPr>
          <w:p>
            <w:pPr>
              <w:adjustRightInd w:val="0"/>
              <w:snapToGrid w:val="0"/>
              <w:spacing w:line="360" w:lineRule="auto"/>
              <w:jc w:val="center"/>
            </w:pPr>
            <w:r>
              <w:t>污染治理设施编号</w:t>
            </w:r>
          </w:p>
        </w:tc>
        <w:tc>
          <w:tcPr>
            <w:tcW w:w="342" w:type="pct"/>
            <w:shd w:val="clear" w:color="auto" w:fill="auto"/>
            <w:vAlign w:val="center"/>
          </w:tcPr>
          <w:p>
            <w:pPr>
              <w:adjustRightInd w:val="0"/>
              <w:snapToGrid w:val="0"/>
              <w:spacing w:line="360" w:lineRule="auto"/>
              <w:jc w:val="center"/>
            </w:pPr>
            <w:r>
              <w:t>污染治理设施名称</w:t>
            </w:r>
          </w:p>
        </w:tc>
        <w:tc>
          <w:tcPr>
            <w:tcW w:w="585" w:type="pct"/>
            <w:shd w:val="clear" w:color="auto" w:fill="auto"/>
            <w:vAlign w:val="center"/>
          </w:tcPr>
          <w:p>
            <w:pPr>
              <w:adjustRightInd w:val="0"/>
              <w:snapToGrid w:val="0"/>
              <w:spacing w:line="360" w:lineRule="auto"/>
              <w:jc w:val="center"/>
            </w:pPr>
            <w:r>
              <w:t>污染治理设施工艺</w:t>
            </w:r>
          </w:p>
        </w:tc>
        <w:tc>
          <w:tcPr>
            <w:tcW w:w="213" w:type="pct"/>
            <w:vMerge w:val="continue"/>
            <w:shd w:val="clear" w:color="auto" w:fill="auto"/>
            <w:vAlign w:val="center"/>
          </w:tcPr>
          <w:p>
            <w:pPr>
              <w:adjustRightInd w:val="0"/>
              <w:snapToGrid w:val="0"/>
              <w:spacing w:line="360" w:lineRule="auto"/>
              <w:jc w:val="left"/>
            </w:pPr>
          </w:p>
        </w:tc>
        <w:tc>
          <w:tcPr>
            <w:tcW w:w="344" w:type="pct"/>
            <w:vMerge w:val="continue"/>
            <w:shd w:val="clear" w:color="auto" w:fill="auto"/>
            <w:vAlign w:val="center"/>
          </w:tcPr>
          <w:p>
            <w:pPr>
              <w:adjustRightInd w:val="0"/>
              <w:snapToGrid w:val="0"/>
              <w:spacing w:line="360" w:lineRule="auto"/>
              <w:jc w:val="left"/>
            </w:pPr>
          </w:p>
        </w:tc>
        <w:tc>
          <w:tcPr>
            <w:tcW w:w="1041" w:type="pct"/>
            <w:vMerge w:val="continue"/>
            <w:shd w:val="clear" w:color="auto" w:fill="auto"/>
            <w:vAlign w:val="center"/>
          </w:tcPr>
          <w:p>
            <w:pPr>
              <w:adjustRightInd w:val="0"/>
              <w:snapToGrid w:val="0"/>
              <w:spacing w:line="360" w:lineRule="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 w:hRule="atLeast"/>
        </w:trPr>
        <w:tc>
          <w:tcPr>
            <w:tcW w:w="255" w:type="pct"/>
            <w:shd w:val="clear" w:color="auto" w:fill="auto"/>
            <w:vAlign w:val="center"/>
          </w:tcPr>
          <w:p>
            <w:pPr>
              <w:adjustRightInd w:val="0"/>
              <w:snapToGrid w:val="0"/>
              <w:spacing w:line="360" w:lineRule="auto"/>
              <w:jc w:val="center"/>
              <w:rPr>
                <w:szCs w:val="21"/>
              </w:rPr>
            </w:pPr>
            <w:r>
              <w:rPr>
                <w:szCs w:val="21"/>
              </w:rPr>
              <w:t>1</w:t>
            </w:r>
          </w:p>
        </w:tc>
        <w:tc>
          <w:tcPr>
            <w:tcW w:w="433" w:type="pct"/>
            <w:shd w:val="clear" w:color="auto" w:fill="auto"/>
            <w:vAlign w:val="center"/>
          </w:tcPr>
          <w:p>
            <w:pPr>
              <w:adjustRightInd w:val="0"/>
              <w:snapToGrid w:val="0"/>
              <w:spacing w:line="360" w:lineRule="auto"/>
              <w:jc w:val="center"/>
              <w:rPr>
                <w:bCs/>
                <w:szCs w:val="21"/>
              </w:rPr>
            </w:pPr>
            <w:r>
              <w:rPr>
                <w:rFonts w:hint="eastAsia"/>
                <w:bCs/>
                <w:szCs w:val="21"/>
              </w:rPr>
              <w:t>填埋</w:t>
            </w:r>
            <w:r>
              <w:rPr>
                <w:bCs/>
                <w:szCs w:val="21"/>
              </w:rPr>
              <w:t>渗滤液</w:t>
            </w:r>
          </w:p>
          <w:p>
            <w:pPr>
              <w:adjustRightInd w:val="0"/>
              <w:snapToGrid w:val="0"/>
              <w:spacing w:line="360" w:lineRule="auto"/>
              <w:jc w:val="center"/>
              <w:rPr>
                <w:szCs w:val="21"/>
              </w:rPr>
            </w:pPr>
            <w:r>
              <w:rPr>
                <w:bCs/>
                <w:szCs w:val="21"/>
              </w:rPr>
              <w:t>及</w:t>
            </w:r>
            <w:r>
              <w:rPr>
                <w:rFonts w:hint="eastAsia"/>
                <w:bCs/>
                <w:szCs w:val="21"/>
              </w:rPr>
              <w:t>生活废水</w:t>
            </w:r>
            <w:r>
              <w:t>、车辆冲洗水</w:t>
            </w:r>
          </w:p>
        </w:tc>
        <w:tc>
          <w:tcPr>
            <w:tcW w:w="311" w:type="pct"/>
            <w:shd w:val="clear" w:color="auto" w:fill="auto"/>
            <w:vAlign w:val="center"/>
          </w:tcPr>
          <w:p>
            <w:pPr>
              <w:adjustRightInd w:val="0"/>
              <w:snapToGrid w:val="0"/>
              <w:spacing w:line="360" w:lineRule="auto"/>
              <w:jc w:val="center"/>
              <w:rPr>
                <w:szCs w:val="21"/>
              </w:rPr>
            </w:pPr>
            <w:r>
              <w:rPr>
                <w:bCs/>
                <w:szCs w:val="21"/>
              </w:rPr>
              <w:t>COD、NH</w:t>
            </w:r>
            <w:r>
              <w:rPr>
                <w:bCs/>
                <w:szCs w:val="21"/>
                <w:vertAlign w:val="subscript"/>
              </w:rPr>
              <w:t>3</w:t>
            </w:r>
            <w:r>
              <w:rPr>
                <w:bCs/>
                <w:szCs w:val="21"/>
              </w:rPr>
              <w:t>-N、BOD</w:t>
            </w:r>
            <w:r>
              <w:rPr>
                <w:bCs/>
                <w:szCs w:val="21"/>
                <w:vertAlign w:val="subscript"/>
              </w:rPr>
              <w:t>5</w:t>
            </w:r>
            <w:r>
              <w:rPr>
                <w:bCs/>
                <w:szCs w:val="21"/>
              </w:rPr>
              <w:t>、 SS</w:t>
            </w:r>
          </w:p>
        </w:tc>
        <w:tc>
          <w:tcPr>
            <w:tcW w:w="741" w:type="pct"/>
            <w:shd w:val="clear" w:color="auto" w:fill="auto"/>
            <w:vAlign w:val="center"/>
          </w:tcPr>
          <w:p>
            <w:pPr>
              <w:adjustRightInd w:val="0"/>
              <w:snapToGrid w:val="0"/>
              <w:spacing w:line="360" w:lineRule="auto"/>
              <w:jc w:val="center"/>
              <w:rPr>
                <w:szCs w:val="21"/>
              </w:rPr>
            </w:pPr>
            <w:r>
              <w:rPr>
                <w:bCs/>
                <w:szCs w:val="21"/>
              </w:rPr>
              <w:t>排入</w:t>
            </w:r>
            <w:r>
              <w:rPr>
                <w:rFonts w:hint="eastAsia"/>
                <w:bCs/>
                <w:szCs w:val="21"/>
              </w:rPr>
              <w:t>规模为</w:t>
            </w:r>
            <w:r>
              <w:rPr>
                <w:bCs/>
                <w:szCs w:val="21"/>
              </w:rPr>
              <w:t>30m</w:t>
            </w:r>
            <w:r>
              <w:rPr>
                <w:bCs/>
                <w:szCs w:val="21"/>
                <w:vertAlign w:val="superscript"/>
              </w:rPr>
              <w:t>3</w:t>
            </w:r>
            <w:r>
              <w:rPr>
                <w:bCs/>
                <w:szCs w:val="21"/>
              </w:rPr>
              <w:t>/d</w:t>
            </w:r>
            <w:r>
              <w:rPr>
                <w:rFonts w:hint="eastAsia"/>
                <w:bCs/>
                <w:szCs w:val="21"/>
              </w:rPr>
              <w:t>的渗滤液处理站，</w:t>
            </w:r>
            <w:r>
              <w:rPr>
                <w:bCs/>
                <w:szCs w:val="21"/>
              </w:rPr>
              <w:t>处理</w:t>
            </w:r>
            <w:r>
              <w:rPr>
                <w:rFonts w:hint="eastAsia"/>
                <w:bCs/>
                <w:szCs w:val="21"/>
              </w:rPr>
              <w:t>达标</w:t>
            </w:r>
            <w:r>
              <w:rPr>
                <w:bCs/>
                <w:szCs w:val="21"/>
              </w:rPr>
              <w:t>后</w:t>
            </w:r>
            <w:r>
              <w:rPr>
                <w:rFonts w:hint="eastAsia"/>
                <w:bCs/>
                <w:szCs w:val="21"/>
              </w:rPr>
              <w:t>，分批泵入紧邻的围场生活垃圾焚烧发电项目的渗滤液处理站，深化处理达标后，全部回用不外排，</w:t>
            </w:r>
          </w:p>
        </w:tc>
        <w:tc>
          <w:tcPr>
            <w:tcW w:w="394" w:type="pct"/>
            <w:shd w:val="clear" w:color="auto" w:fill="auto"/>
            <w:vAlign w:val="center"/>
          </w:tcPr>
          <w:p>
            <w:pPr>
              <w:adjustRightInd w:val="0"/>
              <w:snapToGrid w:val="0"/>
              <w:spacing w:line="360" w:lineRule="auto"/>
              <w:jc w:val="center"/>
              <w:rPr>
                <w:szCs w:val="21"/>
              </w:rPr>
            </w:pPr>
            <w:r>
              <w:rPr>
                <w:szCs w:val="21"/>
              </w:rPr>
              <w:t>连续排放，流量不稳定</w:t>
            </w:r>
          </w:p>
        </w:tc>
        <w:tc>
          <w:tcPr>
            <w:tcW w:w="342" w:type="pct"/>
            <w:shd w:val="clear" w:color="auto" w:fill="auto"/>
            <w:vAlign w:val="center"/>
          </w:tcPr>
          <w:p>
            <w:pPr>
              <w:adjustRightInd w:val="0"/>
              <w:snapToGrid w:val="0"/>
              <w:spacing w:line="360" w:lineRule="auto"/>
              <w:jc w:val="center"/>
              <w:rPr>
                <w:szCs w:val="21"/>
              </w:rPr>
            </w:pPr>
            <w:r>
              <w:rPr>
                <w:szCs w:val="21"/>
              </w:rPr>
              <w:t>TW001</w:t>
            </w:r>
          </w:p>
        </w:tc>
        <w:tc>
          <w:tcPr>
            <w:tcW w:w="342" w:type="pct"/>
            <w:shd w:val="clear" w:color="auto" w:fill="auto"/>
            <w:vAlign w:val="center"/>
          </w:tcPr>
          <w:p>
            <w:pPr>
              <w:adjustRightInd w:val="0"/>
              <w:snapToGrid w:val="0"/>
              <w:spacing w:line="360" w:lineRule="auto"/>
              <w:jc w:val="center"/>
              <w:rPr>
                <w:szCs w:val="21"/>
              </w:rPr>
            </w:pPr>
            <w:r>
              <w:rPr>
                <w:rFonts w:hint="eastAsia"/>
                <w:bCs/>
                <w:szCs w:val="21"/>
              </w:rPr>
              <w:t>渗滤液处理站</w:t>
            </w:r>
          </w:p>
        </w:tc>
        <w:tc>
          <w:tcPr>
            <w:tcW w:w="585" w:type="pct"/>
            <w:shd w:val="clear" w:color="auto" w:fill="auto"/>
            <w:vAlign w:val="center"/>
          </w:tcPr>
          <w:p>
            <w:pPr>
              <w:adjustRightInd w:val="0"/>
              <w:snapToGrid w:val="0"/>
              <w:spacing w:line="360" w:lineRule="auto"/>
              <w:jc w:val="center"/>
              <w:rPr>
                <w:rFonts w:asciiTheme="minorEastAsia" w:hAnsiTheme="minorEastAsia" w:eastAsiaTheme="minorEastAsia"/>
                <w:szCs w:val="21"/>
              </w:rPr>
            </w:pPr>
            <w:r>
              <w:rPr>
                <w:bCs/>
              </w:rPr>
              <w:t xml:space="preserve"> </w:t>
            </w:r>
            <w:r>
              <w:rPr>
                <w:rFonts w:hint="eastAsia" w:asciiTheme="minorEastAsia" w:hAnsiTheme="minorEastAsia" w:eastAsiaTheme="minorEastAsia"/>
                <w:kern w:val="10"/>
                <w:szCs w:val="21"/>
              </w:rPr>
              <w:t>“混凝+沉淀+过滤”</w:t>
            </w:r>
            <w:r>
              <w:rPr>
                <w:rFonts w:hint="eastAsia" w:asciiTheme="minorEastAsia" w:hAnsiTheme="minorEastAsia" w:eastAsiaTheme="minorEastAsia"/>
                <w:bCs/>
                <w:szCs w:val="21"/>
              </w:rPr>
              <w:t>的处理工艺</w:t>
            </w:r>
          </w:p>
        </w:tc>
        <w:tc>
          <w:tcPr>
            <w:tcW w:w="213" w:type="pct"/>
            <w:shd w:val="clear" w:color="auto" w:fill="auto"/>
            <w:vAlign w:val="center"/>
          </w:tcPr>
          <w:p>
            <w:pPr>
              <w:adjustRightInd w:val="0"/>
              <w:snapToGrid w:val="0"/>
              <w:spacing w:line="360" w:lineRule="auto"/>
              <w:jc w:val="left"/>
            </w:pPr>
            <w:r>
              <w:rPr>
                <w:rFonts w:hint="eastAsia"/>
              </w:rPr>
              <w:t>/</w:t>
            </w:r>
          </w:p>
        </w:tc>
        <w:tc>
          <w:tcPr>
            <w:tcW w:w="344" w:type="pct"/>
            <w:shd w:val="clear" w:color="auto" w:fill="auto"/>
            <w:vAlign w:val="center"/>
          </w:tcPr>
          <w:p>
            <w:pPr>
              <w:adjustRightInd w:val="0"/>
              <w:snapToGrid w:val="0"/>
              <w:spacing w:line="360" w:lineRule="auto"/>
              <w:jc w:val="left"/>
            </w:pPr>
            <w:r>
              <w:rPr/>
              <w:sym w:font="Wingdings 2" w:char="0052"/>
            </w:r>
            <w:r>
              <w:t>是</w:t>
            </w:r>
          </w:p>
          <w:p>
            <w:pPr>
              <w:adjustRightInd w:val="0"/>
              <w:snapToGrid w:val="0"/>
              <w:spacing w:line="360" w:lineRule="auto"/>
              <w:jc w:val="left"/>
            </w:pPr>
            <w:r>
              <w:t>□否</w:t>
            </w:r>
          </w:p>
        </w:tc>
        <w:tc>
          <w:tcPr>
            <w:tcW w:w="1041" w:type="pct"/>
            <w:shd w:val="clear" w:color="auto" w:fill="auto"/>
            <w:vAlign w:val="center"/>
          </w:tcPr>
          <w:p>
            <w:pPr>
              <w:adjustRightInd w:val="0"/>
              <w:snapToGrid w:val="0"/>
              <w:spacing w:line="360" w:lineRule="auto"/>
            </w:pPr>
            <w:r>
              <w:t>□企业总排</w:t>
            </w:r>
          </w:p>
          <w:p>
            <w:pPr>
              <w:adjustRightInd w:val="0"/>
              <w:snapToGrid w:val="0"/>
              <w:spacing w:line="360" w:lineRule="auto"/>
            </w:pPr>
            <w:r>
              <w:t>□雨水排放</w:t>
            </w:r>
          </w:p>
          <w:p>
            <w:pPr>
              <w:adjustRightInd w:val="0"/>
              <w:snapToGrid w:val="0"/>
              <w:spacing w:line="360" w:lineRule="auto"/>
            </w:pPr>
            <w:r>
              <w:t>□清净下水排放</w:t>
            </w:r>
          </w:p>
          <w:p>
            <w:pPr>
              <w:adjustRightInd w:val="0"/>
              <w:snapToGrid w:val="0"/>
              <w:spacing w:line="360" w:lineRule="auto"/>
            </w:pPr>
            <w:r>
              <w:t>□温排水排放</w:t>
            </w:r>
          </w:p>
          <w:p>
            <w:pPr>
              <w:adjustRightInd w:val="0"/>
              <w:snapToGrid w:val="0"/>
              <w:spacing w:line="360" w:lineRule="auto"/>
            </w:pPr>
            <w:r>
              <w:rPr/>
              <w:sym w:font="Wingdings 2" w:char="0052"/>
            </w:r>
            <w:r>
              <w:t>车间或车间处理设施排放</w:t>
            </w:r>
          </w:p>
        </w:tc>
      </w:tr>
    </w:tbl>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jc w:val="center"/>
        <w:rPr>
          <w:rFonts w:eastAsiaTheme="minorEastAsia" w:cstheme="minorBidi"/>
          <w:b/>
          <w:sz w:val="24"/>
          <w:szCs w:val="24"/>
        </w:rPr>
      </w:pPr>
    </w:p>
    <w:p>
      <w:pPr>
        <w:widowControl/>
        <w:adjustRightInd w:val="0"/>
        <w:snapToGrid w:val="0"/>
        <w:jc w:val="center"/>
        <w:rPr>
          <w:rFonts w:eastAsiaTheme="minorEastAsia" w:cstheme="minorBidi"/>
          <w:b/>
          <w:sz w:val="24"/>
          <w:szCs w:val="24"/>
        </w:rPr>
      </w:pPr>
      <w:r>
        <w:rPr>
          <w:rFonts w:eastAsiaTheme="minorEastAsia" w:cstheme="minorBidi"/>
          <w:b/>
          <w:sz w:val="24"/>
          <w:szCs w:val="24"/>
        </w:rPr>
        <w:t>表5.4-2  地表水环境影响评价自查表</w:t>
      </w:r>
    </w:p>
    <w:tbl>
      <w:tblPr>
        <w:tblStyle w:val="39"/>
        <w:tblpPr w:leftFromText="180" w:rightFromText="180" w:vertAnchor="page" w:horzAnchor="margin" w:tblpXSpec="center" w:tblpY="2134"/>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156"/>
        <w:gridCol w:w="2115"/>
        <w:gridCol w:w="2376"/>
        <w:gridCol w:w="1276"/>
        <w:gridCol w:w="422"/>
        <w:gridCol w:w="388"/>
        <w:gridCol w:w="1193"/>
        <w:gridCol w:w="1131"/>
        <w:gridCol w:w="37"/>
        <w:gridCol w:w="927"/>
        <w:gridCol w:w="232"/>
        <w:gridCol w:w="1222"/>
        <w:gridCol w:w="2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 w:type="pct"/>
            <w:gridSpan w:val="3"/>
            <w:shd w:val="clear" w:color="auto" w:fill="auto"/>
            <w:vAlign w:val="center"/>
          </w:tcPr>
          <w:p>
            <w:pPr>
              <w:adjustRightInd w:val="0"/>
              <w:snapToGrid w:val="0"/>
              <w:jc w:val="center"/>
            </w:pPr>
            <w:r>
              <w:t>工作内容</w:t>
            </w:r>
          </w:p>
        </w:tc>
        <w:tc>
          <w:tcPr>
            <w:tcW w:w="3982" w:type="pct"/>
            <w:gridSpan w:val="11"/>
            <w:shd w:val="clear" w:color="auto" w:fill="auto"/>
            <w:vAlign w:val="center"/>
          </w:tcPr>
          <w:p>
            <w:pPr>
              <w:adjustRightInd w:val="0"/>
              <w:snapToGrid w:val="0"/>
              <w:jc w:val="center"/>
            </w:pPr>
            <w: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 w:type="pct"/>
            <w:gridSpan w:val="2"/>
            <w:vMerge w:val="restart"/>
            <w:shd w:val="clear" w:color="auto" w:fill="auto"/>
            <w:vAlign w:val="center"/>
          </w:tcPr>
          <w:p>
            <w:pPr>
              <w:adjustRightInd w:val="0"/>
              <w:snapToGrid w:val="0"/>
              <w:jc w:val="center"/>
            </w:pPr>
            <w:r>
              <w:t>影</w:t>
            </w:r>
          </w:p>
          <w:p>
            <w:pPr>
              <w:adjustRightInd w:val="0"/>
              <w:snapToGrid w:val="0"/>
              <w:jc w:val="center"/>
            </w:pPr>
            <w:r>
              <w:t>响</w:t>
            </w:r>
          </w:p>
          <w:p>
            <w:pPr>
              <w:adjustRightInd w:val="0"/>
              <w:snapToGrid w:val="0"/>
              <w:jc w:val="center"/>
            </w:pPr>
            <w:r>
              <w:t>识</w:t>
            </w:r>
          </w:p>
          <w:p>
            <w:pPr>
              <w:adjustRightInd w:val="0"/>
              <w:snapToGrid w:val="0"/>
              <w:jc w:val="center"/>
            </w:pPr>
            <w:r>
              <w:t>别</w:t>
            </w:r>
          </w:p>
        </w:tc>
        <w:tc>
          <w:tcPr>
            <w:tcW w:w="746" w:type="pct"/>
            <w:shd w:val="clear" w:color="auto" w:fill="auto"/>
            <w:vAlign w:val="center"/>
          </w:tcPr>
          <w:p>
            <w:pPr>
              <w:adjustRightInd w:val="0"/>
              <w:snapToGrid w:val="0"/>
              <w:jc w:val="center"/>
            </w:pPr>
            <w:r>
              <w:t>影响类型</w:t>
            </w:r>
          </w:p>
        </w:tc>
        <w:tc>
          <w:tcPr>
            <w:tcW w:w="3982" w:type="pct"/>
            <w:gridSpan w:val="11"/>
            <w:shd w:val="clear" w:color="auto" w:fill="auto"/>
            <w:vAlign w:val="center"/>
          </w:tcPr>
          <w:p>
            <w:pPr>
              <w:adjustRightInd w:val="0"/>
              <w:snapToGrid w:val="0"/>
              <w:jc w:val="center"/>
            </w:pPr>
            <w:r>
              <w:t xml:space="preserve">水污染影响型 </w:t>
            </w:r>
            <w:r>
              <w:rPr/>
              <w:sym w:font="Wingdings 2" w:char="0052"/>
            </w:r>
            <w:r>
              <w:t>；水文要素影响型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 w:type="pct"/>
            <w:gridSpan w:val="2"/>
            <w:vMerge w:val="continue"/>
            <w:shd w:val="clear" w:color="auto" w:fill="auto"/>
            <w:vAlign w:val="center"/>
          </w:tcPr>
          <w:p>
            <w:pPr>
              <w:adjustRightInd w:val="0"/>
              <w:snapToGrid w:val="0"/>
              <w:jc w:val="center"/>
            </w:pPr>
          </w:p>
        </w:tc>
        <w:tc>
          <w:tcPr>
            <w:tcW w:w="746" w:type="pct"/>
            <w:shd w:val="clear" w:color="auto" w:fill="auto"/>
            <w:vAlign w:val="center"/>
          </w:tcPr>
          <w:p>
            <w:pPr>
              <w:adjustRightInd w:val="0"/>
              <w:snapToGrid w:val="0"/>
              <w:jc w:val="center"/>
            </w:pPr>
            <w:r>
              <w:t>水环境保护目标</w:t>
            </w:r>
          </w:p>
        </w:tc>
        <w:tc>
          <w:tcPr>
            <w:tcW w:w="3982" w:type="pct"/>
            <w:gridSpan w:val="11"/>
            <w:shd w:val="clear" w:color="auto" w:fill="auto"/>
            <w:vAlign w:val="center"/>
          </w:tcPr>
          <w:p>
            <w:pPr>
              <w:adjustRightInd w:val="0"/>
              <w:snapToGrid w:val="0"/>
              <w:jc w:val="center"/>
            </w:pPr>
            <w:r>
              <w:t>饮用水水源保护区 □；饮用水取水口 □；涉水的自然保护区 □；重要湿地 □；</w:t>
            </w:r>
          </w:p>
          <w:p>
            <w:pPr>
              <w:adjustRightInd w:val="0"/>
              <w:snapToGrid w:val="0"/>
              <w:jc w:val="center"/>
            </w:pPr>
            <w:r>
              <w:t>重点保护与珍稀水生生物的栖息地 □；重要水生生物的自然产卵场及索饵场、越冬场和洄游通道、天然渔场等渔业水体 □；涉水的风景名胜区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 w:type="pct"/>
            <w:gridSpan w:val="2"/>
            <w:vMerge w:val="continue"/>
            <w:shd w:val="clear" w:color="auto" w:fill="auto"/>
            <w:vAlign w:val="center"/>
          </w:tcPr>
          <w:p>
            <w:pPr>
              <w:adjustRightInd w:val="0"/>
              <w:snapToGrid w:val="0"/>
              <w:jc w:val="center"/>
            </w:pPr>
          </w:p>
        </w:tc>
        <w:tc>
          <w:tcPr>
            <w:tcW w:w="746" w:type="pct"/>
            <w:vMerge w:val="restart"/>
            <w:shd w:val="clear" w:color="auto" w:fill="auto"/>
            <w:vAlign w:val="center"/>
          </w:tcPr>
          <w:p>
            <w:pPr>
              <w:adjustRightInd w:val="0"/>
              <w:snapToGrid w:val="0"/>
              <w:jc w:val="center"/>
            </w:pPr>
            <w:r>
              <w:t>影响途径</w:t>
            </w:r>
          </w:p>
        </w:tc>
        <w:tc>
          <w:tcPr>
            <w:tcW w:w="1995" w:type="pct"/>
            <w:gridSpan w:val="5"/>
            <w:shd w:val="clear" w:color="auto" w:fill="auto"/>
            <w:vAlign w:val="center"/>
          </w:tcPr>
          <w:p>
            <w:pPr>
              <w:adjustRightInd w:val="0"/>
              <w:snapToGrid w:val="0"/>
              <w:jc w:val="center"/>
            </w:pPr>
            <w:r>
              <w:t>水污染影响型</w:t>
            </w:r>
          </w:p>
        </w:tc>
        <w:tc>
          <w:tcPr>
            <w:tcW w:w="1987" w:type="pct"/>
            <w:gridSpan w:val="6"/>
            <w:shd w:val="clear" w:color="auto" w:fill="auto"/>
            <w:vAlign w:val="center"/>
          </w:tcPr>
          <w:p>
            <w:pPr>
              <w:adjustRightInd w:val="0"/>
              <w:snapToGrid w:val="0"/>
              <w:jc w:val="center"/>
            </w:pPr>
            <w: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 w:type="pct"/>
            <w:gridSpan w:val="2"/>
            <w:vMerge w:val="continue"/>
            <w:shd w:val="clear" w:color="auto" w:fill="auto"/>
            <w:vAlign w:val="center"/>
          </w:tcPr>
          <w:p>
            <w:pPr>
              <w:adjustRightInd w:val="0"/>
              <w:snapToGrid w:val="0"/>
              <w:jc w:val="center"/>
            </w:pPr>
          </w:p>
        </w:tc>
        <w:tc>
          <w:tcPr>
            <w:tcW w:w="746" w:type="pct"/>
            <w:vMerge w:val="continue"/>
            <w:shd w:val="clear" w:color="auto" w:fill="auto"/>
            <w:vAlign w:val="center"/>
          </w:tcPr>
          <w:p>
            <w:pPr>
              <w:adjustRightInd w:val="0"/>
              <w:snapToGrid w:val="0"/>
              <w:jc w:val="center"/>
            </w:pPr>
          </w:p>
        </w:tc>
        <w:tc>
          <w:tcPr>
            <w:tcW w:w="1995" w:type="pct"/>
            <w:gridSpan w:val="5"/>
            <w:shd w:val="clear" w:color="auto" w:fill="auto"/>
            <w:vAlign w:val="center"/>
          </w:tcPr>
          <w:p>
            <w:pPr>
              <w:adjustRightInd w:val="0"/>
              <w:snapToGrid w:val="0"/>
              <w:jc w:val="center"/>
            </w:pPr>
            <w:r>
              <w:t xml:space="preserve">直接排放 □；间接排放□ ；其他 </w:t>
            </w:r>
            <w:r>
              <w:rPr/>
              <w:sym w:font="Wingdings 2" w:char="0052"/>
            </w:r>
          </w:p>
        </w:tc>
        <w:tc>
          <w:tcPr>
            <w:tcW w:w="1987" w:type="pct"/>
            <w:gridSpan w:val="6"/>
            <w:shd w:val="clear" w:color="auto" w:fill="auto"/>
            <w:vAlign w:val="center"/>
          </w:tcPr>
          <w:p>
            <w:pPr>
              <w:adjustRightInd w:val="0"/>
              <w:snapToGrid w:val="0"/>
              <w:jc w:val="center"/>
            </w:pPr>
            <w:r>
              <w:t>水温 □；径流 □；水域面积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 w:type="pct"/>
            <w:gridSpan w:val="2"/>
            <w:vMerge w:val="continue"/>
            <w:shd w:val="clear" w:color="auto" w:fill="auto"/>
            <w:vAlign w:val="center"/>
          </w:tcPr>
          <w:p>
            <w:pPr>
              <w:adjustRightInd w:val="0"/>
              <w:snapToGrid w:val="0"/>
              <w:jc w:val="center"/>
            </w:pPr>
          </w:p>
        </w:tc>
        <w:tc>
          <w:tcPr>
            <w:tcW w:w="746" w:type="pct"/>
            <w:shd w:val="clear" w:color="auto" w:fill="auto"/>
            <w:vAlign w:val="center"/>
          </w:tcPr>
          <w:p>
            <w:pPr>
              <w:adjustRightInd w:val="0"/>
              <w:snapToGrid w:val="0"/>
              <w:jc w:val="center"/>
            </w:pPr>
            <w:r>
              <w:t>影响因子</w:t>
            </w:r>
          </w:p>
        </w:tc>
        <w:tc>
          <w:tcPr>
            <w:tcW w:w="1995" w:type="pct"/>
            <w:gridSpan w:val="5"/>
            <w:shd w:val="clear" w:color="auto" w:fill="auto"/>
            <w:vAlign w:val="center"/>
          </w:tcPr>
          <w:p>
            <w:pPr>
              <w:adjustRightInd w:val="0"/>
              <w:snapToGrid w:val="0"/>
              <w:jc w:val="center"/>
            </w:pPr>
            <w:r>
              <w:t>持久性污染物</w:t>
            </w:r>
            <w:r>
              <w:rPr/>
              <w:sym w:font="Wingdings 2" w:char="0052"/>
            </w:r>
            <w:r>
              <w:t>；有毒有害污染物 □；非持久性污染物</w:t>
            </w:r>
            <w:r>
              <w:rPr/>
              <w:sym w:font="Wingdings 2" w:char="0052"/>
            </w:r>
            <w:r>
              <w:t>；pH值 □；热污染</w:t>
            </w:r>
            <w:r>
              <w:rPr/>
              <w:sym w:font="Wingdings 2" w:char="0052"/>
            </w:r>
            <w:r>
              <w:t>；富营养化 □；其他</w:t>
            </w:r>
          </w:p>
        </w:tc>
        <w:tc>
          <w:tcPr>
            <w:tcW w:w="1987" w:type="pct"/>
            <w:gridSpan w:val="6"/>
            <w:shd w:val="clear" w:color="auto" w:fill="auto"/>
            <w:vAlign w:val="center"/>
          </w:tcPr>
          <w:p>
            <w:pPr>
              <w:adjustRightInd w:val="0"/>
              <w:snapToGrid w:val="0"/>
              <w:jc w:val="center"/>
            </w:pPr>
            <w:r>
              <w:t>水温 □；水位（水深） □；流速 □；流量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 w:type="pct"/>
            <w:gridSpan w:val="3"/>
            <w:vMerge w:val="restart"/>
            <w:shd w:val="clear" w:color="auto" w:fill="auto"/>
            <w:vAlign w:val="center"/>
          </w:tcPr>
          <w:p>
            <w:pPr>
              <w:adjustRightInd w:val="0"/>
              <w:snapToGrid w:val="0"/>
              <w:jc w:val="center"/>
            </w:pPr>
            <w:r>
              <w:t>评价等级</w:t>
            </w:r>
          </w:p>
        </w:tc>
        <w:tc>
          <w:tcPr>
            <w:tcW w:w="1995" w:type="pct"/>
            <w:gridSpan w:val="5"/>
            <w:shd w:val="clear" w:color="auto" w:fill="auto"/>
            <w:vAlign w:val="center"/>
          </w:tcPr>
          <w:p>
            <w:pPr>
              <w:adjustRightInd w:val="0"/>
              <w:snapToGrid w:val="0"/>
              <w:jc w:val="center"/>
            </w:pPr>
            <w:r>
              <w:t>水污染影响型</w:t>
            </w:r>
          </w:p>
        </w:tc>
        <w:tc>
          <w:tcPr>
            <w:tcW w:w="1987" w:type="pct"/>
            <w:gridSpan w:val="6"/>
            <w:shd w:val="clear" w:color="auto" w:fill="auto"/>
            <w:vAlign w:val="center"/>
          </w:tcPr>
          <w:p>
            <w:pPr>
              <w:adjustRightInd w:val="0"/>
              <w:snapToGrid w:val="0"/>
              <w:jc w:val="center"/>
            </w:pPr>
            <w: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 w:type="pct"/>
            <w:gridSpan w:val="3"/>
            <w:vMerge w:val="continue"/>
            <w:shd w:val="clear" w:color="auto" w:fill="auto"/>
            <w:vAlign w:val="center"/>
          </w:tcPr>
          <w:p>
            <w:pPr>
              <w:adjustRightInd w:val="0"/>
              <w:snapToGrid w:val="0"/>
              <w:jc w:val="center"/>
            </w:pPr>
          </w:p>
        </w:tc>
        <w:tc>
          <w:tcPr>
            <w:tcW w:w="1995" w:type="pct"/>
            <w:gridSpan w:val="5"/>
            <w:shd w:val="clear" w:color="auto" w:fill="auto"/>
            <w:vAlign w:val="center"/>
          </w:tcPr>
          <w:p>
            <w:pPr>
              <w:adjustRightInd w:val="0"/>
              <w:snapToGrid w:val="0"/>
              <w:jc w:val="center"/>
            </w:pPr>
            <w:r>
              <w:t xml:space="preserve">一级 □；二级 □；三级A □；三级B </w:t>
            </w:r>
            <w:r>
              <w:rPr/>
              <w:sym w:font="Wingdings 2" w:char="0052"/>
            </w:r>
          </w:p>
        </w:tc>
        <w:tc>
          <w:tcPr>
            <w:tcW w:w="1987" w:type="pct"/>
            <w:gridSpan w:val="6"/>
            <w:shd w:val="clear" w:color="auto" w:fill="auto"/>
            <w:vAlign w:val="center"/>
          </w:tcPr>
          <w:p>
            <w:pPr>
              <w:adjustRightInd w:val="0"/>
              <w:snapToGrid w:val="0"/>
              <w:jc w:val="center"/>
            </w:pPr>
            <w:r>
              <w:t>一级 □；二级 □；三级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restart"/>
            <w:shd w:val="clear" w:color="auto" w:fill="auto"/>
            <w:vAlign w:val="center"/>
          </w:tcPr>
          <w:p>
            <w:pPr>
              <w:adjustRightInd w:val="0"/>
              <w:snapToGrid w:val="0"/>
              <w:jc w:val="center"/>
            </w:pPr>
            <w:r>
              <w:t>现</w:t>
            </w:r>
          </w:p>
          <w:p>
            <w:pPr>
              <w:adjustRightInd w:val="0"/>
              <w:snapToGrid w:val="0"/>
              <w:jc w:val="center"/>
            </w:pPr>
            <w:r>
              <w:t>状</w:t>
            </w:r>
          </w:p>
          <w:p>
            <w:pPr>
              <w:adjustRightInd w:val="0"/>
              <w:snapToGrid w:val="0"/>
              <w:jc w:val="center"/>
            </w:pPr>
            <w:r>
              <w:t>调</w:t>
            </w:r>
          </w:p>
          <w:p>
            <w:pPr>
              <w:adjustRightInd w:val="0"/>
              <w:snapToGrid w:val="0"/>
              <w:jc w:val="center"/>
            </w:pPr>
            <w:r>
              <w:t>查</w:t>
            </w:r>
          </w:p>
        </w:tc>
        <w:tc>
          <w:tcPr>
            <w:tcW w:w="801" w:type="pct"/>
            <w:gridSpan w:val="2"/>
            <w:vMerge w:val="restart"/>
            <w:shd w:val="clear" w:color="auto" w:fill="auto"/>
            <w:vAlign w:val="center"/>
          </w:tcPr>
          <w:p>
            <w:pPr>
              <w:adjustRightInd w:val="0"/>
              <w:snapToGrid w:val="0"/>
              <w:jc w:val="center"/>
            </w:pPr>
            <w:r>
              <w:t>区域污染源</w:t>
            </w:r>
          </w:p>
        </w:tc>
        <w:tc>
          <w:tcPr>
            <w:tcW w:w="1995" w:type="pct"/>
            <w:gridSpan w:val="5"/>
            <w:shd w:val="clear" w:color="auto" w:fill="auto"/>
            <w:vAlign w:val="center"/>
          </w:tcPr>
          <w:p>
            <w:pPr>
              <w:adjustRightInd w:val="0"/>
              <w:snapToGrid w:val="0"/>
              <w:jc w:val="center"/>
            </w:pPr>
            <w:r>
              <w:t>调查项目</w:t>
            </w:r>
          </w:p>
        </w:tc>
        <w:tc>
          <w:tcPr>
            <w:tcW w:w="1987" w:type="pct"/>
            <w:gridSpan w:val="6"/>
            <w:shd w:val="clear" w:color="auto" w:fill="auto"/>
            <w:vAlign w:val="center"/>
          </w:tcPr>
          <w:p>
            <w:pPr>
              <w:adjustRightInd w:val="0"/>
              <w:snapToGrid w:val="0"/>
              <w:jc w:val="center"/>
            </w:pPr>
            <w: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288" w:type="pct"/>
            <w:gridSpan w:val="2"/>
            <w:shd w:val="clear" w:color="auto" w:fill="auto"/>
            <w:vAlign w:val="center"/>
          </w:tcPr>
          <w:p>
            <w:pPr>
              <w:adjustRightInd w:val="0"/>
              <w:snapToGrid w:val="0"/>
              <w:jc w:val="center"/>
            </w:pPr>
            <w:r>
              <w:t xml:space="preserve">已建 </w:t>
            </w:r>
            <w:r>
              <w:rPr/>
              <w:sym w:font="Wingdings 2" w:char="0052"/>
            </w:r>
            <w:r>
              <w:t>；在建 □；拟建 □；其他 □</w:t>
            </w:r>
          </w:p>
        </w:tc>
        <w:tc>
          <w:tcPr>
            <w:tcW w:w="707" w:type="pct"/>
            <w:gridSpan w:val="3"/>
            <w:shd w:val="clear" w:color="auto" w:fill="auto"/>
            <w:vAlign w:val="center"/>
          </w:tcPr>
          <w:p>
            <w:pPr>
              <w:adjustRightInd w:val="0"/>
              <w:snapToGrid w:val="0"/>
              <w:jc w:val="center"/>
            </w:pPr>
            <w:r>
              <w:t>拟替代的污染源□</w:t>
            </w:r>
          </w:p>
        </w:tc>
        <w:tc>
          <w:tcPr>
            <w:tcW w:w="1987" w:type="pct"/>
            <w:gridSpan w:val="6"/>
            <w:shd w:val="clear" w:color="auto" w:fill="auto"/>
            <w:vAlign w:val="center"/>
          </w:tcPr>
          <w:p>
            <w:pPr>
              <w:adjustRightInd w:val="0"/>
              <w:snapToGrid w:val="0"/>
              <w:jc w:val="center"/>
            </w:pPr>
            <w:r>
              <w:t>排污许可证</w:t>
            </w:r>
            <w:r>
              <w:rPr/>
              <w:sym w:font="Wingdings 2" w:char="0052"/>
            </w:r>
            <w:r>
              <w:t>；环评 □；环保验收 □；既有实测 □；现场监测 □；入河排放口数据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restart"/>
            <w:shd w:val="clear" w:color="auto" w:fill="auto"/>
            <w:vAlign w:val="center"/>
          </w:tcPr>
          <w:p>
            <w:pPr>
              <w:adjustRightInd w:val="0"/>
              <w:snapToGrid w:val="0"/>
              <w:jc w:val="center"/>
            </w:pPr>
            <w:r>
              <w:t>受影响水体水环境质量</w:t>
            </w:r>
          </w:p>
        </w:tc>
        <w:tc>
          <w:tcPr>
            <w:tcW w:w="1995" w:type="pct"/>
            <w:gridSpan w:val="5"/>
            <w:shd w:val="clear" w:color="auto" w:fill="auto"/>
            <w:vAlign w:val="center"/>
          </w:tcPr>
          <w:p>
            <w:pPr>
              <w:adjustRightInd w:val="0"/>
              <w:snapToGrid w:val="0"/>
              <w:jc w:val="center"/>
            </w:pPr>
            <w:r>
              <w:t>调查时期</w:t>
            </w:r>
          </w:p>
        </w:tc>
        <w:tc>
          <w:tcPr>
            <w:tcW w:w="1987" w:type="pct"/>
            <w:gridSpan w:val="6"/>
            <w:shd w:val="clear" w:color="auto" w:fill="auto"/>
            <w:vAlign w:val="center"/>
          </w:tcPr>
          <w:p>
            <w:pPr>
              <w:adjustRightInd w:val="0"/>
              <w:snapToGrid w:val="0"/>
              <w:jc w:val="center"/>
            </w:pPr>
            <w: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995" w:type="pct"/>
            <w:gridSpan w:val="5"/>
            <w:shd w:val="clear" w:color="auto" w:fill="auto"/>
            <w:vAlign w:val="center"/>
          </w:tcPr>
          <w:p>
            <w:pPr>
              <w:adjustRightInd w:val="0"/>
              <w:snapToGrid w:val="0"/>
              <w:jc w:val="center"/>
            </w:pPr>
            <w:r>
              <w:t xml:space="preserve">丰水期 </w:t>
            </w:r>
            <w:r>
              <w:rPr/>
              <w:sym w:font="Wingdings 2" w:char="0052"/>
            </w:r>
            <w:r>
              <w:t xml:space="preserve">；平水期 </w:t>
            </w:r>
            <w:r>
              <w:rPr/>
              <w:sym w:font="Wingdings 2" w:char="0052"/>
            </w:r>
            <w:r>
              <w:t>；枯水期</w:t>
            </w:r>
            <w:r>
              <w:rPr/>
              <w:sym w:font="Wingdings 2" w:char="0052"/>
            </w:r>
            <w:r>
              <w:t>；冰封期 □</w:t>
            </w:r>
          </w:p>
          <w:p>
            <w:pPr>
              <w:adjustRightInd w:val="0"/>
              <w:snapToGrid w:val="0"/>
              <w:jc w:val="center"/>
            </w:pPr>
            <w:r>
              <w:t>春季 □；夏季 □；秋季 □；冬季 □</w:t>
            </w:r>
          </w:p>
        </w:tc>
        <w:tc>
          <w:tcPr>
            <w:tcW w:w="1987" w:type="pct"/>
            <w:gridSpan w:val="6"/>
            <w:shd w:val="clear" w:color="auto" w:fill="auto"/>
            <w:vAlign w:val="center"/>
          </w:tcPr>
          <w:p>
            <w:pPr>
              <w:adjustRightInd w:val="0"/>
              <w:snapToGrid w:val="0"/>
              <w:jc w:val="center"/>
            </w:pPr>
            <w:r>
              <w:t xml:space="preserve">生态环境保护主管部门 </w:t>
            </w:r>
            <w:r>
              <w:rPr/>
              <w:sym w:font="Wingdings 2" w:char="0052"/>
            </w:r>
            <w:r>
              <w:t>；补充监测□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区域水资源开发利用状况</w:t>
            </w:r>
          </w:p>
        </w:tc>
        <w:tc>
          <w:tcPr>
            <w:tcW w:w="3982" w:type="pct"/>
            <w:gridSpan w:val="11"/>
            <w:shd w:val="clear" w:color="auto" w:fill="auto"/>
            <w:vAlign w:val="center"/>
          </w:tcPr>
          <w:p>
            <w:pPr>
              <w:adjustRightInd w:val="0"/>
              <w:snapToGrid w:val="0"/>
              <w:jc w:val="center"/>
            </w:pPr>
            <w:r>
              <w:t>未开发 □；开发量 40%以下</w:t>
            </w:r>
            <w:r>
              <w:rPr/>
              <w:sym w:font="Wingdings 2" w:char="0052"/>
            </w:r>
            <w:r>
              <w:t xml:space="preserve"> ；开发量 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restart"/>
            <w:shd w:val="clear" w:color="auto" w:fill="auto"/>
            <w:vAlign w:val="center"/>
          </w:tcPr>
          <w:p>
            <w:pPr>
              <w:adjustRightInd w:val="0"/>
              <w:snapToGrid w:val="0"/>
              <w:jc w:val="center"/>
            </w:pPr>
            <w:r>
              <w:t>水文情势调查</w:t>
            </w:r>
          </w:p>
        </w:tc>
        <w:tc>
          <w:tcPr>
            <w:tcW w:w="1995" w:type="pct"/>
            <w:gridSpan w:val="5"/>
            <w:shd w:val="clear" w:color="auto" w:fill="auto"/>
            <w:vAlign w:val="center"/>
          </w:tcPr>
          <w:p>
            <w:pPr>
              <w:adjustRightInd w:val="0"/>
              <w:snapToGrid w:val="0"/>
              <w:jc w:val="center"/>
            </w:pPr>
            <w:r>
              <w:t>调查时期</w:t>
            </w:r>
          </w:p>
        </w:tc>
        <w:tc>
          <w:tcPr>
            <w:tcW w:w="1987" w:type="pct"/>
            <w:gridSpan w:val="6"/>
            <w:shd w:val="clear" w:color="auto" w:fill="auto"/>
            <w:vAlign w:val="center"/>
          </w:tcPr>
          <w:p>
            <w:pPr>
              <w:adjustRightInd w:val="0"/>
              <w:snapToGrid w:val="0"/>
              <w:jc w:val="center"/>
            </w:pPr>
            <w: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995" w:type="pct"/>
            <w:gridSpan w:val="5"/>
            <w:shd w:val="clear" w:color="auto" w:fill="auto"/>
            <w:vAlign w:val="center"/>
          </w:tcPr>
          <w:p>
            <w:pPr>
              <w:adjustRightInd w:val="0"/>
              <w:snapToGrid w:val="0"/>
              <w:jc w:val="center"/>
            </w:pPr>
            <w:r>
              <w:t>丰水期 □；平水期 □；枯水期 □；冰封期 □</w:t>
            </w:r>
          </w:p>
          <w:p>
            <w:pPr>
              <w:adjustRightInd w:val="0"/>
              <w:snapToGrid w:val="0"/>
              <w:jc w:val="center"/>
            </w:pPr>
            <w:r>
              <w:t>春季 □；夏季 □；秋季 □；冬季 □</w:t>
            </w:r>
          </w:p>
        </w:tc>
        <w:tc>
          <w:tcPr>
            <w:tcW w:w="1987" w:type="pct"/>
            <w:gridSpan w:val="6"/>
            <w:shd w:val="clear" w:color="auto" w:fill="auto"/>
            <w:vAlign w:val="center"/>
          </w:tcPr>
          <w:p>
            <w:pPr>
              <w:adjustRightInd w:val="0"/>
              <w:snapToGrid w:val="0"/>
              <w:jc w:val="center"/>
            </w:pPr>
            <w:r>
              <w:t>水行政主管部门 □；补充监测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restart"/>
            <w:shd w:val="clear" w:color="auto" w:fill="auto"/>
            <w:vAlign w:val="center"/>
          </w:tcPr>
          <w:p>
            <w:pPr>
              <w:adjustRightInd w:val="0"/>
              <w:snapToGrid w:val="0"/>
              <w:jc w:val="center"/>
            </w:pPr>
            <w:r>
              <w:t>补充监测</w:t>
            </w:r>
          </w:p>
        </w:tc>
        <w:tc>
          <w:tcPr>
            <w:tcW w:w="1995" w:type="pct"/>
            <w:gridSpan w:val="5"/>
            <w:shd w:val="clear" w:color="auto" w:fill="auto"/>
            <w:vAlign w:val="center"/>
          </w:tcPr>
          <w:p>
            <w:pPr>
              <w:adjustRightInd w:val="0"/>
              <w:snapToGrid w:val="0"/>
              <w:jc w:val="center"/>
            </w:pPr>
            <w:r>
              <w:t>监测时期</w:t>
            </w:r>
          </w:p>
        </w:tc>
        <w:tc>
          <w:tcPr>
            <w:tcW w:w="821" w:type="pct"/>
            <w:gridSpan w:val="4"/>
            <w:shd w:val="clear" w:color="auto" w:fill="auto"/>
            <w:vAlign w:val="center"/>
          </w:tcPr>
          <w:p>
            <w:pPr>
              <w:adjustRightInd w:val="0"/>
              <w:snapToGrid w:val="0"/>
              <w:jc w:val="center"/>
            </w:pPr>
            <w:r>
              <w:t>监测因子</w:t>
            </w:r>
          </w:p>
        </w:tc>
        <w:tc>
          <w:tcPr>
            <w:tcW w:w="1166" w:type="pct"/>
            <w:gridSpan w:val="2"/>
            <w:shd w:val="clear" w:color="auto" w:fill="auto"/>
            <w:vAlign w:val="center"/>
          </w:tcPr>
          <w:p>
            <w:pPr>
              <w:adjustRightInd w:val="0"/>
              <w:snapToGrid w:val="0"/>
              <w:jc w:val="center"/>
            </w:pPr>
            <w: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995" w:type="pct"/>
            <w:gridSpan w:val="5"/>
            <w:shd w:val="clear" w:color="auto" w:fill="auto"/>
            <w:vAlign w:val="center"/>
          </w:tcPr>
          <w:p>
            <w:pPr>
              <w:adjustRightInd w:val="0"/>
              <w:snapToGrid w:val="0"/>
              <w:jc w:val="center"/>
            </w:pPr>
            <w:r>
              <w:t>丰水期 □；平水期 □；枯水期 □；冰封期 □</w:t>
            </w:r>
          </w:p>
          <w:p>
            <w:pPr>
              <w:adjustRightInd w:val="0"/>
              <w:snapToGrid w:val="0"/>
              <w:jc w:val="center"/>
            </w:pPr>
            <w:r>
              <w:t>春季 □；夏季 □；秋季 □；冬季□</w:t>
            </w:r>
          </w:p>
        </w:tc>
        <w:tc>
          <w:tcPr>
            <w:tcW w:w="821" w:type="pct"/>
            <w:gridSpan w:val="4"/>
            <w:shd w:val="clear" w:color="auto" w:fill="auto"/>
            <w:vAlign w:val="center"/>
          </w:tcPr>
          <w:p>
            <w:pPr>
              <w:adjustRightInd w:val="0"/>
              <w:snapToGrid w:val="0"/>
              <w:jc w:val="center"/>
            </w:pPr>
            <w:r>
              <w:rPr>
                <w:rFonts w:hint="eastAsia"/>
              </w:rPr>
              <w:t>/</w:t>
            </w:r>
          </w:p>
        </w:tc>
        <w:tc>
          <w:tcPr>
            <w:tcW w:w="1166" w:type="pct"/>
            <w:gridSpan w:val="2"/>
            <w:shd w:val="clear" w:color="auto" w:fill="auto"/>
            <w:vAlign w:val="center"/>
          </w:tcPr>
          <w:p>
            <w:pPr>
              <w:adjustRightInd w:val="0"/>
              <w:snapToGrid w:val="0"/>
              <w:jc w:val="center"/>
            </w:pPr>
            <w:r>
              <w:t>监测断面或点位个数（）个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7" w:type="pct"/>
            <w:vMerge w:val="restart"/>
            <w:shd w:val="clear" w:color="auto" w:fill="auto"/>
            <w:vAlign w:val="center"/>
          </w:tcPr>
          <w:p>
            <w:pPr>
              <w:adjustRightInd w:val="0"/>
              <w:snapToGrid w:val="0"/>
              <w:jc w:val="center"/>
            </w:pPr>
            <w:r>
              <w:t>现</w:t>
            </w:r>
          </w:p>
          <w:p>
            <w:pPr>
              <w:adjustRightInd w:val="0"/>
              <w:snapToGrid w:val="0"/>
              <w:jc w:val="center"/>
            </w:pPr>
            <w:r>
              <w:t>状</w:t>
            </w:r>
          </w:p>
          <w:p>
            <w:pPr>
              <w:adjustRightInd w:val="0"/>
              <w:snapToGrid w:val="0"/>
              <w:jc w:val="center"/>
            </w:pPr>
            <w:r>
              <w:t>评</w:t>
            </w:r>
          </w:p>
          <w:p>
            <w:pPr>
              <w:adjustRightInd w:val="0"/>
              <w:snapToGrid w:val="0"/>
              <w:jc w:val="center"/>
            </w:pPr>
            <w:r>
              <w:t>价</w:t>
            </w:r>
          </w:p>
        </w:tc>
        <w:tc>
          <w:tcPr>
            <w:tcW w:w="801" w:type="pct"/>
            <w:gridSpan w:val="2"/>
            <w:shd w:val="clear" w:color="auto" w:fill="auto"/>
            <w:vAlign w:val="center"/>
          </w:tcPr>
          <w:p>
            <w:pPr>
              <w:adjustRightInd w:val="0"/>
              <w:snapToGrid w:val="0"/>
              <w:jc w:val="center"/>
            </w:pPr>
            <w:r>
              <w:t>评价范围</w:t>
            </w:r>
          </w:p>
        </w:tc>
        <w:tc>
          <w:tcPr>
            <w:tcW w:w="3982" w:type="pct"/>
            <w:gridSpan w:val="11"/>
            <w:shd w:val="clear" w:color="auto" w:fill="auto"/>
            <w:vAlign w:val="center"/>
          </w:tcPr>
          <w:p>
            <w:pPr>
              <w:adjustRightInd w:val="0"/>
              <w:snapToGrid w:val="0"/>
              <w:jc w:val="center"/>
            </w:pPr>
            <w:r>
              <w:t>河流：长度（1.5）km；湖库、河口及近岸海域：面积（/）km2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评价因子</w:t>
            </w:r>
          </w:p>
        </w:tc>
        <w:tc>
          <w:tcPr>
            <w:tcW w:w="3982" w:type="pct"/>
            <w:gridSpan w:val="11"/>
            <w:shd w:val="clear" w:color="auto" w:fill="auto"/>
            <w:vAlign w:val="center"/>
          </w:tcPr>
          <w:p>
            <w:pPr>
              <w:adjustRightInd w:val="0"/>
              <w:snapToGrid w:val="0"/>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评价标准</w:t>
            </w:r>
          </w:p>
        </w:tc>
        <w:tc>
          <w:tcPr>
            <w:tcW w:w="3982" w:type="pct"/>
            <w:gridSpan w:val="11"/>
            <w:shd w:val="clear" w:color="auto" w:fill="auto"/>
            <w:vAlign w:val="center"/>
          </w:tcPr>
          <w:p>
            <w:pPr>
              <w:adjustRightInd w:val="0"/>
              <w:snapToGrid w:val="0"/>
              <w:jc w:val="center"/>
            </w:pPr>
            <w:r>
              <w:t>河流、湖库、河口：</w:t>
            </w:r>
            <w:r>
              <w:rPr>
                <w:rFonts w:hint="eastAsia"/>
              </w:rPr>
              <w:t>Ⅰ</w:t>
            </w:r>
            <w:r>
              <w:t>类 □；</w:t>
            </w:r>
            <w:r>
              <w:rPr>
                <w:rFonts w:hint="eastAsia"/>
              </w:rPr>
              <w:t>Ⅱ</w:t>
            </w:r>
            <w:r>
              <w:t>类 □；</w:t>
            </w:r>
            <w:r>
              <w:rPr>
                <w:rFonts w:hint="eastAsia"/>
              </w:rPr>
              <w:t>Ⅲ</w:t>
            </w:r>
            <w:r>
              <w:t xml:space="preserve">类 </w:t>
            </w:r>
            <w:r>
              <w:rPr/>
              <w:sym w:font="Wingdings 2" w:char="0052"/>
            </w:r>
            <w:r>
              <w:t>；</w:t>
            </w:r>
            <w:r>
              <w:rPr>
                <w:rFonts w:hint="eastAsia"/>
              </w:rPr>
              <w:t>Ⅳ</w:t>
            </w:r>
            <w:r>
              <w:t>类 □；</w:t>
            </w:r>
            <w:r>
              <w:rPr>
                <w:rFonts w:hint="eastAsia"/>
              </w:rPr>
              <w:t>Ⅴ</w:t>
            </w:r>
            <w:r>
              <w:t>类 □</w:t>
            </w:r>
          </w:p>
          <w:p>
            <w:pPr>
              <w:adjustRightInd w:val="0"/>
              <w:snapToGrid w:val="0"/>
              <w:jc w:val="center"/>
            </w:pPr>
            <w:r>
              <w:t>近岸海域：第一类 □；第二类 □；第三类 □；第四类 □</w:t>
            </w:r>
          </w:p>
          <w:p>
            <w:pPr>
              <w:adjustRightInd w:val="0"/>
              <w:snapToGrid w:val="0"/>
              <w:jc w:val="center"/>
            </w:pPr>
            <w:r>
              <w:t>规划年评价标准（III）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评价时期</w:t>
            </w:r>
          </w:p>
        </w:tc>
        <w:tc>
          <w:tcPr>
            <w:tcW w:w="3982" w:type="pct"/>
            <w:gridSpan w:val="11"/>
            <w:shd w:val="clear" w:color="auto" w:fill="auto"/>
            <w:vAlign w:val="center"/>
          </w:tcPr>
          <w:p>
            <w:pPr>
              <w:adjustRightInd w:val="0"/>
              <w:snapToGrid w:val="0"/>
              <w:jc w:val="center"/>
            </w:pPr>
            <w:r>
              <w:t>丰水期 □；平水期 □；枯水期□；冰封期 □</w:t>
            </w:r>
          </w:p>
          <w:p>
            <w:pPr>
              <w:adjustRightInd w:val="0"/>
              <w:snapToGrid w:val="0"/>
              <w:jc w:val="center"/>
            </w:pPr>
            <w:r>
              <w:t>春季 □；夏季 □；秋季 □；冬季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评价结论</w:t>
            </w:r>
          </w:p>
        </w:tc>
        <w:tc>
          <w:tcPr>
            <w:tcW w:w="3247" w:type="pct"/>
            <w:gridSpan w:val="10"/>
            <w:shd w:val="clear" w:color="auto" w:fill="auto"/>
            <w:vAlign w:val="center"/>
          </w:tcPr>
          <w:p>
            <w:pPr>
              <w:adjustRightInd w:val="0"/>
              <w:snapToGrid w:val="0"/>
              <w:jc w:val="center"/>
            </w:pPr>
            <w:r>
              <w:t>水环境功能区或水功能区、近岸海域环境功能区水质达标状况 □：达标</w:t>
            </w:r>
            <w:r>
              <w:rPr/>
              <w:sym w:font="Wingdings 2" w:char="0052"/>
            </w:r>
            <w:r>
              <w:t xml:space="preserve">；不达标□ </w:t>
            </w:r>
          </w:p>
          <w:p>
            <w:pPr>
              <w:adjustRightInd w:val="0"/>
              <w:snapToGrid w:val="0"/>
              <w:jc w:val="center"/>
            </w:pPr>
            <w:r>
              <w:t xml:space="preserve">水环境控制单元或断面水质达标状况 □：达标 </w:t>
            </w:r>
            <w:r>
              <w:rPr/>
              <w:sym w:font="Wingdings 2" w:char="0052"/>
            </w:r>
            <w:r>
              <w:t xml:space="preserve">；不达标□ </w:t>
            </w:r>
          </w:p>
          <w:p>
            <w:pPr>
              <w:adjustRightInd w:val="0"/>
              <w:snapToGrid w:val="0"/>
              <w:jc w:val="center"/>
            </w:pPr>
            <w:r>
              <w:t>水环境保护目标质量状况 □：达标 □；不达标 □</w:t>
            </w:r>
          </w:p>
          <w:p>
            <w:pPr>
              <w:adjustRightInd w:val="0"/>
              <w:snapToGrid w:val="0"/>
              <w:jc w:val="center"/>
            </w:pPr>
            <w:r>
              <w:t xml:space="preserve">对照断面、控制断面等代表性断面的水质状况 □：达标 </w:t>
            </w:r>
            <w:r>
              <w:rPr/>
              <w:sym w:font="Wingdings 2" w:char="0052"/>
            </w:r>
            <w:r>
              <w:t>；不达标□ 底泥污染评价 □</w:t>
            </w:r>
          </w:p>
          <w:p>
            <w:pPr>
              <w:adjustRightInd w:val="0"/>
              <w:snapToGrid w:val="0"/>
              <w:jc w:val="center"/>
            </w:pPr>
            <w:r>
              <w:t>水资源与开发利用程度及其水文情势评价 □</w:t>
            </w:r>
          </w:p>
          <w:p>
            <w:pPr>
              <w:adjustRightInd w:val="0"/>
              <w:snapToGrid w:val="0"/>
              <w:jc w:val="center"/>
            </w:pPr>
            <w:r>
              <w:t>水环境质量回顾评价 □</w:t>
            </w:r>
          </w:p>
          <w:p>
            <w:pPr>
              <w:adjustRightInd w:val="0"/>
              <w:snapToGrid w:val="0"/>
              <w:jc w:val="center"/>
            </w:pPr>
            <w:r>
              <w:t>流域（区域）水资源（包括水能资源）与开发利用总体状况、生态流量管理要求与现状满足程度、建设项目占用水域空间的水流状况与河湖演变状况 □</w:t>
            </w:r>
          </w:p>
        </w:tc>
        <w:tc>
          <w:tcPr>
            <w:tcW w:w="736" w:type="pct"/>
            <w:shd w:val="clear" w:color="auto" w:fill="auto"/>
            <w:vAlign w:val="center"/>
          </w:tcPr>
          <w:p>
            <w:pPr>
              <w:adjustRightInd w:val="0"/>
              <w:snapToGrid w:val="0"/>
              <w:jc w:val="center"/>
            </w:pPr>
            <w:r>
              <w:t xml:space="preserve">达标区 </w:t>
            </w:r>
            <w:r>
              <w:rPr/>
              <w:sym w:font="Wingdings 2" w:char="0052"/>
            </w:r>
          </w:p>
          <w:p>
            <w:pPr>
              <w:adjustRightInd w:val="0"/>
              <w:snapToGrid w:val="0"/>
              <w:jc w:val="center"/>
            </w:pPr>
            <w:r>
              <w:t>不达标区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restart"/>
            <w:shd w:val="clear" w:color="auto" w:fill="auto"/>
            <w:vAlign w:val="center"/>
          </w:tcPr>
          <w:p>
            <w:pPr>
              <w:adjustRightInd w:val="0"/>
              <w:snapToGrid w:val="0"/>
              <w:jc w:val="center"/>
            </w:pPr>
            <w:r>
              <w:t>影</w:t>
            </w:r>
          </w:p>
          <w:p>
            <w:pPr>
              <w:adjustRightInd w:val="0"/>
              <w:snapToGrid w:val="0"/>
              <w:jc w:val="center"/>
            </w:pPr>
            <w:r>
              <w:t>响</w:t>
            </w:r>
          </w:p>
          <w:p>
            <w:pPr>
              <w:adjustRightInd w:val="0"/>
              <w:snapToGrid w:val="0"/>
              <w:jc w:val="center"/>
            </w:pPr>
            <w:r>
              <w:t>预</w:t>
            </w:r>
          </w:p>
          <w:p>
            <w:pPr>
              <w:adjustRightInd w:val="0"/>
              <w:snapToGrid w:val="0"/>
              <w:jc w:val="center"/>
            </w:pPr>
            <w:r>
              <w:t>测</w:t>
            </w:r>
          </w:p>
        </w:tc>
        <w:tc>
          <w:tcPr>
            <w:tcW w:w="801" w:type="pct"/>
            <w:gridSpan w:val="2"/>
            <w:shd w:val="clear" w:color="auto" w:fill="auto"/>
            <w:vAlign w:val="center"/>
          </w:tcPr>
          <w:p>
            <w:pPr>
              <w:adjustRightInd w:val="0"/>
              <w:snapToGrid w:val="0"/>
              <w:jc w:val="center"/>
            </w:pPr>
            <w:r>
              <w:t>预测范围</w:t>
            </w:r>
          </w:p>
        </w:tc>
        <w:tc>
          <w:tcPr>
            <w:tcW w:w="3982" w:type="pct"/>
            <w:gridSpan w:val="11"/>
            <w:shd w:val="clear" w:color="auto" w:fill="auto"/>
            <w:vAlign w:val="center"/>
          </w:tcPr>
          <w:p>
            <w:pPr>
              <w:adjustRightInd w:val="0"/>
              <w:snapToGrid w:val="0"/>
              <w:jc w:val="center"/>
            </w:pPr>
            <w:r>
              <w:t>河流：长度（/）km；湖库、河口及近岸海域：面积（/）km2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预测因子</w:t>
            </w:r>
          </w:p>
        </w:tc>
        <w:tc>
          <w:tcPr>
            <w:tcW w:w="3982" w:type="pct"/>
            <w:gridSpan w:val="11"/>
            <w:shd w:val="clear" w:color="auto" w:fill="auto"/>
            <w:vAlign w:val="center"/>
          </w:tcPr>
          <w:p>
            <w:pPr>
              <w:adjustRightInd w:val="0"/>
              <w:snapToGrid w:val="0"/>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预测时期</w:t>
            </w:r>
          </w:p>
        </w:tc>
        <w:tc>
          <w:tcPr>
            <w:tcW w:w="3982" w:type="pct"/>
            <w:gridSpan w:val="11"/>
            <w:shd w:val="clear" w:color="auto" w:fill="auto"/>
            <w:vAlign w:val="center"/>
          </w:tcPr>
          <w:p>
            <w:pPr>
              <w:adjustRightInd w:val="0"/>
              <w:snapToGrid w:val="0"/>
              <w:jc w:val="center"/>
            </w:pPr>
            <w:r>
              <w:t>丰水期 □；平水期 □；枯水期 □；冰封期 □</w:t>
            </w:r>
          </w:p>
          <w:p>
            <w:pPr>
              <w:adjustRightInd w:val="0"/>
              <w:snapToGrid w:val="0"/>
              <w:jc w:val="center"/>
            </w:pPr>
            <w:r>
              <w:t>春季 □；夏季 □；秋季 □；冬季 □</w:t>
            </w:r>
          </w:p>
          <w:p>
            <w:pPr>
              <w:adjustRightInd w:val="0"/>
              <w:snapToGrid w:val="0"/>
              <w:jc w:val="center"/>
            </w:pPr>
            <w:r>
              <w:t>设计水文条件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预测情景</w:t>
            </w:r>
          </w:p>
        </w:tc>
        <w:tc>
          <w:tcPr>
            <w:tcW w:w="3982" w:type="pct"/>
            <w:gridSpan w:val="11"/>
            <w:shd w:val="clear" w:color="auto" w:fill="auto"/>
            <w:vAlign w:val="center"/>
          </w:tcPr>
          <w:p>
            <w:pPr>
              <w:adjustRightInd w:val="0"/>
              <w:snapToGrid w:val="0"/>
              <w:jc w:val="center"/>
            </w:pPr>
            <w:r>
              <w:t>建设期 □；生产运行期 □；服务期满后 □</w:t>
            </w:r>
          </w:p>
          <w:p>
            <w:pPr>
              <w:adjustRightInd w:val="0"/>
              <w:snapToGrid w:val="0"/>
              <w:jc w:val="center"/>
            </w:pPr>
            <w:r>
              <w:t>正常工况 □；非正常工况 □</w:t>
            </w:r>
          </w:p>
          <w:p>
            <w:pPr>
              <w:adjustRightInd w:val="0"/>
              <w:snapToGrid w:val="0"/>
              <w:jc w:val="center"/>
            </w:pPr>
            <w:r>
              <w:t>污染控制和减缓措施方案 □</w:t>
            </w:r>
          </w:p>
          <w:p>
            <w:pPr>
              <w:adjustRightInd w:val="0"/>
              <w:snapToGrid w:val="0"/>
              <w:jc w:val="center"/>
            </w:pPr>
            <w:r>
              <w:t>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预测方法</w:t>
            </w:r>
          </w:p>
        </w:tc>
        <w:tc>
          <w:tcPr>
            <w:tcW w:w="3982" w:type="pct"/>
            <w:gridSpan w:val="11"/>
            <w:shd w:val="clear" w:color="auto" w:fill="auto"/>
            <w:vAlign w:val="center"/>
          </w:tcPr>
          <w:p>
            <w:pPr>
              <w:adjustRightInd w:val="0"/>
              <w:snapToGrid w:val="0"/>
              <w:jc w:val="center"/>
            </w:pPr>
            <w:r>
              <w:t>数值解 □：解析解 □；其他 □</w:t>
            </w:r>
          </w:p>
          <w:p>
            <w:pPr>
              <w:adjustRightInd w:val="0"/>
              <w:snapToGrid w:val="0"/>
              <w:jc w:val="center"/>
            </w:pPr>
            <w:r>
              <w:t>导则推荐模式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restart"/>
            <w:shd w:val="clear" w:color="auto" w:fill="auto"/>
            <w:vAlign w:val="center"/>
          </w:tcPr>
          <w:p>
            <w:pPr>
              <w:adjustRightInd w:val="0"/>
              <w:snapToGrid w:val="0"/>
              <w:jc w:val="center"/>
            </w:pPr>
            <w:r>
              <w:t>影</w:t>
            </w:r>
          </w:p>
          <w:p>
            <w:pPr>
              <w:adjustRightInd w:val="0"/>
              <w:snapToGrid w:val="0"/>
              <w:jc w:val="center"/>
            </w:pPr>
            <w:r>
              <w:t>响</w:t>
            </w:r>
          </w:p>
          <w:p>
            <w:pPr>
              <w:adjustRightInd w:val="0"/>
              <w:snapToGrid w:val="0"/>
              <w:jc w:val="center"/>
            </w:pPr>
            <w:r>
              <w:t>评</w:t>
            </w:r>
          </w:p>
          <w:p>
            <w:pPr>
              <w:adjustRightInd w:val="0"/>
              <w:snapToGrid w:val="0"/>
              <w:jc w:val="center"/>
            </w:pPr>
            <w:r>
              <w:t>价</w:t>
            </w:r>
          </w:p>
        </w:tc>
        <w:tc>
          <w:tcPr>
            <w:tcW w:w="801" w:type="pct"/>
            <w:gridSpan w:val="2"/>
            <w:shd w:val="clear" w:color="auto" w:fill="auto"/>
            <w:vAlign w:val="center"/>
          </w:tcPr>
          <w:p>
            <w:pPr>
              <w:adjustRightInd w:val="0"/>
              <w:snapToGrid w:val="0"/>
              <w:jc w:val="center"/>
            </w:pPr>
            <w:r>
              <w:t>水污染控制和水环境影响减缓措施有效性评价</w:t>
            </w:r>
          </w:p>
        </w:tc>
        <w:tc>
          <w:tcPr>
            <w:tcW w:w="3982" w:type="pct"/>
            <w:gridSpan w:val="11"/>
            <w:shd w:val="clear" w:color="auto" w:fill="auto"/>
            <w:vAlign w:val="center"/>
          </w:tcPr>
          <w:p>
            <w:pPr>
              <w:adjustRightInd w:val="0"/>
              <w:snapToGrid w:val="0"/>
              <w:jc w:val="center"/>
            </w:pPr>
            <w:r>
              <w:t>区（流）域水环境质量改善目标 □；替代削减源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水环境影响评价</w:t>
            </w:r>
          </w:p>
        </w:tc>
        <w:tc>
          <w:tcPr>
            <w:tcW w:w="3982" w:type="pct"/>
            <w:gridSpan w:val="11"/>
            <w:shd w:val="clear" w:color="auto" w:fill="auto"/>
            <w:vAlign w:val="center"/>
          </w:tcPr>
          <w:p>
            <w:pPr>
              <w:adjustRightInd w:val="0"/>
              <w:snapToGrid w:val="0"/>
              <w:jc w:val="center"/>
            </w:pPr>
            <w:r>
              <w:t>排放口混合区外满足水环境管理要求 □</w:t>
            </w:r>
          </w:p>
          <w:p>
            <w:pPr>
              <w:adjustRightInd w:val="0"/>
              <w:snapToGrid w:val="0"/>
              <w:jc w:val="center"/>
            </w:pPr>
            <w:r>
              <w:t>水环境功能区或水功能区、近岸海域环境功能区水质达标 □</w:t>
            </w:r>
          </w:p>
          <w:p>
            <w:pPr>
              <w:adjustRightInd w:val="0"/>
              <w:snapToGrid w:val="0"/>
              <w:jc w:val="center"/>
            </w:pPr>
            <w:r>
              <w:t>满足水环境保护目标水域水环境质量要求 □</w:t>
            </w:r>
          </w:p>
          <w:p>
            <w:pPr>
              <w:adjustRightInd w:val="0"/>
              <w:snapToGrid w:val="0"/>
              <w:jc w:val="center"/>
            </w:pPr>
            <w:r>
              <w:t>水环境控制单元或断面水质达标 □</w:t>
            </w:r>
          </w:p>
          <w:p>
            <w:pPr>
              <w:adjustRightInd w:val="0"/>
              <w:snapToGrid w:val="0"/>
              <w:jc w:val="center"/>
            </w:pPr>
            <w:r>
              <w:t>满足重点水污染物排放总量控制指标要求，重点行业建设项目， 主要污染物排放满足等量或减量替代要求 □</w:t>
            </w:r>
          </w:p>
          <w:p>
            <w:pPr>
              <w:adjustRightInd w:val="0"/>
              <w:snapToGrid w:val="0"/>
              <w:jc w:val="center"/>
            </w:pPr>
            <w:r>
              <w:t>满足区（流）域水环境质量改善目标要求 □</w:t>
            </w:r>
          </w:p>
          <w:p>
            <w:pPr>
              <w:adjustRightInd w:val="0"/>
              <w:snapToGrid w:val="0"/>
              <w:jc w:val="center"/>
            </w:pPr>
            <w:r>
              <w:t>水文要素影响型建设项目同时应包括水文情势变化评价、主要水文特征值影响评价、生态流量符合性评价 □</w:t>
            </w:r>
          </w:p>
          <w:p>
            <w:pPr>
              <w:adjustRightInd w:val="0"/>
              <w:snapToGrid w:val="0"/>
              <w:jc w:val="center"/>
            </w:pPr>
            <w:r>
              <w:t>对于新设或调整入河（湖库、近岸海域）排放口的建设项目，应包括排放口设置的环境合理性评价 □</w:t>
            </w:r>
          </w:p>
          <w:p>
            <w:pPr>
              <w:adjustRightInd w:val="0"/>
              <w:snapToGrid w:val="0"/>
              <w:jc w:val="center"/>
            </w:pPr>
            <w:r>
              <w:t>满足生态保护红线、水环境质量底线、资源利用上线和环境准入清单管理要求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restart"/>
            <w:shd w:val="clear" w:color="auto" w:fill="auto"/>
            <w:vAlign w:val="center"/>
          </w:tcPr>
          <w:p>
            <w:pPr>
              <w:adjustRightInd w:val="0"/>
              <w:snapToGrid w:val="0"/>
              <w:jc w:val="center"/>
            </w:pPr>
            <w:r>
              <w:t>污染源排放量核算</w:t>
            </w:r>
          </w:p>
        </w:tc>
        <w:tc>
          <w:tcPr>
            <w:tcW w:w="1437" w:type="pct"/>
            <w:gridSpan w:val="3"/>
            <w:shd w:val="clear" w:color="auto" w:fill="auto"/>
            <w:vAlign w:val="center"/>
          </w:tcPr>
          <w:p>
            <w:pPr>
              <w:adjustRightInd w:val="0"/>
              <w:snapToGrid w:val="0"/>
              <w:jc w:val="center"/>
            </w:pPr>
            <w:r>
              <w:t>污染物名称</w:t>
            </w:r>
          </w:p>
        </w:tc>
        <w:tc>
          <w:tcPr>
            <w:tcW w:w="1297" w:type="pct"/>
            <w:gridSpan w:val="5"/>
            <w:shd w:val="clear" w:color="auto" w:fill="auto"/>
            <w:vAlign w:val="center"/>
          </w:tcPr>
          <w:p>
            <w:pPr>
              <w:adjustRightInd w:val="0"/>
              <w:snapToGrid w:val="0"/>
              <w:jc w:val="center"/>
            </w:pPr>
            <w:r>
              <w:t>排放量/（t/a）</w:t>
            </w:r>
          </w:p>
        </w:tc>
        <w:tc>
          <w:tcPr>
            <w:tcW w:w="1248" w:type="pct"/>
            <w:gridSpan w:val="3"/>
            <w:shd w:val="clear" w:color="auto" w:fill="auto"/>
            <w:vAlign w:val="center"/>
          </w:tcPr>
          <w:p>
            <w:pPr>
              <w:adjustRightInd w:val="0"/>
              <w:snapToGrid w:val="0"/>
              <w:jc w:val="center"/>
            </w:pPr>
            <w: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437" w:type="pct"/>
            <w:gridSpan w:val="3"/>
            <w:shd w:val="clear" w:color="auto" w:fill="auto"/>
            <w:vAlign w:val="center"/>
          </w:tcPr>
          <w:p>
            <w:pPr>
              <w:adjustRightInd w:val="0"/>
              <w:snapToGrid w:val="0"/>
              <w:jc w:val="center"/>
            </w:pPr>
            <w:r>
              <w:rPr>
                <w:rFonts w:hint="eastAsia"/>
              </w:rPr>
              <w:t>/</w:t>
            </w:r>
          </w:p>
        </w:tc>
        <w:tc>
          <w:tcPr>
            <w:tcW w:w="1297" w:type="pct"/>
            <w:gridSpan w:val="5"/>
            <w:shd w:val="clear" w:color="auto" w:fill="auto"/>
            <w:vAlign w:val="center"/>
          </w:tcPr>
          <w:p>
            <w:pPr>
              <w:adjustRightInd w:val="0"/>
              <w:snapToGrid w:val="0"/>
              <w:jc w:val="center"/>
            </w:pPr>
            <w:r>
              <w:t>（/）</w:t>
            </w:r>
          </w:p>
        </w:tc>
        <w:tc>
          <w:tcPr>
            <w:tcW w:w="1248" w:type="pct"/>
            <w:gridSpan w:val="3"/>
            <w:shd w:val="clear" w:color="auto" w:fill="auto"/>
            <w:vAlign w:val="center"/>
          </w:tcPr>
          <w:p>
            <w:pPr>
              <w:adjustRightInd w:val="0"/>
              <w:snapToGrid w:val="0"/>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437" w:type="pct"/>
            <w:gridSpan w:val="3"/>
            <w:shd w:val="clear" w:color="auto" w:fill="auto"/>
            <w:vAlign w:val="center"/>
          </w:tcPr>
          <w:p>
            <w:pPr>
              <w:adjustRightInd w:val="0"/>
              <w:snapToGrid w:val="0"/>
              <w:jc w:val="center"/>
            </w:pPr>
          </w:p>
        </w:tc>
        <w:tc>
          <w:tcPr>
            <w:tcW w:w="1297" w:type="pct"/>
            <w:gridSpan w:val="5"/>
            <w:shd w:val="clear" w:color="auto" w:fill="auto"/>
            <w:vAlign w:val="center"/>
          </w:tcPr>
          <w:p>
            <w:pPr>
              <w:adjustRightInd w:val="0"/>
              <w:snapToGrid w:val="0"/>
              <w:jc w:val="center"/>
            </w:pPr>
          </w:p>
        </w:tc>
        <w:tc>
          <w:tcPr>
            <w:tcW w:w="1248" w:type="pct"/>
            <w:gridSpan w:val="3"/>
            <w:shd w:val="clear" w:color="auto" w:fill="auto"/>
            <w:vAlign w:val="center"/>
          </w:tcPr>
          <w:p>
            <w:pPr>
              <w:adjustRightInd w:val="0"/>
              <w:snapToGrid w:val="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restart"/>
            <w:shd w:val="clear" w:color="auto" w:fill="auto"/>
            <w:vAlign w:val="center"/>
          </w:tcPr>
          <w:p>
            <w:pPr>
              <w:adjustRightInd w:val="0"/>
              <w:snapToGrid w:val="0"/>
              <w:jc w:val="center"/>
            </w:pPr>
            <w:r>
              <w:t>替代源排放情况</w:t>
            </w:r>
          </w:p>
        </w:tc>
        <w:tc>
          <w:tcPr>
            <w:tcW w:w="838" w:type="pct"/>
            <w:shd w:val="clear" w:color="auto" w:fill="auto"/>
            <w:vAlign w:val="center"/>
          </w:tcPr>
          <w:p>
            <w:pPr>
              <w:adjustRightInd w:val="0"/>
              <w:snapToGrid w:val="0"/>
              <w:jc w:val="center"/>
            </w:pPr>
            <w:r>
              <w:t>污染源名称</w:t>
            </w:r>
          </w:p>
        </w:tc>
        <w:tc>
          <w:tcPr>
            <w:tcW w:w="736" w:type="pct"/>
            <w:gridSpan w:val="3"/>
            <w:shd w:val="clear" w:color="auto" w:fill="auto"/>
            <w:vAlign w:val="center"/>
          </w:tcPr>
          <w:p>
            <w:pPr>
              <w:adjustRightInd w:val="0"/>
              <w:snapToGrid w:val="0"/>
              <w:jc w:val="center"/>
            </w:pPr>
            <w:r>
              <w:t>排污许可证编号</w:t>
            </w:r>
          </w:p>
        </w:tc>
        <w:tc>
          <w:tcPr>
            <w:tcW w:w="833" w:type="pct"/>
            <w:gridSpan w:val="3"/>
            <w:shd w:val="clear" w:color="auto" w:fill="auto"/>
            <w:vAlign w:val="center"/>
          </w:tcPr>
          <w:p>
            <w:pPr>
              <w:adjustRightInd w:val="0"/>
              <w:snapToGrid w:val="0"/>
              <w:jc w:val="center"/>
            </w:pPr>
            <w:r>
              <w:t>污染物名称</w:t>
            </w:r>
          </w:p>
        </w:tc>
        <w:tc>
          <w:tcPr>
            <w:tcW w:w="409" w:type="pct"/>
            <w:gridSpan w:val="2"/>
            <w:shd w:val="clear" w:color="auto" w:fill="auto"/>
            <w:vAlign w:val="center"/>
          </w:tcPr>
          <w:p>
            <w:pPr>
              <w:adjustRightInd w:val="0"/>
              <w:snapToGrid w:val="0"/>
              <w:jc w:val="center"/>
            </w:pPr>
            <w:r>
              <w:t>排放量/（t/a）</w:t>
            </w:r>
          </w:p>
        </w:tc>
        <w:tc>
          <w:tcPr>
            <w:tcW w:w="1166" w:type="pct"/>
            <w:gridSpan w:val="2"/>
            <w:shd w:val="clear" w:color="auto" w:fill="auto"/>
            <w:vAlign w:val="center"/>
          </w:tcPr>
          <w:p>
            <w:pPr>
              <w:adjustRightInd w:val="0"/>
              <w:snapToGrid w:val="0"/>
              <w:jc w:val="center"/>
            </w:pPr>
            <w: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838" w:type="pct"/>
            <w:shd w:val="clear" w:color="auto" w:fill="auto"/>
            <w:vAlign w:val="center"/>
          </w:tcPr>
          <w:p>
            <w:pPr>
              <w:adjustRightInd w:val="0"/>
              <w:snapToGrid w:val="0"/>
              <w:jc w:val="center"/>
            </w:pPr>
            <w:r>
              <w:t>（/）</w:t>
            </w:r>
          </w:p>
        </w:tc>
        <w:tc>
          <w:tcPr>
            <w:tcW w:w="736" w:type="pct"/>
            <w:gridSpan w:val="3"/>
            <w:shd w:val="clear" w:color="auto" w:fill="auto"/>
            <w:vAlign w:val="center"/>
          </w:tcPr>
          <w:p>
            <w:pPr>
              <w:adjustRightInd w:val="0"/>
              <w:snapToGrid w:val="0"/>
              <w:jc w:val="center"/>
            </w:pPr>
            <w:r>
              <w:t>（/）</w:t>
            </w:r>
          </w:p>
        </w:tc>
        <w:tc>
          <w:tcPr>
            <w:tcW w:w="833" w:type="pct"/>
            <w:gridSpan w:val="3"/>
            <w:shd w:val="clear" w:color="auto" w:fill="auto"/>
            <w:vAlign w:val="center"/>
          </w:tcPr>
          <w:p>
            <w:pPr>
              <w:adjustRightInd w:val="0"/>
              <w:snapToGrid w:val="0"/>
              <w:jc w:val="center"/>
            </w:pPr>
            <w:r>
              <w:t>（/）</w:t>
            </w:r>
          </w:p>
        </w:tc>
        <w:tc>
          <w:tcPr>
            <w:tcW w:w="409" w:type="pct"/>
            <w:gridSpan w:val="2"/>
            <w:shd w:val="clear" w:color="auto" w:fill="auto"/>
            <w:vAlign w:val="center"/>
          </w:tcPr>
          <w:p>
            <w:pPr>
              <w:adjustRightInd w:val="0"/>
              <w:snapToGrid w:val="0"/>
              <w:jc w:val="center"/>
            </w:pPr>
            <w:r>
              <w:t>（/）</w:t>
            </w:r>
          </w:p>
        </w:tc>
        <w:tc>
          <w:tcPr>
            <w:tcW w:w="1166" w:type="pct"/>
            <w:gridSpan w:val="2"/>
            <w:shd w:val="clear" w:color="auto" w:fill="auto"/>
            <w:vAlign w:val="center"/>
          </w:tcPr>
          <w:p>
            <w:pPr>
              <w:adjustRightInd w:val="0"/>
              <w:snapToGrid w:val="0"/>
              <w:jc w:val="center"/>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生态流量确定</w:t>
            </w:r>
          </w:p>
        </w:tc>
        <w:tc>
          <w:tcPr>
            <w:tcW w:w="3982" w:type="pct"/>
            <w:gridSpan w:val="11"/>
            <w:shd w:val="clear" w:color="auto" w:fill="auto"/>
            <w:vAlign w:val="center"/>
          </w:tcPr>
          <w:p>
            <w:pPr>
              <w:adjustRightInd w:val="0"/>
              <w:snapToGrid w:val="0"/>
              <w:jc w:val="center"/>
            </w:pPr>
            <w:r>
              <w:t>生态流量：一般水期（ ）m3/s；鱼类繁殖期（ ）m3/s；其他（ ）m3/s</w:t>
            </w:r>
          </w:p>
          <w:p>
            <w:pPr>
              <w:adjustRightInd w:val="0"/>
              <w:snapToGrid w:val="0"/>
              <w:jc w:val="center"/>
            </w:pPr>
            <w:r>
              <w:t>生态水位：一般水期（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restart"/>
            <w:shd w:val="clear" w:color="auto" w:fill="auto"/>
            <w:vAlign w:val="center"/>
          </w:tcPr>
          <w:p>
            <w:pPr>
              <w:adjustRightInd w:val="0"/>
              <w:snapToGrid w:val="0"/>
              <w:jc w:val="center"/>
            </w:pPr>
            <w:r>
              <w:t>防</w:t>
            </w:r>
          </w:p>
          <w:p>
            <w:pPr>
              <w:adjustRightInd w:val="0"/>
              <w:snapToGrid w:val="0"/>
              <w:jc w:val="center"/>
            </w:pPr>
            <w:r>
              <w:t>治</w:t>
            </w:r>
          </w:p>
          <w:p>
            <w:pPr>
              <w:adjustRightInd w:val="0"/>
              <w:snapToGrid w:val="0"/>
              <w:jc w:val="center"/>
            </w:pPr>
            <w:r>
              <w:t>措</w:t>
            </w:r>
          </w:p>
          <w:p>
            <w:pPr>
              <w:adjustRightInd w:val="0"/>
              <w:snapToGrid w:val="0"/>
              <w:jc w:val="center"/>
            </w:pPr>
            <w:r>
              <w:t>施</w:t>
            </w:r>
          </w:p>
        </w:tc>
        <w:tc>
          <w:tcPr>
            <w:tcW w:w="801" w:type="pct"/>
            <w:gridSpan w:val="2"/>
            <w:shd w:val="clear" w:color="auto" w:fill="auto"/>
            <w:vAlign w:val="center"/>
          </w:tcPr>
          <w:p>
            <w:pPr>
              <w:adjustRightInd w:val="0"/>
              <w:snapToGrid w:val="0"/>
              <w:jc w:val="center"/>
            </w:pPr>
            <w:r>
              <w:t>环保措施</w:t>
            </w:r>
          </w:p>
        </w:tc>
        <w:tc>
          <w:tcPr>
            <w:tcW w:w="3982" w:type="pct"/>
            <w:gridSpan w:val="11"/>
            <w:shd w:val="clear" w:color="auto" w:fill="auto"/>
            <w:vAlign w:val="center"/>
          </w:tcPr>
          <w:p>
            <w:pPr>
              <w:adjustRightInd w:val="0"/>
              <w:snapToGrid w:val="0"/>
              <w:jc w:val="center"/>
            </w:pPr>
            <w:r>
              <w:t xml:space="preserve">污水处理设施 </w:t>
            </w:r>
            <w:r>
              <w:rPr/>
              <w:sym w:font="Wingdings 2" w:char="0052"/>
            </w:r>
            <w:r>
              <w:t>；水文减缓设施 □；生态流量保障设施 □；区域削减 □；依托其他工程措施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restart"/>
            <w:shd w:val="clear" w:color="auto" w:fill="auto"/>
            <w:vAlign w:val="center"/>
          </w:tcPr>
          <w:p>
            <w:pPr>
              <w:adjustRightInd w:val="0"/>
              <w:snapToGrid w:val="0"/>
              <w:jc w:val="center"/>
            </w:pPr>
            <w:r>
              <w:t>监测计划</w:t>
            </w:r>
          </w:p>
        </w:tc>
        <w:tc>
          <w:tcPr>
            <w:tcW w:w="1288" w:type="pct"/>
            <w:gridSpan w:val="2"/>
            <w:shd w:val="clear" w:color="auto" w:fill="auto"/>
            <w:vAlign w:val="center"/>
          </w:tcPr>
          <w:p>
            <w:pPr>
              <w:adjustRightInd w:val="0"/>
              <w:snapToGrid w:val="0"/>
              <w:jc w:val="center"/>
            </w:pPr>
          </w:p>
        </w:tc>
        <w:tc>
          <w:tcPr>
            <w:tcW w:w="1106" w:type="pct"/>
            <w:gridSpan w:val="4"/>
            <w:shd w:val="clear" w:color="auto" w:fill="auto"/>
            <w:vAlign w:val="center"/>
          </w:tcPr>
          <w:p>
            <w:pPr>
              <w:adjustRightInd w:val="0"/>
              <w:snapToGrid w:val="0"/>
              <w:jc w:val="center"/>
            </w:pPr>
            <w:r>
              <w:t>环境质量</w:t>
            </w:r>
          </w:p>
        </w:tc>
        <w:tc>
          <w:tcPr>
            <w:tcW w:w="1588" w:type="pct"/>
            <w:gridSpan w:val="5"/>
            <w:shd w:val="clear" w:color="auto" w:fill="auto"/>
            <w:vAlign w:val="center"/>
          </w:tcPr>
          <w:p>
            <w:pPr>
              <w:adjustRightInd w:val="0"/>
              <w:snapToGrid w:val="0"/>
              <w:jc w:val="center"/>
            </w:pPr>
            <w: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288" w:type="pct"/>
            <w:gridSpan w:val="2"/>
            <w:shd w:val="clear" w:color="auto" w:fill="auto"/>
            <w:vAlign w:val="center"/>
          </w:tcPr>
          <w:p>
            <w:pPr>
              <w:adjustRightInd w:val="0"/>
              <w:snapToGrid w:val="0"/>
              <w:jc w:val="center"/>
            </w:pPr>
            <w:r>
              <w:t>监测方式</w:t>
            </w:r>
          </w:p>
        </w:tc>
        <w:tc>
          <w:tcPr>
            <w:tcW w:w="1106" w:type="pct"/>
            <w:gridSpan w:val="4"/>
            <w:shd w:val="clear" w:color="auto" w:fill="auto"/>
            <w:vAlign w:val="center"/>
          </w:tcPr>
          <w:p>
            <w:pPr>
              <w:adjustRightInd w:val="0"/>
              <w:snapToGrid w:val="0"/>
              <w:jc w:val="center"/>
            </w:pPr>
            <w:r>
              <w:t xml:space="preserve">手动 □；自动 □；无监测 </w:t>
            </w:r>
            <w:r>
              <w:rPr/>
              <w:sym w:font="Wingdings 2" w:char="0052"/>
            </w:r>
          </w:p>
        </w:tc>
        <w:tc>
          <w:tcPr>
            <w:tcW w:w="1588" w:type="pct"/>
            <w:gridSpan w:val="5"/>
            <w:shd w:val="clear" w:color="auto" w:fill="auto"/>
            <w:vAlign w:val="center"/>
          </w:tcPr>
          <w:p>
            <w:pPr>
              <w:adjustRightInd w:val="0"/>
              <w:snapToGrid w:val="0"/>
              <w:jc w:val="center"/>
            </w:pPr>
            <w:r>
              <w:t xml:space="preserve">手动 </w:t>
            </w:r>
            <w:r>
              <w:rPr/>
              <w:sym w:font="Wingdings 2" w:char="0052"/>
            </w:r>
            <w:r>
              <w:t>；自动□；无监测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288" w:type="pct"/>
            <w:gridSpan w:val="2"/>
            <w:shd w:val="clear" w:color="auto" w:fill="auto"/>
            <w:vAlign w:val="center"/>
          </w:tcPr>
          <w:p>
            <w:pPr>
              <w:adjustRightInd w:val="0"/>
              <w:snapToGrid w:val="0"/>
              <w:jc w:val="center"/>
            </w:pPr>
            <w:r>
              <w:t>监测点位</w:t>
            </w:r>
          </w:p>
        </w:tc>
        <w:tc>
          <w:tcPr>
            <w:tcW w:w="1106" w:type="pct"/>
            <w:gridSpan w:val="4"/>
            <w:shd w:val="clear" w:color="auto" w:fill="auto"/>
            <w:vAlign w:val="center"/>
          </w:tcPr>
          <w:p>
            <w:pPr>
              <w:adjustRightInd w:val="0"/>
              <w:snapToGrid w:val="0"/>
              <w:jc w:val="center"/>
            </w:pPr>
            <w:r>
              <w:t>（/）</w:t>
            </w:r>
          </w:p>
        </w:tc>
        <w:tc>
          <w:tcPr>
            <w:tcW w:w="1588" w:type="pct"/>
            <w:gridSpan w:val="5"/>
            <w:shd w:val="clear" w:color="auto" w:fill="auto"/>
            <w:vAlign w:val="center"/>
          </w:tcPr>
          <w:p>
            <w:pPr>
              <w:adjustRightInd w:val="0"/>
              <w:snapToGrid w:val="0"/>
              <w:jc w:val="center"/>
            </w:pPr>
            <w:r>
              <w:t>（污水处理设施进、出口，企业总排口）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vMerge w:val="continue"/>
            <w:shd w:val="clear" w:color="auto" w:fill="auto"/>
            <w:vAlign w:val="center"/>
          </w:tcPr>
          <w:p>
            <w:pPr>
              <w:adjustRightInd w:val="0"/>
              <w:snapToGrid w:val="0"/>
              <w:jc w:val="center"/>
            </w:pPr>
          </w:p>
        </w:tc>
        <w:tc>
          <w:tcPr>
            <w:tcW w:w="1288" w:type="pct"/>
            <w:gridSpan w:val="2"/>
            <w:shd w:val="clear" w:color="auto" w:fill="auto"/>
            <w:vAlign w:val="center"/>
          </w:tcPr>
          <w:p>
            <w:pPr>
              <w:adjustRightInd w:val="0"/>
              <w:snapToGrid w:val="0"/>
              <w:jc w:val="center"/>
            </w:pPr>
            <w:r>
              <w:t>监测因子</w:t>
            </w:r>
          </w:p>
        </w:tc>
        <w:tc>
          <w:tcPr>
            <w:tcW w:w="1106" w:type="pct"/>
            <w:gridSpan w:val="4"/>
            <w:shd w:val="clear" w:color="auto" w:fill="auto"/>
            <w:vAlign w:val="center"/>
          </w:tcPr>
          <w:p>
            <w:pPr>
              <w:adjustRightInd w:val="0"/>
              <w:snapToGrid w:val="0"/>
              <w:jc w:val="center"/>
            </w:pPr>
            <w:r>
              <w:t>（/）</w:t>
            </w:r>
          </w:p>
        </w:tc>
        <w:tc>
          <w:tcPr>
            <w:tcW w:w="1588" w:type="pct"/>
            <w:gridSpan w:val="5"/>
            <w:shd w:val="clear" w:color="auto" w:fill="auto"/>
            <w:vAlign w:val="center"/>
          </w:tcPr>
          <w:p>
            <w:pPr>
              <w:adjustRightInd w:val="0"/>
              <w:snapToGrid w:val="0"/>
              <w:jc w:val="center"/>
            </w:pPr>
            <w:r>
              <w:t>（BOD</w:t>
            </w:r>
            <w:r>
              <w:rPr>
                <w:vertAlign w:val="subscript"/>
              </w:rPr>
              <w:t>5</w:t>
            </w:r>
            <w:r>
              <w:t>、COD、NH</w:t>
            </w:r>
            <w:r>
              <w:rPr>
                <w:vertAlign w:val="subscript"/>
              </w:rPr>
              <w:t>3</w:t>
            </w:r>
            <w:r>
              <w:t>-N、SS、PH、污水量）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 w:type="pct"/>
            <w:vMerge w:val="continue"/>
            <w:shd w:val="clear" w:color="auto" w:fill="auto"/>
            <w:vAlign w:val="center"/>
          </w:tcPr>
          <w:p>
            <w:pPr>
              <w:adjustRightInd w:val="0"/>
              <w:snapToGrid w:val="0"/>
              <w:jc w:val="center"/>
            </w:pPr>
          </w:p>
        </w:tc>
        <w:tc>
          <w:tcPr>
            <w:tcW w:w="801" w:type="pct"/>
            <w:gridSpan w:val="2"/>
            <w:shd w:val="clear" w:color="auto" w:fill="auto"/>
            <w:vAlign w:val="center"/>
          </w:tcPr>
          <w:p>
            <w:pPr>
              <w:adjustRightInd w:val="0"/>
              <w:snapToGrid w:val="0"/>
              <w:jc w:val="center"/>
            </w:pPr>
            <w:r>
              <w:t>污染物排放清单</w:t>
            </w:r>
          </w:p>
        </w:tc>
        <w:tc>
          <w:tcPr>
            <w:tcW w:w="3982" w:type="pct"/>
            <w:gridSpan w:val="11"/>
            <w:shd w:val="clear" w:color="auto" w:fill="auto"/>
            <w:vAlign w:val="center"/>
          </w:tcPr>
          <w:p>
            <w:pPr>
              <w:adjustRightInd w:val="0"/>
              <w:snapToGrid w:val="0"/>
              <w:jc w:val="center"/>
            </w:pP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 w:type="pct"/>
            <w:gridSpan w:val="3"/>
            <w:shd w:val="clear" w:color="auto" w:fill="auto"/>
            <w:vAlign w:val="center"/>
          </w:tcPr>
          <w:p>
            <w:pPr>
              <w:adjustRightInd w:val="0"/>
              <w:snapToGrid w:val="0"/>
              <w:jc w:val="center"/>
            </w:pPr>
            <w:r>
              <w:t>评价结论</w:t>
            </w:r>
          </w:p>
        </w:tc>
        <w:tc>
          <w:tcPr>
            <w:tcW w:w="3982" w:type="pct"/>
            <w:gridSpan w:val="11"/>
            <w:shd w:val="clear" w:color="auto" w:fill="auto"/>
            <w:vAlign w:val="center"/>
          </w:tcPr>
          <w:p>
            <w:pPr>
              <w:adjustRightInd w:val="0"/>
              <w:snapToGrid w:val="0"/>
              <w:jc w:val="center"/>
            </w:pPr>
            <w:r>
              <w:t xml:space="preserve">可以接受 </w:t>
            </w:r>
            <w:r>
              <w:rPr/>
              <w:sym w:font="Wingdings 2" w:char="0052"/>
            </w:r>
            <w:r>
              <w:t>；不可以接受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shd w:val="clear" w:color="auto" w:fill="auto"/>
            <w:vAlign w:val="center"/>
          </w:tcPr>
          <w:p>
            <w:pPr>
              <w:adjustRightInd w:val="0"/>
              <w:snapToGrid w:val="0"/>
              <w:jc w:val="center"/>
            </w:pPr>
            <w:r>
              <w:t>注：“□”为勾选项，可√；“（ ）”为内容填写项；“备注”为其他补充内容。</w:t>
            </w:r>
          </w:p>
        </w:tc>
      </w:tr>
    </w:tbl>
    <w:p>
      <w:pPr>
        <w:widowControl/>
        <w:adjustRightInd w:val="0"/>
        <w:snapToGrid w:val="0"/>
        <w:jc w:val="center"/>
        <w:rPr>
          <w:rFonts w:eastAsiaTheme="minorEastAsia" w:cstheme="minorBidi"/>
          <w:b/>
          <w:sz w:val="24"/>
          <w:szCs w:val="24"/>
        </w:rPr>
      </w:pPr>
    </w:p>
    <w:p>
      <w:pPr>
        <w:widowControl/>
        <w:adjustRightInd w:val="0"/>
        <w:snapToGrid w:val="0"/>
        <w:jc w:val="center"/>
        <w:rPr>
          <w:rFonts w:eastAsiaTheme="minorEastAsia" w:cstheme="minorBidi"/>
          <w:b/>
          <w:sz w:val="24"/>
          <w:szCs w:val="24"/>
        </w:rPr>
      </w:pPr>
    </w:p>
    <w:p>
      <w:pPr>
        <w:adjustRightInd w:val="0"/>
        <w:snapToGrid w:val="0"/>
        <w:spacing w:line="360" w:lineRule="auto"/>
        <w:ind w:firstLine="480" w:firstLineChars="200"/>
        <w:rPr>
          <w:sz w:val="24"/>
          <w:szCs w:val="24"/>
        </w:rPr>
      </w:pPr>
    </w:p>
    <w:p>
      <w:pPr>
        <w:adjustRightInd w:val="0"/>
        <w:snapToGrid w:val="0"/>
        <w:spacing w:line="360" w:lineRule="auto"/>
        <w:ind w:firstLine="480" w:firstLineChars="200"/>
        <w:rPr>
          <w:sz w:val="24"/>
          <w:szCs w:val="24"/>
        </w:rPr>
      </w:pPr>
    </w:p>
    <w:p>
      <w:pPr>
        <w:adjustRightInd w:val="0"/>
        <w:snapToGrid w:val="0"/>
        <w:spacing w:line="360" w:lineRule="auto"/>
        <w:ind w:firstLine="480" w:firstLineChars="200"/>
        <w:rPr>
          <w:sz w:val="24"/>
          <w:szCs w:val="24"/>
        </w:rPr>
      </w:pPr>
    </w:p>
    <w:p>
      <w:pPr>
        <w:pStyle w:val="20"/>
        <w:adjustRightInd w:val="0"/>
        <w:snapToGrid w:val="0"/>
        <w:spacing w:after="0" w:line="360" w:lineRule="auto"/>
        <w:rPr>
          <w:b/>
          <w:bCs/>
          <w:sz w:val="24"/>
          <w:szCs w:val="22"/>
        </w:rPr>
        <w:sectPr>
          <w:footerReference r:id="rId22" w:type="default"/>
          <w:pgSz w:w="16838" w:h="11906" w:orient="landscape"/>
          <w:pgMar w:top="1800" w:right="1440" w:bottom="1800" w:left="1440" w:header="851" w:footer="992" w:gutter="0"/>
          <w:cols w:space="425" w:num="1"/>
          <w:docGrid w:type="lines" w:linePitch="312" w:charSpace="0"/>
        </w:sectPr>
      </w:pPr>
    </w:p>
    <w:p>
      <w:pPr>
        <w:keepNext/>
        <w:keepLines/>
        <w:numPr>
          <w:ilvl w:val="1"/>
          <w:numId w:val="5"/>
        </w:numPr>
        <w:tabs>
          <w:tab w:val="left" w:pos="432"/>
          <w:tab w:val="left" w:pos="720"/>
        </w:tabs>
        <w:adjustRightInd w:val="0"/>
        <w:snapToGrid w:val="0"/>
        <w:spacing w:before="156" w:beforeLines="50" w:line="360" w:lineRule="auto"/>
        <w:ind w:left="0" w:firstLine="0"/>
        <w:outlineLvl w:val="1"/>
        <w:rPr>
          <w:b/>
          <w:bCs/>
          <w:sz w:val="30"/>
          <w:szCs w:val="30"/>
        </w:rPr>
      </w:pPr>
      <w:bookmarkStart w:id="135" w:name="_Toc94101227"/>
      <w:r>
        <w:rPr>
          <w:b/>
          <w:bCs/>
          <w:sz w:val="30"/>
          <w:szCs w:val="30"/>
        </w:rPr>
        <w:t>运营期声环境影响</w:t>
      </w:r>
      <w:r>
        <w:rPr>
          <w:rFonts w:hint="eastAsia"/>
          <w:b/>
          <w:bCs/>
          <w:sz w:val="30"/>
          <w:szCs w:val="30"/>
        </w:rPr>
        <w:t>评价</w:t>
      </w:r>
      <w:bookmarkEnd w:id="135"/>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噪声源强</w:t>
      </w:r>
    </w:p>
    <w:p>
      <w:pPr>
        <w:tabs>
          <w:tab w:val="left" w:pos="495"/>
        </w:tabs>
        <w:adjustRightInd w:val="0"/>
        <w:snapToGrid w:val="0"/>
        <w:spacing w:line="360" w:lineRule="auto"/>
        <w:ind w:firstLine="480" w:firstLineChars="200"/>
        <w:rPr>
          <w:sz w:val="24"/>
        </w:rPr>
      </w:pPr>
      <w:r>
        <w:rPr>
          <w:sz w:val="24"/>
        </w:rPr>
        <w:t>本项目使用的运输车辆、填埋场</w:t>
      </w:r>
      <w:r>
        <w:rPr>
          <w:rFonts w:hint="eastAsia"/>
          <w:sz w:val="24"/>
        </w:rPr>
        <w:t>填埋</w:t>
      </w:r>
      <w:r>
        <w:rPr>
          <w:sz w:val="24"/>
        </w:rPr>
        <w:t>施工机械是主要的噪声源，噪声值在 75～</w:t>
      </w:r>
      <w:r>
        <w:rPr>
          <w:rFonts w:hint="eastAsia"/>
          <w:sz w:val="24"/>
        </w:rPr>
        <w:t>85dB(A)之间，</w:t>
      </w:r>
      <w:r>
        <w:rPr>
          <w:sz w:val="24"/>
        </w:rPr>
        <w:t>本项目噪声源强见表5.5-1。</w:t>
      </w:r>
    </w:p>
    <w:p>
      <w:pPr>
        <w:tabs>
          <w:tab w:val="left" w:pos="495"/>
        </w:tabs>
        <w:adjustRightInd w:val="0"/>
        <w:snapToGrid w:val="0"/>
        <w:spacing w:line="360" w:lineRule="auto"/>
        <w:jc w:val="center"/>
        <w:rPr>
          <w:b/>
          <w:sz w:val="24"/>
        </w:rPr>
      </w:pPr>
      <w:r>
        <w:rPr>
          <w:b/>
          <w:sz w:val="24"/>
        </w:rPr>
        <w:t>表5.5-1  本项目噪声源强一览表</w:t>
      </w:r>
    </w:p>
    <w:tbl>
      <w:tblPr>
        <w:tblStyle w:val="288"/>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493"/>
        <w:gridCol w:w="1649"/>
        <w:gridCol w:w="850"/>
        <w:gridCol w:w="1275"/>
        <w:gridCol w:w="1134"/>
        <w:gridCol w:w="293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序号</w:t>
            </w:r>
          </w:p>
        </w:tc>
        <w:tc>
          <w:tcPr>
            <w:tcW w:w="989"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设备名称</w:t>
            </w:r>
          </w:p>
        </w:tc>
        <w:tc>
          <w:tcPr>
            <w:tcW w:w="510" w:type="pc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台数</w:t>
            </w:r>
          </w:p>
        </w:tc>
        <w:tc>
          <w:tcPr>
            <w:tcW w:w="765"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所在车间</w:t>
            </w:r>
          </w:p>
        </w:tc>
        <w:tc>
          <w:tcPr>
            <w:tcW w:w="680" w:type="pct"/>
            <w:vAlign w:val="center"/>
          </w:tcPr>
          <w:p>
            <w:pPr>
              <w:adjustRightInd w:val="0"/>
              <w:snapToGrid w:val="0"/>
              <w:jc w:val="center"/>
              <w:rPr>
                <w:rFonts w:ascii="宋体" w:hAnsi="宋体" w:cs="宋体"/>
                <w:kern w:val="0"/>
                <w:sz w:val="22"/>
                <w:szCs w:val="21"/>
                <w:lang w:eastAsia="en-US"/>
              </w:rPr>
            </w:pPr>
            <w:r>
              <w:rPr>
                <w:rFonts w:ascii="宋体" w:hAnsi="宋体" w:cs="宋体"/>
                <w:spacing w:val="-1"/>
                <w:kern w:val="0"/>
                <w:sz w:val="22"/>
                <w:szCs w:val="21"/>
                <w:lang w:eastAsia="en-US"/>
              </w:rPr>
              <w:t>声源噪声级</w:t>
            </w:r>
            <w:r>
              <w:rPr>
                <w:rFonts w:hint="eastAsia" w:ascii="宋体" w:hAnsi="宋体" w:cs="宋体"/>
                <w:spacing w:val="-1"/>
                <w:kern w:val="0"/>
                <w:sz w:val="22"/>
                <w:szCs w:val="21"/>
                <w:lang w:eastAsia="en-US"/>
              </w:rPr>
              <w:t>（dB）</w:t>
            </w:r>
          </w:p>
        </w:tc>
        <w:tc>
          <w:tcPr>
            <w:tcW w:w="176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排放方式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1</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履带式推土机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restart"/>
            <w:vAlign w:val="center"/>
          </w:tcPr>
          <w:p>
            <w:pPr>
              <w:adjustRightInd w:val="0"/>
              <w:snapToGrid w:val="0"/>
              <w:jc w:val="center"/>
              <w:rPr>
                <w:rFonts w:ascii="宋体" w:hAnsi="宋体" w:cs="宋体"/>
                <w:spacing w:val="-1"/>
                <w:kern w:val="0"/>
                <w:sz w:val="22"/>
                <w:szCs w:val="21"/>
                <w:lang w:eastAsia="en-US"/>
              </w:rPr>
            </w:pPr>
            <w:r>
              <w:rPr>
                <w:rFonts w:ascii="宋体" w:hAnsi="宋体" w:cs="宋体"/>
                <w:kern w:val="0"/>
                <w:sz w:val="22"/>
                <w:szCs w:val="21"/>
                <w:lang w:eastAsia="en-US"/>
              </w:rPr>
              <w:t>填埋场</w:t>
            </w: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5</w:t>
            </w:r>
          </w:p>
        </w:tc>
        <w:tc>
          <w:tcPr>
            <w:tcW w:w="1760" w:type="pct"/>
            <w:vMerge w:val="restart"/>
            <w:vAlign w:val="center"/>
          </w:tcPr>
          <w:p>
            <w:pPr>
              <w:adjustRightInd w:val="0"/>
              <w:snapToGrid w:val="0"/>
              <w:jc w:val="center"/>
              <w:rPr>
                <w:rFonts w:ascii="宋体" w:hAnsi="宋体" w:cs="宋体"/>
                <w:spacing w:val="-1"/>
                <w:kern w:val="0"/>
                <w:sz w:val="22"/>
                <w:szCs w:val="21"/>
                <w:lang w:eastAsia="zh-CN"/>
              </w:rPr>
            </w:pPr>
            <w:r>
              <w:rPr>
                <w:rFonts w:hint="eastAsia" w:ascii="宋体" w:hAnsi="宋体" w:cs="宋体"/>
                <w:kern w:val="0"/>
                <w:sz w:val="22"/>
                <w:szCs w:val="21"/>
                <w:lang w:eastAsia="zh-CN"/>
              </w:rPr>
              <w:t>当日作业区域内移动声源，连续</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2</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压实机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5</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3</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装载机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ascii="宋体" w:hAnsi="宋体" w:cs="宋体"/>
                <w:spacing w:val="-1"/>
                <w:kern w:val="0"/>
                <w:sz w:val="22"/>
                <w:szCs w:val="21"/>
                <w:lang w:eastAsia="en-US"/>
              </w:rPr>
              <w:t>80</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4</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挖掘机</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5</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Ansi="Calibri"/>
                <w:kern w:val="0"/>
                <w:sz w:val="22"/>
                <w:szCs w:val="22"/>
                <w:lang w:eastAsia="en-US"/>
              </w:rPr>
              <w:t>5</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自卸汽车</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0</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ascii="宋体" w:hAnsi="宋体" w:cs="宋体"/>
                <w:kern w:val="0"/>
                <w:sz w:val="22"/>
                <w:szCs w:val="21"/>
                <w:lang w:eastAsia="en-US"/>
              </w:rPr>
            </w:pPr>
            <w:r>
              <w:rPr>
                <w:rFonts w:hint="eastAsia" w:eastAsiaTheme="minorEastAsia"/>
                <w:kern w:val="0"/>
                <w:sz w:val="22"/>
                <w:szCs w:val="21"/>
                <w:lang w:eastAsia="en-US"/>
              </w:rPr>
              <w:t>6</w:t>
            </w:r>
          </w:p>
        </w:tc>
        <w:tc>
          <w:tcPr>
            <w:tcW w:w="989" w:type="pct"/>
            <w:vAlign w:val="center"/>
          </w:tcPr>
          <w:p>
            <w:pPr>
              <w:adjustRightInd w:val="0"/>
              <w:snapToGrid w:val="0"/>
              <w:jc w:val="center"/>
              <w:rPr>
                <w:rFonts w:ascii="宋体" w:hAnsi="宋体" w:cs="宋体"/>
                <w:spacing w:val="-1"/>
                <w:kern w:val="0"/>
                <w:sz w:val="22"/>
                <w:szCs w:val="21"/>
                <w:lang w:eastAsia="en-US"/>
              </w:rPr>
            </w:pPr>
            <w:r>
              <w:rPr>
                <w:kern w:val="0"/>
                <w:sz w:val="22"/>
                <w:szCs w:val="21"/>
                <w:lang w:eastAsia="en-US"/>
              </w:rPr>
              <w:t>洒水多用车</w:t>
            </w:r>
          </w:p>
        </w:tc>
        <w:tc>
          <w:tcPr>
            <w:tcW w:w="510"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1</w:t>
            </w:r>
          </w:p>
        </w:tc>
        <w:tc>
          <w:tcPr>
            <w:tcW w:w="765" w:type="pct"/>
            <w:vMerge w:val="continue"/>
            <w:vAlign w:val="center"/>
          </w:tcPr>
          <w:p>
            <w:pPr>
              <w:adjustRightInd w:val="0"/>
              <w:snapToGrid w:val="0"/>
              <w:jc w:val="center"/>
              <w:rPr>
                <w:rFonts w:ascii="宋体" w:hAnsi="宋体" w:cs="宋体"/>
                <w:spacing w:val="-1"/>
                <w:kern w:val="0"/>
                <w:sz w:val="22"/>
                <w:szCs w:val="21"/>
                <w:lang w:eastAsia="en-US"/>
              </w:rPr>
            </w:pPr>
          </w:p>
        </w:tc>
        <w:tc>
          <w:tcPr>
            <w:tcW w:w="680" w:type="pct"/>
            <w:vAlign w:val="center"/>
          </w:tcPr>
          <w:p>
            <w:pPr>
              <w:adjustRightInd w:val="0"/>
              <w:snapToGrid w:val="0"/>
              <w:jc w:val="center"/>
              <w:rPr>
                <w:rFonts w:ascii="宋体" w:hAnsi="宋体" w:cs="宋体"/>
                <w:spacing w:val="-1"/>
                <w:kern w:val="0"/>
                <w:sz w:val="22"/>
                <w:szCs w:val="21"/>
                <w:lang w:eastAsia="en-US"/>
              </w:rPr>
            </w:pPr>
            <w:r>
              <w:rPr>
                <w:rFonts w:hint="eastAsia" w:ascii="宋体" w:hAnsi="宋体" w:cs="宋体"/>
                <w:spacing w:val="-1"/>
                <w:kern w:val="0"/>
                <w:sz w:val="22"/>
                <w:szCs w:val="21"/>
                <w:lang w:eastAsia="en-US"/>
              </w:rPr>
              <w:t>8</w:t>
            </w:r>
            <w:r>
              <w:rPr>
                <w:rFonts w:ascii="宋体" w:hAnsi="宋体" w:cs="宋体"/>
                <w:spacing w:val="-1"/>
                <w:kern w:val="0"/>
                <w:sz w:val="22"/>
                <w:szCs w:val="21"/>
                <w:lang w:eastAsia="en-US"/>
              </w:rPr>
              <w:t>0</w:t>
            </w:r>
          </w:p>
        </w:tc>
        <w:tc>
          <w:tcPr>
            <w:tcW w:w="1760" w:type="pct"/>
            <w:vMerge w:val="continue"/>
            <w:vAlign w:val="center"/>
          </w:tcPr>
          <w:p>
            <w:pPr>
              <w:adjustRightInd w:val="0"/>
              <w:snapToGrid w:val="0"/>
              <w:jc w:val="center"/>
              <w:rPr>
                <w:rFonts w:ascii="宋体" w:hAnsi="宋体" w:cs="宋体"/>
                <w:spacing w:val="-1"/>
                <w:kern w:val="0"/>
                <w:sz w:val="22"/>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eastAsiaTheme="minorEastAsia"/>
                <w:kern w:val="0"/>
                <w:sz w:val="22"/>
                <w:szCs w:val="21"/>
                <w:lang w:eastAsia="en-US"/>
              </w:rPr>
            </w:pPr>
            <w:r>
              <w:rPr>
                <w:rFonts w:hint="eastAsia" w:eastAsiaTheme="minorEastAsia"/>
                <w:kern w:val="0"/>
                <w:sz w:val="22"/>
                <w:szCs w:val="21"/>
                <w:lang w:eastAsia="en-US"/>
              </w:rPr>
              <w:t>7</w:t>
            </w:r>
          </w:p>
        </w:tc>
        <w:tc>
          <w:tcPr>
            <w:tcW w:w="989" w:type="pc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提升泵</w:t>
            </w:r>
          </w:p>
        </w:tc>
        <w:tc>
          <w:tcPr>
            <w:tcW w:w="51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2</w:t>
            </w:r>
          </w:p>
        </w:tc>
        <w:tc>
          <w:tcPr>
            <w:tcW w:w="765" w:type="pct"/>
            <w:vMerge w:val="restart"/>
            <w:vAlign w:val="center"/>
          </w:tcPr>
          <w:p>
            <w:pPr>
              <w:adjustRightInd w:val="0"/>
              <w:snapToGrid w:val="0"/>
              <w:jc w:val="center"/>
              <w:rPr>
                <w:rFonts w:ascii="宋体" w:hAnsi="宋体" w:cs="宋体"/>
                <w:kern w:val="0"/>
                <w:sz w:val="22"/>
                <w:szCs w:val="21"/>
                <w:lang w:eastAsia="en-US"/>
              </w:rPr>
            </w:pPr>
            <w:r>
              <w:rPr>
                <w:rFonts w:ascii="宋体" w:hAnsi="宋体" w:cs="宋体"/>
                <w:kern w:val="0"/>
                <w:sz w:val="22"/>
                <w:szCs w:val="21"/>
                <w:lang w:eastAsia="en-US"/>
              </w:rPr>
              <w:t>水处理</w:t>
            </w:r>
          </w:p>
        </w:tc>
        <w:tc>
          <w:tcPr>
            <w:tcW w:w="68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80</w:t>
            </w:r>
          </w:p>
        </w:tc>
        <w:tc>
          <w:tcPr>
            <w:tcW w:w="1760" w:type="pct"/>
            <w:vMerge w:val="restart"/>
            <w:vAlign w:val="center"/>
          </w:tcPr>
          <w:p>
            <w:pPr>
              <w:adjustRightInd w:val="0"/>
              <w:snapToGrid w:val="0"/>
              <w:jc w:val="center"/>
              <w:rPr>
                <w:rFonts w:ascii="宋体" w:hAnsi="宋体" w:cs="宋体"/>
                <w:kern w:val="0"/>
                <w:sz w:val="22"/>
                <w:szCs w:val="21"/>
                <w:lang w:eastAsia="en-US"/>
              </w:rPr>
            </w:pPr>
            <w:r>
              <w:rPr>
                <w:rFonts w:hint="eastAsia" w:ascii="宋体" w:hAnsi="宋体" w:cs="宋体"/>
                <w:spacing w:val="-1"/>
                <w:kern w:val="0"/>
                <w:sz w:val="22"/>
                <w:szCs w:val="21"/>
                <w:lang w:eastAsia="en-US"/>
              </w:rPr>
              <w:t>固定连续</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296" w:type="pct"/>
            <w:vAlign w:val="center"/>
          </w:tcPr>
          <w:p>
            <w:pPr>
              <w:adjustRightInd w:val="0"/>
              <w:snapToGrid w:val="0"/>
              <w:jc w:val="center"/>
              <w:rPr>
                <w:rFonts w:eastAsiaTheme="minorEastAsia"/>
                <w:kern w:val="0"/>
                <w:sz w:val="22"/>
                <w:szCs w:val="21"/>
                <w:lang w:eastAsia="en-US"/>
              </w:rPr>
            </w:pPr>
            <w:r>
              <w:rPr>
                <w:rFonts w:hint="eastAsia" w:eastAsiaTheme="minorEastAsia"/>
                <w:kern w:val="0"/>
                <w:sz w:val="22"/>
                <w:szCs w:val="21"/>
                <w:lang w:eastAsia="en-US"/>
              </w:rPr>
              <w:t>8</w:t>
            </w:r>
          </w:p>
        </w:tc>
        <w:tc>
          <w:tcPr>
            <w:tcW w:w="989" w:type="pct"/>
            <w:vAlign w:val="center"/>
          </w:tcPr>
          <w:p>
            <w:pPr>
              <w:adjustRightInd w:val="0"/>
              <w:snapToGrid w:val="0"/>
              <w:jc w:val="center"/>
              <w:rPr>
                <w:rFonts w:ascii="宋体" w:hAnsi="宋体" w:cs="宋体"/>
                <w:kern w:val="0"/>
                <w:sz w:val="22"/>
                <w:szCs w:val="21"/>
                <w:lang w:eastAsia="en-US"/>
              </w:rPr>
            </w:pPr>
            <w:r>
              <w:rPr>
                <w:rFonts w:hint="eastAsia" w:ascii="宋体" w:hAnsi="宋体" w:cs="宋体"/>
                <w:kern w:val="0"/>
                <w:sz w:val="22"/>
                <w:szCs w:val="21"/>
                <w:lang w:eastAsia="en-US"/>
              </w:rPr>
              <w:t>风机</w:t>
            </w:r>
          </w:p>
        </w:tc>
        <w:tc>
          <w:tcPr>
            <w:tcW w:w="51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2</w:t>
            </w:r>
          </w:p>
        </w:tc>
        <w:tc>
          <w:tcPr>
            <w:tcW w:w="765" w:type="pct"/>
            <w:vMerge w:val="continue"/>
            <w:vAlign w:val="center"/>
          </w:tcPr>
          <w:p>
            <w:pPr>
              <w:adjustRightInd w:val="0"/>
              <w:snapToGrid w:val="0"/>
              <w:jc w:val="center"/>
              <w:rPr>
                <w:rFonts w:ascii="Calibri" w:hAnsi="Calibri"/>
                <w:kern w:val="0"/>
                <w:sz w:val="22"/>
                <w:szCs w:val="22"/>
                <w:lang w:eastAsia="en-US"/>
              </w:rPr>
            </w:pPr>
          </w:p>
        </w:tc>
        <w:tc>
          <w:tcPr>
            <w:tcW w:w="680" w:type="pct"/>
            <w:vAlign w:val="center"/>
          </w:tcPr>
          <w:p>
            <w:pPr>
              <w:adjustRightInd w:val="0"/>
              <w:snapToGrid w:val="0"/>
              <w:jc w:val="center"/>
              <w:rPr>
                <w:rFonts w:eastAsia="Times New Roman"/>
                <w:kern w:val="0"/>
                <w:sz w:val="22"/>
                <w:szCs w:val="21"/>
                <w:lang w:eastAsia="en-US"/>
              </w:rPr>
            </w:pPr>
            <w:r>
              <w:rPr>
                <w:rFonts w:hAnsi="Calibri"/>
                <w:kern w:val="0"/>
                <w:sz w:val="22"/>
                <w:szCs w:val="22"/>
                <w:lang w:eastAsia="en-US"/>
              </w:rPr>
              <w:t>80</w:t>
            </w:r>
          </w:p>
        </w:tc>
        <w:tc>
          <w:tcPr>
            <w:tcW w:w="1760" w:type="pct"/>
            <w:vMerge w:val="continue"/>
            <w:vAlign w:val="center"/>
          </w:tcPr>
          <w:p>
            <w:pPr>
              <w:adjustRightInd w:val="0"/>
              <w:snapToGrid w:val="0"/>
              <w:jc w:val="center"/>
              <w:rPr>
                <w:rFonts w:ascii="Calibri" w:hAnsi="Calibri"/>
                <w:kern w:val="0"/>
                <w:sz w:val="22"/>
                <w:szCs w:val="22"/>
                <w:lang w:eastAsia="en-US"/>
              </w:rPr>
            </w:pPr>
          </w:p>
        </w:tc>
      </w:tr>
    </w:tbl>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预测方法</w:t>
      </w:r>
    </w:p>
    <w:p>
      <w:pPr>
        <w:spacing w:line="360" w:lineRule="auto"/>
        <w:ind w:firstLine="480" w:firstLineChars="200"/>
        <w:rPr>
          <w:b/>
          <w:bCs/>
          <w:sz w:val="24"/>
        </w:rPr>
      </w:pPr>
      <w:r>
        <w:rPr>
          <w:sz w:val="24"/>
          <w:lang w:val="zh-CN"/>
        </w:rPr>
        <w:t>本次环境噪声影响预测采用《环境影响评价技术导则--声环境》（HJ2.4-2009）中推荐的噪声预测模式，《环境影响评价技术导则声环境》（HJ2.4-2009）推荐的公式。</w:t>
      </w:r>
    </w:p>
    <w:p>
      <w:pPr>
        <w:spacing w:line="360" w:lineRule="auto"/>
        <w:ind w:firstLine="480" w:firstLineChars="200"/>
        <w:rPr>
          <w:bCs/>
          <w:sz w:val="24"/>
        </w:rPr>
      </w:pPr>
      <w:r>
        <w:rPr>
          <w:bCs/>
          <w:sz w:val="24"/>
        </w:rPr>
        <w:t>（1）室外点声源预测模式</w:t>
      </w:r>
    </w:p>
    <w:p>
      <w:pPr>
        <w:spacing w:line="360" w:lineRule="auto"/>
        <w:ind w:firstLine="480" w:firstLineChars="200"/>
        <w:rPr>
          <w:sz w:val="24"/>
        </w:rPr>
      </w:pPr>
      <w:r>
        <w:rPr>
          <w:sz w:val="24"/>
        </w:rPr>
        <w:t>根据《环境影响评价技术导则--声环境》（HJ2.4-2009），已知点声源的倍频带声功率级（Lw）或 A 声功率级（L</w:t>
      </w:r>
      <w:r>
        <w:rPr>
          <w:sz w:val="24"/>
          <w:vertAlign w:val="subscript"/>
        </w:rPr>
        <w:t>A</w:t>
      </w:r>
      <w:r>
        <w:rPr>
          <w:sz w:val="24"/>
        </w:rPr>
        <w:t>w），则预测公式为：</w:t>
      </w:r>
    </w:p>
    <w:p>
      <w:pPr>
        <w:spacing w:line="360" w:lineRule="auto"/>
        <w:ind w:firstLine="480" w:firstLineChars="200"/>
        <w:jc w:val="center"/>
        <w:rPr>
          <w:sz w:val="24"/>
        </w:rPr>
      </w:pPr>
      <w:r>
        <w:rPr>
          <w:sz w:val="24"/>
        </w:rPr>
        <w:t>Lp(r)= Lw-20lg(r)-8</w:t>
      </w:r>
    </w:p>
    <w:p>
      <w:pPr>
        <w:spacing w:line="360" w:lineRule="auto"/>
        <w:ind w:firstLine="480" w:firstLineChars="200"/>
        <w:rPr>
          <w:bCs/>
          <w:position w:val="-14"/>
          <w:sz w:val="24"/>
          <w:szCs w:val="28"/>
        </w:rPr>
      </w:pPr>
      <w:r>
        <w:rPr>
          <w:sz w:val="24"/>
        </w:rPr>
        <w:t>其中倍频带声压级和A声级转换公式如下：</w:t>
      </w:r>
    </w:p>
    <w:p>
      <w:pPr>
        <w:spacing w:line="360" w:lineRule="auto"/>
        <w:ind w:firstLine="480" w:firstLineChars="200"/>
        <w:jc w:val="center"/>
        <w:rPr>
          <w:position w:val="-14"/>
          <w:sz w:val="24"/>
          <w:szCs w:val="28"/>
        </w:rPr>
      </w:pPr>
      <w:r>
        <w:rPr>
          <w:position w:val="-14"/>
          <w:sz w:val="24"/>
          <w:szCs w:val="28"/>
        </w:rPr>
        <w:drawing>
          <wp:inline distT="0" distB="0" distL="0" distR="0">
            <wp:extent cx="1948815" cy="50038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948815" cy="500380"/>
                    </a:xfrm>
                    <a:prstGeom prst="rect">
                      <a:avLst/>
                    </a:prstGeom>
                    <a:noFill/>
                    <a:ln>
                      <a:noFill/>
                    </a:ln>
                  </pic:spPr>
                </pic:pic>
              </a:graphicData>
            </a:graphic>
          </wp:inline>
        </w:drawing>
      </w:r>
    </w:p>
    <w:p>
      <w:pPr>
        <w:spacing w:line="360" w:lineRule="auto"/>
        <w:ind w:firstLine="480" w:firstLineChars="200"/>
        <w:jc w:val="left"/>
        <w:rPr>
          <w:sz w:val="24"/>
        </w:rPr>
      </w:pPr>
      <w:r>
        <w:rPr>
          <w:sz w:val="24"/>
        </w:rPr>
        <w:t>（2）室内声源预测模式</w:t>
      </w:r>
    </w:p>
    <w:p>
      <w:pPr>
        <w:spacing w:line="360" w:lineRule="auto"/>
        <w:ind w:firstLine="480" w:firstLineChars="200"/>
        <w:jc w:val="left"/>
        <w:rPr>
          <w:sz w:val="24"/>
        </w:rPr>
      </w:pPr>
      <w:r>
        <w:rPr>
          <w:sz w:val="24"/>
        </w:rPr>
        <w:t>噪声由室内传播到室外时，建筑物墙面相当于一个面声源。面声源衰减规律如下：当预测点和面声源中心距离r处于以下条件时，可按下述方法近似计算：r&lt;a/π时，几乎不衰减（Adiv≈0）；当a/π&lt;r&lt;b/π，距离加倍衰减3dB左右，类似线声源衰减特性（</w:t>
      </w:r>
      <w:r>
        <w:rPr>
          <w:i/>
          <w:sz w:val="24"/>
        </w:rPr>
        <w:t>A</w:t>
      </w:r>
      <w:r>
        <w:rPr>
          <w:i/>
          <w:sz w:val="24"/>
          <w:vertAlign w:val="subscript"/>
        </w:rPr>
        <w:t>div</w:t>
      </w:r>
      <w:r>
        <w:rPr>
          <w:sz w:val="24"/>
        </w:rPr>
        <w:t>≈10lg(</w:t>
      </w:r>
      <w:r>
        <w:rPr>
          <w:i/>
          <w:sz w:val="24"/>
        </w:rPr>
        <w:t>r</w:t>
      </w:r>
      <w:r>
        <w:rPr>
          <w:sz w:val="24"/>
        </w:rPr>
        <w:t>/</w:t>
      </w:r>
      <w:r>
        <w:rPr>
          <w:i/>
          <w:sz w:val="24"/>
        </w:rPr>
        <w:t>r</w:t>
      </w:r>
      <w:r>
        <w:rPr>
          <w:i/>
          <w:sz w:val="24"/>
          <w:vertAlign w:val="subscript"/>
        </w:rPr>
        <w:t>0</w:t>
      </w:r>
      <w:r>
        <w:rPr>
          <w:sz w:val="24"/>
        </w:rPr>
        <w:t>)）；当r&gt;b/π时，距离加倍衰减趋近于6dB，类似点声源衰减特性（</w:t>
      </w:r>
      <w:r>
        <w:rPr>
          <w:i/>
          <w:sz w:val="24"/>
        </w:rPr>
        <w:t>A</w:t>
      </w:r>
      <w:r>
        <w:rPr>
          <w:i/>
          <w:sz w:val="24"/>
          <w:vertAlign w:val="subscript"/>
        </w:rPr>
        <w:t>div</w:t>
      </w:r>
      <w:r>
        <w:rPr>
          <w:sz w:val="24"/>
        </w:rPr>
        <w:t>≈20lg(</w:t>
      </w:r>
      <w:r>
        <w:rPr>
          <w:i/>
          <w:sz w:val="24"/>
        </w:rPr>
        <w:t>r</w:t>
      </w:r>
      <w:r>
        <w:rPr>
          <w:sz w:val="24"/>
        </w:rPr>
        <w:t>/</w:t>
      </w:r>
      <w:r>
        <w:rPr>
          <w:i/>
          <w:sz w:val="24"/>
        </w:rPr>
        <w:t>r</w:t>
      </w:r>
      <w:r>
        <w:rPr>
          <w:i/>
          <w:sz w:val="24"/>
          <w:vertAlign w:val="subscript"/>
        </w:rPr>
        <w:t>0</w:t>
      </w:r>
      <w:r>
        <w:rPr>
          <w:sz w:val="24"/>
        </w:rPr>
        <w:t>)）。其中面声源的b&gt;a。</w:t>
      </w:r>
    </w:p>
    <w:p>
      <w:pPr>
        <w:spacing w:line="360" w:lineRule="auto"/>
        <w:ind w:firstLine="480" w:firstLineChars="200"/>
        <w:jc w:val="left"/>
        <w:rPr>
          <w:sz w:val="24"/>
        </w:rPr>
      </w:pPr>
      <w:r>
        <w:rPr>
          <w:sz w:val="24"/>
        </w:rPr>
        <w:t>图中虚线为实际衰减量。</w:t>
      </w:r>
    </w:p>
    <w:p>
      <w:pPr>
        <w:snapToGrid w:val="0"/>
        <w:spacing w:line="360" w:lineRule="auto"/>
        <w:jc w:val="center"/>
        <w:rPr>
          <w:sz w:val="24"/>
        </w:rPr>
      </w:pPr>
      <w:r>
        <w:rPr>
          <w:sz w:val="24"/>
        </w:rPr>
        <w:drawing>
          <wp:inline distT="0" distB="0" distL="0" distR="0">
            <wp:extent cx="3430905" cy="167513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3430905" cy="1675130"/>
                    </a:xfrm>
                    <a:prstGeom prst="rect">
                      <a:avLst/>
                    </a:prstGeom>
                    <a:noFill/>
                    <a:ln>
                      <a:noFill/>
                    </a:ln>
                  </pic:spPr>
                </pic:pic>
              </a:graphicData>
            </a:graphic>
          </wp:inline>
        </w:drawing>
      </w:r>
    </w:p>
    <w:p>
      <w:pPr>
        <w:spacing w:line="480" w:lineRule="exact"/>
        <w:jc w:val="center"/>
        <w:rPr>
          <w:b/>
          <w:sz w:val="24"/>
        </w:rPr>
      </w:pPr>
      <w:r>
        <w:rPr>
          <w:b/>
          <w:sz w:val="24"/>
        </w:rPr>
        <w:t>图</w:t>
      </w:r>
      <w:r>
        <w:rPr>
          <w:b/>
        </w:rPr>
        <w:t>5.5-</w:t>
      </w:r>
      <w:r>
        <w:rPr>
          <w:b/>
          <w:sz w:val="24"/>
        </w:rPr>
        <w:t>1  长方形面声源中心轴线上的衰减特性</w:t>
      </w:r>
    </w:p>
    <w:p>
      <w:pPr>
        <w:spacing w:line="360" w:lineRule="auto"/>
        <w:ind w:firstLine="480" w:firstLineChars="200"/>
        <w:rPr>
          <w:bCs/>
          <w:sz w:val="24"/>
        </w:rPr>
      </w:pPr>
      <w:r>
        <w:rPr>
          <w:rFonts w:hint="eastAsia" w:ascii="宋体" w:hAnsi="宋体" w:cs="宋体"/>
          <w:bCs/>
          <w:sz w:val="24"/>
        </w:rPr>
        <w:t>①</w:t>
      </w:r>
      <w:r>
        <w:rPr>
          <w:bCs/>
          <w:sz w:val="24"/>
        </w:rPr>
        <w:t>当</w:t>
      </w:r>
      <w:r>
        <w:rPr>
          <w:i/>
          <w:sz w:val="24"/>
        </w:rPr>
        <w:t>r</w:t>
      </w:r>
      <w:r>
        <w:rPr>
          <w:sz w:val="24"/>
        </w:rPr>
        <w:t>&lt;</w:t>
      </w:r>
      <w:r>
        <w:rPr>
          <w:i/>
          <w:sz w:val="24"/>
        </w:rPr>
        <w:t>a</w:t>
      </w:r>
      <w:r>
        <w:rPr>
          <w:sz w:val="24"/>
        </w:rPr>
        <w:t>/</w:t>
      </w:r>
      <w:r>
        <w:rPr>
          <w:i/>
          <w:sz w:val="24"/>
        </w:rPr>
        <w:t>π</w:t>
      </w:r>
      <w:r>
        <w:rPr>
          <w:sz w:val="24"/>
        </w:rPr>
        <w:t>时</w:t>
      </w:r>
    </w:p>
    <w:p>
      <w:pPr>
        <w:spacing w:line="360" w:lineRule="auto"/>
        <w:ind w:firstLine="480" w:firstLineChars="200"/>
        <w:rPr>
          <w:sz w:val="24"/>
        </w:rPr>
      </w:pPr>
      <w:r>
        <w:rPr>
          <w:bCs/>
          <w:sz w:val="24"/>
        </w:rPr>
        <w:t>声压级几乎不衰减，</w:t>
      </w:r>
      <w:r>
        <w:rPr>
          <w:sz w:val="24"/>
        </w:rPr>
        <w:t>r处的声压级按下式计算：</w:t>
      </w:r>
    </w:p>
    <w:p>
      <w:pPr>
        <w:spacing w:line="360" w:lineRule="auto"/>
        <w:jc w:val="center"/>
        <w:rPr>
          <w:bCs/>
          <w:position w:val="-14"/>
          <w:sz w:val="24"/>
        </w:rPr>
      </w:pPr>
      <w:r>
        <w:rPr>
          <w:bCs/>
          <w:i/>
          <w:position w:val="-14"/>
          <w:sz w:val="24"/>
        </w:rPr>
        <w:t>L</w:t>
      </w:r>
      <w:r>
        <w:rPr>
          <w:bCs/>
          <w:i/>
          <w:position w:val="-14"/>
          <w:sz w:val="24"/>
          <w:vertAlign w:val="subscript"/>
        </w:rPr>
        <w:t>A</w:t>
      </w:r>
      <w:r>
        <w:rPr>
          <w:bCs/>
          <w:position w:val="-14"/>
          <w:sz w:val="24"/>
        </w:rPr>
        <w:t>(</w:t>
      </w:r>
      <w:r>
        <w:rPr>
          <w:bCs/>
          <w:i/>
          <w:position w:val="-14"/>
          <w:sz w:val="24"/>
        </w:rPr>
        <w:t>r</w:t>
      </w:r>
      <w:r>
        <w:rPr>
          <w:bCs/>
          <w:position w:val="-14"/>
          <w:sz w:val="24"/>
        </w:rPr>
        <w:t xml:space="preserve">) = </w:t>
      </w:r>
      <w:r>
        <w:rPr>
          <w:bCs/>
          <w:i/>
          <w:position w:val="-14"/>
          <w:sz w:val="24"/>
        </w:rPr>
        <w:t>L</w:t>
      </w:r>
      <w:r>
        <w:rPr>
          <w:bCs/>
          <w:i/>
          <w:position w:val="-14"/>
          <w:sz w:val="24"/>
          <w:vertAlign w:val="subscript"/>
        </w:rPr>
        <w:t>A</w:t>
      </w:r>
      <w:r>
        <w:rPr>
          <w:bCs/>
          <w:position w:val="-14"/>
          <w:sz w:val="24"/>
        </w:rPr>
        <w:t>(</w:t>
      </w:r>
      <w:r>
        <w:rPr>
          <w:bCs/>
          <w:i/>
          <w:position w:val="-14"/>
          <w:sz w:val="24"/>
        </w:rPr>
        <w:t>r</w:t>
      </w:r>
      <w:r>
        <w:rPr>
          <w:bCs/>
          <w:i/>
          <w:position w:val="-14"/>
          <w:sz w:val="24"/>
          <w:vertAlign w:val="subscript"/>
        </w:rPr>
        <w:t>0</w:t>
      </w:r>
      <w:r>
        <w:rPr>
          <w:bCs/>
          <w:position w:val="-14"/>
          <w:sz w:val="24"/>
        </w:rPr>
        <w:t>)</w:t>
      </w:r>
    </w:p>
    <w:p>
      <w:pPr>
        <w:spacing w:line="360" w:lineRule="auto"/>
        <w:ind w:firstLine="480" w:firstLineChars="200"/>
        <w:rPr>
          <w:bCs/>
          <w:sz w:val="24"/>
        </w:rPr>
      </w:pPr>
      <w:r>
        <w:rPr>
          <w:rFonts w:hint="eastAsia" w:ascii="宋体" w:hAnsi="宋体" w:cs="宋体"/>
          <w:bCs/>
          <w:sz w:val="24"/>
        </w:rPr>
        <w:t>②</w:t>
      </w:r>
      <w:r>
        <w:rPr>
          <w:bCs/>
          <w:sz w:val="24"/>
        </w:rPr>
        <w:t>当</w:t>
      </w:r>
      <w:r>
        <w:rPr>
          <w:i/>
          <w:sz w:val="24"/>
        </w:rPr>
        <w:t>a</w:t>
      </w:r>
      <w:r>
        <w:rPr>
          <w:sz w:val="24"/>
        </w:rPr>
        <w:t>/</w:t>
      </w:r>
      <w:r>
        <w:rPr>
          <w:i/>
          <w:sz w:val="24"/>
        </w:rPr>
        <w:t>π</w:t>
      </w:r>
      <w:r>
        <w:rPr>
          <w:sz w:val="24"/>
        </w:rPr>
        <w:t>&lt;</w:t>
      </w:r>
      <w:r>
        <w:rPr>
          <w:i/>
          <w:sz w:val="24"/>
        </w:rPr>
        <w:t>r</w:t>
      </w:r>
      <w:r>
        <w:rPr>
          <w:sz w:val="24"/>
        </w:rPr>
        <w:t>&lt;</w:t>
      </w:r>
      <w:r>
        <w:rPr>
          <w:i/>
          <w:sz w:val="24"/>
        </w:rPr>
        <w:t>b</w:t>
      </w:r>
      <w:r>
        <w:rPr>
          <w:sz w:val="24"/>
        </w:rPr>
        <w:t>/</w:t>
      </w:r>
      <w:r>
        <w:rPr>
          <w:i/>
          <w:sz w:val="24"/>
        </w:rPr>
        <w:t>π</w:t>
      </w:r>
      <w:r>
        <w:rPr>
          <w:sz w:val="24"/>
        </w:rPr>
        <w:t>时</w:t>
      </w:r>
    </w:p>
    <w:p>
      <w:pPr>
        <w:spacing w:line="360" w:lineRule="auto"/>
        <w:ind w:firstLine="480" w:firstLineChars="200"/>
        <w:rPr>
          <w:sz w:val="24"/>
        </w:rPr>
      </w:pPr>
      <w:r>
        <w:rPr>
          <w:bCs/>
          <w:sz w:val="24"/>
        </w:rPr>
        <w:t>声压级随着距离加倍衰减3dB左右，类似线声源衰减特性，</w:t>
      </w:r>
      <w:r>
        <w:rPr>
          <w:sz w:val="24"/>
        </w:rPr>
        <w:t>r处的声压级按下式计算：</w:t>
      </w:r>
    </w:p>
    <w:p>
      <w:pPr>
        <w:spacing w:line="360" w:lineRule="auto"/>
        <w:jc w:val="center"/>
        <w:rPr>
          <w:bCs/>
          <w:position w:val="-14"/>
          <w:sz w:val="24"/>
          <w:lang w:val="fr-FR"/>
        </w:rPr>
      </w:pPr>
      <w:r>
        <w:rPr>
          <w:bCs/>
          <w:i/>
          <w:position w:val="-14"/>
          <w:sz w:val="24"/>
          <w:lang w:val="fr-FR"/>
        </w:rPr>
        <w:t>L</w:t>
      </w:r>
      <w:r>
        <w:rPr>
          <w:bCs/>
          <w:i/>
          <w:position w:val="-14"/>
          <w:sz w:val="24"/>
          <w:vertAlign w:val="subscript"/>
          <w:lang w:val="fr-FR"/>
        </w:rPr>
        <w:t>A</w:t>
      </w:r>
      <w:r>
        <w:rPr>
          <w:bCs/>
          <w:position w:val="-14"/>
          <w:sz w:val="24"/>
          <w:lang w:val="fr-FR"/>
        </w:rPr>
        <w:t>(</w:t>
      </w:r>
      <w:r>
        <w:rPr>
          <w:bCs/>
          <w:i/>
          <w:position w:val="-14"/>
          <w:sz w:val="24"/>
          <w:lang w:val="fr-FR"/>
        </w:rPr>
        <w:t>r</w:t>
      </w:r>
      <w:r>
        <w:rPr>
          <w:bCs/>
          <w:position w:val="-14"/>
          <w:sz w:val="24"/>
          <w:lang w:val="fr-FR"/>
        </w:rPr>
        <w:t xml:space="preserve">) = </w:t>
      </w:r>
      <w:r>
        <w:rPr>
          <w:bCs/>
          <w:i/>
          <w:position w:val="-14"/>
          <w:sz w:val="24"/>
          <w:lang w:val="fr-FR"/>
        </w:rPr>
        <w:t>L</w:t>
      </w:r>
      <w:r>
        <w:rPr>
          <w:bCs/>
          <w:i/>
          <w:position w:val="-14"/>
          <w:sz w:val="24"/>
          <w:vertAlign w:val="subscript"/>
          <w:lang w:val="fr-FR"/>
        </w:rPr>
        <w:t>A1</w:t>
      </w:r>
      <w:r>
        <w:rPr>
          <w:bCs/>
          <w:position w:val="-14"/>
          <w:sz w:val="24"/>
          <w:lang w:val="fr-FR"/>
        </w:rPr>
        <w:t>(</w:t>
      </w:r>
      <w:r>
        <w:rPr>
          <w:bCs/>
          <w:i/>
          <w:position w:val="-14"/>
          <w:sz w:val="24"/>
          <w:lang w:val="fr-FR"/>
        </w:rPr>
        <w:t>r</w:t>
      </w:r>
      <w:r>
        <w:rPr>
          <w:bCs/>
          <w:i/>
          <w:position w:val="-14"/>
          <w:sz w:val="24"/>
          <w:vertAlign w:val="subscript"/>
          <w:lang w:val="fr-FR"/>
        </w:rPr>
        <w:t>0</w:t>
      </w:r>
      <w:r>
        <w:rPr>
          <w:bCs/>
          <w:position w:val="-14"/>
          <w:sz w:val="24"/>
          <w:lang w:val="fr-FR"/>
        </w:rPr>
        <w:t>) - 10lg (</w:t>
      </w:r>
      <w:r>
        <w:rPr>
          <w:bCs/>
          <w:i/>
          <w:position w:val="-14"/>
          <w:sz w:val="24"/>
          <w:lang w:val="fr-FR"/>
        </w:rPr>
        <w:t>r</w:t>
      </w:r>
      <w:r>
        <w:rPr>
          <w:bCs/>
          <w:position w:val="-14"/>
          <w:sz w:val="24"/>
          <w:lang w:val="fr-FR"/>
        </w:rPr>
        <w:t>/</w:t>
      </w:r>
      <w:r>
        <w:rPr>
          <w:bCs/>
          <w:i/>
          <w:position w:val="-14"/>
          <w:sz w:val="24"/>
          <w:lang w:val="fr-FR"/>
        </w:rPr>
        <w:t>r</w:t>
      </w:r>
      <w:r>
        <w:rPr>
          <w:bCs/>
          <w:i/>
          <w:position w:val="-14"/>
          <w:sz w:val="24"/>
          <w:vertAlign w:val="subscript"/>
          <w:lang w:val="fr-FR"/>
        </w:rPr>
        <w:t>0</w:t>
      </w:r>
      <w:r>
        <w:rPr>
          <w:bCs/>
          <w:position w:val="-14"/>
          <w:sz w:val="24"/>
          <w:lang w:val="fr-FR"/>
        </w:rPr>
        <w:t>)</w:t>
      </w:r>
    </w:p>
    <w:p>
      <w:pPr>
        <w:spacing w:line="360" w:lineRule="auto"/>
        <w:ind w:firstLine="480" w:firstLineChars="200"/>
        <w:rPr>
          <w:bCs/>
          <w:sz w:val="24"/>
        </w:rPr>
      </w:pPr>
      <w:r>
        <w:rPr>
          <w:rFonts w:hint="eastAsia" w:ascii="宋体" w:hAnsi="宋体" w:cs="宋体"/>
          <w:bCs/>
          <w:sz w:val="24"/>
        </w:rPr>
        <w:t>③</w:t>
      </w:r>
      <w:r>
        <w:rPr>
          <w:sz w:val="24"/>
        </w:rPr>
        <w:t>当</w:t>
      </w:r>
      <w:r>
        <w:rPr>
          <w:i/>
          <w:sz w:val="24"/>
        </w:rPr>
        <w:t>r</w:t>
      </w:r>
      <w:r>
        <w:rPr>
          <w:sz w:val="24"/>
        </w:rPr>
        <w:t>&gt;</w:t>
      </w:r>
      <w:r>
        <w:rPr>
          <w:i/>
          <w:sz w:val="24"/>
        </w:rPr>
        <w:t>b</w:t>
      </w:r>
      <w:r>
        <w:rPr>
          <w:sz w:val="24"/>
        </w:rPr>
        <w:t>/</w:t>
      </w:r>
      <w:r>
        <w:rPr>
          <w:i/>
          <w:sz w:val="24"/>
        </w:rPr>
        <w:t>π</w:t>
      </w:r>
      <w:r>
        <w:rPr>
          <w:sz w:val="24"/>
        </w:rPr>
        <w:t>时</w:t>
      </w:r>
    </w:p>
    <w:p>
      <w:pPr>
        <w:spacing w:line="360" w:lineRule="auto"/>
        <w:ind w:firstLine="480" w:firstLineChars="200"/>
        <w:rPr>
          <w:bCs/>
          <w:sz w:val="24"/>
          <w:szCs w:val="24"/>
        </w:rPr>
      </w:pPr>
      <w:r>
        <w:rPr>
          <w:bCs/>
          <w:sz w:val="24"/>
          <w:szCs w:val="24"/>
        </w:rPr>
        <w:t>声压级随着</w:t>
      </w:r>
      <w:r>
        <w:rPr>
          <w:sz w:val="24"/>
          <w:szCs w:val="24"/>
        </w:rPr>
        <w:t>距离加倍衰减趋近于6dB，类似点声源衰减特性</w:t>
      </w:r>
      <w:r>
        <w:rPr>
          <w:bCs/>
          <w:sz w:val="24"/>
          <w:szCs w:val="24"/>
        </w:rPr>
        <w:t>，</w:t>
      </w:r>
      <w:r>
        <w:rPr>
          <w:sz w:val="24"/>
          <w:szCs w:val="24"/>
        </w:rPr>
        <w:t>r处的声压级按下式：</w:t>
      </w:r>
    </w:p>
    <w:p>
      <w:pPr>
        <w:spacing w:line="360" w:lineRule="auto"/>
        <w:ind w:firstLine="480" w:firstLineChars="200"/>
        <w:jc w:val="center"/>
        <w:rPr>
          <w:sz w:val="24"/>
          <w:szCs w:val="24"/>
        </w:rPr>
      </w:pPr>
      <w:r>
        <w:rPr>
          <w:sz w:val="24"/>
          <w:szCs w:val="24"/>
        </w:rPr>
        <w:t>LA1(r</w:t>
      </w:r>
      <w:r>
        <w:rPr>
          <w:sz w:val="24"/>
          <w:szCs w:val="24"/>
          <w:vertAlign w:val="subscript"/>
        </w:rPr>
        <w:t>0</w:t>
      </w:r>
      <w:r>
        <w:rPr>
          <w:sz w:val="24"/>
          <w:szCs w:val="24"/>
        </w:rPr>
        <w:t>) = LA(r</w:t>
      </w:r>
      <w:r>
        <w:rPr>
          <w:sz w:val="24"/>
          <w:szCs w:val="24"/>
          <w:vertAlign w:val="subscript"/>
        </w:rPr>
        <w:t>0</w:t>
      </w:r>
      <w:r>
        <w:rPr>
          <w:sz w:val="24"/>
          <w:szCs w:val="24"/>
        </w:rPr>
        <w:t>) - 10lg (b/a)    r</w:t>
      </w:r>
      <w:r>
        <w:rPr>
          <w:sz w:val="24"/>
          <w:szCs w:val="24"/>
          <w:vertAlign w:val="subscript"/>
        </w:rPr>
        <w:t>0</w:t>
      </w:r>
      <w:r>
        <w:rPr>
          <w:sz w:val="24"/>
          <w:szCs w:val="24"/>
        </w:rPr>
        <w:t xml:space="preserve"> = b/π</w:t>
      </w:r>
    </w:p>
    <w:p>
      <w:pPr>
        <w:spacing w:line="360" w:lineRule="auto"/>
        <w:ind w:firstLine="2880" w:firstLineChars="1200"/>
        <w:rPr>
          <w:sz w:val="24"/>
          <w:szCs w:val="24"/>
        </w:rPr>
      </w:pPr>
      <w:r>
        <w:rPr>
          <w:sz w:val="24"/>
          <w:szCs w:val="24"/>
        </w:rPr>
        <w:t>LA(r) = LA1(r</w:t>
      </w:r>
      <w:r>
        <w:rPr>
          <w:sz w:val="24"/>
          <w:szCs w:val="24"/>
          <w:vertAlign w:val="subscript"/>
        </w:rPr>
        <w:t>0</w:t>
      </w:r>
      <w:r>
        <w:rPr>
          <w:sz w:val="24"/>
          <w:szCs w:val="24"/>
        </w:rPr>
        <w:t>) - 20lg (r/r</w:t>
      </w:r>
      <w:r>
        <w:rPr>
          <w:sz w:val="24"/>
          <w:szCs w:val="24"/>
          <w:vertAlign w:val="subscript"/>
        </w:rPr>
        <w:t>0</w:t>
      </w:r>
      <w:r>
        <w:rPr>
          <w:sz w:val="24"/>
          <w:szCs w:val="24"/>
        </w:rPr>
        <w:t>)</w:t>
      </w:r>
    </w:p>
    <w:p>
      <w:pPr>
        <w:spacing w:line="480" w:lineRule="atLeast"/>
        <w:ind w:firstLine="482" w:firstLineChars="200"/>
        <w:rPr>
          <w:b/>
          <w:bCs/>
          <w:sz w:val="24"/>
        </w:rPr>
      </w:pPr>
      <w:r>
        <w:rPr>
          <w:b/>
          <w:bCs/>
          <w:sz w:val="24"/>
        </w:rPr>
        <w:t>（3）预测点的等效声级贡献值</w:t>
      </w:r>
    </w:p>
    <w:p>
      <w:pPr>
        <w:spacing w:line="480" w:lineRule="atLeast"/>
        <w:ind w:firstLine="480" w:firstLineChars="200"/>
        <w:rPr>
          <w:bCs/>
          <w:sz w:val="24"/>
        </w:rPr>
      </w:pPr>
      <w:r>
        <w:rPr>
          <w:bCs/>
          <w:sz w:val="24"/>
        </w:rPr>
        <w:t>第i个室外声源在预测点产生的A声级为L</w:t>
      </w:r>
      <w:r>
        <w:rPr>
          <w:bCs/>
          <w:sz w:val="24"/>
          <w:vertAlign w:val="subscript"/>
        </w:rPr>
        <w:t>Ai</w:t>
      </w:r>
      <w:r>
        <w:rPr>
          <w:bCs/>
          <w:sz w:val="24"/>
        </w:rPr>
        <w:t>，在T时间内该声源工作时间为t</w:t>
      </w:r>
      <w:r>
        <w:rPr>
          <w:bCs/>
          <w:sz w:val="24"/>
          <w:vertAlign w:val="subscript"/>
        </w:rPr>
        <w:t>i</w:t>
      </w:r>
      <w:r>
        <w:rPr>
          <w:bCs/>
          <w:sz w:val="24"/>
        </w:rPr>
        <w:t>；第j个等效室外声源在预测点产生的A声级为L</w:t>
      </w:r>
      <w:r>
        <w:rPr>
          <w:bCs/>
          <w:sz w:val="24"/>
          <w:vertAlign w:val="subscript"/>
        </w:rPr>
        <w:t>Aj</w:t>
      </w:r>
      <w:r>
        <w:rPr>
          <w:bCs/>
          <w:sz w:val="24"/>
        </w:rPr>
        <w:t>，本项目各声源对预测点产生的贡献值（L</w:t>
      </w:r>
      <w:r>
        <w:rPr>
          <w:bCs/>
          <w:sz w:val="24"/>
          <w:vertAlign w:val="subscript"/>
        </w:rPr>
        <w:t>eqg</w:t>
      </w:r>
      <w:r>
        <w:rPr>
          <w:bCs/>
          <w:sz w:val="24"/>
        </w:rPr>
        <w:t>）为：</w:t>
      </w:r>
    </w:p>
    <w:p>
      <w:pPr>
        <w:spacing w:line="360" w:lineRule="auto"/>
        <w:jc w:val="center"/>
        <w:rPr>
          <w:bCs/>
          <w:sz w:val="24"/>
        </w:rPr>
      </w:pPr>
      <w:r>
        <w:rPr>
          <w:sz w:val="24"/>
        </w:rPr>
        <w:drawing>
          <wp:inline distT="0" distB="0" distL="0" distR="0">
            <wp:extent cx="2769870" cy="54038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769870" cy="540385"/>
                    </a:xfrm>
                    <a:prstGeom prst="rect">
                      <a:avLst/>
                    </a:prstGeom>
                    <a:noFill/>
                    <a:ln>
                      <a:noFill/>
                    </a:ln>
                  </pic:spPr>
                </pic:pic>
              </a:graphicData>
            </a:graphic>
          </wp:inline>
        </w:drawing>
      </w:r>
    </w:p>
    <w:p>
      <w:pPr>
        <w:spacing w:line="360" w:lineRule="auto"/>
        <w:ind w:firstLine="480" w:firstLineChars="200"/>
        <w:jc w:val="left"/>
        <w:rPr>
          <w:bCs/>
          <w:sz w:val="24"/>
        </w:rPr>
      </w:pPr>
      <w:r>
        <w:rPr>
          <w:bCs/>
          <w:sz w:val="24"/>
        </w:rPr>
        <w:t>式中：</w:t>
      </w:r>
      <w:r>
        <w:rPr>
          <w:bCs/>
          <w:i/>
          <w:sz w:val="24"/>
        </w:rPr>
        <w:t>L</w:t>
      </w:r>
      <w:r>
        <w:rPr>
          <w:bCs/>
          <w:i/>
          <w:sz w:val="24"/>
          <w:vertAlign w:val="subscript"/>
        </w:rPr>
        <w:t>eqg</w:t>
      </w:r>
      <w:r>
        <w:rPr>
          <w:bCs/>
          <w:sz w:val="24"/>
        </w:rPr>
        <w:t xml:space="preserve"> ——建设项目声源在预测点的等效声级贡献值，dB(A)；</w:t>
      </w:r>
    </w:p>
    <w:p>
      <w:pPr>
        <w:spacing w:line="360" w:lineRule="auto"/>
        <w:ind w:firstLine="1200" w:firstLineChars="500"/>
        <w:jc w:val="left"/>
        <w:rPr>
          <w:bCs/>
          <w:sz w:val="24"/>
        </w:rPr>
      </w:pPr>
      <w:r>
        <w:rPr>
          <w:position w:val="-12"/>
          <w:sz w:val="24"/>
        </w:rPr>
        <w:drawing>
          <wp:inline distT="0" distB="0" distL="0" distR="0">
            <wp:extent cx="327025" cy="19367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327025" cy="193675"/>
                    </a:xfrm>
                    <a:prstGeom prst="rect">
                      <a:avLst/>
                    </a:prstGeom>
                    <a:noFill/>
                    <a:ln>
                      <a:noFill/>
                    </a:ln>
                  </pic:spPr>
                </pic:pic>
              </a:graphicData>
            </a:graphic>
          </wp:inline>
        </w:drawing>
      </w:r>
      <w:r>
        <w:rPr>
          <w:bCs/>
          <w:sz w:val="24"/>
        </w:rPr>
        <w:t>——i声源在预测点产生的A声级，dB(A)；</w:t>
      </w:r>
    </w:p>
    <w:p>
      <w:pPr>
        <w:spacing w:line="360" w:lineRule="auto"/>
        <w:ind w:firstLine="1200" w:firstLineChars="500"/>
        <w:jc w:val="left"/>
        <w:rPr>
          <w:bCs/>
          <w:sz w:val="24"/>
        </w:rPr>
      </w:pPr>
      <w:r>
        <w:rPr>
          <w:position w:val="-12"/>
          <w:sz w:val="24"/>
        </w:rPr>
        <w:drawing>
          <wp:inline distT="0" distB="0" distL="0" distR="0">
            <wp:extent cx="160020" cy="1936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160020" cy="193675"/>
                    </a:xfrm>
                    <a:prstGeom prst="rect">
                      <a:avLst/>
                    </a:prstGeom>
                    <a:noFill/>
                    <a:ln>
                      <a:noFill/>
                    </a:ln>
                  </pic:spPr>
                </pic:pic>
              </a:graphicData>
            </a:graphic>
          </wp:inline>
        </w:drawing>
      </w:r>
      <w:r>
        <w:rPr>
          <w:bCs/>
          <w:sz w:val="24"/>
        </w:rPr>
        <w:t>——i声源在T时间段内的运行时间，S；</w:t>
      </w:r>
    </w:p>
    <w:p>
      <w:pPr>
        <w:spacing w:line="360" w:lineRule="auto"/>
        <w:ind w:firstLine="1320" w:firstLineChars="550"/>
        <w:rPr>
          <w:bCs/>
          <w:sz w:val="24"/>
        </w:rPr>
      </w:pPr>
      <w:r>
        <w:rPr>
          <w:bCs/>
          <w:i/>
          <w:sz w:val="24"/>
        </w:rPr>
        <w:t>t</w:t>
      </w:r>
      <w:r>
        <w:rPr>
          <w:bCs/>
          <w:i/>
          <w:sz w:val="24"/>
          <w:vertAlign w:val="subscript"/>
        </w:rPr>
        <w:t>j</w:t>
      </w:r>
      <w:r>
        <w:rPr>
          <w:bCs/>
          <w:sz w:val="24"/>
        </w:rPr>
        <w:t xml:space="preserve"> ——在 T 时间内 j 声源工作时间，s；</w:t>
      </w:r>
    </w:p>
    <w:p>
      <w:pPr>
        <w:spacing w:line="360" w:lineRule="auto"/>
        <w:ind w:firstLine="1320" w:firstLineChars="550"/>
        <w:rPr>
          <w:bCs/>
          <w:sz w:val="24"/>
        </w:rPr>
      </w:pPr>
      <w:r>
        <w:rPr>
          <w:bCs/>
          <w:i/>
          <w:sz w:val="24"/>
        </w:rPr>
        <w:t>t</w:t>
      </w:r>
      <w:r>
        <w:rPr>
          <w:bCs/>
          <w:i/>
          <w:sz w:val="24"/>
          <w:vertAlign w:val="subscript"/>
        </w:rPr>
        <w:t>i</w:t>
      </w:r>
      <w:r>
        <w:rPr>
          <w:bCs/>
          <w:sz w:val="24"/>
        </w:rPr>
        <w:t xml:space="preserve"> ——在 T 时间内 i 声源工作时间，s；</w:t>
      </w:r>
    </w:p>
    <w:p>
      <w:pPr>
        <w:spacing w:line="360" w:lineRule="auto"/>
        <w:ind w:firstLine="1320" w:firstLineChars="550"/>
        <w:rPr>
          <w:bCs/>
          <w:sz w:val="24"/>
        </w:rPr>
      </w:pPr>
      <w:r>
        <w:rPr>
          <w:bCs/>
          <w:i/>
          <w:sz w:val="24"/>
        </w:rPr>
        <w:t>T</w:t>
      </w:r>
      <w:r>
        <w:rPr>
          <w:bCs/>
          <w:sz w:val="24"/>
        </w:rPr>
        <w:t xml:space="preserve"> ——用于计算等效声级的时间，s；</w:t>
      </w:r>
    </w:p>
    <w:p>
      <w:pPr>
        <w:spacing w:line="360" w:lineRule="auto"/>
        <w:ind w:firstLine="1320" w:firstLineChars="550"/>
        <w:rPr>
          <w:bCs/>
          <w:sz w:val="24"/>
        </w:rPr>
      </w:pPr>
      <w:r>
        <w:rPr>
          <w:bCs/>
          <w:i/>
          <w:sz w:val="24"/>
        </w:rPr>
        <w:t>N</w:t>
      </w:r>
      <w:r>
        <w:rPr>
          <w:bCs/>
          <w:sz w:val="24"/>
        </w:rPr>
        <w:t xml:space="preserve"> ——室外声源个数；</w:t>
      </w:r>
    </w:p>
    <w:p>
      <w:pPr>
        <w:spacing w:line="360" w:lineRule="auto"/>
        <w:ind w:firstLine="1320" w:firstLineChars="550"/>
        <w:rPr>
          <w:bCs/>
          <w:sz w:val="24"/>
        </w:rPr>
      </w:pPr>
      <w:r>
        <w:rPr>
          <w:bCs/>
          <w:i/>
          <w:sz w:val="24"/>
        </w:rPr>
        <w:t>M</w:t>
      </w:r>
      <w:r>
        <w:rPr>
          <w:bCs/>
          <w:sz w:val="24"/>
        </w:rPr>
        <w:t xml:space="preserve"> ——等效室外声源个数。</w:t>
      </w:r>
    </w:p>
    <w:p>
      <w:pPr>
        <w:spacing w:line="360" w:lineRule="auto"/>
        <w:ind w:firstLine="480" w:firstLineChars="200"/>
        <w:rPr>
          <w:sz w:val="24"/>
          <w:szCs w:val="24"/>
        </w:rPr>
      </w:pPr>
      <w:r>
        <w:rPr>
          <w:sz w:val="24"/>
          <w:szCs w:val="24"/>
        </w:rPr>
        <w:t>对于同一个构筑物内的点声源，本次通过声级叠加的方式计算得出综合噪声源强LA（r</w:t>
      </w:r>
      <w:r>
        <w:rPr>
          <w:sz w:val="24"/>
          <w:szCs w:val="24"/>
          <w:vertAlign w:val="subscript"/>
        </w:rPr>
        <w:t>0</w:t>
      </w:r>
      <w:r>
        <w:rPr>
          <w:sz w:val="24"/>
          <w:szCs w:val="24"/>
        </w:rPr>
        <w:t>），再通过上述等效面声源公式</w:t>
      </w:r>
      <w:r>
        <w:rPr>
          <w:bCs/>
          <w:i/>
          <w:sz w:val="24"/>
          <w:szCs w:val="24"/>
          <w:lang w:val="fr-FR"/>
        </w:rPr>
        <w:t>L</w:t>
      </w:r>
      <w:r>
        <w:rPr>
          <w:bCs/>
          <w:i/>
          <w:sz w:val="24"/>
          <w:szCs w:val="24"/>
          <w:vertAlign w:val="subscript"/>
          <w:lang w:val="fr-FR"/>
        </w:rPr>
        <w:t>A1</w:t>
      </w:r>
      <w:r>
        <w:rPr>
          <w:bCs/>
          <w:sz w:val="24"/>
          <w:szCs w:val="24"/>
          <w:lang w:val="fr-FR"/>
        </w:rPr>
        <w:t>(</w:t>
      </w:r>
      <w:r>
        <w:rPr>
          <w:bCs/>
          <w:i/>
          <w:sz w:val="24"/>
          <w:szCs w:val="24"/>
          <w:lang w:val="fr-FR"/>
        </w:rPr>
        <w:t>r</w:t>
      </w:r>
      <w:r>
        <w:rPr>
          <w:bCs/>
          <w:i/>
          <w:sz w:val="24"/>
          <w:szCs w:val="24"/>
          <w:vertAlign w:val="subscript"/>
          <w:lang w:val="fr-FR"/>
        </w:rPr>
        <w:t>0</w:t>
      </w:r>
      <w:r>
        <w:rPr>
          <w:bCs/>
          <w:sz w:val="24"/>
          <w:szCs w:val="24"/>
          <w:lang w:val="fr-FR"/>
        </w:rPr>
        <w:t xml:space="preserve">) = </w:t>
      </w:r>
      <w:r>
        <w:rPr>
          <w:bCs/>
          <w:i/>
          <w:sz w:val="24"/>
          <w:szCs w:val="24"/>
          <w:lang w:val="fr-FR"/>
        </w:rPr>
        <w:t>L</w:t>
      </w:r>
      <w:r>
        <w:rPr>
          <w:bCs/>
          <w:i/>
          <w:sz w:val="24"/>
          <w:szCs w:val="24"/>
          <w:vertAlign w:val="subscript"/>
          <w:lang w:val="fr-FR"/>
        </w:rPr>
        <w:t>A</w:t>
      </w:r>
      <w:r>
        <w:rPr>
          <w:bCs/>
          <w:sz w:val="24"/>
          <w:szCs w:val="24"/>
          <w:lang w:val="fr-FR"/>
        </w:rPr>
        <w:t>(</w:t>
      </w:r>
      <w:r>
        <w:rPr>
          <w:bCs/>
          <w:i/>
          <w:sz w:val="24"/>
          <w:szCs w:val="24"/>
          <w:lang w:val="fr-FR"/>
        </w:rPr>
        <w:t>r</w:t>
      </w:r>
      <w:r>
        <w:rPr>
          <w:bCs/>
          <w:i/>
          <w:sz w:val="24"/>
          <w:szCs w:val="24"/>
          <w:vertAlign w:val="subscript"/>
          <w:lang w:val="fr-FR"/>
        </w:rPr>
        <w:t>0</w:t>
      </w:r>
      <w:r>
        <w:rPr>
          <w:bCs/>
          <w:sz w:val="24"/>
          <w:szCs w:val="24"/>
          <w:lang w:val="fr-FR"/>
        </w:rPr>
        <w:t>) - 10lg (</w:t>
      </w:r>
      <w:r>
        <w:rPr>
          <w:bCs/>
          <w:i/>
          <w:sz w:val="24"/>
          <w:szCs w:val="24"/>
          <w:lang w:val="fr-FR"/>
        </w:rPr>
        <w:t>b</w:t>
      </w:r>
      <w:r>
        <w:rPr>
          <w:bCs/>
          <w:sz w:val="24"/>
          <w:szCs w:val="24"/>
          <w:lang w:val="fr-FR"/>
        </w:rPr>
        <w:t>/</w:t>
      </w:r>
      <w:r>
        <w:rPr>
          <w:bCs/>
          <w:i/>
          <w:sz w:val="24"/>
          <w:szCs w:val="24"/>
          <w:lang w:val="fr-FR"/>
        </w:rPr>
        <w:t>a</w:t>
      </w:r>
      <w:r>
        <w:rPr>
          <w:bCs/>
          <w:sz w:val="24"/>
          <w:szCs w:val="24"/>
          <w:lang w:val="fr-FR"/>
        </w:rPr>
        <w:t>)计算得出</w:t>
      </w:r>
      <w:r>
        <w:rPr>
          <w:bCs/>
          <w:i/>
          <w:sz w:val="24"/>
          <w:szCs w:val="24"/>
          <w:lang w:val="fr-FR"/>
        </w:rPr>
        <w:t>L</w:t>
      </w:r>
      <w:r>
        <w:rPr>
          <w:bCs/>
          <w:i/>
          <w:sz w:val="24"/>
          <w:szCs w:val="24"/>
          <w:vertAlign w:val="subscript"/>
          <w:lang w:val="fr-FR"/>
        </w:rPr>
        <w:t>A1</w:t>
      </w:r>
      <w:r>
        <w:rPr>
          <w:bCs/>
          <w:sz w:val="24"/>
          <w:szCs w:val="24"/>
          <w:lang w:val="fr-FR"/>
        </w:rPr>
        <w:t>(</w:t>
      </w:r>
      <w:r>
        <w:rPr>
          <w:bCs/>
          <w:i/>
          <w:sz w:val="24"/>
          <w:szCs w:val="24"/>
          <w:lang w:val="fr-FR"/>
        </w:rPr>
        <w:t>r</w:t>
      </w:r>
      <w:r>
        <w:rPr>
          <w:bCs/>
          <w:i/>
          <w:sz w:val="24"/>
          <w:szCs w:val="24"/>
          <w:vertAlign w:val="subscript"/>
          <w:lang w:val="fr-FR"/>
        </w:rPr>
        <w:t>0</w:t>
      </w:r>
      <w:r>
        <w:rPr>
          <w:bCs/>
          <w:sz w:val="24"/>
          <w:szCs w:val="24"/>
          <w:lang w:val="fr-FR"/>
        </w:rPr>
        <w:t>)，将其等效成面声源，再运用</w:t>
      </w:r>
      <w:r>
        <w:rPr>
          <w:bCs/>
          <w:i/>
          <w:sz w:val="24"/>
          <w:szCs w:val="24"/>
          <w:lang w:val="fr-FR"/>
        </w:rPr>
        <w:t>L</w:t>
      </w:r>
      <w:r>
        <w:rPr>
          <w:bCs/>
          <w:i/>
          <w:sz w:val="24"/>
          <w:szCs w:val="24"/>
          <w:vertAlign w:val="subscript"/>
          <w:lang w:val="fr-FR"/>
        </w:rPr>
        <w:t>A</w:t>
      </w:r>
      <w:r>
        <w:rPr>
          <w:bCs/>
          <w:sz w:val="24"/>
          <w:szCs w:val="24"/>
          <w:lang w:val="fr-FR"/>
        </w:rPr>
        <w:t>(</w:t>
      </w:r>
      <w:r>
        <w:rPr>
          <w:bCs/>
          <w:i/>
          <w:sz w:val="24"/>
          <w:szCs w:val="24"/>
          <w:lang w:val="fr-FR"/>
        </w:rPr>
        <w:t>r</w:t>
      </w:r>
      <w:r>
        <w:rPr>
          <w:bCs/>
          <w:sz w:val="24"/>
          <w:szCs w:val="24"/>
          <w:lang w:val="fr-FR"/>
        </w:rPr>
        <w:t xml:space="preserve">) = </w:t>
      </w:r>
      <w:r>
        <w:rPr>
          <w:bCs/>
          <w:i/>
          <w:sz w:val="24"/>
          <w:szCs w:val="24"/>
          <w:lang w:val="fr-FR"/>
        </w:rPr>
        <w:t>L</w:t>
      </w:r>
      <w:r>
        <w:rPr>
          <w:bCs/>
          <w:i/>
          <w:sz w:val="24"/>
          <w:szCs w:val="24"/>
          <w:vertAlign w:val="subscript"/>
          <w:lang w:val="fr-FR"/>
        </w:rPr>
        <w:t>A1</w:t>
      </w:r>
      <w:r>
        <w:rPr>
          <w:bCs/>
          <w:sz w:val="24"/>
          <w:szCs w:val="24"/>
          <w:lang w:val="fr-FR"/>
        </w:rPr>
        <w:t>(</w:t>
      </w:r>
      <w:r>
        <w:rPr>
          <w:bCs/>
          <w:i/>
          <w:sz w:val="24"/>
          <w:szCs w:val="24"/>
          <w:lang w:val="fr-FR"/>
        </w:rPr>
        <w:t>r</w:t>
      </w:r>
      <w:r>
        <w:rPr>
          <w:bCs/>
          <w:i/>
          <w:sz w:val="24"/>
          <w:szCs w:val="24"/>
          <w:vertAlign w:val="subscript"/>
          <w:lang w:val="fr-FR"/>
        </w:rPr>
        <w:t>0</w:t>
      </w:r>
      <w:r>
        <w:rPr>
          <w:bCs/>
          <w:sz w:val="24"/>
          <w:szCs w:val="24"/>
          <w:lang w:val="fr-FR"/>
        </w:rPr>
        <w:t>) - 20lg (</w:t>
      </w:r>
      <w:r>
        <w:rPr>
          <w:bCs/>
          <w:i/>
          <w:sz w:val="24"/>
          <w:szCs w:val="24"/>
          <w:lang w:val="fr-FR"/>
        </w:rPr>
        <w:t>r</w:t>
      </w:r>
      <w:r>
        <w:rPr>
          <w:bCs/>
          <w:sz w:val="24"/>
          <w:szCs w:val="24"/>
          <w:lang w:val="fr-FR"/>
        </w:rPr>
        <w:t>/</w:t>
      </w:r>
      <w:r>
        <w:rPr>
          <w:bCs/>
          <w:i/>
          <w:sz w:val="24"/>
          <w:szCs w:val="24"/>
          <w:lang w:val="fr-FR"/>
        </w:rPr>
        <w:t>r</w:t>
      </w:r>
      <w:r>
        <w:rPr>
          <w:bCs/>
          <w:i/>
          <w:sz w:val="24"/>
          <w:szCs w:val="24"/>
          <w:vertAlign w:val="subscript"/>
          <w:lang w:val="fr-FR"/>
        </w:rPr>
        <w:t>0</w:t>
      </w:r>
      <w:r>
        <w:rPr>
          <w:bCs/>
          <w:sz w:val="24"/>
          <w:szCs w:val="24"/>
          <w:lang w:val="fr-FR"/>
        </w:rPr>
        <w:t>)计算得出单个声源对厂界的影响贡献值</w:t>
      </w:r>
      <w:r>
        <w:rPr>
          <w:kern w:val="0"/>
          <w:sz w:val="24"/>
          <w:szCs w:val="24"/>
        </w:rPr>
        <w:t>LA(r)，计算出各噪声源的LA(r)后再综合计算项目各噪声源对各厂界的噪声影响贡献值。</w:t>
      </w:r>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预测结果分析</w:t>
      </w:r>
    </w:p>
    <w:p>
      <w:pPr>
        <w:spacing w:line="360" w:lineRule="auto"/>
        <w:ind w:firstLine="480" w:firstLineChars="200"/>
        <w:rPr>
          <w:sz w:val="24"/>
        </w:rPr>
      </w:pPr>
      <w:r>
        <w:rPr>
          <w:sz w:val="24"/>
        </w:rPr>
        <w:t>本项目</w:t>
      </w:r>
      <w:r>
        <w:rPr>
          <w:rFonts w:hint="eastAsia"/>
          <w:sz w:val="24"/>
        </w:rPr>
        <w:t>仅白天生产，晚上不工作。</w:t>
      </w:r>
      <w:r>
        <w:rPr>
          <w:sz w:val="24"/>
        </w:rPr>
        <w:t>根据项目设备噪声源强分布，利用上述的噪声预测模式，预测出</w:t>
      </w:r>
      <w:r>
        <w:rPr>
          <w:rFonts w:hint="eastAsia"/>
          <w:sz w:val="24"/>
        </w:rPr>
        <w:t>本项目</w:t>
      </w:r>
      <w:r>
        <w:rPr>
          <w:sz w:val="24"/>
        </w:rPr>
        <w:t>的主要设备噪声源在采取相应的降噪措施后，对环境噪声的贡献值，预测结果见表5.5-2和表5.5-3。噪声贡献值等值线图见图5.5-2。</w:t>
      </w:r>
    </w:p>
    <w:p>
      <w:pPr>
        <w:spacing w:line="360" w:lineRule="auto"/>
        <w:jc w:val="center"/>
        <w:rPr>
          <w:b/>
          <w:szCs w:val="21"/>
        </w:rPr>
      </w:pPr>
      <w:r>
        <w:rPr>
          <w:b/>
          <w:sz w:val="24"/>
        </w:rPr>
        <w:t xml:space="preserve">表5.5-2  </w:t>
      </w:r>
      <w:r>
        <w:rPr>
          <w:rFonts w:hint="eastAsia"/>
          <w:b/>
          <w:sz w:val="24"/>
        </w:rPr>
        <w:t>各种填埋机械在不同距离的噪声</w:t>
      </w:r>
      <w:r>
        <w:rPr>
          <w:b/>
          <w:sz w:val="24"/>
        </w:rPr>
        <w:t xml:space="preserve">预测结果 </w:t>
      </w:r>
      <w:r>
        <w:rPr>
          <w:b/>
          <w:szCs w:val="21"/>
        </w:rPr>
        <w:t xml:space="preserve"> 单位：dB（A）</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438"/>
        <w:gridCol w:w="668"/>
        <w:gridCol w:w="669"/>
        <w:gridCol w:w="669"/>
        <w:gridCol w:w="669"/>
        <w:gridCol w:w="842"/>
        <w:gridCol w:w="842"/>
        <w:gridCol w:w="842"/>
        <w:gridCol w:w="842"/>
        <w:gridCol w:w="85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863" w:type="pct"/>
            <w:vMerge w:val="restar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设备</w:t>
            </w:r>
          </w:p>
        </w:tc>
        <w:tc>
          <w:tcPr>
            <w:tcW w:w="4137" w:type="pct"/>
            <w:gridSpan w:val="9"/>
            <w:vAlign w:val="center"/>
          </w:tcPr>
          <w:p>
            <w:pPr>
              <w:kinsoku w:val="0"/>
              <w:overflowPunct w:val="0"/>
              <w:autoSpaceDE w:val="0"/>
              <w:autoSpaceDN w:val="0"/>
              <w:adjustRightInd w:val="0"/>
              <w:snapToGrid w:val="0"/>
              <w:jc w:val="center"/>
              <w:rPr>
                <w:rFonts w:eastAsiaTheme="minorEastAsia"/>
                <w:kern w:val="0"/>
                <w:szCs w:val="21"/>
              </w:rPr>
            </w:pPr>
            <w:r>
              <w:rPr>
                <w:rFonts w:hint="eastAsia" w:ascii="宋体" w:cs="宋体"/>
                <w:b/>
                <w:bCs/>
                <w:spacing w:val="-1"/>
                <w:kern w:val="0"/>
                <w:szCs w:val="21"/>
              </w:rPr>
              <w:t>距设备不同距离时声级</w:t>
            </w:r>
            <w:r>
              <w:rPr>
                <w:b/>
                <w:bCs/>
                <w:spacing w:val="-1"/>
                <w:kern w:val="0"/>
                <w:szCs w:val="21"/>
              </w:rPr>
              <w:t>(dB(A)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863" w:type="pct"/>
            <w:vMerge w:val="continue"/>
            <w:vAlign w:val="center"/>
          </w:tcPr>
          <w:p>
            <w:pPr>
              <w:kinsoku w:val="0"/>
              <w:overflowPunct w:val="0"/>
              <w:autoSpaceDE w:val="0"/>
              <w:autoSpaceDN w:val="0"/>
              <w:adjustRightInd w:val="0"/>
              <w:snapToGrid w:val="0"/>
              <w:jc w:val="center"/>
              <w:rPr>
                <w:rFonts w:eastAsiaTheme="minorEastAsia"/>
                <w:kern w:val="0"/>
                <w:szCs w:val="21"/>
              </w:rPr>
            </w:pP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10m</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20m</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30m</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50m</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100m</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150m</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200m</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250m</w:t>
            </w:r>
          </w:p>
        </w:tc>
        <w:tc>
          <w:tcPr>
            <w:tcW w:w="513"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b/>
                <w:bCs/>
                <w:spacing w:val="-1"/>
                <w:kern w:val="0"/>
                <w:szCs w:val="21"/>
              </w:rPr>
              <w:t>300m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863" w:type="pct"/>
            <w:vAlign w:val="center"/>
          </w:tcPr>
          <w:p>
            <w:pPr>
              <w:kinsoku w:val="0"/>
              <w:overflowPunct w:val="0"/>
              <w:autoSpaceDE w:val="0"/>
              <w:autoSpaceDN w:val="0"/>
              <w:adjustRightInd w:val="0"/>
              <w:snapToGrid w:val="0"/>
              <w:jc w:val="center"/>
              <w:rPr>
                <w:rFonts w:eastAsiaTheme="minorEastAsia"/>
                <w:kern w:val="0"/>
                <w:szCs w:val="21"/>
              </w:rPr>
            </w:pPr>
            <w:r>
              <w:rPr>
                <w:rFonts w:hint="eastAsia" w:ascii="宋体" w:cs="宋体"/>
                <w:kern w:val="0"/>
                <w:szCs w:val="21"/>
              </w:rPr>
              <w:t>洒水车</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65.0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59.0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55.5</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51.0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45.0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41.5</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39.0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37.0</w:t>
            </w:r>
          </w:p>
        </w:tc>
        <w:tc>
          <w:tcPr>
            <w:tcW w:w="513"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35.5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863" w:type="pct"/>
            <w:vAlign w:val="center"/>
          </w:tcPr>
          <w:p>
            <w:pPr>
              <w:kinsoku w:val="0"/>
              <w:overflowPunct w:val="0"/>
              <w:autoSpaceDE w:val="0"/>
              <w:autoSpaceDN w:val="0"/>
              <w:adjustRightInd w:val="0"/>
              <w:snapToGrid w:val="0"/>
              <w:jc w:val="center"/>
              <w:rPr>
                <w:rFonts w:eastAsiaTheme="minorEastAsia"/>
                <w:kern w:val="0"/>
                <w:szCs w:val="21"/>
              </w:rPr>
            </w:pPr>
            <w:r>
              <w:rPr>
                <w:rFonts w:hint="eastAsia" w:ascii="宋体" w:cs="宋体"/>
                <w:spacing w:val="-1"/>
                <w:kern w:val="0"/>
                <w:szCs w:val="21"/>
              </w:rPr>
              <w:t>自卸汽车</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65.0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59.0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55.5</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51.0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45.0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41.5</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39.0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37.0</w:t>
            </w:r>
          </w:p>
        </w:tc>
        <w:tc>
          <w:tcPr>
            <w:tcW w:w="513"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35.5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863" w:type="pct"/>
            <w:vAlign w:val="center"/>
          </w:tcPr>
          <w:p>
            <w:pPr>
              <w:kinsoku w:val="0"/>
              <w:overflowPunct w:val="0"/>
              <w:autoSpaceDE w:val="0"/>
              <w:autoSpaceDN w:val="0"/>
              <w:adjustRightInd w:val="0"/>
              <w:snapToGrid w:val="0"/>
              <w:jc w:val="center"/>
              <w:rPr>
                <w:rFonts w:eastAsiaTheme="minorEastAsia"/>
                <w:kern w:val="0"/>
                <w:szCs w:val="21"/>
              </w:rPr>
            </w:pPr>
            <w:r>
              <w:rPr>
                <w:rFonts w:hint="eastAsia" w:ascii="宋体" w:cs="宋体"/>
                <w:kern w:val="0"/>
                <w:szCs w:val="21"/>
              </w:rPr>
              <w:t>推土机</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70.0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64.0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60.5</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56.0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50.0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46.5</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44.0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42.0</w:t>
            </w:r>
          </w:p>
        </w:tc>
        <w:tc>
          <w:tcPr>
            <w:tcW w:w="513"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863" w:type="pct"/>
            <w:vAlign w:val="center"/>
          </w:tcPr>
          <w:p>
            <w:pPr>
              <w:kinsoku w:val="0"/>
              <w:overflowPunct w:val="0"/>
              <w:autoSpaceDE w:val="0"/>
              <w:autoSpaceDN w:val="0"/>
              <w:adjustRightInd w:val="0"/>
              <w:snapToGrid w:val="0"/>
              <w:jc w:val="center"/>
              <w:rPr>
                <w:rFonts w:eastAsiaTheme="minorEastAsia"/>
                <w:kern w:val="0"/>
                <w:szCs w:val="21"/>
              </w:rPr>
            </w:pPr>
            <w:r>
              <w:rPr>
                <w:rFonts w:hint="eastAsia" w:ascii="宋体" w:cs="宋体"/>
                <w:kern w:val="0"/>
                <w:szCs w:val="21"/>
              </w:rPr>
              <w:t>压实机</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70.0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64.0</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60.5</w:t>
            </w:r>
          </w:p>
        </w:tc>
        <w:tc>
          <w:tcPr>
            <w:tcW w:w="401"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56.0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50.0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46.58</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44.0</w:t>
            </w:r>
          </w:p>
        </w:tc>
        <w:tc>
          <w:tcPr>
            <w:tcW w:w="505"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42.0</w:t>
            </w:r>
          </w:p>
        </w:tc>
        <w:tc>
          <w:tcPr>
            <w:tcW w:w="513"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40.5</w:t>
            </w:r>
          </w:p>
        </w:tc>
      </w:tr>
    </w:tbl>
    <w:p>
      <w:pPr>
        <w:spacing w:line="360" w:lineRule="auto"/>
        <w:jc w:val="center"/>
        <w:rPr>
          <w:b/>
          <w:szCs w:val="21"/>
        </w:rPr>
      </w:pPr>
    </w:p>
    <w:p>
      <w:pPr>
        <w:spacing w:line="360" w:lineRule="auto"/>
        <w:jc w:val="center"/>
        <w:rPr>
          <w:b/>
          <w:szCs w:val="21"/>
        </w:rPr>
      </w:pPr>
      <w:r>
        <w:rPr>
          <w:b/>
          <w:sz w:val="24"/>
        </w:rPr>
        <w:t>表5.5-3  项目</w:t>
      </w:r>
      <w:r>
        <w:rPr>
          <w:rFonts w:hint="eastAsia"/>
          <w:b/>
          <w:sz w:val="24"/>
        </w:rPr>
        <w:t>正常生产</w:t>
      </w:r>
      <w:r>
        <w:rPr>
          <w:b/>
          <w:sz w:val="24"/>
        </w:rPr>
        <w:t>（</w:t>
      </w:r>
      <w:r>
        <w:rPr>
          <w:rFonts w:hint="eastAsia"/>
          <w:b/>
          <w:sz w:val="24"/>
        </w:rPr>
        <w:t>昼间</w:t>
      </w:r>
      <w:r>
        <w:rPr>
          <w:b/>
          <w:sz w:val="24"/>
        </w:rPr>
        <w:t xml:space="preserve">）厂界噪声预测结果一览表  </w:t>
      </w:r>
      <w:r>
        <w:rPr>
          <w:b/>
          <w:szCs w:val="21"/>
        </w:rPr>
        <w:t>单位：dB（A）</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658"/>
        <w:gridCol w:w="959"/>
        <w:gridCol w:w="1582"/>
        <w:gridCol w:w="1270"/>
        <w:gridCol w:w="959"/>
        <w:gridCol w:w="647"/>
        <w:gridCol w:w="647"/>
        <w:gridCol w:w="647"/>
        <w:gridCol w:w="96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2" w:hRule="exact"/>
        </w:trPr>
        <w:tc>
          <w:tcPr>
            <w:tcW w:w="395" w:type="pct"/>
            <w:vMerge w:val="restar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编号</w:t>
            </w:r>
          </w:p>
        </w:tc>
        <w:tc>
          <w:tcPr>
            <w:tcW w:w="575" w:type="pct"/>
            <w:vMerge w:val="restar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位置</w:t>
            </w:r>
          </w:p>
        </w:tc>
        <w:tc>
          <w:tcPr>
            <w:tcW w:w="949" w:type="pct"/>
            <w:vMerge w:val="restart"/>
            <w:vAlign w:val="center"/>
          </w:tcPr>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昼间</w:t>
            </w:r>
          </w:p>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最大贡献值</w:t>
            </w:r>
          </w:p>
        </w:tc>
        <w:tc>
          <w:tcPr>
            <w:tcW w:w="762" w:type="pct"/>
            <w:vMerge w:val="restart"/>
          </w:tcPr>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现状监测</w:t>
            </w:r>
          </w:p>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最大值</w:t>
            </w:r>
          </w:p>
        </w:tc>
        <w:tc>
          <w:tcPr>
            <w:tcW w:w="575" w:type="pct"/>
            <w:vMerge w:val="restart"/>
          </w:tcPr>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叠加</w:t>
            </w:r>
          </w:p>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预测值</w:t>
            </w:r>
          </w:p>
        </w:tc>
        <w:tc>
          <w:tcPr>
            <w:tcW w:w="775" w:type="pct"/>
            <w:gridSpan w:val="2"/>
            <w:vAlign w:val="center"/>
          </w:tcPr>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执行标准</w:t>
            </w:r>
          </w:p>
        </w:tc>
        <w:tc>
          <w:tcPr>
            <w:tcW w:w="970" w:type="pct"/>
            <w:gridSpan w:val="2"/>
            <w:vAlign w:val="center"/>
          </w:tcPr>
          <w:p>
            <w:pPr>
              <w:kinsoku w:val="0"/>
              <w:overflowPunct w:val="0"/>
              <w:autoSpaceDE w:val="0"/>
              <w:autoSpaceDN w:val="0"/>
              <w:adjustRightInd w:val="0"/>
              <w:snapToGrid w:val="0"/>
              <w:jc w:val="center"/>
              <w:rPr>
                <w:rFonts w:eastAsiaTheme="minorEastAsia"/>
                <w:kern w:val="0"/>
                <w:szCs w:val="21"/>
              </w:rPr>
            </w:pPr>
            <w:r>
              <w:rPr>
                <w:rFonts w:hint="eastAsia" w:eastAsiaTheme="minorEastAsia"/>
                <w:kern w:val="0"/>
                <w:szCs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5" w:hRule="exact"/>
        </w:trPr>
        <w:tc>
          <w:tcPr>
            <w:tcW w:w="395" w:type="pct"/>
            <w:vMerge w:val="continue"/>
            <w:vAlign w:val="center"/>
          </w:tcPr>
          <w:p>
            <w:pPr>
              <w:autoSpaceDE w:val="0"/>
              <w:autoSpaceDN w:val="0"/>
              <w:adjustRightInd w:val="0"/>
              <w:snapToGrid w:val="0"/>
              <w:jc w:val="center"/>
              <w:rPr>
                <w:rFonts w:eastAsiaTheme="minorEastAsia"/>
                <w:kern w:val="0"/>
                <w:szCs w:val="21"/>
              </w:rPr>
            </w:pPr>
          </w:p>
        </w:tc>
        <w:tc>
          <w:tcPr>
            <w:tcW w:w="575" w:type="pct"/>
            <w:vMerge w:val="continue"/>
            <w:vAlign w:val="center"/>
          </w:tcPr>
          <w:p>
            <w:pPr>
              <w:autoSpaceDE w:val="0"/>
              <w:autoSpaceDN w:val="0"/>
              <w:adjustRightInd w:val="0"/>
              <w:snapToGrid w:val="0"/>
              <w:jc w:val="center"/>
              <w:rPr>
                <w:rFonts w:eastAsiaTheme="minorEastAsia"/>
                <w:kern w:val="0"/>
                <w:szCs w:val="21"/>
              </w:rPr>
            </w:pPr>
          </w:p>
        </w:tc>
        <w:tc>
          <w:tcPr>
            <w:tcW w:w="949" w:type="pct"/>
            <w:vMerge w:val="continue"/>
            <w:vAlign w:val="center"/>
          </w:tcPr>
          <w:p>
            <w:pPr>
              <w:autoSpaceDE w:val="0"/>
              <w:autoSpaceDN w:val="0"/>
              <w:adjustRightInd w:val="0"/>
              <w:snapToGrid w:val="0"/>
              <w:jc w:val="center"/>
              <w:rPr>
                <w:rFonts w:eastAsiaTheme="minorEastAsia"/>
                <w:kern w:val="0"/>
                <w:szCs w:val="21"/>
              </w:rPr>
            </w:pPr>
          </w:p>
        </w:tc>
        <w:tc>
          <w:tcPr>
            <w:tcW w:w="762" w:type="pct"/>
            <w:vMerge w:val="continue"/>
          </w:tcPr>
          <w:p>
            <w:pPr>
              <w:autoSpaceDE w:val="0"/>
              <w:autoSpaceDN w:val="0"/>
              <w:adjustRightInd w:val="0"/>
              <w:snapToGrid w:val="0"/>
              <w:jc w:val="center"/>
              <w:rPr>
                <w:rFonts w:eastAsiaTheme="minorEastAsia"/>
                <w:kern w:val="0"/>
                <w:szCs w:val="21"/>
              </w:rPr>
            </w:pPr>
          </w:p>
        </w:tc>
        <w:tc>
          <w:tcPr>
            <w:tcW w:w="575" w:type="pct"/>
            <w:vMerge w:val="continue"/>
          </w:tcPr>
          <w:p>
            <w:pPr>
              <w:autoSpaceDE w:val="0"/>
              <w:autoSpaceDN w:val="0"/>
              <w:adjustRightInd w:val="0"/>
              <w:snapToGrid w:val="0"/>
              <w:jc w:val="center"/>
              <w:rPr>
                <w:rFonts w:eastAsiaTheme="minorEastAsia"/>
                <w:kern w:val="0"/>
                <w:szCs w:val="21"/>
              </w:rPr>
            </w:pP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昼间</w:t>
            </w: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夜间</w:t>
            </w: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昼间</w:t>
            </w:r>
          </w:p>
        </w:tc>
        <w:tc>
          <w:tcPr>
            <w:tcW w:w="582"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5" w:hRule="exact"/>
        </w:trPr>
        <w:tc>
          <w:tcPr>
            <w:tcW w:w="395"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1#</w:t>
            </w:r>
          </w:p>
        </w:tc>
        <w:tc>
          <w:tcPr>
            <w:tcW w:w="575"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东厂界</w:t>
            </w:r>
          </w:p>
        </w:tc>
        <w:tc>
          <w:tcPr>
            <w:tcW w:w="949"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39.95</w:t>
            </w:r>
          </w:p>
        </w:tc>
        <w:tc>
          <w:tcPr>
            <w:tcW w:w="762"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0.1</w:t>
            </w:r>
          </w:p>
        </w:tc>
        <w:tc>
          <w:tcPr>
            <w:tcW w:w="575"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0.50</w:t>
            </w:r>
          </w:p>
        </w:tc>
        <w:tc>
          <w:tcPr>
            <w:tcW w:w="388" w:type="pct"/>
            <w:vMerge w:val="restar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6</w:t>
            </w:r>
            <w:r>
              <w:rPr>
                <w:rFonts w:eastAsiaTheme="minorEastAsia"/>
                <w:kern w:val="0"/>
                <w:szCs w:val="21"/>
              </w:rPr>
              <w:t>0</w:t>
            </w:r>
          </w:p>
        </w:tc>
        <w:tc>
          <w:tcPr>
            <w:tcW w:w="388" w:type="pct"/>
            <w:vMerge w:val="restar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 xml:space="preserve">0 </w:t>
            </w: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达标</w:t>
            </w:r>
          </w:p>
        </w:tc>
        <w:tc>
          <w:tcPr>
            <w:tcW w:w="582" w:type="pct"/>
            <w:vMerge w:val="restar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不生产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5" w:hRule="exact"/>
        </w:trPr>
        <w:tc>
          <w:tcPr>
            <w:tcW w:w="395"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2#</w:t>
            </w:r>
          </w:p>
        </w:tc>
        <w:tc>
          <w:tcPr>
            <w:tcW w:w="575"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南厂界</w:t>
            </w:r>
          </w:p>
        </w:tc>
        <w:tc>
          <w:tcPr>
            <w:tcW w:w="949"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43.99</w:t>
            </w:r>
          </w:p>
        </w:tc>
        <w:tc>
          <w:tcPr>
            <w:tcW w:w="762"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9.7</w:t>
            </w:r>
          </w:p>
        </w:tc>
        <w:tc>
          <w:tcPr>
            <w:tcW w:w="575"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0.73</w:t>
            </w:r>
          </w:p>
        </w:tc>
        <w:tc>
          <w:tcPr>
            <w:tcW w:w="388" w:type="pct"/>
            <w:vMerge w:val="continue"/>
            <w:vAlign w:val="center"/>
          </w:tcPr>
          <w:p>
            <w:pPr>
              <w:autoSpaceDE w:val="0"/>
              <w:autoSpaceDN w:val="0"/>
              <w:adjustRightInd w:val="0"/>
              <w:snapToGrid w:val="0"/>
              <w:jc w:val="center"/>
              <w:rPr>
                <w:rFonts w:eastAsiaTheme="minorEastAsia"/>
                <w:kern w:val="0"/>
                <w:szCs w:val="21"/>
              </w:rPr>
            </w:pPr>
          </w:p>
        </w:tc>
        <w:tc>
          <w:tcPr>
            <w:tcW w:w="388" w:type="pct"/>
            <w:vMerge w:val="continue"/>
            <w:vAlign w:val="center"/>
          </w:tcPr>
          <w:p>
            <w:pPr>
              <w:autoSpaceDE w:val="0"/>
              <w:autoSpaceDN w:val="0"/>
              <w:adjustRightInd w:val="0"/>
              <w:snapToGrid w:val="0"/>
              <w:jc w:val="center"/>
              <w:rPr>
                <w:rFonts w:eastAsiaTheme="minorEastAsia"/>
                <w:kern w:val="0"/>
                <w:szCs w:val="21"/>
              </w:rPr>
            </w:pP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达标</w:t>
            </w:r>
          </w:p>
        </w:tc>
        <w:tc>
          <w:tcPr>
            <w:tcW w:w="582" w:type="pct"/>
            <w:vMerge w:val="continue"/>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5" w:hRule="exact"/>
        </w:trPr>
        <w:tc>
          <w:tcPr>
            <w:tcW w:w="395"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3#</w:t>
            </w:r>
          </w:p>
        </w:tc>
        <w:tc>
          <w:tcPr>
            <w:tcW w:w="575"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西厂界</w:t>
            </w:r>
          </w:p>
        </w:tc>
        <w:tc>
          <w:tcPr>
            <w:tcW w:w="949"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43.73</w:t>
            </w:r>
          </w:p>
        </w:tc>
        <w:tc>
          <w:tcPr>
            <w:tcW w:w="762"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4</w:t>
            </w:r>
            <w:r>
              <w:rPr>
                <w:rFonts w:eastAsiaTheme="minorEastAsia"/>
                <w:kern w:val="0"/>
                <w:szCs w:val="21"/>
              </w:rPr>
              <w:t>9.9</w:t>
            </w:r>
          </w:p>
        </w:tc>
        <w:tc>
          <w:tcPr>
            <w:tcW w:w="575"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0.84</w:t>
            </w:r>
          </w:p>
        </w:tc>
        <w:tc>
          <w:tcPr>
            <w:tcW w:w="388" w:type="pct"/>
            <w:vMerge w:val="continue"/>
            <w:vAlign w:val="center"/>
          </w:tcPr>
          <w:p>
            <w:pPr>
              <w:autoSpaceDE w:val="0"/>
              <w:autoSpaceDN w:val="0"/>
              <w:adjustRightInd w:val="0"/>
              <w:snapToGrid w:val="0"/>
              <w:jc w:val="center"/>
              <w:rPr>
                <w:rFonts w:eastAsiaTheme="minorEastAsia"/>
                <w:kern w:val="0"/>
                <w:szCs w:val="21"/>
              </w:rPr>
            </w:pPr>
          </w:p>
        </w:tc>
        <w:tc>
          <w:tcPr>
            <w:tcW w:w="388" w:type="pct"/>
            <w:vMerge w:val="continue"/>
            <w:vAlign w:val="center"/>
          </w:tcPr>
          <w:p>
            <w:pPr>
              <w:autoSpaceDE w:val="0"/>
              <w:autoSpaceDN w:val="0"/>
              <w:adjustRightInd w:val="0"/>
              <w:snapToGrid w:val="0"/>
              <w:jc w:val="center"/>
              <w:rPr>
                <w:rFonts w:eastAsiaTheme="minorEastAsia"/>
                <w:kern w:val="0"/>
                <w:szCs w:val="21"/>
              </w:rPr>
            </w:pP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达标</w:t>
            </w:r>
          </w:p>
        </w:tc>
        <w:tc>
          <w:tcPr>
            <w:tcW w:w="582" w:type="pct"/>
            <w:vMerge w:val="continue"/>
            <w:vAlign w:val="center"/>
          </w:tcPr>
          <w:p>
            <w:pPr>
              <w:autoSpaceDE w:val="0"/>
              <w:autoSpaceDN w:val="0"/>
              <w:adjustRightInd w:val="0"/>
              <w:snapToGrid w:val="0"/>
              <w:jc w:val="center"/>
              <w:rPr>
                <w:rFonts w:eastAsiaTheme="minorEastAsia"/>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3" w:hRule="exact"/>
        </w:trPr>
        <w:tc>
          <w:tcPr>
            <w:tcW w:w="395"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4#</w:t>
            </w:r>
          </w:p>
        </w:tc>
        <w:tc>
          <w:tcPr>
            <w:tcW w:w="575"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北厂界</w:t>
            </w:r>
          </w:p>
        </w:tc>
        <w:tc>
          <w:tcPr>
            <w:tcW w:w="949" w:type="pct"/>
            <w:vAlign w:val="center"/>
          </w:tcPr>
          <w:p>
            <w:pPr>
              <w:autoSpaceDE w:val="0"/>
              <w:autoSpaceDN w:val="0"/>
              <w:adjustRightInd w:val="0"/>
              <w:snapToGrid w:val="0"/>
              <w:jc w:val="center"/>
              <w:rPr>
                <w:rFonts w:eastAsiaTheme="minorEastAsia"/>
                <w:kern w:val="0"/>
                <w:szCs w:val="21"/>
              </w:rPr>
            </w:pPr>
            <w:r>
              <w:rPr>
                <w:rFonts w:eastAsiaTheme="minorEastAsia"/>
                <w:kern w:val="0"/>
                <w:szCs w:val="21"/>
              </w:rPr>
              <w:t>40.42</w:t>
            </w:r>
          </w:p>
        </w:tc>
        <w:tc>
          <w:tcPr>
            <w:tcW w:w="762"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0.6</w:t>
            </w:r>
          </w:p>
        </w:tc>
        <w:tc>
          <w:tcPr>
            <w:tcW w:w="575" w:type="pct"/>
          </w:tcPr>
          <w:p>
            <w:pPr>
              <w:autoSpaceDE w:val="0"/>
              <w:autoSpaceDN w:val="0"/>
              <w:adjustRightInd w:val="0"/>
              <w:snapToGrid w:val="0"/>
              <w:jc w:val="center"/>
              <w:rPr>
                <w:rFonts w:eastAsiaTheme="minorEastAsia"/>
                <w:kern w:val="0"/>
                <w:szCs w:val="21"/>
              </w:rPr>
            </w:pPr>
            <w:r>
              <w:rPr>
                <w:rFonts w:hint="eastAsia" w:eastAsiaTheme="minorEastAsia"/>
                <w:kern w:val="0"/>
                <w:szCs w:val="21"/>
              </w:rPr>
              <w:t>5</w:t>
            </w:r>
            <w:r>
              <w:rPr>
                <w:rFonts w:eastAsiaTheme="minorEastAsia"/>
                <w:kern w:val="0"/>
                <w:szCs w:val="21"/>
              </w:rPr>
              <w:t>1.00</w:t>
            </w:r>
          </w:p>
        </w:tc>
        <w:tc>
          <w:tcPr>
            <w:tcW w:w="388" w:type="pct"/>
            <w:vMerge w:val="continue"/>
            <w:vAlign w:val="center"/>
          </w:tcPr>
          <w:p>
            <w:pPr>
              <w:autoSpaceDE w:val="0"/>
              <w:autoSpaceDN w:val="0"/>
              <w:adjustRightInd w:val="0"/>
              <w:snapToGrid w:val="0"/>
              <w:jc w:val="center"/>
              <w:rPr>
                <w:rFonts w:eastAsiaTheme="minorEastAsia"/>
                <w:kern w:val="0"/>
                <w:szCs w:val="21"/>
              </w:rPr>
            </w:pPr>
          </w:p>
        </w:tc>
        <w:tc>
          <w:tcPr>
            <w:tcW w:w="388" w:type="pct"/>
            <w:vMerge w:val="continue"/>
            <w:vAlign w:val="center"/>
          </w:tcPr>
          <w:p>
            <w:pPr>
              <w:autoSpaceDE w:val="0"/>
              <w:autoSpaceDN w:val="0"/>
              <w:adjustRightInd w:val="0"/>
              <w:snapToGrid w:val="0"/>
              <w:jc w:val="center"/>
              <w:rPr>
                <w:rFonts w:eastAsiaTheme="minorEastAsia"/>
                <w:kern w:val="0"/>
                <w:szCs w:val="21"/>
              </w:rPr>
            </w:pPr>
          </w:p>
        </w:tc>
        <w:tc>
          <w:tcPr>
            <w:tcW w:w="388" w:type="pct"/>
            <w:vAlign w:val="center"/>
          </w:tcPr>
          <w:p>
            <w:pPr>
              <w:autoSpaceDE w:val="0"/>
              <w:autoSpaceDN w:val="0"/>
              <w:adjustRightInd w:val="0"/>
              <w:snapToGrid w:val="0"/>
              <w:jc w:val="center"/>
              <w:rPr>
                <w:rFonts w:eastAsiaTheme="minorEastAsia"/>
                <w:kern w:val="0"/>
                <w:szCs w:val="21"/>
              </w:rPr>
            </w:pPr>
            <w:r>
              <w:rPr>
                <w:rFonts w:hint="eastAsia" w:eastAsiaTheme="minorEastAsia"/>
                <w:kern w:val="0"/>
                <w:szCs w:val="21"/>
              </w:rPr>
              <w:t>达标</w:t>
            </w:r>
          </w:p>
        </w:tc>
        <w:tc>
          <w:tcPr>
            <w:tcW w:w="582" w:type="pct"/>
            <w:vMerge w:val="continue"/>
            <w:vAlign w:val="center"/>
          </w:tcPr>
          <w:p>
            <w:pPr>
              <w:autoSpaceDE w:val="0"/>
              <w:autoSpaceDN w:val="0"/>
              <w:adjustRightInd w:val="0"/>
              <w:snapToGrid w:val="0"/>
              <w:jc w:val="center"/>
              <w:rPr>
                <w:rFonts w:eastAsiaTheme="minorEastAsia"/>
                <w:kern w:val="0"/>
                <w:szCs w:val="21"/>
              </w:rPr>
            </w:pPr>
          </w:p>
        </w:tc>
      </w:tr>
    </w:tbl>
    <w:p>
      <w:pPr>
        <w:adjustRightInd w:val="0"/>
        <w:snapToGrid w:val="0"/>
        <w:spacing w:line="360" w:lineRule="auto"/>
        <w:ind w:firstLine="480" w:firstLineChars="200"/>
      </w:pPr>
      <w:r>
        <w:rPr>
          <w:rFonts w:hint="eastAsia"/>
          <w:sz w:val="24"/>
        </w:rPr>
        <w:t>由表5</w:t>
      </w:r>
      <w:r>
        <w:rPr>
          <w:sz w:val="24"/>
        </w:rPr>
        <w:t>.5-2</w:t>
      </w:r>
      <w:r>
        <w:rPr>
          <w:rFonts w:hint="eastAsia"/>
          <w:sz w:val="24"/>
        </w:rPr>
        <w:t>和表5</w:t>
      </w:r>
      <w:r>
        <w:rPr>
          <w:sz w:val="24"/>
        </w:rPr>
        <w:t>.5-3</w:t>
      </w:r>
      <w:r>
        <w:rPr>
          <w:rFonts w:hint="eastAsia"/>
          <w:sz w:val="24"/>
        </w:rPr>
        <w:t>可知，多台作业机械噪声经过衰减</w:t>
      </w:r>
      <w:r>
        <w:rPr>
          <w:sz w:val="24"/>
        </w:rPr>
        <w:t xml:space="preserve">30m </w:t>
      </w:r>
      <w:r>
        <w:rPr>
          <w:rFonts w:hint="eastAsia"/>
          <w:sz w:val="24"/>
        </w:rPr>
        <w:t>后，贡献值叠加固定声源的贡献值后可达到《工业企业厂界环境噪声排放标准》（</w:t>
      </w:r>
      <w:r>
        <w:rPr>
          <w:sz w:val="24"/>
        </w:rPr>
        <w:t>GB12348-2008</w:t>
      </w:r>
      <w:r>
        <w:rPr>
          <w:rFonts w:hint="eastAsia"/>
          <w:sz w:val="24"/>
        </w:rPr>
        <w:t>）</w:t>
      </w:r>
      <w:r>
        <w:rPr>
          <w:sz w:val="24"/>
        </w:rPr>
        <w:t xml:space="preserve">2 </w:t>
      </w:r>
      <w:r>
        <w:rPr>
          <w:rFonts w:hint="eastAsia"/>
          <w:sz w:val="24"/>
        </w:rPr>
        <w:t>类标准。由此可见，当噪声源在填埋场中间大部分区域时，不会造成场界昼间超过《工业企业厂界环境噪声排放标准》（</w:t>
      </w:r>
      <w:r>
        <w:rPr>
          <w:sz w:val="24"/>
        </w:rPr>
        <w:t>GB12348-2008</w:t>
      </w:r>
      <w:r>
        <w:rPr>
          <w:rFonts w:hint="eastAsia"/>
          <w:sz w:val="24"/>
        </w:rPr>
        <w:t>）</w:t>
      </w:r>
      <w:r>
        <w:rPr>
          <w:sz w:val="24"/>
        </w:rPr>
        <w:t xml:space="preserve">2 </w:t>
      </w:r>
      <w:r>
        <w:rPr>
          <w:rFonts w:hint="eastAsia"/>
          <w:sz w:val="24"/>
        </w:rPr>
        <w:t>类标准；根据项目四邻关系，场界周边</w:t>
      </w:r>
      <w:r>
        <w:rPr>
          <w:sz w:val="24"/>
        </w:rPr>
        <w:t xml:space="preserve">300m </w:t>
      </w:r>
      <w:r>
        <w:rPr>
          <w:rFonts w:hint="eastAsia"/>
          <w:sz w:val="24"/>
        </w:rPr>
        <w:t>范围内无敏感点，</w:t>
      </w:r>
      <w:bookmarkStart w:id="136" w:name="_Hlk87011361"/>
      <w:r>
        <w:rPr>
          <w:sz w:val="24"/>
        </w:rPr>
        <w:t>故项目产生噪声对</w:t>
      </w:r>
      <w:r>
        <w:drawing>
          <wp:anchor distT="0" distB="0" distL="114300" distR="114300" simplePos="0" relativeHeight="251804672" behindDoc="0" locked="0" layoutInCell="1" allowOverlap="1">
            <wp:simplePos x="0" y="0"/>
            <wp:positionH relativeFrom="column">
              <wp:posOffset>5078095</wp:posOffset>
            </wp:positionH>
            <wp:positionV relativeFrom="paragraph">
              <wp:posOffset>1189355</wp:posOffset>
            </wp:positionV>
            <wp:extent cx="481965" cy="3507740"/>
            <wp:effectExtent l="0" t="0" r="0" b="0"/>
            <wp:wrapNone/>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481965" cy="3507740"/>
                    </a:xfrm>
                    <a:prstGeom prst="rect">
                      <a:avLst/>
                    </a:prstGeom>
                    <a:noFill/>
                    <a:ln>
                      <a:noFill/>
                    </a:ln>
                  </pic:spPr>
                </pic:pic>
              </a:graphicData>
            </a:graphic>
          </wp:anchor>
        </w:drawing>
      </w:r>
      <w:r>
        <w:rPr>
          <w:sz w:val="24"/>
        </w:rPr>
        <w:t>周围环境的影响可以接受。</w:t>
      </w:r>
      <w:bookmarkEnd w:id="136"/>
    </w:p>
    <w:p>
      <w:pPr>
        <w:jc w:val="center"/>
      </w:pPr>
      <w:r>
        <w:drawing>
          <wp:inline distT="0" distB="0" distL="0" distR="0">
            <wp:extent cx="5502910" cy="3761105"/>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5540073" cy="3786669"/>
                    </a:xfrm>
                    <a:prstGeom prst="rect">
                      <a:avLst/>
                    </a:prstGeom>
                    <a:noFill/>
                    <a:ln>
                      <a:noFill/>
                    </a:ln>
                  </pic:spPr>
                </pic:pic>
              </a:graphicData>
            </a:graphic>
          </wp:inline>
        </w:drawing>
      </w:r>
    </w:p>
    <w:p>
      <w:pPr>
        <w:adjustRightInd w:val="0"/>
        <w:snapToGrid w:val="0"/>
        <w:spacing w:before="156" w:beforeLines="50" w:line="360" w:lineRule="auto"/>
        <w:jc w:val="center"/>
        <w:rPr>
          <w:sz w:val="24"/>
        </w:rPr>
      </w:pPr>
      <w:r>
        <w:rPr>
          <w:b/>
          <w:sz w:val="24"/>
        </w:rPr>
        <w:t xml:space="preserve">图5.5-2  </w:t>
      </w:r>
      <w:r>
        <w:rPr>
          <w:rFonts w:hint="eastAsia"/>
          <w:b/>
          <w:sz w:val="24"/>
        </w:rPr>
        <w:t>本项目</w:t>
      </w:r>
      <w:r>
        <w:rPr>
          <w:b/>
          <w:sz w:val="24"/>
        </w:rPr>
        <w:t>正常生产</w:t>
      </w:r>
      <w:r>
        <w:rPr>
          <w:rFonts w:hint="eastAsia"/>
          <w:b/>
          <w:sz w:val="24"/>
        </w:rPr>
        <w:t>时</w:t>
      </w:r>
      <w:r>
        <w:rPr>
          <w:b/>
          <w:sz w:val="24"/>
        </w:rPr>
        <w:t>噪声贡献值等声值线图</w:t>
      </w:r>
    </w:p>
    <w:p>
      <w:pPr>
        <w:keepNext/>
        <w:keepLines/>
        <w:numPr>
          <w:ilvl w:val="1"/>
          <w:numId w:val="5"/>
        </w:numPr>
        <w:tabs>
          <w:tab w:val="left" w:pos="432"/>
          <w:tab w:val="left" w:pos="720"/>
        </w:tabs>
        <w:adjustRightInd w:val="0"/>
        <w:snapToGrid w:val="0"/>
        <w:spacing w:before="156" w:beforeLines="50" w:line="360" w:lineRule="auto"/>
        <w:ind w:left="0" w:firstLine="0"/>
        <w:outlineLvl w:val="1"/>
        <w:rPr>
          <w:b/>
          <w:bCs/>
          <w:sz w:val="30"/>
          <w:szCs w:val="30"/>
        </w:rPr>
      </w:pPr>
      <w:bookmarkStart w:id="137" w:name="_Toc94101228"/>
      <w:r>
        <w:rPr>
          <w:b/>
          <w:bCs/>
          <w:sz w:val="30"/>
          <w:szCs w:val="30"/>
        </w:rPr>
        <w:t>运营期固体废物环境影响分析</w:t>
      </w:r>
      <w:bookmarkEnd w:id="137"/>
    </w:p>
    <w:p>
      <w:pPr>
        <w:adjustRightInd w:val="0"/>
        <w:snapToGrid w:val="0"/>
        <w:spacing w:line="360" w:lineRule="auto"/>
        <w:ind w:firstLine="480" w:firstLineChars="200"/>
        <w:jc w:val="left"/>
        <w:rPr>
          <w:rFonts w:ascii="宋体" w:hAnsi="宋体"/>
          <w:kern w:val="0"/>
          <w:sz w:val="24"/>
          <w:szCs w:val="24"/>
        </w:rPr>
      </w:pPr>
      <w:r>
        <w:rPr>
          <w:rFonts w:ascii="宋体" w:hAnsi="宋体"/>
          <w:kern w:val="0"/>
          <w:sz w:val="24"/>
          <w:szCs w:val="24"/>
        </w:rPr>
        <w:t>本项目产生的固体废物主要是废包装材料、废机油以及生活垃圾。废包装材料</w:t>
      </w:r>
      <w:r>
        <w:rPr>
          <w:rFonts w:hint="eastAsia" w:ascii="宋体" w:hAnsi="宋体"/>
          <w:kern w:val="0"/>
          <w:sz w:val="24"/>
          <w:szCs w:val="24"/>
        </w:rPr>
        <w:t>为</w:t>
      </w:r>
      <w:r>
        <w:rPr>
          <w:rFonts w:eastAsia="Times New Roman"/>
          <w:spacing w:val="-1"/>
          <w:kern w:val="0"/>
          <w:sz w:val="24"/>
          <w:szCs w:val="24"/>
        </w:rPr>
        <w:t>HDPE</w:t>
      </w:r>
      <w:r>
        <w:rPr>
          <w:rFonts w:eastAsia="Times New Roman"/>
          <w:spacing w:val="31"/>
          <w:kern w:val="0"/>
          <w:sz w:val="24"/>
          <w:szCs w:val="24"/>
        </w:rPr>
        <w:t xml:space="preserve"> </w:t>
      </w:r>
      <w:r>
        <w:rPr>
          <w:rFonts w:ascii="宋体" w:hAnsi="宋体"/>
          <w:kern w:val="0"/>
          <w:sz w:val="24"/>
          <w:szCs w:val="24"/>
        </w:rPr>
        <w:t>膜产生</w:t>
      </w:r>
      <w:r>
        <w:rPr>
          <w:rFonts w:hint="eastAsia" w:ascii="宋体" w:hAnsi="宋体"/>
          <w:kern w:val="0"/>
          <w:sz w:val="24"/>
          <w:szCs w:val="24"/>
        </w:rPr>
        <w:t>的</w:t>
      </w:r>
      <w:r>
        <w:rPr>
          <w:rFonts w:ascii="宋体" w:hAnsi="宋体"/>
          <w:kern w:val="0"/>
          <w:sz w:val="24"/>
          <w:szCs w:val="24"/>
        </w:rPr>
        <w:t>包装材料，产生量约</w:t>
      </w:r>
      <w:r>
        <w:rPr>
          <w:rFonts w:ascii="宋体" w:hAnsi="宋体"/>
          <w:spacing w:val="-60"/>
          <w:kern w:val="0"/>
          <w:sz w:val="24"/>
          <w:szCs w:val="24"/>
        </w:rPr>
        <w:t xml:space="preserve"> </w:t>
      </w:r>
      <w:r>
        <w:rPr>
          <w:rFonts w:eastAsia="Times New Roman"/>
          <w:spacing w:val="-1"/>
          <w:kern w:val="0"/>
          <w:sz w:val="24"/>
          <w:szCs w:val="24"/>
        </w:rPr>
        <w:t>2t/a</w:t>
      </w:r>
      <w:r>
        <w:rPr>
          <w:rFonts w:ascii="宋体" w:hAnsi="宋体"/>
          <w:spacing w:val="-1"/>
          <w:kern w:val="0"/>
          <w:sz w:val="24"/>
          <w:szCs w:val="24"/>
        </w:rPr>
        <w:t>。</w:t>
      </w:r>
      <w:r>
        <w:rPr>
          <w:rFonts w:hint="eastAsia" w:ascii="宋体" w:hAnsi="宋体"/>
          <w:spacing w:val="-1"/>
          <w:kern w:val="0"/>
          <w:sz w:val="24"/>
          <w:szCs w:val="24"/>
        </w:rPr>
        <w:t>全部委托回收综合利用。</w:t>
      </w:r>
    </w:p>
    <w:p>
      <w:pPr>
        <w:adjustRightInd w:val="0"/>
        <w:snapToGrid w:val="0"/>
        <w:spacing w:line="360" w:lineRule="auto"/>
        <w:ind w:firstLine="480" w:firstLineChars="200"/>
        <w:rPr>
          <w:rFonts w:ascii="Cambria Math" w:hAnsi="Cambria Math" w:cs="Cambria Math"/>
          <w:spacing w:val="2"/>
          <w:kern w:val="0"/>
          <w:sz w:val="24"/>
          <w:szCs w:val="24"/>
        </w:rPr>
      </w:pPr>
      <w:r>
        <w:rPr>
          <w:rFonts w:ascii="宋体" w:hAnsi="宋体"/>
          <w:kern w:val="0"/>
          <w:sz w:val="24"/>
          <w:szCs w:val="24"/>
        </w:rPr>
        <w:t>生活垃圾</w:t>
      </w:r>
      <w:r>
        <w:rPr>
          <w:rFonts w:hint="eastAsia" w:ascii="宋体" w:hAnsi="宋体"/>
          <w:spacing w:val="-1"/>
          <w:kern w:val="0"/>
          <w:sz w:val="24"/>
          <w:szCs w:val="24"/>
        </w:rPr>
        <w:t>收集后全部</w:t>
      </w:r>
      <w:r>
        <w:rPr>
          <w:rFonts w:ascii="宋体" w:hAnsi="宋体"/>
          <w:spacing w:val="-1"/>
          <w:kern w:val="0"/>
          <w:sz w:val="24"/>
          <w:szCs w:val="24"/>
        </w:rPr>
        <w:t>交由</w:t>
      </w:r>
      <w:r>
        <w:rPr>
          <w:rFonts w:hint="eastAsia" w:ascii="宋体" w:hAnsi="宋体"/>
          <w:spacing w:val="-1"/>
          <w:kern w:val="0"/>
          <w:sz w:val="24"/>
          <w:szCs w:val="24"/>
        </w:rPr>
        <w:t>紧邻的生活垃圾焚烧发电项目焚烧处理；</w:t>
      </w:r>
      <w:r>
        <w:rPr>
          <w:spacing w:val="2"/>
          <w:kern w:val="0"/>
          <w:sz w:val="24"/>
          <w:szCs w:val="24"/>
        </w:rPr>
        <w:t>渗滤液处理站污泥压滤后送至紧邻的围场生活垃圾焚烧厂焚烧处理。</w:t>
      </w:r>
    </w:p>
    <w:p>
      <w:pPr>
        <w:adjustRightInd w:val="0"/>
        <w:snapToGrid w:val="0"/>
        <w:spacing w:line="360" w:lineRule="auto"/>
        <w:ind w:firstLine="488" w:firstLineChars="200"/>
        <w:rPr>
          <w:rFonts w:ascii="宋体" w:hAnsi="宋体"/>
          <w:kern w:val="0"/>
          <w:sz w:val="24"/>
          <w:szCs w:val="24"/>
        </w:rPr>
      </w:pPr>
      <w:r>
        <w:rPr>
          <w:rFonts w:ascii="宋体" w:hAnsi="宋体"/>
          <w:spacing w:val="2"/>
          <w:kern w:val="0"/>
          <w:sz w:val="24"/>
          <w:szCs w:val="24"/>
        </w:rPr>
        <w:t>机械维护过程中</w:t>
      </w:r>
      <w:r>
        <w:rPr>
          <w:rFonts w:ascii="宋体" w:hAnsi="宋体"/>
          <w:kern w:val="0"/>
          <w:sz w:val="24"/>
          <w:szCs w:val="24"/>
        </w:rPr>
        <w:t>废机油为危险废物，类别代码为</w:t>
      </w:r>
      <w:r>
        <w:rPr>
          <w:rFonts w:ascii="宋体" w:hAnsi="宋体"/>
          <w:spacing w:val="-60"/>
          <w:kern w:val="0"/>
          <w:sz w:val="24"/>
          <w:szCs w:val="24"/>
        </w:rPr>
        <w:t xml:space="preserve"> </w:t>
      </w:r>
      <w:r>
        <w:rPr>
          <w:rFonts w:eastAsia="Times New Roman"/>
          <w:spacing w:val="-1"/>
          <w:kern w:val="0"/>
          <w:sz w:val="24"/>
          <w:szCs w:val="24"/>
        </w:rPr>
        <w:t>H</w:t>
      </w:r>
      <w:r>
        <w:rPr>
          <w:rFonts w:eastAsia="Times New Roman"/>
          <w:spacing w:val="1"/>
          <w:kern w:val="0"/>
          <w:sz w:val="24"/>
          <w:szCs w:val="24"/>
        </w:rPr>
        <w:t>W</w:t>
      </w:r>
      <w:r>
        <w:rPr>
          <w:rFonts w:eastAsia="Times New Roman"/>
          <w:kern w:val="0"/>
          <w:sz w:val="24"/>
          <w:szCs w:val="24"/>
        </w:rPr>
        <w:t>0</w:t>
      </w:r>
      <w:r>
        <w:rPr>
          <w:rFonts w:eastAsia="Times New Roman"/>
          <w:spacing w:val="-58"/>
          <w:kern w:val="0"/>
          <w:sz w:val="24"/>
          <w:szCs w:val="24"/>
        </w:rPr>
        <w:t>8</w:t>
      </w:r>
      <w:r>
        <w:rPr>
          <w:rFonts w:ascii="宋体" w:hAnsi="宋体"/>
          <w:kern w:val="0"/>
          <w:sz w:val="24"/>
          <w:szCs w:val="24"/>
        </w:rPr>
        <w:t>（</w:t>
      </w:r>
      <w:r>
        <w:rPr>
          <w:rFonts w:eastAsia="Times New Roman"/>
          <w:kern w:val="0"/>
          <w:sz w:val="24"/>
          <w:szCs w:val="24"/>
        </w:rPr>
        <w:t>900</w:t>
      </w:r>
      <w:r>
        <w:rPr>
          <w:rFonts w:eastAsia="Times New Roman"/>
          <w:spacing w:val="-1"/>
          <w:kern w:val="0"/>
          <w:sz w:val="24"/>
          <w:szCs w:val="24"/>
        </w:rPr>
        <w:t>-</w:t>
      </w:r>
      <w:r>
        <w:rPr>
          <w:rFonts w:eastAsia="Times New Roman"/>
          <w:kern w:val="0"/>
          <w:sz w:val="24"/>
          <w:szCs w:val="24"/>
        </w:rPr>
        <w:t>214</w:t>
      </w:r>
      <w:r>
        <w:rPr>
          <w:rFonts w:eastAsia="Times New Roman"/>
          <w:spacing w:val="-1"/>
          <w:kern w:val="0"/>
          <w:sz w:val="24"/>
          <w:szCs w:val="24"/>
        </w:rPr>
        <w:t>-</w:t>
      </w:r>
      <w:r>
        <w:rPr>
          <w:rFonts w:eastAsia="Times New Roman"/>
          <w:kern w:val="0"/>
          <w:sz w:val="24"/>
          <w:szCs w:val="24"/>
        </w:rPr>
        <w:t>08</w:t>
      </w:r>
      <w:r>
        <w:rPr>
          <w:rFonts w:ascii="宋体" w:hAnsi="宋体"/>
          <w:spacing w:val="-56"/>
          <w:kern w:val="0"/>
          <w:sz w:val="24"/>
          <w:szCs w:val="24"/>
        </w:rPr>
        <w:t>）</w:t>
      </w:r>
      <w:r>
        <w:rPr>
          <w:rFonts w:ascii="宋体" w:hAnsi="宋体"/>
          <w:spacing w:val="-58"/>
          <w:kern w:val="0"/>
          <w:sz w:val="24"/>
          <w:szCs w:val="24"/>
        </w:rPr>
        <w:t>，</w:t>
      </w:r>
      <w:r>
        <w:rPr>
          <w:rFonts w:ascii="宋体" w:hAnsi="宋体"/>
          <w:kern w:val="0"/>
          <w:sz w:val="24"/>
          <w:szCs w:val="24"/>
        </w:rPr>
        <w:t>收集后暂存至</w:t>
      </w:r>
      <w:r>
        <w:rPr>
          <w:rFonts w:hint="eastAsia" w:ascii="宋体" w:hAnsi="宋体"/>
          <w:kern w:val="0"/>
          <w:sz w:val="24"/>
          <w:szCs w:val="24"/>
        </w:rPr>
        <w:t>紧邻的围场生活垃圾焚烧厂</w:t>
      </w:r>
      <w:r>
        <w:rPr>
          <w:rFonts w:ascii="宋体" w:hAnsi="宋体"/>
          <w:kern w:val="0"/>
          <w:sz w:val="24"/>
          <w:szCs w:val="24"/>
        </w:rPr>
        <w:t>危险</w:t>
      </w:r>
      <w:r>
        <w:rPr>
          <w:rFonts w:ascii="宋体" w:hAnsi="宋体"/>
          <w:spacing w:val="2"/>
          <w:kern w:val="0"/>
          <w:sz w:val="24"/>
          <w:szCs w:val="24"/>
        </w:rPr>
        <w:t>废</w:t>
      </w:r>
      <w:r>
        <w:rPr>
          <w:rFonts w:ascii="宋体" w:hAnsi="宋体"/>
          <w:kern w:val="0"/>
          <w:sz w:val="24"/>
          <w:szCs w:val="24"/>
        </w:rPr>
        <w:t>物暂存库后委托有相关资质单位处理。</w:t>
      </w:r>
    </w:p>
    <w:p>
      <w:pPr>
        <w:adjustRightInd w:val="0"/>
        <w:snapToGrid w:val="0"/>
        <w:spacing w:line="360" w:lineRule="auto"/>
        <w:ind w:firstLine="480" w:firstLineChars="200"/>
        <w:rPr>
          <w:sz w:val="24"/>
          <w:szCs w:val="24"/>
        </w:rPr>
      </w:pPr>
      <w:r>
        <w:rPr>
          <w:rFonts w:hint="eastAsia"/>
          <w:sz w:val="24"/>
          <w:szCs w:val="24"/>
        </w:rPr>
        <w:t>综上所述，本项目营运期固体废物可以全部安全处置，对周边环境影响不大。</w:t>
      </w:r>
    </w:p>
    <w:p>
      <w:pPr>
        <w:keepNext/>
        <w:keepLines/>
        <w:numPr>
          <w:ilvl w:val="1"/>
          <w:numId w:val="5"/>
        </w:numPr>
        <w:tabs>
          <w:tab w:val="left" w:pos="432"/>
          <w:tab w:val="left" w:pos="720"/>
        </w:tabs>
        <w:adjustRightInd w:val="0"/>
        <w:snapToGrid w:val="0"/>
        <w:spacing w:before="156" w:beforeLines="50" w:line="360" w:lineRule="auto"/>
        <w:ind w:left="0" w:firstLine="0"/>
        <w:outlineLvl w:val="1"/>
        <w:rPr>
          <w:b/>
          <w:bCs/>
          <w:sz w:val="30"/>
          <w:szCs w:val="30"/>
        </w:rPr>
      </w:pPr>
      <w:bookmarkStart w:id="138" w:name="_Toc94101229"/>
      <w:r>
        <w:rPr>
          <w:b/>
          <w:bCs/>
          <w:sz w:val="30"/>
          <w:szCs w:val="30"/>
        </w:rPr>
        <w:t>土壤环境影响分析</w:t>
      </w:r>
      <w:bookmarkEnd w:id="138"/>
    </w:p>
    <w:p>
      <w:pPr>
        <w:pStyle w:val="62"/>
        <w:numPr>
          <w:ilvl w:val="2"/>
          <w:numId w:val="5"/>
        </w:numPr>
        <w:tabs>
          <w:tab w:val="left" w:pos="567"/>
          <w:tab w:val="left" w:pos="709"/>
          <w:tab w:val="clear" w:pos="1021"/>
        </w:tabs>
        <w:spacing w:before="156" w:after="156"/>
        <w:rPr>
          <w:rFonts w:ascii="Times New Roman" w:hAnsi="Times New Roman"/>
        </w:rPr>
      </w:pPr>
      <w:r>
        <w:rPr>
          <w:rFonts w:hint="eastAsia" w:ascii="Times New Roman" w:hAnsi="Times New Roman"/>
        </w:rPr>
        <w:t>土壤污染途径</w:t>
      </w:r>
    </w:p>
    <w:p>
      <w:pPr>
        <w:spacing w:line="360" w:lineRule="auto"/>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本项目填埋区、渗滤液调节池等采用双层人工合成材料防渗衬层进行防渗处理。焚烧厂产生的飞灰经过固化稳定化后符合《生活垃圾填埋场污染控制标准》(GB16889-2008)相应标准限值要求才能入场填埋，浸出液中重金属、二噁英等危害成份浓度满足填埋场填埋要求。因此，正常工况下，防渗性能完好，场内废水在无风险发生的情况下基本无渗出，不会对土壤环境产生不良影响。</w:t>
      </w:r>
    </w:p>
    <w:p>
      <w:pPr>
        <w:spacing w:line="360" w:lineRule="auto"/>
        <w:ind w:firstLine="480" w:firstLineChars="200"/>
        <w:rPr>
          <w:sz w:val="24"/>
          <w:szCs w:val="24"/>
        </w:rPr>
      </w:pPr>
      <w:r>
        <w:rPr>
          <w:rFonts w:hint="eastAsia"/>
          <w:sz w:val="24"/>
          <w:szCs w:val="24"/>
        </w:rPr>
        <w:t>本项目为污染影响型建设项目，项目土壤评价等级为三级。重点分析运营期非正常情况对土壤环境的影响。根据项目工程分析，填埋作业时产生的废气和污水处理站废气较少，重点考虑渗滤液通过垂直入渗透的形式渗入周边土壤的土壤污染途径。</w:t>
      </w:r>
    </w:p>
    <w:p>
      <w:pPr>
        <w:pStyle w:val="62"/>
        <w:numPr>
          <w:ilvl w:val="2"/>
          <w:numId w:val="5"/>
        </w:numPr>
        <w:tabs>
          <w:tab w:val="left" w:pos="567"/>
          <w:tab w:val="left" w:pos="709"/>
          <w:tab w:val="clear" w:pos="1021"/>
        </w:tabs>
        <w:spacing w:before="156" w:after="156"/>
        <w:rPr>
          <w:rFonts w:ascii="Times New Roman" w:hAnsi="Times New Roman"/>
        </w:rPr>
      </w:pPr>
      <w:r>
        <w:rPr>
          <w:rFonts w:ascii="Times New Roman" w:hAnsi="Times New Roman"/>
        </w:rPr>
        <w:t>垂直渗入土壤环境影响预测</w:t>
      </w:r>
    </w:p>
    <w:p>
      <w:pPr>
        <w:adjustRightInd w:val="0"/>
        <w:snapToGrid w:val="0"/>
        <w:spacing w:line="360" w:lineRule="auto"/>
        <w:ind w:firstLine="480" w:firstLineChars="200"/>
        <w:rPr>
          <w:sz w:val="24"/>
          <w:szCs w:val="24"/>
        </w:rPr>
      </w:pPr>
      <w:r>
        <w:rPr>
          <w:sz w:val="24"/>
          <w:szCs w:val="24"/>
        </w:rPr>
        <w:t>本项目实施后，由于严格按照要求采取防渗措施，在正常工况下不会发生渗滤液泄漏进入土壤，因此垂直入渗造成土壤污染主要为非正常情况下，渗滤液从池底</w:t>
      </w:r>
      <w:r>
        <w:rPr>
          <w:rFonts w:hint="eastAsia"/>
          <w:sz w:val="24"/>
          <w:szCs w:val="24"/>
        </w:rPr>
        <w:t>裂缝</w:t>
      </w:r>
      <w:r>
        <w:rPr>
          <w:sz w:val="24"/>
          <w:szCs w:val="24"/>
        </w:rPr>
        <w:t>垂直渗入土壤，渗滤液中的</w:t>
      </w:r>
      <w:r>
        <w:rPr>
          <w:rFonts w:hint="eastAsia"/>
          <w:sz w:val="24"/>
          <w:szCs w:val="24"/>
        </w:rPr>
        <w:t>铅</w:t>
      </w:r>
      <w:r>
        <w:rPr>
          <w:sz w:val="24"/>
          <w:szCs w:val="24"/>
        </w:rPr>
        <w:t>、</w:t>
      </w:r>
      <w:r>
        <w:rPr>
          <w:rFonts w:hint="eastAsia"/>
          <w:sz w:val="24"/>
          <w:szCs w:val="24"/>
        </w:rPr>
        <w:t>汞、六价铬和砷</w:t>
      </w:r>
      <w:r>
        <w:rPr>
          <w:sz w:val="24"/>
          <w:szCs w:val="24"/>
        </w:rPr>
        <w:t>等污染因子对土壤造成的影响。</w:t>
      </w:r>
    </w:p>
    <w:p>
      <w:pPr>
        <w:adjustRightInd w:val="0"/>
        <w:snapToGrid w:val="0"/>
        <w:spacing w:line="360" w:lineRule="auto"/>
        <w:ind w:firstLine="480" w:firstLineChars="200"/>
        <w:rPr>
          <w:bCs/>
          <w:sz w:val="24"/>
          <w:szCs w:val="24"/>
        </w:rPr>
      </w:pPr>
      <w:r>
        <w:rPr>
          <w:bCs/>
          <w:sz w:val="24"/>
          <w:szCs w:val="24"/>
        </w:rPr>
        <w:t>（1）污染预测方法</w:t>
      </w:r>
    </w:p>
    <w:p>
      <w:pPr>
        <w:adjustRightInd w:val="0"/>
        <w:snapToGrid w:val="0"/>
        <w:spacing w:line="360" w:lineRule="auto"/>
        <w:ind w:firstLine="480" w:firstLineChars="200"/>
        <w:rPr>
          <w:sz w:val="24"/>
          <w:szCs w:val="24"/>
        </w:rPr>
      </w:pPr>
      <w:r>
        <w:rPr>
          <w:sz w:val="24"/>
          <w:szCs w:val="24"/>
        </w:rPr>
        <w:t>根据《环境影响评价技术导则 土壤环境（试行）》（HJ964-2018）中附录 E中</w:t>
      </w:r>
      <w:r>
        <w:rPr>
          <w:rFonts w:hint="eastAsia"/>
          <w:sz w:val="24"/>
          <w:szCs w:val="24"/>
        </w:rPr>
        <w:t>推荐的一维非饱和溶质运移模型预测方法进行</w:t>
      </w:r>
      <w:r>
        <w:rPr>
          <w:sz w:val="24"/>
          <w:szCs w:val="24"/>
        </w:rPr>
        <w:t>预测，预测模型如下：</w:t>
      </w:r>
    </w:p>
    <w:p>
      <w:pPr>
        <w:adjustRightInd w:val="0"/>
        <w:snapToGrid w:val="0"/>
        <w:spacing w:line="360" w:lineRule="auto"/>
        <w:ind w:firstLine="480" w:firstLineChars="200"/>
        <w:rPr>
          <w:sz w:val="24"/>
          <w:szCs w:val="24"/>
        </w:rPr>
      </w:pPr>
      <w:r>
        <w:rPr>
          <w:rFonts w:hint="eastAsia"/>
          <w:sz w:val="24"/>
          <w:szCs w:val="24"/>
        </w:rPr>
        <w:t>1）</w:t>
      </w:r>
      <w:r>
        <w:rPr>
          <w:sz w:val="24"/>
          <w:szCs w:val="24"/>
        </w:rPr>
        <w:t>一维非饱和溶质垂直运动控制方案</w:t>
      </w:r>
    </w:p>
    <w:p>
      <w:pPr>
        <w:adjustRightInd w:val="0"/>
        <w:snapToGrid w:val="0"/>
        <w:spacing w:line="360" w:lineRule="auto"/>
        <w:ind w:firstLine="420" w:firstLineChars="200"/>
        <w:jc w:val="center"/>
        <w:rPr>
          <w:sz w:val="24"/>
          <w:szCs w:val="24"/>
        </w:rPr>
      </w:pPr>
      <w:r>
        <w:rPr>
          <w:position w:val="-24"/>
        </w:rPr>
        <w:object>
          <v:shape id="_x0000_i1030" o:spt="75" type="#_x0000_t75" style="height:27pt;width:150pt;" o:ole="t" filled="f" o:preferrelative="t" stroked="f" coordsize="21600,21600">
            <v:path/>
            <v:fill on="f" focussize="0,0"/>
            <v:stroke on="f" joinstyle="miter"/>
            <v:imagedata r:id="rId138" o:title=""/>
            <o:lock v:ext="edit" aspectratio="t"/>
            <w10:wrap type="none"/>
            <w10:anchorlock/>
          </v:shape>
          <o:OLEObject Type="Embed" ProgID="Equation.3" ShapeID="_x0000_i1030" DrawAspect="Content" ObjectID="_1468075730" r:id="rId137">
            <o:LockedField>false</o:LockedField>
          </o:OLEObject>
        </w:object>
      </w:r>
    </w:p>
    <w:p>
      <w:pPr>
        <w:adjustRightInd w:val="0"/>
        <w:snapToGrid w:val="0"/>
        <w:spacing w:line="360" w:lineRule="auto"/>
        <w:ind w:firstLine="991" w:firstLineChars="413"/>
        <w:rPr>
          <w:sz w:val="24"/>
          <w:szCs w:val="24"/>
        </w:rPr>
      </w:pPr>
      <w:r>
        <w:rPr>
          <w:sz w:val="24"/>
          <w:szCs w:val="24"/>
        </w:rPr>
        <w:t>式中：c—污染物介质中的浓度，mg/L；</w:t>
      </w:r>
    </w:p>
    <w:p>
      <w:pPr>
        <w:adjustRightInd w:val="0"/>
        <w:snapToGrid w:val="0"/>
        <w:spacing w:line="360" w:lineRule="auto"/>
        <w:ind w:firstLine="991" w:firstLineChars="413"/>
        <w:rPr>
          <w:sz w:val="24"/>
          <w:szCs w:val="24"/>
        </w:rPr>
      </w:pPr>
      <w:r>
        <w:rPr>
          <w:sz w:val="24"/>
          <w:szCs w:val="24"/>
        </w:rPr>
        <w:t xml:space="preserve">      d—弥散系数，m</w:t>
      </w:r>
      <w:r>
        <w:rPr>
          <w:sz w:val="24"/>
          <w:szCs w:val="24"/>
          <w:vertAlign w:val="superscript"/>
        </w:rPr>
        <w:t>2</w:t>
      </w:r>
      <w:r>
        <w:rPr>
          <w:sz w:val="24"/>
          <w:szCs w:val="24"/>
        </w:rPr>
        <w:t>/d；</w:t>
      </w:r>
    </w:p>
    <w:p>
      <w:pPr>
        <w:adjustRightInd w:val="0"/>
        <w:snapToGrid w:val="0"/>
        <w:spacing w:line="360" w:lineRule="auto"/>
        <w:ind w:firstLine="991" w:firstLineChars="413"/>
        <w:rPr>
          <w:sz w:val="24"/>
          <w:szCs w:val="24"/>
        </w:rPr>
      </w:pPr>
      <w:r>
        <w:rPr>
          <w:sz w:val="24"/>
          <w:szCs w:val="24"/>
        </w:rPr>
        <w:t xml:space="preserve">      q—渗流速度，m/d；</w:t>
      </w:r>
    </w:p>
    <w:p>
      <w:pPr>
        <w:adjustRightInd w:val="0"/>
        <w:snapToGrid w:val="0"/>
        <w:spacing w:line="360" w:lineRule="auto"/>
        <w:ind w:firstLine="991" w:firstLineChars="413"/>
        <w:rPr>
          <w:sz w:val="24"/>
          <w:szCs w:val="24"/>
        </w:rPr>
      </w:pPr>
      <w:r>
        <w:rPr>
          <w:sz w:val="24"/>
          <w:szCs w:val="24"/>
        </w:rPr>
        <w:t xml:space="preserve">      z—沿轴的距离，m；</w:t>
      </w:r>
    </w:p>
    <w:p>
      <w:pPr>
        <w:adjustRightInd w:val="0"/>
        <w:snapToGrid w:val="0"/>
        <w:spacing w:line="360" w:lineRule="auto"/>
        <w:ind w:firstLine="991" w:firstLineChars="413"/>
        <w:rPr>
          <w:sz w:val="24"/>
          <w:szCs w:val="24"/>
        </w:rPr>
      </w:pPr>
      <w:r>
        <w:rPr>
          <w:sz w:val="24"/>
          <w:szCs w:val="24"/>
        </w:rPr>
        <w:t xml:space="preserve">      t—时间变量，d；</w:t>
      </w:r>
    </w:p>
    <w:p>
      <w:pPr>
        <w:adjustRightInd w:val="0"/>
        <w:snapToGrid w:val="0"/>
        <w:spacing w:line="360" w:lineRule="auto"/>
        <w:ind w:firstLine="991" w:firstLineChars="413"/>
        <w:rPr>
          <w:sz w:val="24"/>
          <w:szCs w:val="24"/>
        </w:rPr>
      </w:pPr>
      <w:r>
        <w:rPr>
          <w:sz w:val="24"/>
          <w:szCs w:val="24"/>
        </w:rPr>
        <w:t xml:space="preserve">      θ—土壤含水率，%。</w:t>
      </w:r>
    </w:p>
    <w:p>
      <w:pPr>
        <w:adjustRightInd w:val="0"/>
        <w:snapToGrid w:val="0"/>
        <w:spacing w:line="360" w:lineRule="auto"/>
        <w:ind w:firstLine="480" w:firstLineChars="200"/>
        <w:rPr>
          <w:sz w:val="24"/>
          <w:szCs w:val="24"/>
        </w:rPr>
      </w:pPr>
      <w:r>
        <w:rPr>
          <w:sz w:val="24"/>
          <w:szCs w:val="24"/>
        </w:rPr>
        <w:t>2）初始条件</w:t>
      </w:r>
    </w:p>
    <w:p>
      <w:pPr>
        <w:adjustRightInd w:val="0"/>
        <w:snapToGrid w:val="0"/>
        <w:spacing w:line="360" w:lineRule="auto"/>
        <w:ind w:firstLine="991" w:firstLineChars="413"/>
        <w:jc w:val="left"/>
        <w:rPr>
          <w:sz w:val="24"/>
          <w:szCs w:val="24"/>
        </w:rPr>
      </w:pPr>
      <w:r>
        <w:rPr>
          <w:sz w:val="24"/>
          <w:szCs w:val="24"/>
        </w:rPr>
        <w:t>C（z</w:t>
      </w:r>
      <w:r>
        <w:rPr>
          <w:rFonts w:hint="eastAsia"/>
          <w:sz w:val="24"/>
          <w:szCs w:val="24"/>
        </w:rPr>
        <w:t>,</w:t>
      </w:r>
      <w:r>
        <w:rPr>
          <w:sz w:val="24"/>
          <w:szCs w:val="24"/>
        </w:rPr>
        <w:t>t）=0      t=0    L≤z＜0</w:t>
      </w:r>
    </w:p>
    <w:p>
      <w:pPr>
        <w:adjustRightInd w:val="0"/>
        <w:snapToGrid w:val="0"/>
        <w:spacing w:line="360" w:lineRule="auto"/>
        <w:ind w:firstLine="480" w:firstLineChars="200"/>
        <w:rPr>
          <w:sz w:val="24"/>
          <w:szCs w:val="24"/>
        </w:rPr>
      </w:pPr>
      <w:r>
        <w:rPr>
          <w:sz w:val="24"/>
          <w:szCs w:val="24"/>
        </w:rPr>
        <w:t>3）边界条件</w:t>
      </w:r>
    </w:p>
    <w:p>
      <w:pPr>
        <w:adjustRightInd w:val="0"/>
        <w:snapToGrid w:val="0"/>
        <w:spacing w:line="360" w:lineRule="auto"/>
        <w:ind w:firstLine="480" w:firstLineChars="200"/>
        <w:rPr>
          <w:sz w:val="24"/>
          <w:szCs w:val="24"/>
        </w:rPr>
      </w:pPr>
      <w:r>
        <w:rPr>
          <w:sz w:val="24"/>
          <w:szCs w:val="24"/>
        </w:rPr>
        <w:t>第一类 Dirichlet边界条件：</w:t>
      </w:r>
    </w:p>
    <w:p>
      <w:pPr>
        <w:numPr>
          <w:ilvl w:val="0"/>
          <w:numId w:val="15"/>
        </w:numPr>
        <w:adjustRightInd w:val="0"/>
        <w:snapToGrid w:val="0"/>
        <w:spacing w:line="360" w:lineRule="auto"/>
        <w:ind w:firstLine="480" w:firstLineChars="200"/>
        <w:rPr>
          <w:sz w:val="24"/>
          <w:szCs w:val="24"/>
        </w:rPr>
      </w:pPr>
      <w:r>
        <w:rPr>
          <w:sz w:val="24"/>
          <w:szCs w:val="24"/>
        </w:rPr>
        <w:t>连续点源</w:t>
      </w:r>
    </w:p>
    <w:p>
      <w:pPr>
        <w:jc w:val="center"/>
        <w:rPr>
          <w:kern w:val="0"/>
          <w:sz w:val="24"/>
          <w:szCs w:val="24"/>
        </w:rPr>
      </w:pPr>
      <w:r>
        <w:rPr>
          <w:position w:val="-8"/>
        </w:rPr>
        <w:object>
          <v:shape id="_x0000_i1031" o:spt="75" type="#_x0000_t75" style="height:21pt;width:60pt;" o:ole="t" filled="f" o:preferrelative="t" stroked="f" coordsize="21600,21600">
            <v:path/>
            <v:fill on="f" focussize="0,0"/>
            <v:stroke on="f" joinstyle="miter"/>
            <v:imagedata r:id="rId140" o:title=""/>
            <o:lock v:ext="edit" aspectratio="t"/>
            <w10:wrap type="none"/>
            <w10:anchorlock/>
          </v:shape>
          <o:OLEObject Type="Embed" ProgID="Equation.3" ShapeID="_x0000_i1031" DrawAspect="Content" ObjectID="_1468075731" r:id="rId139">
            <o:LockedField>false</o:LockedField>
          </o:OLEObject>
        </w:object>
      </w:r>
      <w:r>
        <w:rPr>
          <w:snapToGrid w:val="0"/>
        </w:rPr>
        <w:t xml:space="preserve">  </w:t>
      </w:r>
      <w:r>
        <w:rPr>
          <w:snapToGrid w:val="0"/>
          <w:sz w:val="24"/>
          <w:szCs w:val="24"/>
        </w:rPr>
        <w:t xml:space="preserve"> </w:t>
      </w:r>
      <w:r>
        <w:rPr>
          <w:i/>
          <w:snapToGrid w:val="0"/>
          <w:sz w:val="24"/>
          <w:szCs w:val="24"/>
        </w:rPr>
        <w:t>t</w:t>
      </w:r>
      <w:r>
        <w:rPr>
          <w:snapToGrid w:val="0"/>
          <w:sz w:val="24"/>
          <w:szCs w:val="24"/>
        </w:rPr>
        <w:t>=0，</w:t>
      </w:r>
      <w:r>
        <w:rPr>
          <w:i/>
          <w:snapToGrid w:val="0"/>
          <w:sz w:val="24"/>
          <w:szCs w:val="24"/>
        </w:rPr>
        <w:t>L</w:t>
      </w:r>
      <w:r>
        <w:rPr>
          <w:snapToGrid w:val="0"/>
          <w:sz w:val="24"/>
          <w:szCs w:val="24"/>
        </w:rPr>
        <w:t>≤</w:t>
      </w:r>
      <w:r>
        <w:rPr>
          <w:i/>
          <w:snapToGrid w:val="0"/>
          <w:sz w:val="24"/>
          <w:szCs w:val="24"/>
        </w:rPr>
        <w:t>z</w:t>
      </w:r>
      <w:r>
        <w:rPr>
          <w:snapToGrid w:val="0"/>
          <w:sz w:val="24"/>
          <w:szCs w:val="24"/>
        </w:rPr>
        <w:t>&lt;0</w:t>
      </w:r>
    </w:p>
    <w:p>
      <w:pPr>
        <w:numPr>
          <w:ilvl w:val="0"/>
          <w:numId w:val="15"/>
        </w:numPr>
        <w:adjustRightInd w:val="0"/>
        <w:snapToGrid w:val="0"/>
        <w:spacing w:line="360" w:lineRule="auto"/>
        <w:ind w:firstLine="480" w:firstLineChars="200"/>
        <w:rPr>
          <w:sz w:val="24"/>
          <w:szCs w:val="24"/>
        </w:rPr>
      </w:pPr>
      <w:r>
        <w:rPr>
          <w:sz w:val="24"/>
          <w:szCs w:val="24"/>
        </w:rPr>
        <w:t>非连续点源</w:t>
      </w:r>
    </w:p>
    <w:p>
      <w:pPr>
        <w:jc w:val="center"/>
        <w:rPr>
          <w:snapToGrid w:val="0"/>
          <w:sz w:val="24"/>
          <w:szCs w:val="24"/>
        </w:rPr>
      </w:pPr>
      <w:r>
        <w:rPr>
          <w:position w:val="-14"/>
        </w:rPr>
        <w:object>
          <v:shape id="_x0000_i1032" o:spt="75" type="#_x0000_t75" style="height:27pt;width:108pt;" o:ole="t" filled="f" o:preferrelative="t" stroked="f" coordsize="21600,21600">
            <v:path/>
            <v:fill on="f" focussize="0,0"/>
            <v:stroke on="f" joinstyle="miter"/>
            <v:imagedata r:id="rId142" o:title=""/>
            <o:lock v:ext="edit" aspectratio="t"/>
            <w10:wrap type="none"/>
            <w10:anchorlock/>
          </v:shape>
          <o:OLEObject Type="Embed" ProgID="Equation.3" ShapeID="_x0000_i1032" DrawAspect="Content" ObjectID="_1468075732" r:id="rId141">
            <o:LockedField>false</o:LockedField>
          </o:OLEObject>
        </w:object>
      </w:r>
      <w:r>
        <w:rPr>
          <w:snapToGrid w:val="0"/>
        </w:rPr>
        <w:t xml:space="preserve">  </w:t>
      </w:r>
      <w:r>
        <w:rPr>
          <w:snapToGrid w:val="0"/>
          <w:sz w:val="24"/>
          <w:szCs w:val="24"/>
        </w:rPr>
        <w:t xml:space="preserve"> </w:t>
      </w:r>
      <w:r>
        <w:rPr>
          <w:i/>
          <w:snapToGrid w:val="0"/>
          <w:sz w:val="24"/>
          <w:szCs w:val="24"/>
        </w:rPr>
        <w:t>t</w:t>
      </w:r>
      <w:r>
        <w:rPr>
          <w:snapToGrid w:val="0"/>
          <w:sz w:val="24"/>
          <w:szCs w:val="24"/>
        </w:rPr>
        <w:t>&gt;0，z=0</w:t>
      </w:r>
    </w:p>
    <w:p>
      <w:pPr>
        <w:numPr>
          <w:ilvl w:val="0"/>
          <w:numId w:val="15"/>
        </w:numPr>
        <w:adjustRightInd w:val="0"/>
        <w:snapToGrid w:val="0"/>
        <w:spacing w:line="360" w:lineRule="auto"/>
        <w:ind w:firstLine="480" w:firstLineChars="200"/>
        <w:rPr>
          <w:sz w:val="24"/>
          <w:szCs w:val="24"/>
        </w:rPr>
      </w:pPr>
      <w:r>
        <w:rPr>
          <w:sz w:val="24"/>
          <w:szCs w:val="24"/>
        </w:rPr>
        <w:t>第二类Neumann零梯度边界</w:t>
      </w:r>
    </w:p>
    <w:p>
      <w:pPr>
        <w:jc w:val="center"/>
        <w:rPr>
          <w:sz w:val="24"/>
          <w:szCs w:val="24"/>
        </w:rPr>
      </w:pPr>
      <w:r>
        <w:rPr>
          <w:position w:val="-24"/>
        </w:rPr>
        <w:object>
          <v:shape id="_x0000_i1033" o:spt="75" type="#_x0000_t75" style="height:27pt;width:55.5pt;" o:ole="t" filled="f" o:preferrelative="t" stroked="f" coordsize="21600,21600">
            <v:path/>
            <v:fill on="f" focussize="0,0"/>
            <v:stroke on="f" joinstyle="miter"/>
            <v:imagedata r:id="rId144" o:title=""/>
            <o:lock v:ext="edit" aspectratio="t"/>
            <w10:wrap type="none"/>
            <w10:anchorlock/>
          </v:shape>
          <o:OLEObject Type="Embed" ProgID="Equation.3" ShapeID="_x0000_i1033" DrawAspect="Content" ObjectID="_1468075733" r:id="rId143">
            <o:LockedField>false</o:LockedField>
          </o:OLEObject>
        </w:object>
      </w:r>
      <w:r>
        <w:rPr>
          <w:rFonts w:hint="eastAsia"/>
          <w:position w:val="-24"/>
        </w:rPr>
        <w:t xml:space="preserve"> </w:t>
      </w:r>
      <w:r>
        <w:rPr>
          <w:i/>
          <w:snapToGrid w:val="0"/>
          <w:sz w:val="24"/>
          <w:szCs w:val="24"/>
        </w:rPr>
        <w:t>t</w:t>
      </w:r>
      <w:r>
        <w:rPr>
          <w:snapToGrid w:val="0"/>
          <w:sz w:val="24"/>
          <w:szCs w:val="24"/>
        </w:rPr>
        <w:t>&gt;0，z=0</w:t>
      </w:r>
    </w:p>
    <w:p>
      <w:pPr>
        <w:adjustRightInd w:val="0"/>
        <w:snapToGrid w:val="0"/>
        <w:spacing w:line="360" w:lineRule="auto"/>
        <w:ind w:firstLine="480" w:firstLineChars="200"/>
        <w:rPr>
          <w:bCs/>
          <w:sz w:val="24"/>
          <w:szCs w:val="24"/>
        </w:rPr>
      </w:pPr>
      <w:r>
        <w:rPr>
          <w:rFonts w:hint="eastAsia"/>
          <w:bCs/>
          <w:sz w:val="24"/>
          <w:szCs w:val="24"/>
        </w:rPr>
        <w:t>（2）模型选择</w:t>
      </w:r>
    </w:p>
    <w:p>
      <w:pPr>
        <w:adjustRightInd w:val="0"/>
        <w:snapToGrid w:val="0"/>
        <w:spacing w:line="360" w:lineRule="auto"/>
        <w:ind w:firstLine="480" w:firstLineChars="200"/>
        <w:rPr>
          <w:sz w:val="24"/>
          <w:szCs w:val="24"/>
        </w:rPr>
      </w:pPr>
      <w:r>
        <w:rPr>
          <w:rFonts w:hint="eastAsia"/>
          <w:sz w:val="24"/>
          <w:szCs w:val="24"/>
        </w:rPr>
        <w:t>根据</w:t>
      </w:r>
      <w:r>
        <w:rPr>
          <w:sz w:val="24"/>
          <w:szCs w:val="24"/>
        </w:rPr>
        <w:t>《环境影响评价技术导则 土壤环境（试行）》（HJ964-2018）中附录 E中</w:t>
      </w:r>
      <w:r>
        <w:rPr>
          <w:rFonts w:hint="eastAsia"/>
          <w:sz w:val="24"/>
          <w:szCs w:val="24"/>
        </w:rPr>
        <w:t>推荐的一维非饱和溶质运移模型进行模拟预测，以评价对土壤的影响。Hydrus 是一个可用来模拟地下水滴灌土壤水流及溶质运动的有限元计算机模型。Hydrus-1d为非饱和带水分运移模型，只考虑污染物在非饱和带的以为垂直迁移，计算污染物通过下渗达到潜水含水层的浓度及数量，本次选用Hydrus-1d模型进行预测。</w:t>
      </w:r>
    </w:p>
    <w:p>
      <w:pPr>
        <w:adjustRightInd w:val="0"/>
        <w:snapToGrid w:val="0"/>
        <w:spacing w:line="360" w:lineRule="auto"/>
        <w:ind w:firstLine="480" w:firstLineChars="200"/>
        <w:rPr>
          <w:b/>
          <w:sz w:val="24"/>
          <w:szCs w:val="24"/>
        </w:rPr>
      </w:pPr>
      <w:r>
        <w:rPr>
          <w:bCs/>
          <w:sz w:val="24"/>
          <w:szCs w:val="24"/>
        </w:rPr>
        <w:t>（</w:t>
      </w:r>
      <w:r>
        <w:rPr>
          <w:rFonts w:hint="eastAsia"/>
          <w:bCs/>
          <w:sz w:val="24"/>
          <w:szCs w:val="24"/>
        </w:rPr>
        <w:t>3</w:t>
      </w:r>
      <w:r>
        <w:rPr>
          <w:bCs/>
          <w:sz w:val="24"/>
          <w:szCs w:val="24"/>
        </w:rPr>
        <w:t>）模型概化</w:t>
      </w:r>
    </w:p>
    <w:p>
      <w:pPr>
        <w:adjustRightInd w:val="0"/>
        <w:snapToGrid w:val="0"/>
        <w:spacing w:line="360" w:lineRule="auto"/>
        <w:ind w:firstLine="480" w:firstLineChars="200"/>
        <w:rPr>
          <w:sz w:val="24"/>
          <w:szCs w:val="24"/>
        </w:rPr>
      </w:pPr>
      <w:r>
        <w:rPr>
          <w:rFonts w:hint="eastAsia"/>
          <w:sz w:val="24"/>
          <w:szCs w:val="24"/>
        </w:rPr>
        <w:t>①土壤水分运移模型</w:t>
      </w:r>
    </w:p>
    <w:p>
      <w:pPr>
        <w:adjustRightInd w:val="0"/>
        <w:snapToGrid w:val="0"/>
        <w:spacing w:line="360" w:lineRule="auto"/>
        <w:ind w:firstLine="480" w:firstLineChars="200"/>
        <w:rPr>
          <w:sz w:val="24"/>
          <w:szCs w:val="24"/>
        </w:rPr>
      </w:pPr>
      <w:r>
        <w:rPr>
          <w:rFonts w:hint="eastAsia"/>
          <w:sz w:val="24"/>
          <w:szCs w:val="24"/>
        </w:rPr>
        <w:t>hydrus-ld只考虑污染物在土壤的一维垂直迁移，因此水分运移模型的边界条件只有上边界和下边界。上边界概化为稳定的污染物定水头补给边界；下边界为自由排水边界。</w:t>
      </w:r>
    </w:p>
    <w:p>
      <w:pPr>
        <w:adjustRightInd w:val="0"/>
        <w:snapToGrid w:val="0"/>
        <w:spacing w:line="360" w:lineRule="auto"/>
        <w:ind w:firstLine="480" w:firstLineChars="200"/>
        <w:rPr>
          <w:sz w:val="24"/>
          <w:szCs w:val="24"/>
        </w:rPr>
      </w:pPr>
      <w:r>
        <w:rPr>
          <w:rFonts w:hint="eastAsia"/>
          <w:sz w:val="24"/>
          <w:szCs w:val="24"/>
        </w:rPr>
        <w:t>②土壤溶质运移模型</w:t>
      </w:r>
    </w:p>
    <w:p>
      <w:pPr>
        <w:adjustRightInd w:val="0"/>
        <w:snapToGrid w:val="0"/>
        <w:spacing w:line="360" w:lineRule="auto"/>
        <w:ind w:firstLine="480" w:firstLineChars="200"/>
        <w:rPr>
          <w:sz w:val="24"/>
          <w:szCs w:val="24"/>
        </w:rPr>
      </w:pPr>
      <w:r>
        <w:rPr>
          <w:rFonts w:hint="eastAsia"/>
          <w:sz w:val="24"/>
          <w:szCs w:val="24"/>
        </w:rPr>
        <w:t>本次应用hydrus-ld模拟污染物一维垂直迁移，只考虑溶质在固液相间的线性平衡等温吸附作用，忽略化学反应作用。将水帘循环池看做注入的点源，上边界为释放污染物的定通量边界；下边界为零通量梯度边界。</w:t>
      </w:r>
    </w:p>
    <w:p>
      <w:pPr>
        <w:adjustRightInd w:val="0"/>
        <w:snapToGrid w:val="0"/>
        <w:spacing w:line="360" w:lineRule="auto"/>
        <w:ind w:firstLine="480" w:firstLineChars="200"/>
        <w:rPr>
          <w:sz w:val="24"/>
          <w:szCs w:val="24"/>
        </w:rPr>
      </w:pPr>
      <w:r>
        <w:rPr>
          <w:sz w:val="24"/>
          <w:szCs w:val="24"/>
        </w:rPr>
        <w:fldChar w:fldCharType="begin"/>
      </w:r>
      <w:r>
        <w:rPr>
          <w:sz w:val="24"/>
          <w:szCs w:val="24"/>
        </w:rPr>
        <w:instrText xml:space="preserve"> </w:instrText>
      </w:r>
      <w:r>
        <w:rPr>
          <w:rFonts w:hint="eastAsia"/>
          <w:sz w:val="24"/>
          <w:szCs w:val="24"/>
        </w:rPr>
        <w:instrText xml:space="preserve">= 3 \* GB3</w:instrText>
      </w:r>
      <w:r>
        <w:rPr>
          <w:sz w:val="24"/>
          <w:szCs w:val="24"/>
        </w:rPr>
        <w:instrText xml:space="preserve"> </w:instrText>
      </w:r>
      <w:r>
        <w:rPr>
          <w:sz w:val="24"/>
          <w:szCs w:val="24"/>
        </w:rPr>
        <w:fldChar w:fldCharType="separate"/>
      </w:r>
      <w:r>
        <w:rPr>
          <w:rFonts w:hint="eastAsia"/>
          <w:sz w:val="24"/>
          <w:szCs w:val="24"/>
        </w:rPr>
        <w:t>③</w:t>
      </w:r>
      <w:r>
        <w:rPr>
          <w:sz w:val="24"/>
          <w:szCs w:val="24"/>
        </w:rPr>
        <w:fldChar w:fldCharType="end"/>
      </w:r>
      <w:r>
        <w:rPr>
          <w:sz w:val="24"/>
          <w:szCs w:val="24"/>
        </w:rPr>
        <w:t>土壤概化：结合本项目岩土工程勘察及水文地质勘查成果，渗滤液收集池层底板</w:t>
      </w:r>
      <w:r>
        <w:rPr>
          <w:rFonts w:hint="eastAsia"/>
          <w:sz w:val="24"/>
          <w:szCs w:val="24"/>
        </w:rPr>
        <w:t>（地下4米）以下，含水层（地下23.2米）以上均为细沙土层。</w:t>
      </w:r>
    </w:p>
    <w:p>
      <w:pPr>
        <w:adjustRightInd w:val="0"/>
        <w:snapToGrid w:val="0"/>
        <w:spacing w:line="360" w:lineRule="auto"/>
        <w:ind w:firstLine="480" w:firstLineChars="200"/>
        <w:rPr>
          <w:sz w:val="24"/>
          <w:szCs w:val="24"/>
        </w:rPr>
      </w:pPr>
      <w:r>
        <w:rPr>
          <w:rFonts w:hint="eastAsia"/>
          <w:sz w:val="24"/>
          <w:szCs w:val="24"/>
        </w:rPr>
        <w:t>（4）参数选取</w:t>
      </w:r>
    </w:p>
    <w:p>
      <w:pPr>
        <w:adjustRightInd w:val="0"/>
        <w:snapToGrid w:val="0"/>
        <w:spacing w:line="360" w:lineRule="auto"/>
        <w:ind w:firstLine="480" w:firstLineChars="200"/>
        <w:rPr>
          <w:sz w:val="24"/>
          <w:szCs w:val="24"/>
        </w:rPr>
      </w:pPr>
      <w:r>
        <w:rPr>
          <w:rFonts w:hint="eastAsia"/>
          <w:sz w:val="24"/>
          <w:szCs w:val="24"/>
        </w:rPr>
        <w:t>土壤参数采用土壤经验参数库中的数值，具体相关参数见表5.7-4。</w:t>
      </w:r>
    </w:p>
    <w:p>
      <w:pPr>
        <w:adjustRightInd w:val="0"/>
        <w:snapToGrid w:val="0"/>
        <w:spacing w:line="360" w:lineRule="auto"/>
        <w:jc w:val="center"/>
        <w:rPr>
          <w:b/>
          <w:sz w:val="24"/>
          <w:szCs w:val="24"/>
        </w:rPr>
      </w:pPr>
      <w:r>
        <w:rPr>
          <w:rFonts w:hint="eastAsia"/>
          <w:b/>
          <w:sz w:val="24"/>
          <w:szCs w:val="24"/>
        </w:rPr>
        <w:t>表5.7-4  区域土壤参数表</w:t>
      </w:r>
    </w:p>
    <w:tbl>
      <w:tblPr>
        <w:tblStyle w:val="3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1"/>
        <w:gridCol w:w="1071"/>
        <w:gridCol w:w="1084"/>
        <w:gridCol w:w="1057"/>
        <w:gridCol w:w="1252"/>
        <w:gridCol w:w="919"/>
        <w:gridCol w:w="1071"/>
        <w:gridCol w:w="9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shd w:val="clear" w:color="auto" w:fill="auto"/>
            <w:vAlign w:val="center"/>
          </w:tcPr>
          <w:p>
            <w:pPr>
              <w:adjustRightInd w:val="0"/>
              <w:snapToGrid w:val="0"/>
              <w:jc w:val="center"/>
              <w:rPr>
                <w:szCs w:val="21"/>
              </w:rPr>
            </w:pPr>
            <w:r>
              <w:rPr>
                <w:rFonts w:hint="eastAsia"/>
                <w:szCs w:val="21"/>
              </w:rPr>
              <w:t>土壤类型</w:t>
            </w:r>
          </w:p>
        </w:tc>
        <w:tc>
          <w:tcPr>
            <w:tcW w:w="1071" w:type="dxa"/>
            <w:shd w:val="clear" w:color="auto" w:fill="auto"/>
            <w:vAlign w:val="center"/>
          </w:tcPr>
          <w:p>
            <w:pPr>
              <w:adjustRightInd w:val="0"/>
              <w:snapToGrid w:val="0"/>
              <w:jc w:val="center"/>
              <w:rPr>
                <w:szCs w:val="21"/>
              </w:rPr>
            </w:pPr>
            <w:r>
              <w:rPr>
                <w:szCs w:val="21"/>
              </w:rPr>
              <w:t>厚度</w:t>
            </w:r>
          </w:p>
        </w:tc>
        <w:tc>
          <w:tcPr>
            <w:tcW w:w="1084" w:type="dxa"/>
            <w:shd w:val="clear" w:color="auto" w:fill="auto"/>
            <w:vAlign w:val="center"/>
          </w:tcPr>
          <w:p>
            <w:pPr>
              <w:adjustRightInd w:val="0"/>
              <w:snapToGrid w:val="0"/>
              <w:jc w:val="center"/>
              <w:rPr>
                <w:szCs w:val="21"/>
              </w:rPr>
            </w:pPr>
            <w:r>
              <w:rPr>
                <w:rFonts w:hint="eastAsia"/>
                <w:szCs w:val="21"/>
              </w:rPr>
              <w:t>θ</w:t>
            </w:r>
            <w:r>
              <w:rPr>
                <w:szCs w:val="21"/>
              </w:rPr>
              <w:t>r</w:t>
            </w:r>
          </w:p>
        </w:tc>
        <w:tc>
          <w:tcPr>
            <w:tcW w:w="1057" w:type="dxa"/>
            <w:shd w:val="clear" w:color="auto" w:fill="auto"/>
            <w:vAlign w:val="center"/>
          </w:tcPr>
          <w:p>
            <w:pPr>
              <w:jc w:val="center"/>
            </w:pPr>
            <w:r>
              <w:rPr>
                <w:rFonts w:hint="eastAsia"/>
                <w:szCs w:val="21"/>
              </w:rPr>
              <w:t>θs</w:t>
            </w:r>
          </w:p>
        </w:tc>
        <w:tc>
          <w:tcPr>
            <w:tcW w:w="1252" w:type="dxa"/>
            <w:shd w:val="clear" w:color="auto" w:fill="auto"/>
            <w:vAlign w:val="center"/>
          </w:tcPr>
          <w:p>
            <w:pPr>
              <w:jc w:val="center"/>
            </w:pPr>
            <w:r>
              <w:rPr>
                <w:rFonts w:hint="eastAsia"/>
              </w:rPr>
              <w:t>Alpha</w:t>
            </w:r>
          </w:p>
        </w:tc>
        <w:tc>
          <w:tcPr>
            <w:tcW w:w="919" w:type="dxa"/>
            <w:shd w:val="clear" w:color="auto" w:fill="auto"/>
            <w:vAlign w:val="center"/>
          </w:tcPr>
          <w:p>
            <w:pPr>
              <w:adjustRightInd w:val="0"/>
              <w:snapToGrid w:val="0"/>
              <w:jc w:val="center"/>
              <w:rPr>
                <w:szCs w:val="21"/>
              </w:rPr>
            </w:pPr>
            <w:r>
              <w:rPr>
                <w:szCs w:val="21"/>
              </w:rPr>
              <w:t>N</w:t>
            </w:r>
          </w:p>
        </w:tc>
        <w:tc>
          <w:tcPr>
            <w:tcW w:w="1071" w:type="dxa"/>
            <w:shd w:val="clear" w:color="auto" w:fill="auto"/>
            <w:vAlign w:val="center"/>
          </w:tcPr>
          <w:p>
            <w:pPr>
              <w:adjustRightInd w:val="0"/>
              <w:snapToGrid w:val="0"/>
              <w:jc w:val="center"/>
              <w:rPr>
                <w:szCs w:val="21"/>
              </w:rPr>
            </w:pPr>
            <w:r>
              <w:rPr>
                <w:rFonts w:hint="eastAsia"/>
                <w:szCs w:val="21"/>
              </w:rPr>
              <w:t>Ks</w:t>
            </w:r>
          </w:p>
        </w:tc>
        <w:tc>
          <w:tcPr>
            <w:tcW w:w="967" w:type="dxa"/>
            <w:shd w:val="clear" w:color="auto" w:fill="auto"/>
            <w:vAlign w:val="center"/>
          </w:tcPr>
          <w:p>
            <w:pPr>
              <w:adjustRightInd w:val="0"/>
              <w:snapToGrid w:val="0"/>
              <w:jc w:val="center"/>
              <w:rPr>
                <w:szCs w:val="21"/>
              </w:rPr>
            </w:pPr>
            <w:r>
              <w:rPr>
                <w:rFonts w:hint="eastAsia"/>
                <w:szCs w:val="21"/>
              </w:rPr>
              <w:t>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shd w:val="clear" w:color="auto" w:fill="auto"/>
            <w:vAlign w:val="center"/>
          </w:tcPr>
          <w:p>
            <w:pPr>
              <w:adjustRightInd w:val="0"/>
              <w:snapToGrid w:val="0"/>
              <w:jc w:val="center"/>
              <w:rPr>
                <w:szCs w:val="21"/>
              </w:rPr>
            </w:pPr>
            <w:r>
              <w:rPr>
                <w:rFonts w:hint="eastAsia"/>
                <w:szCs w:val="21"/>
              </w:rPr>
              <w:t>细沙土</w:t>
            </w:r>
          </w:p>
        </w:tc>
        <w:tc>
          <w:tcPr>
            <w:tcW w:w="1071" w:type="dxa"/>
            <w:shd w:val="clear" w:color="auto" w:fill="auto"/>
            <w:vAlign w:val="center"/>
          </w:tcPr>
          <w:p>
            <w:pPr>
              <w:adjustRightInd w:val="0"/>
              <w:snapToGrid w:val="0"/>
              <w:jc w:val="center"/>
              <w:rPr>
                <w:szCs w:val="21"/>
              </w:rPr>
            </w:pPr>
            <w:r>
              <w:rPr>
                <w:rFonts w:hint="eastAsia"/>
                <w:szCs w:val="21"/>
              </w:rPr>
              <w:t>19.2</w:t>
            </w:r>
            <w:r>
              <w:rPr>
                <w:szCs w:val="21"/>
              </w:rPr>
              <w:t>m</w:t>
            </w:r>
          </w:p>
        </w:tc>
        <w:tc>
          <w:tcPr>
            <w:tcW w:w="1084" w:type="dxa"/>
            <w:shd w:val="clear" w:color="auto" w:fill="auto"/>
            <w:vAlign w:val="center"/>
          </w:tcPr>
          <w:p>
            <w:pPr>
              <w:adjustRightInd w:val="0"/>
              <w:snapToGrid w:val="0"/>
              <w:jc w:val="center"/>
              <w:rPr>
                <w:szCs w:val="21"/>
              </w:rPr>
            </w:pPr>
            <w:r>
              <w:rPr>
                <w:szCs w:val="21"/>
              </w:rPr>
              <w:t>0.045</w:t>
            </w:r>
          </w:p>
        </w:tc>
        <w:tc>
          <w:tcPr>
            <w:tcW w:w="1057" w:type="dxa"/>
            <w:shd w:val="clear" w:color="auto" w:fill="auto"/>
            <w:vAlign w:val="center"/>
          </w:tcPr>
          <w:p>
            <w:pPr>
              <w:adjustRightInd w:val="0"/>
              <w:snapToGrid w:val="0"/>
              <w:jc w:val="center"/>
              <w:rPr>
                <w:szCs w:val="21"/>
              </w:rPr>
            </w:pPr>
            <w:r>
              <w:rPr>
                <w:szCs w:val="21"/>
              </w:rPr>
              <w:t>0.43</w:t>
            </w:r>
          </w:p>
        </w:tc>
        <w:tc>
          <w:tcPr>
            <w:tcW w:w="1252" w:type="dxa"/>
            <w:shd w:val="clear" w:color="auto" w:fill="auto"/>
            <w:vAlign w:val="center"/>
          </w:tcPr>
          <w:p>
            <w:pPr>
              <w:adjustRightInd w:val="0"/>
              <w:snapToGrid w:val="0"/>
              <w:jc w:val="center"/>
              <w:rPr>
                <w:szCs w:val="21"/>
              </w:rPr>
            </w:pPr>
            <w:r>
              <w:rPr>
                <w:szCs w:val="21"/>
              </w:rPr>
              <w:t>0.145</w:t>
            </w:r>
          </w:p>
        </w:tc>
        <w:tc>
          <w:tcPr>
            <w:tcW w:w="919" w:type="dxa"/>
            <w:shd w:val="clear" w:color="auto" w:fill="auto"/>
            <w:vAlign w:val="center"/>
          </w:tcPr>
          <w:p>
            <w:pPr>
              <w:adjustRightInd w:val="0"/>
              <w:snapToGrid w:val="0"/>
              <w:jc w:val="center"/>
              <w:rPr>
                <w:szCs w:val="21"/>
              </w:rPr>
            </w:pPr>
            <w:r>
              <w:rPr>
                <w:szCs w:val="21"/>
              </w:rPr>
              <w:t>2.68</w:t>
            </w:r>
          </w:p>
        </w:tc>
        <w:tc>
          <w:tcPr>
            <w:tcW w:w="1071" w:type="dxa"/>
            <w:shd w:val="clear" w:color="auto" w:fill="auto"/>
            <w:vAlign w:val="center"/>
          </w:tcPr>
          <w:p>
            <w:pPr>
              <w:adjustRightInd w:val="0"/>
              <w:snapToGrid w:val="0"/>
              <w:jc w:val="center"/>
              <w:rPr>
                <w:szCs w:val="21"/>
              </w:rPr>
            </w:pPr>
            <w:r>
              <w:rPr>
                <w:rFonts w:hint="eastAsia"/>
                <w:szCs w:val="21"/>
              </w:rPr>
              <w:t>750cm/d</w:t>
            </w:r>
          </w:p>
        </w:tc>
        <w:tc>
          <w:tcPr>
            <w:tcW w:w="967" w:type="dxa"/>
            <w:shd w:val="clear" w:color="auto" w:fill="auto"/>
            <w:vAlign w:val="center"/>
          </w:tcPr>
          <w:p>
            <w:pPr>
              <w:adjustRightInd w:val="0"/>
              <w:snapToGrid w:val="0"/>
              <w:jc w:val="center"/>
              <w:rPr>
                <w:szCs w:val="21"/>
              </w:rPr>
            </w:pPr>
            <w:r>
              <w:rPr>
                <w:rFonts w:hint="eastAsia"/>
                <w:szCs w:val="21"/>
              </w:rPr>
              <w:t>0.5</w:t>
            </w:r>
          </w:p>
        </w:tc>
      </w:tr>
    </w:tbl>
    <w:p>
      <w:pPr>
        <w:adjustRightInd w:val="0"/>
        <w:snapToGrid w:val="0"/>
        <w:spacing w:line="360" w:lineRule="auto"/>
        <w:ind w:firstLine="480" w:firstLineChars="200"/>
        <w:rPr>
          <w:bCs/>
          <w:sz w:val="24"/>
          <w:szCs w:val="24"/>
        </w:rPr>
      </w:pPr>
      <w:r>
        <w:rPr>
          <w:bCs/>
          <w:sz w:val="24"/>
          <w:szCs w:val="24"/>
        </w:rPr>
        <w:t>（</w:t>
      </w:r>
      <w:r>
        <w:rPr>
          <w:rFonts w:hint="eastAsia"/>
          <w:bCs/>
          <w:sz w:val="24"/>
          <w:szCs w:val="24"/>
        </w:rPr>
        <w:t>5</w:t>
      </w:r>
      <w:r>
        <w:rPr>
          <w:bCs/>
          <w:sz w:val="24"/>
          <w:szCs w:val="24"/>
        </w:rPr>
        <w:t>）预测结果</w:t>
      </w:r>
    </w:p>
    <w:p>
      <w:pPr>
        <w:adjustRightInd w:val="0"/>
        <w:snapToGrid w:val="0"/>
        <w:spacing w:line="360" w:lineRule="auto"/>
        <w:ind w:firstLine="480" w:firstLineChars="200"/>
        <w:rPr>
          <w:sz w:val="24"/>
          <w:szCs w:val="24"/>
        </w:rPr>
      </w:pPr>
      <w:r>
        <w:rPr>
          <w:sz w:val="24"/>
          <w:szCs w:val="24"/>
        </w:rPr>
        <w:t>渗滤液中的</w:t>
      </w:r>
      <w:r>
        <w:rPr>
          <w:rFonts w:hint="eastAsia"/>
          <w:sz w:val="24"/>
          <w:szCs w:val="24"/>
        </w:rPr>
        <w:t>铅</w:t>
      </w:r>
      <w:r>
        <w:rPr>
          <w:sz w:val="24"/>
          <w:szCs w:val="24"/>
        </w:rPr>
        <w:t>、</w:t>
      </w:r>
      <w:r>
        <w:rPr>
          <w:rFonts w:hint="eastAsia"/>
          <w:sz w:val="24"/>
          <w:szCs w:val="24"/>
        </w:rPr>
        <w:t>汞</w:t>
      </w:r>
      <w:r>
        <w:rPr>
          <w:sz w:val="24"/>
          <w:szCs w:val="24"/>
        </w:rPr>
        <w:t>、六价铬</w:t>
      </w:r>
      <w:r>
        <w:rPr>
          <w:rFonts w:hint="eastAsia"/>
          <w:sz w:val="24"/>
          <w:szCs w:val="24"/>
        </w:rPr>
        <w:t>和砷</w:t>
      </w:r>
      <w:r>
        <w:rPr>
          <w:sz w:val="24"/>
          <w:szCs w:val="24"/>
        </w:rPr>
        <w:t>等污染因子持续渗入土壤并不断向下运移，初始浓度分别为</w:t>
      </w:r>
      <w:r>
        <w:rPr>
          <w:rFonts w:hint="eastAsia"/>
          <w:sz w:val="24"/>
          <w:szCs w:val="24"/>
        </w:rPr>
        <w:t>铅0.25</w:t>
      </w:r>
      <w:r>
        <w:rPr>
          <w:sz w:val="24"/>
          <w:szCs w:val="24"/>
        </w:rPr>
        <w:t>mg/L，</w:t>
      </w:r>
      <w:r>
        <w:rPr>
          <w:rFonts w:hint="eastAsia"/>
          <w:sz w:val="24"/>
          <w:szCs w:val="24"/>
        </w:rPr>
        <w:t>汞0.05</w:t>
      </w:r>
      <w:r>
        <w:rPr>
          <w:sz w:val="24"/>
          <w:szCs w:val="24"/>
        </w:rPr>
        <w:t>mg/L，六价铬</w:t>
      </w:r>
      <w:r>
        <w:rPr>
          <w:rFonts w:hint="eastAsia"/>
          <w:sz w:val="24"/>
          <w:szCs w:val="24"/>
        </w:rPr>
        <w:t>1.5</w:t>
      </w:r>
      <w:r>
        <w:rPr>
          <w:sz w:val="24"/>
          <w:szCs w:val="24"/>
        </w:rPr>
        <w:t>mg/L</w:t>
      </w:r>
      <w:r>
        <w:rPr>
          <w:rFonts w:hint="eastAsia"/>
          <w:sz w:val="24"/>
          <w:szCs w:val="24"/>
        </w:rPr>
        <w:t>，砷0.3</w:t>
      </w:r>
      <w:r>
        <w:rPr>
          <w:sz w:val="24"/>
          <w:szCs w:val="24"/>
        </w:rPr>
        <w:t>mg/L，各污染物沿土壤迁移模拟结果</w:t>
      </w:r>
      <w:r>
        <w:rPr>
          <w:rFonts w:hint="eastAsia"/>
          <w:sz w:val="24"/>
          <w:szCs w:val="24"/>
        </w:rPr>
        <w:t>如下。</w:t>
      </w:r>
    </w:p>
    <w:p>
      <w:pPr>
        <w:adjustRightInd w:val="0"/>
        <w:snapToGrid w:val="0"/>
        <w:spacing w:line="360" w:lineRule="auto"/>
        <w:ind w:firstLine="480" w:firstLineChars="200"/>
        <w:rPr>
          <w:sz w:val="24"/>
          <w:szCs w:val="24"/>
        </w:rPr>
      </w:pPr>
      <w:r>
        <w:rPr>
          <w:rFonts w:hint="eastAsia"/>
          <w:sz w:val="24"/>
          <w:szCs w:val="24"/>
        </w:rPr>
        <w:t>①铅</w:t>
      </w:r>
    </w:p>
    <w:p>
      <w:pPr>
        <w:adjustRightInd w:val="0"/>
        <w:snapToGrid w:val="0"/>
        <w:spacing w:line="360" w:lineRule="auto"/>
        <w:ind w:firstLine="480" w:firstLineChars="200"/>
        <w:rPr>
          <w:sz w:val="24"/>
          <w:szCs w:val="24"/>
        </w:rPr>
      </w:pPr>
      <w:r>
        <w:rPr>
          <w:rFonts w:hint="eastAsia"/>
          <w:sz w:val="24"/>
          <w:szCs w:val="24"/>
        </w:rPr>
        <w:t>如图</w:t>
      </w:r>
      <w:r>
        <w:rPr>
          <w:sz w:val="24"/>
          <w:szCs w:val="24"/>
        </w:rPr>
        <w:t>5.7-</w:t>
      </w:r>
      <w:r>
        <w:rPr>
          <w:rFonts w:hint="eastAsia"/>
          <w:sz w:val="24"/>
          <w:szCs w:val="24"/>
        </w:rPr>
        <w:t>3</w:t>
      </w:r>
      <w:r>
        <w:rPr>
          <w:sz w:val="24"/>
          <w:szCs w:val="24"/>
        </w:rPr>
        <w:t>，</w:t>
      </w:r>
      <w:r>
        <w:rPr>
          <w:rFonts w:hint="eastAsia"/>
          <w:sz w:val="24"/>
          <w:szCs w:val="24"/>
        </w:rPr>
        <w:t>铅进入包气带后，距离池底以下2</w:t>
      </w:r>
      <w:r>
        <w:rPr>
          <w:sz w:val="24"/>
          <w:szCs w:val="24"/>
        </w:rPr>
        <w:t>m</w:t>
      </w:r>
      <w:r>
        <w:rPr>
          <w:rFonts w:hint="eastAsia"/>
          <w:sz w:val="24"/>
          <w:szCs w:val="24"/>
        </w:rPr>
        <w:t>处（</w:t>
      </w:r>
      <w:r>
        <w:rPr>
          <w:sz w:val="24"/>
          <w:szCs w:val="24"/>
        </w:rPr>
        <w:t>N1</w:t>
      </w:r>
      <w:r>
        <w:rPr>
          <w:rFonts w:hint="eastAsia"/>
          <w:sz w:val="24"/>
          <w:szCs w:val="24"/>
        </w:rPr>
        <w:t>观测点）在泄露25天开始检测到铅，泄露70天浓度为</w:t>
      </w:r>
      <w:r>
        <w:rPr>
          <w:sz w:val="24"/>
          <w:szCs w:val="24"/>
        </w:rPr>
        <w:t>0.25mg/L</w:t>
      </w:r>
      <w:r>
        <w:rPr>
          <w:rFonts w:hint="eastAsia"/>
          <w:sz w:val="24"/>
          <w:szCs w:val="24"/>
        </w:rPr>
        <w:t>；池底以下10</w:t>
      </w:r>
      <w:r>
        <w:rPr>
          <w:sz w:val="24"/>
          <w:szCs w:val="24"/>
        </w:rPr>
        <w:t>m</w:t>
      </w:r>
      <w:r>
        <w:rPr>
          <w:rFonts w:hint="eastAsia"/>
          <w:sz w:val="24"/>
          <w:szCs w:val="24"/>
        </w:rPr>
        <w:t>处（</w:t>
      </w:r>
      <w:r>
        <w:rPr>
          <w:sz w:val="24"/>
          <w:szCs w:val="24"/>
        </w:rPr>
        <w:t>N2</w:t>
      </w:r>
      <w:r>
        <w:rPr>
          <w:rFonts w:hint="eastAsia"/>
          <w:sz w:val="24"/>
          <w:szCs w:val="24"/>
        </w:rPr>
        <w:t>观测点）在泄露150天开始检测到铅，泄露310天浓度为</w:t>
      </w:r>
      <w:r>
        <w:rPr>
          <w:sz w:val="24"/>
          <w:szCs w:val="24"/>
        </w:rPr>
        <w:t>0.25mg/L</w:t>
      </w:r>
      <w:r>
        <w:rPr>
          <w:rFonts w:hint="eastAsia"/>
          <w:sz w:val="24"/>
          <w:szCs w:val="24"/>
        </w:rPr>
        <w:t>；池底以下19.2</w:t>
      </w:r>
      <w:r>
        <w:rPr>
          <w:sz w:val="24"/>
          <w:szCs w:val="24"/>
        </w:rPr>
        <w:t>m</w:t>
      </w:r>
      <w:r>
        <w:rPr>
          <w:rFonts w:hint="eastAsia"/>
          <w:sz w:val="24"/>
          <w:szCs w:val="24"/>
        </w:rPr>
        <w:t>处包气带底部（</w:t>
      </w:r>
      <w:r>
        <w:rPr>
          <w:sz w:val="24"/>
          <w:szCs w:val="24"/>
        </w:rPr>
        <w:t>N</w:t>
      </w:r>
      <w:r>
        <w:rPr>
          <w:rFonts w:hint="eastAsia"/>
          <w:sz w:val="24"/>
          <w:szCs w:val="24"/>
        </w:rPr>
        <w:t>3观测点）在泄露300天开始检测到铅，泄露365天浓度为</w:t>
      </w:r>
      <w:r>
        <w:rPr>
          <w:sz w:val="24"/>
          <w:szCs w:val="24"/>
        </w:rPr>
        <w:t>0.</w:t>
      </w:r>
      <w:r>
        <w:rPr>
          <w:rFonts w:hint="eastAsia"/>
          <w:sz w:val="24"/>
          <w:szCs w:val="24"/>
        </w:rPr>
        <w:t>03</w:t>
      </w:r>
      <w:r>
        <w:rPr>
          <w:sz w:val="24"/>
          <w:szCs w:val="24"/>
        </w:rPr>
        <w:t>mg/L</w:t>
      </w:r>
      <w:r>
        <w:rPr>
          <w:rFonts w:hint="eastAsia"/>
          <w:sz w:val="24"/>
          <w:szCs w:val="24"/>
        </w:rPr>
        <w:t>。泄露365天过程中土壤中铅的最高浓度为0.25mg/L，换算为土壤单位质量的污染物质量浓度为 0.1mg/kg未超过GB36600第二类用地筛选值，泄露360天后污染物有进入地下水的风险。</w:t>
      </w:r>
    </w:p>
    <w:p>
      <w:pPr>
        <w:adjustRightInd w:val="0"/>
        <w:snapToGrid w:val="0"/>
        <w:spacing w:line="360" w:lineRule="auto"/>
        <w:jc w:val="center"/>
        <w:rPr>
          <w:sz w:val="24"/>
          <w:szCs w:val="24"/>
        </w:rPr>
      </w:pPr>
      <w:r>
        <w:drawing>
          <wp:inline distT="0" distB="0" distL="114300" distR="114300">
            <wp:extent cx="2547620" cy="1746250"/>
            <wp:effectExtent l="0" t="0" r="5080" b="635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45"/>
                    <a:stretch>
                      <a:fillRect/>
                    </a:stretch>
                  </pic:blipFill>
                  <pic:spPr>
                    <a:xfrm>
                      <a:off x="0" y="0"/>
                      <a:ext cx="2547620" cy="1746250"/>
                    </a:xfrm>
                    <a:prstGeom prst="rect">
                      <a:avLst/>
                    </a:prstGeom>
                    <a:noFill/>
                    <a:ln>
                      <a:noFill/>
                    </a:ln>
                  </pic:spPr>
                </pic:pic>
              </a:graphicData>
            </a:graphic>
          </wp:inline>
        </w:drawing>
      </w:r>
      <w:r>
        <w:drawing>
          <wp:inline distT="0" distB="0" distL="114300" distR="114300">
            <wp:extent cx="2545715" cy="1746250"/>
            <wp:effectExtent l="0" t="0" r="6985" b="6350"/>
            <wp:docPr id="14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7"/>
                    <pic:cNvPicPr>
                      <a:picLocks noChangeAspect="1"/>
                    </pic:cNvPicPr>
                  </pic:nvPicPr>
                  <pic:blipFill>
                    <a:blip r:embed="rId146"/>
                    <a:stretch>
                      <a:fillRect/>
                    </a:stretch>
                  </pic:blipFill>
                  <pic:spPr>
                    <a:xfrm>
                      <a:off x="0" y="0"/>
                      <a:ext cx="2545715" cy="1746250"/>
                    </a:xfrm>
                    <a:prstGeom prst="rect">
                      <a:avLst/>
                    </a:prstGeom>
                    <a:noFill/>
                    <a:ln>
                      <a:noFill/>
                    </a:ln>
                  </pic:spPr>
                </pic:pic>
              </a:graphicData>
            </a:graphic>
          </wp:inline>
        </w:drawing>
      </w:r>
    </w:p>
    <w:p>
      <w:pPr>
        <w:adjustRightInd w:val="0"/>
        <w:snapToGrid w:val="0"/>
        <w:jc w:val="center"/>
        <w:rPr>
          <w:b/>
          <w:bCs/>
          <w:sz w:val="24"/>
          <w:szCs w:val="24"/>
        </w:rPr>
      </w:pPr>
      <w:r>
        <w:rPr>
          <w:b/>
          <w:bCs/>
          <w:sz w:val="24"/>
          <w:szCs w:val="24"/>
        </w:rPr>
        <w:t xml:space="preserve">图5.7-3 </w:t>
      </w:r>
      <w:r>
        <w:rPr>
          <w:rFonts w:hint="eastAsia"/>
          <w:b/>
          <w:bCs/>
          <w:sz w:val="24"/>
          <w:szCs w:val="24"/>
        </w:rPr>
        <w:t>土壤中铅</w:t>
      </w:r>
      <w:r>
        <w:rPr>
          <w:b/>
          <w:bCs/>
          <w:sz w:val="24"/>
          <w:szCs w:val="24"/>
        </w:rPr>
        <w:t>浓度</w:t>
      </w:r>
      <w:r>
        <w:rPr>
          <w:rFonts w:hint="eastAsia"/>
          <w:b/>
          <w:bCs/>
          <w:sz w:val="24"/>
          <w:szCs w:val="24"/>
        </w:rPr>
        <w:t>变化曲线</w:t>
      </w:r>
    </w:p>
    <w:p>
      <w:pPr>
        <w:adjustRightInd w:val="0"/>
        <w:ind w:left="420" w:leftChars="200"/>
        <w:jc w:val="center"/>
        <w:rPr>
          <w:b/>
          <w:bCs/>
          <w:w w:val="90"/>
          <w:sz w:val="24"/>
          <w:szCs w:val="24"/>
        </w:rPr>
      </w:pPr>
      <w:r>
        <w:rPr>
          <w:rFonts w:hint="eastAsia"/>
          <w:b/>
          <w:bCs/>
          <w:w w:val="90"/>
          <w:sz w:val="24"/>
          <w:szCs w:val="24"/>
        </w:rPr>
        <w:t>图中T0为0d，T1为120d，T2为240d，T3为365d</w:t>
      </w:r>
    </w:p>
    <w:p>
      <w:pPr>
        <w:adjustRightInd w:val="0"/>
        <w:snapToGrid w:val="0"/>
        <w:spacing w:line="360" w:lineRule="auto"/>
        <w:ind w:firstLine="480" w:firstLineChars="200"/>
        <w:rPr>
          <w:sz w:val="24"/>
          <w:szCs w:val="24"/>
        </w:rPr>
      </w:pPr>
      <w:r>
        <w:rPr>
          <w:rFonts w:hint="eastAsia"/>
          <w:sz w:val="24"/>
          <w:szCs w:val="24"/>
        </w:rPr>
        <w:t>②汞</w:t>
      </w:r>
    </w:p>
    <w:p>
      <w:pPr>
        <w:adjustRightInd w:val="0"/>
        <w:snapToGrid w:val="0"/>
        <w:spacing w:line="360" w:lineRule="auto"/>
        <w:ind w:firstLine="480" w:firstLineChars="200"/>
        <w:rPr>
          <w:sz w:val="24"/>
          <w:szCs w:val="24"/>
        </w:rPr>
      </w:pPr>
      <w:r>
        <w:rPr>
          <w:rFonts w:hint="eastAsia"/>
          <w:sz w:val="24"/>
          <w:szCs w:val="24"/>
        </w:rPr>
        <w:t>如图</w:t>
      </w:r>
      <w:r>
        <w:rPr>
          <w:sz w:val="24"/>
          <w:szCs w:val="24"/>
        </w:rPr>
        <w:t>5.7-</w:t>
      </w:r>
      <w:r>
        <w:rPr>
          <w:rFonts w:hint="eastAsia"/>
          <w:sz w:val="24"/>
          <w:szCs w:val="24"/>
        </w:rPr>
        <w:t>4</w:t>
      </w:r>
      <w:r>
        <w:rPr>
          <w:sz w:val="24"/>
          <w:szCs w:val="24"/>
        </w:rPr>
        <w:t>，</w:t>
      </w:r>
      <w:r>
        <w:rPr>
          <w:rFonts w:hint="eastAsia"/>
          <w:sz w:val="24"/>
          <w:szCs w:val="24"/>
        </w:rPr>
        <w:t>汞进入包气带后，距离池底以下2</w:t>
      </w:r>
      <w:r>
        <w:rPr>
          <w:sz w:val="24"/>
          <w:szCs w:val="24"/>
        </w:rPr>
        <w:t>m</w:t>
      </w:r>
      <w:r>
        <w:rPr>
          <w:rFonts w:hint="eastAsia"/>
          <w:sz w:val="24"/>
          <w:szCs w:val="24"/>
        </w:rPr>
        <w:t>处（</w:t>
      </w:r>
      <w:r>
        <w:rPr>
          <w:sz w:val="24"/>
          <w:szCs w:val="24"/>
        </w:rPr>
        <w:t>N1</w:t>
      </w:r>
      <w:r>
        <w:rPr>
          <w:rFonts w:hint="eastAsia"/>
          <w:sz w:val="24"/>
          <w:szCs w:val="24"/>
        </w:rPr>
        <w:t>观测点）在泄露27天开始检测到汞，泄露70天浓度为</w:t>
      </w:r>
      <w:r>
        <w:rPr>
          <w:sz w:val="24"/>
          <w:szCs w:val="24"/>
        </w:rPr>
        <w:t>0.</w:t>
      </w:r>
      <w:r>
        <w:rPr>
          <w:rFonts w:hint="eastAsia"/>
          <w:sz w:val="24"/>
          <w:szCs w:val="24"/>
        </w:rPr>
        <w:t>05</w:t>
      </w:r>
      <w:r>
        <w:rPr>
          <w:sz w:val="24"/>
          <w:szCs w:val="24"/>
        </w:rPr>
        <w:t>mg/L</w:t>
      </w:r>
      <w:r>
        <w:rPr>
          <w:rFonts w:hint="eastAsia"/>
          <w:sz w:val="24"/>
          <w:szCs w:val="24"/>
        </w:rPr>
        <w:t>；池底以下10</w:t>
      </w:r>
      <w:r>
        <w:rPr>
          <w:sz w:val="24"/>
          <w:szCs w:val="24"/>
        </w:rPr>
        <w:t>m</w:t>
      </w:r>
      <w:r>
        <w:rPr>
          <w:rFonts w:hint="eastAsia"/>
          <w:sz w:val="24"/>
          <w:szCs w:val="24"/>
        </w:rPr>
        <w:t>处（</w:t>
      </w:r>
      <w:r>
        <w:rPr>
          <w:sz w:val="24"/>
          <w:szCs w:val="24"/>
        </w:rPr>
        <w:t>N2</w:t>
      </w:r>
      <w:r>
        <w:rPr>
          <w:rFonts w:hint="eastAsia"/>
          <w:sz w:val="24"/>
          <w:szCs w:val="24"/>
        </w:rPr>
        <w:t>观测点）在泄露150天开始检测到汞，泄露310天浓度为</w:t>
      </w:r>
      <w:r>
        <w:rPr>
          <w:sz w:val="24"/>
          <w:szCs w:val="24"/>
        </w:rPr>
        <w:t>0.</w:t>
      </w:r>
      <w:r>
        <w:rPr>
          <w:rFonts w:hint="eastAsia"/>
          <w:sz w:val="24"/>
          <w:szCs w:val="24"/>
        </w:rPr>
        <w:t>05</w:t>
      </w:r>
      <w:r>
        <w:rPr>
          <w:sz w:val="24"/>
          <w:szCs w:val="24"/>
        </w:rPr>
        <w:t>mg/L</w:t>
      </w:r>
      <w:r>
        <w:rPr>
          <w:rFonts w:hint="eastAsia"/>
          <w:sz w:val="24"/>
          <w:szCs w:val="24"/>
        </w:rPr>
        <w:t>；池底以下19.2</w:t>
      </w:r>
      <w:r>
        <w:rPr>
          <w:sz w:val="24"/>
          <w:szCs w:val="24"/>
        </w:rPr>
        <w:t>m</w:t>
      </w:r>
      <w:r>
        <w:rPr>
          <w:rFonts w:hint="eastAsia"/>
          <w:sz w:val="24"/>
          <w:szCs w:val="24"/>
        </w:rPr>
        <w:t>处包气带底部（</w:t>
      </w:r>
      <w:r>
        <w:rPr>
          <w:sz w:val="24"/>
          <w:szCs w:val="24"/>
        </w:rPr>
        <w:t>N</w:t>
      </w:r>
      <w:r>
        <w:rPr>
          <w:rFonts w:hint="eastAsia"/>
          <w:sz w:val="24"/>
          <w:szCs w:val="24"/>
        </w:rPr>
        <w:t>3观测点）在泄露300天开始检测到汞，泄露365天浓度为0.005</w:t>
      </w:r>
      <w:r>
        <w:rPr>
          <w:sz w:val="24"/>
          <w:szCs w:val="24"/>
        </w:rPr>
        <w:t>mg/L</w:t>
      </w:r>
      <w:r>
        <w:rPr>
          <w:rFonts w:hint="eastAsia"/>
          <w:sz w:val="24"/>
          <w:szCs w:val="24"/>
        </w:rPr>
        <w:t>。泄露365天过程中土壤中铅的最高浓度为0.05mg/L，换算为土壤单位质量的污染物质量浓度为 0.02mg/kg未超过GB36600第二类用地筛选值，泄露360天后污染物有进入地下水的风险。</w:t>
      </w:r>
    </w:p>
    <w:p>
      <w:pPr>
        <w:adjustRightInd w:val="0"/>
        <w:snapToGrid w:val="0"/>
        <w:spacing w:line="360" w:lineRule="auto"/>
        <w:jc w:val="center"/>
        <w:rPr>
          <w:sz w:val="24"/>
          <w:szCs w:val="24"/>
        </w:rPr>
      </w:pPr>
      <w:r>
        <w:drawing>
          <wp:inline distT="0" distB="0" distL="114300" distR="114300">
            <wp:extent cx="2473960" cy="1746250"/>
            <wp:effectExtent l="0" t="0" r="2540" b="6350"/>
            <wp:docPr id="14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9"/>
                    <pic:cNvPicPr>
                      <a:picLocks noChangeAspect="1"/>
                    </pic:cNvPicPr>
                  </pic:nvPicPr>
                  <pic:blipFill>
                    <a:blip r:embed="rId147"/>
                    <a:stretch>
                      <a:fillRect/>
                    </a:stretch>
                  </pic:blipFill>
                  <pic:spPr>
                    <a:xfrm>
                      <a:off x="0" y="0"/>
                      <a:ext cx="2473960" cy="1746250"/>
                    </a:xfrm>
                    <a:prstGeom prst="rect">
                      <a:avLst/>
                    </a:prstGeom>
                    <a:noFill/>
                    <a:ln>
                      <a:noFill/>
                    </a:ln>
                  </pic:spPr>
                </pic:pic>
              </a:graphicData>
            </a:graphic>
          </wp:inline>
        </w:drawing>
      </w:r>
      <w:r>
        <w:drawing>
          <wp:inline distT="0" distB="0" distL="114300" distR="114300">
            <wp:extent cx="2541905" cy="1746250"/>
            <wp:effectExtent l="0" t="0" r="10795" b="6350"/>
            <wp:docPr id="14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0"/>
                    <pic:cNvPicPr>
                      <a:picLocks noChangeAspect="1"/>
                    </pic:cNvPicPr>
                  </pic:nvPicPr>
                  <pic:blipFill>
                    <a:blip r:embed="rId148"/>
                    <a:stretch>
                      <a:fillRect/>
                    </a:stretch>
                  </pic:blipFill>
                  <pic:spPr>
                    <a:xfrm>
                      <a:off x="0" y="0"/>
                      <a:ext cx="2541905" cy="1746250"/>
                    </a:xfrm>
                    <a:prstGeom prst="rect">
                      <a:avLst/>
                    </a:prstGeom>
                    <a:noFill/>
                    <a:ln>
                      <a:noFill/>
                    </a:ln>
                  </pic:spPr>
                </pic:pic>
              </a:graphicData>
            </a:graphic>
          </wp:inline>
        </w:drawing>
      </w:r>
    </w:p>
    <w:p>
      <w:pPr>
        <w:adjustRightInd w:val="0"/>
        <w:snapToGrid w:val="0"/>
        <w:jc w:val="center"/>
        <w:rPr>
          <w:b/>
          <w:bCs/>
          <w:sz w:val="24"/>
          <w:szCs w:val="24"/>
        </w:rPr>
      </w:pPr>
      <w:r>
        <w:rPr>
          <w:b/>
          <w:bCs/>
          <w:sz w:val="24"/>
          <w:szCs w:val="24"/>
        </w:rPr>
        <w:t xml:space="preserve">图5.7-4 </w:t>
      </w:r>
      <w:r>
        <w:rPr>
          <w:rFonts w:hint="eastAsia"/>
          <w:b/>
          <w:bCs/>
          <w:sz w:val="24"/>
          <w:szCs w:val="24"/>
        </w:rPr>
        <w:t>土壤中汞</w:t>
      </w:r>
      <w:r>
        <w:rPr>
          <w:b/>
          <w:bCs/>
          <w:sz w:val="24"/>
          <w:szCs w:val="24"/>
        </w:rPr>
        <w:t>浓度</w:t>
      </w:r>
      <w:r>
        <w:rPr>
          <w:rFonts w:hint="eastAsia"/>
          <w:b/>
          <w:bCs/>
          <w:sz w:val="24"/>
          <w:szCs w:val="24"/>
        </w:rPr>
        <w:t>变化曲线</w:t>
      </w:r>
    </w:p>
    <w:p>
      <w:pPr>
        <w:adjustRightInd w:val="0"/>
        <w:ind w:left="420" w:leftChars="200"/>
        <w:jc w:val="center"/>
        <w:rPr>
          <w:b/>
          <w:bCs/>
          <w:w w:val="90"/>
          <w:sz w:val="24"/>
          <w:szCs w:val="24"/>
        </w:rPr>
      </w:pPr>
      <w:r>
        <w:rPr>
          <w:rFonts w:hint="eastAsia"/>
          <w:b/>
          <w:bCs/>
          <w:w w:val="90"/>
          <w:sz w:val="24"/>
          <w:szCs w:val="24"/>
        </w:rPr>
        <w:t>图中T0为0d，T1为120d，T2为240d，T3为365d</w:t>
      </w:r>
    </w:p>
    <w:p>
      <w:pPr>
        <w:adjustRightInd w:val="0"/>
        <w:snapToGrid w:val="0"/>
        <w:spacing w:line="360" w:lineRule="auto"/>
        <w:ind w:left="496" w:leftChars="236"/>
        <w:rPr>
          <w:sz w:val="24"/>
          <w:szCs w:val="24"/>
        </w:rPr>
      </w:pPr>
      <w:r>
        <w:rPr>
          <w:sz w:val="24"/>
          <w:szCs w:val="24"/>
        </w:rPr>
        <w:fldChar w:fldCharType="begin"/>
      </w:r>
      <w:r>
        <w:rPr>
          <w:sz w:val="24"/>
          <w:szCs w:val="24"/>
        </w:rPr>
        <w:instrText xml:space="preserve"> </w:instrText>
      </w:r>
      <w:r>
        <w:rPr>
          <w:rFonts w:hint="eastAsia"/>
          <w:sz w:val="24"/>
          <w:szCs w:val="24"/>
        </w:rPr>
        <w:instrText xml:space="preserve">= 3 \* GB3</w:instrText>
      </w:r>
      <w:r>
        <w:rPr>
          <w:sz w:val="24"/>
          <w:szCs w:val="24"/>
        </w:rPr>
        <w:instrText xml:space="preserve"> </w:instrText>
      </w:r>
      <w:r>
        <w:rPr>
          <w:sz w:val="24"/>
          <w:szCs w:val="24"/>
        </w:rPr>
        <w:fldChar w:fldCharType="separate"/>
      </w:r>
      <w:r>
        <w:rPr>
          <w:rFonts w:hint="eastAsia"/>
          <w:sz w:val="24"/>
          <w:szCs w:val="24"/>
        </w:rPr>
        <w:t>③</w:t>
      </w:r>
      <w:r>
        <w:rPr>
          <w:sz w:val="24"/>
          <w:szCs w:val="24"/>
        </w:rPr>
        <w:fldChar w:fldCharType="end"/>
      </w:r>
      <w:r>
        <w:rPr>
          <w:sz w:val="24"/>
          <w:szCs w:val="24"/>
        </w:rPr>
        <w:t>六价铬</w:t>
      </w:r>
    </w:p>
    <w:p>
      <w:pPr>
        <w:adjustRightInd w:val="0"/>
        <w:snapToGrid w:val="0"/>
        <w:spacing w:line="360" w:lineRule="auto"/>
        <w:ind w:firstLine="480" w:firstLineChars="200"/>
        <w:rPr>
          <w:sz w:val="24"/>
          <w:szCs w:val="24"/>
        </w:rPr>
      </w:pPr>
      <w:r>
        <w:rPr>
          <w:rFonts w:hint="eastAsia"/>
          <w:sz w:val="24"/>
          <w:szCs w:val="24"/>
        </w:rPr>
        <w:t>如图</w:t>
      </w:r>
      <w:r>
        <w:rPr>
          <w:sz w:val="24"/>
          <w:szCs w:val="24"/>
        </w:rPr>
        <w:t>5.7-</w:t>
      </w:r>
      <w:r>
        <w:rPr>
          <w:rFonts w:hint="eastAsia"/>
          <w:sz w:val="24"/>
          <w:szCs w:val="24"/>
        </w:rPr>
        <w:t>5</w:t>
      </w:r>
      <w:r>
        <w:rPr>
          <w:sz w:val="24"/>
          <w:szCs w:val="24"/>
        </w:rPr>
        <w:t>，</w:t>
      </w:r>
      <w:r>
        <w:rPr>
          <w:rFonts w:hint="eastAsia"/>
          <w:sz w:val="24"/>
          <w:szCs w:val="24"/>
        </w:rPr>
        <w:t>六价铬进入土壤后，距离池底以下2</w:t>
      </w:r>
      <w:r>
        <w:rPr>
          <w:sz w:val="24"/>
          <w:szCs w:val="24"/>
        </w:rPr>
        <w:t>m</w:t>
      </w:r>
      <w:r>
        <w:rPr>
          <w:rFonts w:hint="eastAsia"/>
          <w:sz w:val="24"/>
          <w:szCs w:val="24"/>
        </w:rPr>
        <w:t>处（</w:t>
      </w:r>
      <w:r>
        <w:rPr>
          <w:sz w:val="24"/>
          <w:szCs w:val="24"/>
        </w:rPr>
        <w:t>N1</w:t>
      </w:r>
      <w:r>
        <w:rPr>
          <w:rFonts w:hint="eastAsia"/>
          <w:sz w:val="24"/>
          <w:szCs w:val="24"/>
        </w:rPr>
        <w:t>观测点）在泄露25天开始检测到</w:t>
      </w:r>
      <w:r>
        <w:rPr>
          <w:sz w:val="24"/>
          <w:szCs w:val="24"/>
        </w:rPr>
        <w:t>六价铬</w:t>
      </w:r>
      <w:r>
        <w:rPr>
          <w:rFonts w:hint="eastAsia"/>
          <w:sz w:val="24"/>
          <w:szCs w:val="24"/>
        </w:rPr>
        <w:t>，泄露70天浓度为1.5</w:t>
      </w:r>
      <w:r>
        <w:rPr>
          <w:sz w:val="24"/>
          <w:szCs w:val="24"/>
        </w:rPr>
        <w:t>mg/L</w:t>
      </w:r>
      <w:r>
        <w:rPr>
          <w:rFonts w:hint="eastAsia"/>
          <w:sz w:val="24"/>
          <w:szCs w:val="24"/>
        </w:rPr>
        <w:t>；池底以下10</w:t>
      </w:r>
      <w:r>
        <w:rPr>
          <w:sz w:val="24"/>
          <w:szCs w:val="24"/>
        </w:rPr>
        <w:t>m</w:t>
      </w:r>
      <w:r>
        <w:rPr>
          <w:rFonts w:hint="eastAsia"/>
          <w:sz w:val="24"/>
          <w:szCs w:val="24"/>
        </w:rPr>
        <w:t>处（</w:t>
      </w:r>
      <w:r>
        <w:rPr>
          <w:sz w:val="24"/>
          <w:szCs w:val="24"/>
        </w:rPr>
        <w:t>N2</w:t>
      </w:r>
      <w:r>
        <w:rPr>
          <w:rFonts w:hint="eastAsia"/>
          <w:sz w:val="24"/>
          <w:szCs w:val="24"/>
        </w:rPr>
        <w:t>观测点）在泄露150天开始检测到</w:t>
      </w:r>
      <w:r>
        <w:rPr>
          <w:sz w:val="24"/>
          <w:szCs w:val="24"/>
        </w:rPr>
        <w:t>六价铬</w:t>
      </w:r>
      <w:r>
        <w:rPr>
          <w:rFonts w:hint="eastAsia"/>
          <w:sz w:val="24"/>
          <w:szCs w:val="24"/>
        </w:rPr>
        <w:t>，泄露310天浓度为1.5</w:t>
      </w:r>
      <w:r>
        <w:rPr>
          <w:sz w:val="24"/>
          <w:szCs w:val="24"/>
        </w:rPr>
        <w:t>mg/L</w:t>
      </w:r>
      <w:r>
        <w:rPr>
          <w:rFonts w:hint="eastAsia"/>
          <w:sz w:val="24"/>
          <w:szCs w:val="24"/>
        </w:rPr>
        <w:t>；池底以下19.2</w:t>
      </w:r>
      <w:r>
        <w:rPr>
          <w:sz w:val="24"/>
          <w:szCs w:val="24"/>
        </w:rPr>
        <w:t>m</w:t>
      </w:r>
      <w:r>
        <w:rPr>
          <w:rFonts w:hint="eastAsia"/>
          <w:sz w:val="24"/>
          <w:szCs w:val="24"/>
        </w:rPr>
        <w:t>处包气带底部（</w:t>
      </w:r>
      <w:r>
        <w:rPr>
          <w:sz w:val="24"/>
          <w:szCs w:val="24"/>
        </w:rPr>
        <w:t>N</w:t>
      </w:r>
      <w:r>
        <w:rPr>
          <w:rFonts w:hint="eastAsia"/>
          <w:sz w:val="24"/>
          <w:szCs w:val="24"/>
        </w:rPr>
        <w:t>3观测点）在泄露300天开始检测到</w:t>
      </w:r>
      <w:r>
        <w:rPr>
          <w:sz w:val="24"/>
          <w:szCs w:val="24"/>
        </w:rPr>
        <w:t>六价铬</w:t>
      </w:r>
      <w:r>
        <w:rPr>
          <w:rFonts w:hint="eastAsia"/>
          <w:sz w:val="24"/>
          <w:szCs w:val="24"/>
        </w:rPr>
        <w:t>，泄露365天浓度为0.18</w:t>
      </w:r>
      <w:r>
        <w:rPr>
          <w:sz w:val="24"/>
          <w:szCs w:val="24"/>
        </w:rPr>
        <w:t>mg/L</w:t>
      </w:r>
      <w:r>
        <w:rPr>
          <w:rFonts w:hint="eastAsia"/>
          <w:sz w:val="24"/>
          <w:szCs w:val="24"/>
        </w:rPr>
        <w:t>。泄露365天过程中土壤中</w:t>
      </w:r>
      <w:r>
        <w:rPr>
          <w:sz w:val="24"/>
          <w:szCs w:val="24"/>
        </w:rPr>
        <w:t>六价铬</w:t>
      </w:r>
      <w:r>
        <w:rPr>
          <w:rFonts w:hint="eastAsia"/>
          <w:sz w:val="24"/>
          <w:szCs w:val="24"/>
        </w:rPr>
        <w:t>的最高浓度为1.5mg/L，换算为土壤单位质量的污染物质量浓度为 0.6mg/kg未超过GB36600第二类用地筛选值，泄露360天后污染物有进入地下水的风险。</w:t>
      </w:r>
    </w:p>
    <w:p>
      <w:pPr>
        <w:adjustRightInd w:val="0"/>
        <w:snapToGrid w:val="0"/>
        <w:spacing w:line="360" w:lineRule="auto"/>
        <w:jc w:val="center"/>
        <w:rPr>
          <w:sz w:val="24"/>
          <w:szCs w:val="24"/>
        </w:rPr>
      </w:pPr>
      <w:r>
        <w:drawing>
          <wp:inline distT="0" distB="0" distL="114300" distR="114300">
            <wp:extent cx="2469515" cy="1746250"/>
            <wp:effectExtent l="0" t="0" r="6985" b="6350"/>
            <wp:docPr id="14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图片 11"/>
                    <pic:cNvPicPr>
                      <a:picLocks noChangeAspect="1"/>
                    </pic:cNvPicPr>
                  </pic:nvPicPr>
                  <pic:blipFill>
                    <a:blip r:embed="rId149"/>
                    <a:stretch>
                      <a:fillRect/>
                    </a:stretch>
                  </pic:blipFill>
                  <pic:spPr>
                    <a:xfrm>
                      <a:off x="0" y="0"/>
                      <a:ext cx="2469515" cy="1746250"/>
                    </a:xfrm>
                    <a:prstGeom prst="rect">
                      <a:avLst/>
                    </a:prstGeom>
                    <a:noFill/>
                    <a:ln>
                      <a:noFill/>
                    </a:ln>
                  </pic:spPr>
                </pic:pic>
              </a:graphicData>
            </a:graphic>
          </wp:inline>
        </w:drawing>
      </w:r>
      <w:r>
        <w:drawing>
          <wp:inline distT="0" distB="0" distL="114300" distR="114300">
            <wp:extent cx="2422525" cy="1746250"/>
            <wp:effectExtent l="0" t="0" r="3175" b="6350"/>
            <wp:docPr id="14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图片 12"/>
                    <pic:cNvPicPr>
                      <a:picLocks noChangeAspect="1"/>
                    </pic:cNvPicPr>
                  </pic:nvPicPr>
                  <pic:blipFill>
                    <a:blip r:embed="rId150"/>
                    <a:stretch>
                      <a:fillRect/>
                    </a:stretch>
                  </pic:blipFill>
                  <pic:spPr>
                    <a:xfrm>
                      <a:off x="0" y="0"/>
                      <a:ext cx="2422525" cy="1746250"/>
                    </a:xfrm>
                    <a:prstGeom prst="rect">
                      <a:avLst/>
                    </a:prstGeom>
                    <a:noFill/>
                    <a:ln>
                      <a:noFill/>
                    </a:ln>
                  </pic:spPr>
                </pic:pic>
              </a:graphicData>
            </a:graphic>
          </wp:inline>
        </w:drawing>
      </w:r>
    </w:p>
    <w:p>
      <w:pPr>
        <w:adjustRightInd w:val="0"/>
        <w:snapToGrid w:val="0"/>
        <w:jc w:val="center"/>
        <w:rPr>
          <w:b/>
          <w:bCs/>
          <w:sz w:val="24"/>
          <w:szCs w:val="24"/>
        </w:rPr>
      </w:pPr>
      <w:r>
        <w:rPr>
          <w:b/>
          <w:bCs/>
          <w:sz w:val="24"/>
          <w:szCs w:val="24"/>
        </w:rPr>
        <w:t xml:space="preserve">图5.7-5 </w:t>
      </w:r>
      <w:r>
        <w:rPr>
          <w:rFonts w:hint="eastAsia"/>
          <w:b/>
          <w:bCs/>
          <w:sz w:val="24"/>
          <w:szCs w:val="24"/>
        </w:rPr>
        <w:t>土壤中六价铬</w:t>
      </w:r>
      <w:r>
        <w:rPr>
          <w:b/>
          <w:bCs/>
          <w:sz w:val="24"/>
          <w:szCs w:val="24"/>
        </w:rPr>
        <w:t>浓度</w:t>
      </w:r>
      <w:r>
        <w:rPr>
          <w:rFonts w:hint="eastAsia"/>
          <w:b/>
          <w:bCs/>
          <w:sz w:val="24"/>
          <w:szCs w:val="24"/>
        </w:rPr>
        <w:t>变化曲线</w:t>
      </w:r>
    </w:p>
    <w:p>
      <w:pPr>
        <w:adjustRightInd w:val="0"/>
        <w:ind w:left="420" w:leftChars="200"/>
        <w:jc w:val="center"/>
        <w:rPr>
          <w:w w:val="90"/>
          <w:sz w:val="28"/>
        </w:rPr>
      </w:pPr>
      <w:r>
        <w:rPr>
          <w:rFonts w:hint="eastAsia"/>
          <w:b/>
          <w:bCs/>
          <w:w w:val="90"/>
          <w:sz w:val="24"/>
          <w:szCs w:val="24"/>
        </w:rPr>
        <w:t>图中T0为0d，T1为120d，T2为240d，T3为365d</w:t>
      </w:r>
    </w:p>
    <w:p>
      <w:pPr>
        <w:adjustRightInd w:val="0"/>
        <w:snapToGrid w:val="0"/>
        <w:spacing w:line="360" w:lineRule="auto"/>
        <w:ind w:firstLine="480" w:firstLineChars="200"/>
        <w:rPr>
          <w:sz w:val="24"/>
          <w:szCs w:val="24"/>
        </w:rPr>
      </w:pPr>
      <w:r>
        <w:rPr>
          <w:rFonts w:hint="eastAsia"/>
          <w:sz w:val="24"/>
          <w:szCs w:val="24"/>
        </w:rPr>
        <w:fldChar w:fldCharType="begin"/>
      </w:r>
      <w:r>
        <w:rPr>
          <w:rFonts w:hint="eastAsia"/>
          <w:sz w:val="24"/>
          <w:szCs w:val="24"/>
        </w:rPr>
        <w:instrText xml:space="preserve"> = 4 \* GB3 \* MERGEFORMAT </w:instrText>
      </w:r>
      <w:r>
        <w:rPr>
          <w:rFonts w:hint="eastAsia"/>
          <w:sz w:val="24"/>
          <w:szCs w:val="24"/>
        </w:rPr>
        <w:fldChar w:fldCharType="separate"/>
      </w:r>
      <w:r>
        <w:rPr>
          <w:rFonts w:hint="eastAsia" w:ascii="宋体" w:hAnsi="宋体" w:cs="宋体"/>
        </w:rPr>
        <w:t>④</w:t>
      </w:r>
      <w:r>
        <w:rPr>
          <w:rFonts w:hint="eastAsia"/>
          <w:sz w:val="24"/>
          <w:szCs w:val="24"/>
        </w:rPr>
        <w:fldChar w:fldCharType="end"/>
      </w:r>
      <w:r>
        <w:rPr>
          <w:rFonts w:hint="eastAsia"/>
          <w:sz w:val="24"/>
          <w:szCs w:val="24"/>
        </w:rPr>
        <w:t>砷</w:t>
      </w:r>
    </w:p>
    <w:p>
      <w:pPr>
        <w:adjustRightInd w:val="0"/>
        <w:snapToGrid w:val="0"/>
        <w:spacing w:line="360" w:lineRule="auto"/>
        <w:ind w:firstLine="480" w:firstLineChars="200"/>
        <w:rPr>
          <w:sz w:val="24"/>
          <w:szCs w:val="24"/>
        </w:rPr>
      </w:pPr>
      <w:r>
        <w:rPr>
          <w:rFonts w:hint="eastAsia"/>
          <w:sz w:val="24"/>
          <w:szCs w:val="24"/>
        </w:rPr>
        <w:t>如图</w:t>
      </w:r>
      <w:r>
        <w:rPr>
          <w:sz w:val="24"/>
          <w:szCs w:val="24"/>
        </w:rPr>
        <w:t>5.7-</w:t>
      </w:r>
      <w:r>
        <w:rPr>
          <w:rFonts w:hint="eastAsia"/>
          <w:sz w:val="24"/>
          <w:szCs w:val="24"/>
        </w:rPr>
        <w:t>6</w:t>
      </w:r>
      <w:r>
        <w:rPr>
          <w:sz w:val="24"/>
          <w:szCs w:val="24"/>
        </w:rPr>
        <w:t>，</w:t>
      </w:r>
      <w:r>
        <w:rPr>
          <w:rFonts w:hint="eastAsia"/>
          <w:sz w:val="24"/>
          <w:szCs w:val="24"/>
        </w:rPr>
        <w:t>砷进入土壤后，距离池底以下2</w:t>
      </w:r>
      <w:r>
        <w:rPr>
          <w:sz w:val="24"/>
          <w:szCs w:val="24"/>
        </w:rPr>
        <w:t>m</w:t>
      </w:r>
      <w:r>
        <w:rPr>
          <w:rFonts w:hint="eastAsia"/>
          <w:sz w:val="24"/>
          <w:szCs w:val="24"/>
        </w:rPr>
        <w:t>处（</w:t>
      </w:r>
      <w:r>
        <w:rPr>
          <w:sz w:val="24"/>
          <w:szCs w:val="24"/>
        </w:rPr>
        <w:t>N1</w:t>
      </w:r>
      <w:r>
        <w:rPr>
          <w:rFonts w:hint="eastAsia"/>
          <w:sz w:val="24"/>
          <w:szCs w:val="24"/>
        </w:rPr>
        <w:t>观测点）在泄露25天开始检测到砷，泄露70天浓度为0.3</w:t>
      </w:r>
      <w:r>
        <w:rPr>
          <w:sz w:val="24"/>
          <w:szCs w:val="24"/>
        </w:rPr>
        <w:t>mg/L</w:t>
      </w:r>
      <w:r>
        <w:rPr>
          <w:rFonts w:hint="eastAsia"/>
          <w:sz w:val="24"/>
          <w:szCs w:val="24"/>
        </w:rPr>
        <w:t>；池底以下10</w:t>
      </w:r>
      <w:r>
        <w:rPr>
          <w:sz w:val="24"/>
          <w:szCs w:val="24"/>
        </w:rPr>
        <w:t>m</w:t>
      </w:r>
      <w:r>
        <w:rPr>
          <w:rFonts w:hint="eastAsia"/>
          <w:sz w:val="24"/>
          <w:szCs w:val="24"/>
        </w:rPr>
        <w:t>处（</w:t>
      </w:r>
      <w:r>
        <w:rPr>
          <w:sz w:val="24"/>
          <w:szCs w:val="24"/>
        </w:rPr>
        <w:t>N2</w:t>
      </w:r>
      <w:r>
        <w:rPr>
          <w:rFonts w:hint="eastAsia"/>
          <w:sz w:val="24"/>
          <w:szCs w:val="24"/>
        </w:rPr>
        <w:t>观测点）在泄露150天开始检测到</w:t>
      </w:r>
      <w:r>
        <w:rPr>
          <w:sz w:val="24"/>
          <w:szCs w:val="24"/>
        </w:rPr>
        <w:t>六价铬</w:t>
      </w:r>
      <w:r>
        <w:rPr>
          <w:rFonts w:hint="eastAsia"/>
          <w:sz w:val="24"/>
          <w:szCs w:val="24"/>
        </w:rPr>
        <w:t>，泄露310天浓度为0.3</w:t>
      </w:r>
      <w:r>
        <w:rPr>
          <w:sz w:val="24"/>
          <w:szCs w:val="24"/>
        </w:rPr>
        <w:t>mg/L</w:t>
      </w:r>
      <w:r>
        <w:rPr>
          <w:rFonts w:hint="eastAsia"/>
          <w:sz w:val="24"/>
          <w:szCs w:val="24"/>
        </w:rPr>
        <w:t>；池底以下19.2</w:t>
      </w:r>
      <w:r>
        <w:rPr>
          <w:sz w:val="24"/>
          <w:szCs w:val="24"/>
        </w:rPr>
        <w:t>m</w:t>
      </w:r>
      <w:r>
        <w:rPr>
          <w:rFonts w:hint="eastAsia"/>
          <w:sz w:val="24"/>
          <w:szCs w:val="24"/>
        </w:rPr>
        <w:t>处包气带底部（</w:t>
      </w:r>
      <w:r>
        <w:rPr>
          <w:sz w:val="24"/>
          <w:szCs w:val="24"/>
        </w:rPr>
        <w:t>N</w:t>
      </w:r>
      <w:r>
        <w:rPr>
          <w:rFonts w:hint="eastAsia"/>
          <w:sz w:val="24"/>
          <w:szCs w:val="24"/>
        </w:rPr>
        <w:t>3观测点）在泄露300天开始检测到砷，泄露365天浓度为0.03</w:t>
      </w:r>
      <w:r>
        <w:rPr>
          <w:sz w:val="24"/>
          <w:szCs w:val="24"/>
        </w:rPr>
        <w:t>mg/L</w:t>
      </w:r>
      <w:r>
        <w:rPr>
          <w:rFonts w:hint="eastAsia"/>
          <w:sz w:val="24"/>
          <w:szCs w:val="24"/>
        </w:rPr>
        <w:t>。泄露365天过程中土壤中砷的最高浓度为0.3mg/L，换算为土壤单位质量的污染物质量浓度为 0.12mg/kg未超过GB36600第二类用地筛选值，泄露360天后污染物有进入地下水的风险。</w:t>
      </w:r>
    </w:p>
    <w:p>
      <w:pPr>
        <w:adjustRightInd w:val="0"/>
        <w:snapToGrid w:val="0"/>
        <w:spacing w:line="360" w:lineRule="auto"/>
        <w:jc w:val="center"/>
        <w:rPr>
          <w:sz w:val="24"/>
          <w:szCs w:val="24"/>
        </w:rPr>
      </w:pPr>
      <w:r>
        <w:drawing>
          <wp:inline distT="0" distB="0" distL="114300" distR="114300">
            <wp:extent cx="2541905" cy="1746250"/>
            <wp:effectExtent l="0" t="0" r="10795" b="6350"/>
            <wp:docPr id="14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3"/>
                    <pic:cNvPicPr>
                      <a:picLocks noChangeAspect="1"/>
                    </pic:cNvPicPr>
                  </pic:nvPicPr>
                  <pic:blipFill>
                    <a:blip r:embed="rId151"/>
                    <a:stretch>
                      <a:fillRect/>
                    </a:stretch>
                  </pic:blipFill>
                  <pic:spPr>
                    <a:xfrm>
                      <a:off x="0" y="0"/>
                      <a:ext cx="2541905" cy="1746250"/>
                    </a:xfrm>
                    <a:prstGeom prst="rect">
                      <a:avLst/>
                    </a:prstGeom>
                    <a:noFill/>
                    <a:ln>
                      <a:noFill/>
                    </a:ln>
                  </pic:spPr>
                </pic:pic>
              </a:graphicData>
            </a:graphic>
          </wp:inline>
        </w:drawing>
      </w:r>
      <w:r>
        <w:drawing>
          <wp:inline distT="0" distB="0" distL="114300" distR="114300">
            <wp:extent cx="2499360" cy="1746250"/>
            <wp:effectExtent l="0" t="0" r="2540" b="6350"/>
            <wp:docPr id="14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14"/>
                    <pic:cNvPicPr>
                      <a:picLocks noChangeAspect="1"/>
                    </pic:cNvPicPr>
                  </pic:nvPicPr>
                  <pic:blipFill>
                    <a:blip r:embed="rId152"/>
                    <a:stretch>
                      <a:fillRect/>
                    </a:stretch>
                  </pic:blipFill>
                  <pic:spPr>
                    <a:xfrm>
                      <a:off x="0" y="0"/>
                      <a:ext cx="2499360" cy="1746250"/>
                    </a:xfrm>
                    <a:prstGeom prst="rect">
                      <a:avLst/>
                    </a:prstGeom>
                    <a:noFill/>
                    <a:ln>
                      <a:noFill/>
                    </a:ln>
                  </pic:spPr>
                </pic:pic>
              </a:graphicData>
            </a:graphic>
          </wp:inline>
        </w:drawing>
      </w:r>
    </w:p>
    <w:p>
      <w:pPr>
        <w:adjustRightInd w:val="0"/>
        <w:snapToGrid w:val="0"/>
        <w:jc w:val="center"/>
        <w:rPr>
          <w:b/>
          <w:bCs/>
          <w:sz w:val="24"/>
          <w:szCs w:val="24"/>
        </w:rPr>
      </w:pPr>
      <w:r>
        <w:rPr>
          <w:b/>
          <w:bCs/>
          <w:sz w:val="24"/>
          <w:szCs w:val="24"/>
        </w:rPr>
        <w:t>图5.7-</w:t>
      </w:r>
      <w:r>
        <w:rPr>
          <w:rFonts w:hint="eastAsia"/>
          <w:b/>
          <w:bCs/>
          <w:sz w:val="24"/>
          <w:szCs w:val="24"/>
        </w:rPr>
        <w:t>6</w:t>
      </w:r>
      <w:r>
        <w:rPr>
          <w:b/>
          <w:bCs/>
          <w:sz w:val="24"/>
          <w:szCs w:val="24"/>
        </w:rPr>
        <w:t xml:space="preserve"> 不同</w:t>
      </w:r>
      <w:r>
        <w:rPr>
          <w:rFonts w:hint="eastAsia"/>
          <w:b/>
          <w:bCs/>
          <w:sz w:val="24"/>
          <w:szCs w:val="24"/>
        </w:rPr>
        <w:t>深度砷</w:t>
      </w:r>
      <w:r>
        <w:rPr>
          <w:b/>
          <w:bCs/>
          <w:sz w:val="24"/>
          <w:szCs w:val="24"/>
        </w:rPr>
        <w:t>浓度</w:t>
      </w:r>
      <w:r>
        <w:rPr>
          <w:rFonts w:hint="eastAsia"/>
          <w:b/>
          <w:bCs/>
          <w:sz w:val="24"/>
          <w:szCs w:val="24"/>
        </w:rPr>
        <w:t>随时间的变化曲线</w:t>
      </w:r>
    </w:p>
    <w:p>
      <w:pPr>
        <w:adjustRightInd w:val="0"/>
        <w:jc w:val="center"/>
        <w:rPr>
          <w:w w:val="90"/>
          <w:sz w:val="28"/>
        </w:rPr>
      </w:pPr>
      <w:r>
        <w:rPr>
          <w:rFonts w:hint="eastAsia"/>
          <w:b/>
          <w:bCs/>
          <w:w w:val="90"/>
          <w:sz w:val="24"/>
          <w:szCs w:val="24"/>
        </w:rPr>
        <w:t>图中T0为0d，T1为120d，T2为240d，T3为365d</w:t>
      </w:r>
    </w:p>
    <w:p>
      <w:pPr>
        <w:keepNext/>
        <w:keepLines/>
        <w:numPr>
          <w:ilvl w:val="2"/>
          <w:numId w:val="5"/>
        </w:numPr>
        <w:tabs>
          <w:tab w:val="left" w:pos="0"/>
          <w:tab w:val="left" w:pos="432"/>
          <w:tab w:val="left" w:pos="567"/>
          <w:tab w:val="left" w:pos="1021"/>
          <w:tab w:val="clear" w:pos="1163"/>
        </w:tabs>
        <w:adjustRightInd w:val="0"/>
        <w:snapToGrid w:val="0"/>
        <w:spacing w:before="156" w:beforeLines="50" w:after="156" w:afterLines="50" w:line="360" w:lineRule="auto"/>
        <w:ind w:left="1021"/>
        <w:jc w:val="left"/>
        <w:outlineLvl w:val="2"/>
        <w:rPr>
          <w:b/>
          <w:bCs/>
          <w:snapToGrid w:val="0"/>
          <w:sz w:val="28"/>
          <w:szCs w:val="28"/>
        </w:rPr>
      </w:pPr>
      <w:bookmarkStart w:id="139" w:name="_Toc19453619"/>
      <w:r>
        <w:rPr>
          <w:b/>
          <w:bCs/>
          <w:snapToGrid w:val="0"/>
          <w:sz w:val="28"/>
          <w:szCs w:val="28"/>
        </w:rPr>
        <w:t>测评价结论</w:t>
      </w:r>
      <w:bookmarkEnd w:id="139"/>
    </w:p>
    <w:p>
      <w:pPr>
        <w:spacing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飞灰填埋场淋溶液发生泄漏后会对土壤环境造成一定的影响，但在各观测点预测因子的叠加浓度均未超过GB36600第二类用地筛选值。泄露360天后污染物有进入地下水的风险，如通过定期检测地下水、土壤，可及时发现并处理。项目土壤环境影响可接受。</w:t>
      </w:r>
    </w:p>
    <w:p>
      <w:pPr>
        <w:adjustRightInd w:val="0"/>
        <w:snapToGrid w:val="0"/>
        <w:spacing w:line="360" w:lineRule="auto"/>
        <w:ind w:firstLine="480" w:firstLineChars="200"/>
        <w:rPr>
          <w:sz w:val="24"/>
          <w:szCs w:val="24"/>
        </w:rPr>
      </w:pPr>
      <w:r>
        <w:rPr>
          <w:sz w:val="24"/>
          <w:szCs w:val="24"/>
        </w:rPr>
        <w:t>土壤环境影响评价自查表详见下表5.7-1。</w:t>
      </w:r>
    </w:p>
    <w:p>
      <w:pPr>
        <w:spacing w:line="500" w:lineRule="exact"/>
        <w:jc w:val="center"/>
        <w:rPr>
          <w:b/>
          <w:sz w:val="24"/>
          <w:szCs w:val="24"/>
        </w:rPr>
      </w:pPr>
      <w:r>
        <w:rPr>
          <w:b/>
          <w:sz w:val="24"/>
          <w:szCs w:val="24"/>
        </w:rPr>
        <w:t>表5.7-1土壤环境影响评价自查表</w:t>
      </w:r>
    </w:p>
    <w:tbl>
      <w:tblPr>
        <w:tblStyle w:val="39"/>
        <w:tblW w:w="534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28"/>
        <w:gridCol w:w="1577"/>
        <w:gridCol w:w="1962"/>
        <w:gridCol w:w="806"/>
        <w:gridCol w:w="649"/>
        <w:gridCol w:w="1546"/>
        <w:gridCol w:w="1134"/>
        <w:gridCol w:w="9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155" w:type="pct"/>
            <w:gridSpan w:val="2"/>
            <w:shd w:val="clear" w:color="auto" w:fill="auto"/>
            <w:noWrap/>
            <w:vAlign w:val="center"/>
          </w:tcPr>
          <w:p>
            <w:pPr>
              <w:widowControl/>
              <w:spacing w:line="240" w:lineRule="exact"/>
              <w:jc w:val="center"/>
              <w:rPr>
                <w:b/>
                <w:kern w:val="0"/>
                <w:szCs w:val="21"/>
              </w:rPr>
            </w:pPr>
            <w:r>
              <w:rPr>
                <w:b/>
                <w:kern w:val="0"/>
                <w:szCs w:val="21"/>
              </w:rPr>
              <w:t>工作内容</w:t>
            </w:r>
          </w:p>
        </w:tc>
        <w:tc>
          <w:tcPr>
            <w:tcW w:w="3344" w:type="pct"/>
            <w:gridSpan w:val="5"/>
            <w:shd w:val="clear" w:color="auto" w:fill="auto"/>
            <w:noWrap/>
            <w:vAlign w:val="center"/>
          </w:tcPr>
          <w:p>
            <w:pPr>
              <w:widowControl/>
              <w:spacing w:line="240" w:lineRule="exact"/>
              <w:jc w:val="center"/>
              <w:rPr>
                <w:b/>
                <w:kern w:val="0"/>
                <w:szCs w:val="21"/>
              </w:rPr>
            </w:pPr>
            <w:r>
              <w:rPr>
                <w:b/>
                <w:kern w:val="0"/>
                <w:szCs w:val="21"/>
              </w:rPr>
              <w:t>完成情况</w:t>
            </w:r>
          </w:p>
        </w:tc>
        <w:tc>
          <w:tcPr>
            <w:tcW w:w="501" w:type="pct"/>
            <w:shd w:val="clear" w:color="auto" w:fill="auto"/>
            <w:noWrap/>
            <w:vAlign w:val="center"/>
          </w:tcPr>
          <w:p>
            <w:pPr>
              <w:widowControl/>
              <w:spacing w:line="240" w:lineRule="exact"/>
              <w:jc w:val="center"/>
              <w:rPr>
                <w:b/>
                <w:kern w:val="0"/>
                <w:szCs w:val="21"/>
              </w:rPr>
            </w:pPr>
            <w:r>
              <w:rPr>
                <w:b/>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restart"/>
            <w:shd w:val="clear" w:color="auto" w:fill="auto"/>
            <w:noWrap/>
            <w:vAlign w:val="center"/>
          </w:tcPr>
          <w:p>
            <w:pPr>
              <w:widowControl/>
              <w:spacing w:line="240" w:lineRule="exact"/>
              <w:jc w:val="center"/>
              <w:rPr>
                <w:kern w:val="0"/>
                <w:szCs w:val="21"/>
              </w:rPr>
            </w:pPr>
            <w:r>
              <w:rPr>
                <w:kern w:val="0"/>
                <w:szCs w:val="21"/>
              </w:rPr>
              <w:t>影响识别</w:t>
            </w:r>
          </w:p>
        </w:tc>
        <w:tc>
          <w:tcPr>
            <w:tcW w:w="865" w:type="pct"/>
            <w:shd w:val="clear" w:color="auto" w:fill="auto"/>
            <w:noWrap/>
            <w:vAlign w:val="center"/>
          </w:tcPr>
          <w:p>
            <w:pPr>
              <w:widowControl/>
              <w:spacing w:line="240" w:lineRule="exact"/>
              <w:jc w:val="center"/>
              <w:rPr>
                <w:kern w:val="0"/>
                <w:szCs w:val="21"/>
              </w:rPr>
            </w:pPr>
            <w:r>
              <w:rPr>
                <w:kern w:val="0"/>
                <w:szCs w:val="21"/>
              </w:rPr>
              <w:t>影响类型</w:t>
            </w:r>
          </w:p>
        </w:tc>
        <w:tc>
          <w:tcPr>
            <w:tcW w:w="3344" w:type="pct"/>
            <w:gridSpan w:val="5"/>
            <w:shd w:val="clear" w:color="auto" w:fill="auto"/>
            <w:noWrap/>
            <w:vAlign w:val="center"/>
          </w:tcPr>
          <w:p>
            <w:pPr>
              <w:widowControl/>
              <w:spacing w:line="240" w:lineRule="exact"/>
              <w:jc w:val="left"/>
              <w:rPr>
                <w:kern w:val="0"/>
                <w:szCs w:val="21"/>
              </w:rPr>
            </w:pPr>
            <w:r>
              <w:rPr>
                <w:kern w:val="0"/>
                <w:szCs w:val="21"/>
              </w:rPr>
              <w:t>污染影响型</w:t>
            </w:r>
            <w:r>
              <w:rPr>
                <w:rFonts w:ascii="Segoe UI Emoji" w:hAnsi="Segoe UI Emoji" w:eastAsia="MS Mincho" w:cs="Segoe UI Emoji"/>
                <w:szCs w:val="21"/>
              </w:rPr>
              <w:t>☑</w:t>
            </w:r>
            <w:r>
              <w:rPr>
                <w:kern w:val="0"/>
                <w:szCs w:val="21"/>
              </w:rPr>
              <w:t>；生态影响型</w:t>
            </w:r>
            <w:r>
              <w:rPr>
                <w:szCs w:val="21"/>
              </w:rPr>
              <w:t>□</w:t>
            </w:r>
            <w:r>
              <w:rPr>
                <w:kern w:val="0"/>
                <w:szCs w:val="21"/>
              </w:rPr>
              <w:t>；两种兼有</w:t>
            </w:r>
            <w:r>
              <w:rPr>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土地利用类型</w:t>
            </w:r>
          </w:p>
        </w:tc>
        <w:tc>
          <w:tcPr>
            <w:tcW w:w="3344" w:type="pct"/>
            <w:gridSpan w:val="5"/>
            <w:shd w:val="clear" w:color="auto" w:fill="auto"/>
            <w:noWrap/>
            <w:vAlign w:val="center"/>
          </w:tcPr>
          <w:p>
            <w:pPr>
              <w:widowControl/>
              <w:spacing w:line="240" w:lineRule="exact"/>
              <w:rPr>
                <w:kern w:val="0"/>
                <w:szCs w:val="21"/>
              </w:rPr>
            </w:pPr>
            <w:r>
              <w:rPr>
                <w:kern w:val="0"/>
                <w:szCs w:val="21"/>
              </w:rPr>
              <w:t>建设用地</w:t>
            </w:r>
            <w:r>
              <w:rPr>
                <w:rFonts w:ascii="Segoe UI Emoji" w:hAnsi="Segoe UI Emoji" w:eastAsia="MS Mincho" w:cs="Segoe UI Emoji"/>
                <w:kern w:val="0"/>
                <w:szCs w:val="21"/>
              </w:rPr>
              <w:t>☑</w:t>
            </w:r>
            <w:r>
              <w:rPr>
                <w:kern w:val="0"/>
                <w:szCs w:val="21"/>
              </w:rPr>
              <w:t>；农用地□；未利用地□</w:t>
            </w:r>
          </w:p>
        </w:tc>
        <w:tc>
          <w:tcPr>
            <w:tcW w:w="501" w:type="pct"/>
            <w:shd w:val="clear" w:color="auto" w:fill="auto"/>
            <w:noWrap/>
            <w:vAlign w:val="center"/>
          </w:tcPr>
          <w:p>
            <w:pPr>
              <w:widowControl/>
              <w:spacing w:line="240" w:lineRule="exact"/>
              <w:jc w:val="center"/>
              <w:rPr>
                <w:kern w:val="0"/>
                <w:szCs w:val="21"/>
              </w:rPr>
            </w:pPr>
            <w:r>
              <w:rPr>
                <w:kern w:val="0"/>
                <w:szCs w:val="21"/>
              </w:rPr>
              <w:t>土地利用类型图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占地规模</w:t>
            </w:r>
          </w:p>
        </w:tc>
        <w:tc>
          <w:tcPr>
            <w:tcW w:w="3344" w:type="pct"/>
            <w:gridSpan w:val="5"/>
            <w:shd w:val="clear" w:color="auto" w:fill="auto"/>
            <w:noWrap/>
            <w:vAlign w:val="center"/>
          </w:tcPr>
          <w:p>
            <w:pPr>
              <w:widowControl/>
              <w:spacing w:line="240" w:lineRule="exact"/>
              <w:rPr>
                <w:kern w:val="0"/>
                <w:szCs w:val="21"/>
              </w:rPr>
            </w:pPr>
            <w:r>
              <w:rPr>
                <w:kern w:val="0"/>
                <w:szCs w:val="21"/>
              </w:rPr>
              <w:t>3hm</w:t>
            </w:r>
            <w:r>
              <w:rPr>
                <w:kern w:val="0"/>
                <w:szCs w:val="21"/>
                <w:vertAlign w:val="superscript"/>
              </w:rPr>
              <w:t>2</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敏感目标信息</w:t>
            </w:r>
          </w:p>
        </w:tc>
        <w:tc>
          <w:tcPr>
            <w:tcW w:w="3344" w:type="pct"/>
            <w:gridSpan w:val="5"/>
            <w:shd w:val="clear" w:color="auto" w:fill="auto"/>
            <w:noWrap/>
            <w:vAlign w:val="center"/>
          </w:tcPr>
          <w:p>
            <w:pPr>
              <w:widowControl/>
              <w:spacing w:line="240" w:lineRule="exact"/>
              <w:rPr>
                <w:kern w:val="0"/>
                <w:szCs w:val="21"/>
              </w:rPr>
            </w:pPr>
            <w:r>
              <w:rPr>
                <w:kern w:val="0"/>
                <w:szCs w:val="21"/>
              </w:rPr>
              <w:t>敏感目标（</w:t>
            </w:r>
            <w:r>
              <w:rPr>
                <w:rFonts w:hint="eastAsia"/>
                <w:kern w:val="0"/>
                <w:szCs w:val="21"/>
              </w:rPr>
              <w:t>无</w:t>
            </w:r>
            <w:r>
              <w:rPr>
                <w:kern w:val="0"/>
                <w:szCs w:val="21"/>
              </w:rPr>
              <w:t>）、方位（</w:t>
            </w:r>
            <w:r>
              <w:rPr>
                <w:rFonts w:hint="eastAsia"/>
                <w:kern w:val="0"/>
                <w:szCs w:val="21"/>
              </w:rPr>
              <w:t>/</w:t>
            </w:r>
            <w:r>
              <w:rPr>
                <w:kern w:val="0"/>
                <w:szCs w:val="21"/>
              </w:rPr>
              <w:t>）、距离（</w:t>
            </w:r>
            <w:r>
              <w:rPr>
                <w:rFonts w:hint="eastAsia"/>
                <w:kern w:val="0"/>
                <w:szCs w:val="21"/>
              </w:rPr>
              <w:t>/</w:t>
            </w:r>
            <w:r>
              <w:rPr>
                <w:kern w:val="0"/>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影响途径</w:t>
            </w:r>
          </w:p>
        </w:tc>
        <w:tc>
          <w:tcPr>
            <w:tcW w:w="3344" w:type="pct"/>
            <w:gridSpan w:val="5"/>
            <w:shd w:val="clear" w:color="auto" w:fill="auto"/>
            <w:noWrap/>
            <w:vAlign w:val="center"/>
          </w:tcPr>
          <w:p>
            <w:pPr>
              <w:widowControl/>
              <w:spacing w:line="240" w:lineRule="exact"/>
              <w:jc w:val="left"/>
              <w:rPr>
                <w:kern w:val="0"/>
                <w:szCs w:val="21"/>
              </w:rPr>
            </w:pPr>
            <w:r>
              <w:rPr>
                <w:kern w:val="0"/>
                <w:szCs w:val="21"/>
              </w:rPr>
              <w:t>大气沉降</w:t>
            </w:r>
            <w:r>
              <w:rPr>
                <w:szCs w:val="21"/>
              </w:rPr>
              <w:t>□</w:t>
            </w:r>
            <w:r>
              <w:rPr>
                <w:kern w:val="0"/>
                <w:szCs w:val="21"/>
              </w:rPr>
              <w:t>；地面漫流</w:t>
            </w:r>
            <w:r>
              <w:rPr>
                <w:szCs w:val="21"/>
              </w:rPr>
              <w:t>□</w:t>
            </w:r>
            <w:r>
              <w:rPr>
                <w:kern w:val="0"/>
                <w:szCs w:val="21"/>
              </w:rPr>
              <w:t>；垂直入渗</w:t>
            </w:r>
            <w:r>
              <w:rPr>
                <w:rFonts w:ascii="Segoe UI Symbol" w:hAnsi="Segoe UI Symbol" w:eastAsia="MS Mincho" w:cs="Segoe UI Symbol"/>
                <w:szCs w:val="21"/>
              </w:rPr>
              <w:t>☑</w:t>
            </w:r>
            <w:r>
              <w:rPr>
                <w:kern w:val="0"/>
                <w:szCs w:val="21"/>
              </w:rPr>
              <w:t>；地下水位</w:t>
            </w:r>
            <w:r>
              <w:rPr>
                <w:szCs w:val="21"/>
              </w:rPr>
              <w:t>□</w:t>
            </w:r>
            <w:r>
              <w:rPr>
                <w:kern w:val="0"/>
                <w:szCs w:val="21"/>
              </w:rPr>
              <w:t>；其他（</w:t>
            </w:r>
            <w:r>
              <w:rPr>
                <w:rFonts w:hint="eastAsia"/>
                <w:kern w:val="0"/>
                <w:szCs w:val="21"/>
              </w:rPr>
              <w:t>/</w:t>
            </w:r>
            <w:r>
              <w:rPr>
                <w:kern w:val="0"/>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全部污染物</w:t>
            </w:r>
          </w:p>
        </w:tc>
        <w:tc>
          <w:tcPr>
            <w:tcW w:w="3344" w:type="pct"/>
            <w:gridSpan w:val="5"/>
            <w:shd w:val="clear" w:color="auto" w:fill="auto"/>
            <w:noWrap/>
            <w:vAlign w:val="center"/>
          </w:tcPr>
          <w:p>
            <w:pPr>
              <w:widowControl/>
              <w:spacing w:line="240" w:lineRule="exact"/>
              <w:jc w:val="center"/>
              <w:rPr>
                <w:kern w:val="0"/>
                <w:szCs w:val="21"/>
              </w:rPr>
            </w:pPr>
            <w:r>
              <w:rPr>
                <w:rFonts w:hint="eastAsia"/>
                <w:kern w:val="0"/>
                <w:szCs w:val="21"/>
              </w:rPr>
              <w:t>铅、汞、砷和六价铬</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特征因子</w:t>
            </w:r>
          </w:p>
        </w:tc>
        <w:tc>
          <w:tcPr>
            <w:tcW w:w="3344" w:type="pct"/>
            <w:gridSpan w:val="5"/>
            <w:shd w:val="clear" w:color="auto" w:fill="auto"/>
            <w:noWrap/>
            <w:vAlign w:val="center"/>
          </w:tcPr>
          <w:p>
            <w:pPr>
              <w:widowControl/>
              <w:spacing w:line="240" w:lineRule="exact"/>
              <w:jc w:val="center"/>
              <w:rPr>
                <w:kern w:val="0"/>
                <w:szCs w:val="21"/>
              </w:rPr>
            </w:pPr>
            <w:r>
              <w:rPr>
                <w:rFonts w:hint="eastAsia"/>
                <w:kern w:val="0"/>
                <w:szCs w:val="21"/>
              </w:rPr>
              <w:t>铅、汞、砷和六价铬</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所属土壤环境影响评价项目类别</w:t>
            </w:r>
          </w:p>
        </w:tc>
        <w:tc>
          <w:tcPr>
            <w:tcW w:w="3344" w:type="pct"/>
            <w:gridSpan w:val="5"/>
            <w:shd w:val="clear" w:color="auto" w:fill="auto"/>
            <w:noWrap/>
            <w:vAlign w:val="center"/>
          </w:tcPr>
          <w:p>
            <w:pPr>
              <w:widowControl/>
              <w:spacing w:line="240" w:lineRule="exact"/>
              <w:rPr>
                <w:kern w:val="0"/>
                <w:szCs w:val="21"/>
              </w:rPr>
            </w:pPr>
            <w:r>
              <w:rPr>
                <w:rFonts w:hint="eastAsia" w:ascii="宋体" w:hAnsi="宋体" w:cs="宋体"/>
                <w:kern w:val="0"/>
                <w:szCs w:val="21"/>
              </w:rPr>
              <w:t>Ⅰ</w:t>
            </w:r>
            <w:r>
              <w:rPr>
                <w:kern w:val="0"/>
                <w:szCs w:val="21"/>
              </w:rPr>
              <w:t>类</w:t>
            </w:r>
            <w:r>
              <w:rPr>
                <w:szCs w:val="21"/>
              </w:rPr>
              <w:t>□</w:t>
            </w:r>
            <w:r>
              <w:rPr>
                <w:kern w:val="0"/>
                <w:szCs w:val="21"/>
              </w:rPr>
              <w:t>；</w:t>
            </w:r>
            <w:r>
              <w:rPr>
                <w:rFonts w:hint="eastAsia" w:ascii="宋体" w:hAnsi="宋体" w:cs="宋体"/>
                <w:kern w:val="0"/>
                <w:szCs w:val="21"/>
              </w:rPr>
              <w:t>Ⅱ</w:t>
            </w:r>
            <w:r>
              <w:rPr>
                <w:kern w:val="0"/>
                <w:szCs w:val="21"/>
              </w:rPr>
              <w:t>类</w:t>
            </w:r>
            <w:r>
              <w:rPr>
                <w:rFonts w:ascii="Segoe UI Emoji" w:hAnsi="Segoe UI Emoji" w:eastAsia="MS Mincho" w:cs="Segoe UI Emoji"/>
                <w:szCs w:val="21"/>
              </w:rPr>
              <w:t>☑</w:t>
            </w:r>
            <w:r>
              <w:rPr>
                <w:szCs w:val="21"/>
              </w:rPr>
              <w:t>□</w:t>
            </w:r>
            <w:r>
              <w:rPr>
                <w:kern w:val="0"/>
                <w:szCs w:val="21"/>
              </w:rPr>
              <w:t>；</w:t>
            </w:r>
            <w:r>
              <w:rPr>
                <w:rFonts w:hint="eastAsia" w:ascii="宋体" w:hAnsi="宋体" w:cs="宋体"/>
                <w:kern w:val="0"/>
                <w:szCs w:val="21"/>
              </w:rPr>
              <w:t>Ⅲ</w:t>
            </w:r>
            <w:r>
              <w:rPr>
                <w:kern w:val="0"/>
                <w:szCs w:val="21"/>
              </w:rPr>
              <w:t>类</w:t>
            </w:r>
            <w:r>
              <w:rPr>
                <w:szCs w:val="21"/>
              </w:rPr>
              <w:t>□</w:t>
            </w:r>
            <w:r>
              <w:rPr>
                <w:kern w:val="0"/>
                <w:szCs w:val="21"/>
              </w:rPr>
              <w:t>；</w:t>
            </w:r>
            <w:r>
              <w:rPr>
                <w:rFonts w:hint="eastAsia" w:ascii="宋体" w:hAnsi="宋体" w:cs="宋体"/>
                <w:kern w:val="0"/>
                <w:szCs w:val="21"/>
              </w:rPr>
              <w:t>Ⅳ</w:t>
            </w:r>
            <w:r>
              <w:rPr>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jc w:val="center"/>
        </w:trPr>
        <w:tc>
          <w:tcPr>
            <w:tcW w:w="290" w:type="pct"/>
            <w:vMerge w:val="continue"/>
            <w:shd w:val="clear" w:color="auto" w:fill="auto"/>
            <w:noWrap/>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敏感程度</w:t>
            </w:r>
          </w:p>
        </w:tc>
        <w:tc>
          <w:tcPr>
            <w:tcW w:w="3344" w:type="pct"/>
            <w:gridSpan w:val="5"/>
            <w:shd w:val="clear" w:color="auto" w:fill="auto"/>
            <w:noWrap/>
            <w:vAlign w:val="center"/>
          </w:tcPr>
          <w:p>
            <w:pPr>
              <w:widowControl/>
              <w:spacing w:line="240" w:lineRule="exact"/>
              <w:rPr>
                <w:kern w:val="0"/>
                <w:szCs w:val="21"/>
              </w:rPr>
            </w:pPr>
            <w:r>
              <w:rPr>
                <w:kern w:val="0"/>
                <w:szCs w:val="21"/>
              </w:rPr>
              <w:t>敏感</w:t>
            </w:r>
            <w:r>
              <w:rPr>
                <w:szCs w:val="21"/>
              </w:rPr>
              <w:t>□</w:t>
            </w:r>
            <w:r>
              <w:rPr>
                <w:kern w:val="0"/>
                <w:szCs w:val="21"/>
              </w:rPr>
              <w:t>；较敏感</w:t>
            </w:r>
            <w:r>
              <w:rPr>
                <w:szCs w:val="21"/>
              </w:rPr>
              <w:t>□</w:t>
            </w:r>
            <w:r>
              <w:rPr>
                <w:kern w:val="0"/>
                <w:szCs w:val="21"/>
              </w:rPr>
              <w:t>；不敏感</w:t>
            </w:r>
            <w:r>
              <w:rPr>
                <w:rFonts w:ascii="Segoe UI Symbol" w:hAnsi="Segoe UI Symbol" w:eastAsia="MS Mincho" w:cs="Segoe UI Symbol"/>
                <w:szCs w:val="21"/>
              </w:rPr>
              <w:t>☑</w:t>
            </w:r>
            <w:r>
              <w:rPr>
                <w:szCs w:val="21"/>
              </w:rPr>
              <w:t xml:space="preserve"> </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155" w:type="pct"/>
            <w:gridSpan w:val="2"/>
            <w:shd w:val="clear" w:color="auto" w:fill="auto"/>
            <w:noWrap/>
            <w:vAlign w:val="center"/>
          </w:tcPr>
          <w:p>
            <w:pPr>
              <w:widowControl/>
              <w:spacing w:line="240" w:lineRule="exact"/>
              <w:jc w:val="center"/>
              <w:rPr>
                <w:kern w:val="0"/>
                <w:szCs w:val="21"/>
              </w:rPr>
            </w:pPr>
            <w:r>
              <w:rPr>
                <w:kern w:val="0"/>
                <w:szCs w:val="21"/>
              </w:rPr>
              <w:t>评价工作等级</w:t>
            </w:r>
          </w:p>
        </w:tc>
        <w:tc>
          <w:tcPr>
            <w:tcW w:w="3344" w:type="pct"/>
            <w:gridSpan w:val="5"/>
            <w:shd w:val="clear" w:color="auto" w:fill="auto"/>
            <w:noWrap/>
            <w:vAlign w:val="center"/>
          </w:tcPr>
          <w:p>
            <w:pPr>
              <w:widowControl/>
              <w:spacing w:line="240" w:lineRule="exact"/>
              <w:rPr>
                <w:kern w:val="0"/>
                <w:szCs w:val="21"/>
              </w:rPr>
            </w:pPr>
            <w:r>
              <w:rPr>
                <w:kern w:val="0"/>
                <w:szCs w:val="21"/>
              </w:rPr>
              <w:t>一级</w:t>
            </w:r>
            <w:r>
              <w:rPr>
                <w:szCs w:val="21"/>
              </w:rPr>
              <w:t>□</w:t>
            </w:r>
            <w:r>
              <w:rPr>
                <w:kern w:val="0"/>
                <w:szCs w:val="21"/>
              </w:rPr>
              <w:t>；二级</w:t>
            </w:r>
            <w:r>
              <w:rPr>
                <w:szCs w:val="21"/>
              </w:rPr>
              <w:t>□</w:t>
            </w:r>
            <w:r>
              <w:rPr>
                <w:kern w:val="0"/>
                <w:szCs w:val="21"/>
              </w:rPr>
              <w:t>；三级</w:t>
            </w:r>
            <w:r>
              <w:rPr>
                <w:rFonts w:ascii="Segoe UI Symbol" w:hAnsi="Segoe UI Symbol" w:eastAsia="MS Mincho" w:cs="Segoe UI Symbol"/>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restart"/>
            <w:shd w:val="clear" w:color="auto" w:fill="auto"/>
            <w:noWrap/>
            <w:vAlign w:val="center"/>
          </w:tcPr>
          <w:p>
            <w:pPr>
              <w:widowControl/>
              <w:spacing w:line="240" w:lineRule="exact"/>
              <w:jc w:val="center"/>
              <w:rPr>
                <w:kern w:val="0"/>
                <w:szCs w:val="21"/>
              </w:rPr>
            </w:pPr>
            <w:r>
              <w:rPr>
                <w:kern w:val="0"/>
                <w:szCs w:val="21"/>
              </w:rPr>
              <w:t>现状调查内容</w:t>
            </w:r>
          </w:p>
        </w:tc>
        <w:tc>
          <w:tcPr>
            <w:tcW w:w="865" w:type="pct"/>
            <w:shd w:val="clear" w:color="auto" w:fill="auto"/>
            <w:noWrap/>
            <w:vAlign w:val="center"/>
          </w:tcPr>
          <w:p>
            <w:pPr>
              <w:widowControl/>
              <w:spacing w:line="240" w:lineRule="exact"/>
              <w:jc w:val="center"/>
              <w:rPr>
                <w:kern w:val="0"/>
                <w:szCs w:val="21"/>
              </w:rPr>
            </w:pPr>
            <w:r>
              <w:rPr>
                <w:kern w:val="0"/>
                <w:szCs w:val="21"/>
              </w:rPr>
              <w:t>资料收集</w:t>
            </w:r>
          </w:p>
        </w:tc>
        <w:tc>
          <w:tcPr>
            <w:tcW w:w="3344" w:type="pct"/>
            <w:gridSpan w:val="5"/>
            <w:shd w:val="clear" w:color="auto" w:fill="auto"/>
            <w:noWrap/>
            <w:vAlign w:val="center"/>
          </w:tcPr>
          <w:p>
            <w:pPr>
              <w:widowControl/>
              <w:spacing w:line="240" w:lineRule="exact"/>
              <w:rPr>
                <w:kern w:val="0"/>
                <w:szCs w:val="21"/>
              </w:rPr>
            </w:pPr>
            <w:r>
              <w:rPr>
                <w:rFonts w:hint="eastAsia"/>
                <w:kern w:val="0"/>
                <w:szCs w:val="21"/>
              </w:rPr>
              <w:t>本项目初勘报告</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理化特性</w:t>
            </w:r>
          </w:p>
        </w:tc>
        <w:tc>
          <w:tcPr>
            <w:tcW w:w="3344" w:type="pct"/>
            <w:gridSpan w:val="5"/>
            <w:shd w:val="clear" w:color="auto" w:fill="auto"/>
            <w:noWrap/>
            <w:vAlign w:val="center"/>
          </w:tcPr>
          <w:p>
            <w:pPr>
              <w:widowControl/>
              <w:spacing w:line="240" w:lineRule="exact"/>
              <w:jc w:val="center"/>
              <w:rPr>
                <w:kern w:val="0"/>
                <w:szCs w:val="21"/>
              </w:rPr>
            </w:pPr>
            <w:r>
              <w:rPr>
                <w:kern w:val="0"/>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vMerge w:val="restart"/>
            <w:shd w:val="clear" w:color="auto" w:fill="auto"/>
            <w:noWrap/>
            <w:vAlign w:val="center"/>
          </w:tcPr>
          <w:p>
            <w:pPr>
              <w:widowControl/>
              <w:spacing w:line="240" w:lineRule="exact"/>
              <w:jc w:val="center"/>
              <w:rPr>
                <w:kern w:val="0"/>
                <w:szCs w:val="21"/>
              </w:rPr>
            </w:pPr>
            <w:r>
              <w:rPr>
                <w:kern w:val="0"/>
                <w:szCs w:val="21"/>
              </w:rPr>
              <w:t>现状监测点位</w:t>
            </w:r>
          </w:p>
        </w:tc>
        <w:tc>
          <w:tcPr>
            <w:tcW w:w="1076" w:type="pct"/>
            <w:shd w:val="clear" w:color="auto" w:fill="auto"/>
            <w:noWrap/>
            <w:vAlign w:val="center"/>
          </w:tcPr>
          <w:p>
            <w:pPr>
              <w:widowControl/>
              <w:spacing w:line="240" w:lineRule="exact"/>
              <w:jc w:val="center"/>
              <w:rPr>
                <w:kern w:val="0"/>
                <w:szCs w:val="21"/>
              </w:rPr>
            </w:pPr>
          </w:p>
        </w:tc>
        <w:tc>
          <w:tcPr>
            <w:tcW w:w="798" w:type="pct"/>
            <w:gridSpan w:val="2"/>
            <w:shd w:val="clear" w:color="auto" w:fill="auto"/>
            <w:noWrap/>
            <w:vAlign w:val="center"/>
          </w:tcPr>
          <w:p>
            <w:pPr>
              <w:widowControl/>
              <w:spacing w:line="240" w:lineRule="exact"/>
              <w:jc w:val="center"/>
              <w:rPr>
                <w:kern w:val="0"/>
                <w:szCs w:val="21"/>
              </w:rPr>
            </w:pPr>
            <w:r>
              <w:rPr>
                <w:kern w:val="0"/>
                <w:szCs w:val="21"/>
              </w:rPr>
              <w:t>占地范围内</w:t>
            </w:r>
          </w:p>
        </w:tc>
        <w:tc>
          <w:tcPr>
            <w:tcW w:w="848" w:type="pct"/>
            <w:shd w:val="clear" w:color="auto" w:fill="auto"/>
            <w:noWrap/>
            <w:vAlign w:val="center"/>
          </w:tcPr>
          <w:p>
            <w:pPr>
              <w:widowControl/>
              <w:spacing w:line="240" w:lineRule="exact"/>
              <w:jc w:val="center"/>
              <w:rPr>
                <w:kern w:val="0"/>
                <w:szCs w:val="21"/>
              </w:rPr>
            </w:pPr>
            <w:r>
              <w:rPr>
                <w:kern w:val="0"/>
                <w:szCs w:val="21"/>
              </w:rPr>
              <w:t>占地范围外</w:t>
            </w:r>
          </w:p>
        </w:tc>
        <w:tc>
          <w:tcPr>
            <w:tcW w:w="622" w:type="pct"/>
            <w:shd w:val="clear" w:color="auto" w:fill="auto"/>
            <w:noWrap/>
            <w:vAlign w:val="center"/>
          </w:tcPr>
          <w:p>
            <w:pPr>
              <w:widowControl/>
              <w:spacing w:line="240" w:lineRule="exact"/>
              <w:jc w:val="center"/>
              <w:rPr>
                <w:kern w:val="0"/>
                <w:szCs w:val="21"/>
              </w:rPr>
            </w:pPr>
            <w:r>
              <w:rPr>
                <w:kern w:val="0"/>
                <w:szCs w:val="21"/>
              </w:rPr>
              <w:t>深度</w:t>
            </w:r>
          </w:p>
        </w:tc>
        <w:tc>
          <w:tcPr>
            <w:tcW w:w="501" w:type="pct"/>
            <w:vMerge w:val="restart"/>
            <w:shd w:val="clear" w:color="auto" w:fill="auto"/>
            <w:noWrap/>
            <w:vAlign w:val="center"/>
          </w:tcPr>
          <w:p>
            <w:pPr>
              <w:widowControl/>
              <w:spacing w:line="240" w:lineRule="exact"/>
              <w:jc w:val="center"/>
              <w:rPr>
                <w:kern w:val="0"/>
                <w:szCs w:val="21"/>
              </w:rPr>
            </w:pPr>
            <w:r>
              <w:rPr>
                <w:rFonts w:hint="eastAsia"/>
                <w:kern w:val="0"/>
                <w:szCs w:val="21"/>
              </w:rPr>
              <w:t>监测</w:t>
            </w:r>
            <w:r>
              <w:rPr>
                <w:kern w:val="0"/>
                <w:szCs w:val="21"/>
              </w:rPr>
              <w:t>点位布</w:t>
            </w:r>
          </w:p>
          <w:p>
            <w:pPr>
              <w:widowControl/>
              <w:spacing w:line="240" w:lineRule="exact"/>
              <w:jc w:val="center"/>
              <w:rPr>
                <w:kern w:val="0"/>
                <w:szCs w:val="21"/>
              </w:rPr>
            </w:pPr>
            <w:r>
              <w:rPr>
                <w:kern w:val="0"/>
                <w:szCs w:val="21"/>
              </w:rPr>
              <w:t>置图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vMerge w:val="continue"/>
            <w:vAlign w:val="center"/>
          </w:tcPr>
          <w:p>
            <w:pPr>
              <w:widowControl/>
              <w:spacing w:line="240" w:lineRule="exact"/>
              <w:jc w:val="center"/>
              <w:rPr>
                <w:kern w:val="0"/>
                <w:szCs w:val="21"/>
              </w:rPr>
            </w:pPr>
          </w:p>
        </w:tc>
        <w:tc>
          <w:tcPr>
            <w:tcW w:w="1076" w:type="pct"/>
            <w:shd w:val="clear" w:color="auto" w:fill="auto"/>
            <w:noWrap/>
            <w:vAlign w:val="center"/>
          </w:tcPr>
          <w:p>
            <w:pPr>
              <w:widowControl/>
              <w:spacing w:line="240" w:lineRule="exact"/>
              <w:jc w:val="center"/>
              <w:rPr>
                <w:kern w:val="0"/>
                <w:szCs w:val="21"/>
              </w:rPr>
            </w:pPr>
            <w:r>
              <w:rPr>
                <w:kern w:val="0"/>
                <w:szCs w:val="21"/>
              </w:rPr>
              <w:t>表层样点数</w:t>
            </w:r>
          </w:p>
        </w:tc>
        <w:tc>
          <w:tcPr>
            <w:tcW w:w="798" w:type="pct"/>
            <w:gridSpan w:val="2"/>
            <w:shd w:val="clear" w:color="auto" w:fill="auto"/>
            <w:noWrap/>
            <w:vAlign w:val="center"/>
          </w:tcPr>
          <w:p>
            <w:pPr>
              <w:widowControl/>
              <w:spacing w:line="240" w:lineRule="exact"/>
              <w:jc w:val="center"/>
              <w:rPr>
                <w:kern w:val="0"/>
                <w:szCs w:val="21"/>
              </w:rPr>
            </w:pPr>
            <w:r>
              <w:rPr>
                <w:kern w:val="0"/>
                <w:szCs w:val="21"/>
              </w:rPr>
              <w:t>3</w:t>
            </w:r>
          </w:p>
        </w:tc>
        <w:tc>
          <w:tcPr>
            <w:tcW w:w="848" w:type="pct"/>
            <w:shd w:val="clear" w:color="auto" w:fill="auto"/>
            <w:noWrap/>
            <w:vAlign w:val="center"/>
          </w:tcPr>
          <w:p>
            <w:pPr>
              <w:widowControl/>
              <w:spacing w:line="240" w:lineRule="exact"/>
              <w:jc w:val="center"/>
              <w:rPr>
                <w:kern w:val="0"/>
                <w:szCs w:val="21"/>
              </w:rPr>
            </w:pPr>
            <w:r>
              <w:rPr>
                <w:rFonts w:hint="eastAsia"/>
                <w:kern w:val="0"/>
                <w:szCs w:val="21"/>
              </w:rPr>
              <w:t>0</w:t>
            </w:r>
          </w:p>
        </w:tc>
        <w:tc>
          <w:tcPr>
            <w:tcW w:w="622" w:type="pct"/>
            <w:shd w:val="clear" w:color="auto" w:fill="auto"/>
            <w:noWrap/>
            <w:vAlign w:val="center"/>
          </w:tcPr>
          <w:p>
            <w:pPr>
              <w:widowControl/>
              <w:spacing w:line="240" w:lineRule="exact"/>
              <w:jc w:val="center"/>
              <w:rPr>
                <w:kern w:val="0"/>
                <w:szCs w:val="21"/>
              </w:rPr>
            </w:pPr>
            <w:r>
              <w:rPr>
                <w:kern w:val="0"/>
                <w:szCs w:val="21"/>
              </w:rPr>
              <w:t>0.2m</w:t>
            </w:r>
          </w:p>
        </w:tc>
        <w:tc>
          <w:tcPr>
            <w:tcW w:w="501" w:type="pct"/>
            <w:vMerge w:val="continue"/>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vMerge w:val="continue"/>
            <w:vAlign w:val="center"/>
          </w:tcPr>
          <w:p>
            <w:pPr>
              <w:widowControl/>
              <w:spacing w:line="240" w:lineRule="exact"/>
              <w:jc w:val="center"/>
              <w:rPr>
                <w:kern w:val="0"/>
                <w:szCs w:val="21"/>
              </w:rPr>
            </w:pPr>
          </w:p>
        </w:tc>
        <w:tc>
          <w:tcPr>
            <w:tcW w:w="1076" w:type="pct"/>
            <w:shd w:val="clear" w:color="auto" w:fill="auto"/>
            <w:noWrap/>
            <w:vAlign w:val="center"/>
          </w:tcPr>
          <w:p>
            <w:pPr>
              <w:widowControl/>
              <w:spacing w:line="240" w:lineRule="exact"/>
              <w:jc w:val="center"/>
              <w:rPr>
                <w:kern w:val="0"/>
                <w:szCs w:val="21"/>
              </w:rPr>
            </w:pPr>
            <w:r>
              <w:rPr>
                <w:kern w:val="0"/>
                <w:szCs w:val="21"/>
              </w:rPr>
              <w:t>柱状样点数</w:t>
            </w:r>
          </w:p>
        </w:tc>
        <w:tc>
          <w:tcPr>
            <w:tcW w:w="798" w:type="pct"/>
            <w:gridSpan w:val="2"/>
            <w:shd w:val="clear" w:color="auto" w:fill="auto"/>
            <w:noWrap/>
            <w:vAlign w:val="center"/>
          </w:tcPr>
          <w:p>
            <w:pPr>
              <w:widowControl/>
              <w:spacing w:line="240" w:lineRule="exact"/>
              <w:jc w:val="center"/>
              <w:rPr>
                <w:kern w:val="0"/>
                <w:szCs w:val="21"/>
              </w:rPr>
            </w:pPr>
          </w:p>
        </w:tc>
        <w:tc>
          <w:tcPr>
            <w:tcW w:w="848" w:type="pct"/>
            <w:shd w:val="clear" w:color="auto" w:fill="auto"/>
            <w:noWrap/>
            <w:vAlign w:val="center"/>
          </w:tcPr>
          <w:p>
            <w:pPr>
              <w:widowControl/>
              <w:spacing w:line="240" w:lineRule="exact"/>
              <w:jc w:val="center"/>
              <w:rPr>
                <w:kern w:val="0"/>
                <w:szCs w:val="21"/>
              </w:rPr>
            </w:pPr>
          </w:p>
        </w:tc>
        <w:tc>
          <w:tcPr>
            <w:tcW w:w="622" w:type="pct"/>
            <w:shd w:val="clear" w:color="auto" w:fill="auto"/>
            <w:noWrap/>
            <w:vAlign w:val="center"/>
          </w:tcPr>
          <w:p>
            <w:pPr>
              <w:widowControl/>
              <w:spacing w:line="240" w:lineRule="exact"/>
              <w:jc w:val="center"/>
              <w:rPr>
                <w:kern w:val="0"/>
                <w:szCs w:val="21"/>
              </w:rPr>
            </w:pPr>
          </w:p>
        </w:tc>
        <w:tc>
          <w:tcPr>
            <w:tcW w:w="501" w:type="pct"/>
            <w:vMerge w:val="continue"/>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现状监测因子</w:t>
            </w:r>
          </w:p>
        </w:tc>
        <w:tc>
          <w:tcPr>
            <w:tcW w:w="3344" w:type="pct"/>
            <w:gridSpan w:val="5"/>
            <w:shd w:val="clear" w:color="auto" w:fill="auto"/>
            <w:noWrap/>
            <w:vAlign w:val="center"/>
          </w:tcPr>
          <w:p>
            <w:pPr>
              <w:adjustRightInd w:val="0"/>
              <w:snapToGrid w:val="0"/>
              <w:rPr>
                <w:szCs w:val="21"/>
              </w:rPr>
            </w:pPr>
            <w:r>
              <w:rPr>
                <w:b/>
                <w:szCs w:val="21"/>
              </w:rPr>
              <w:t>基本因子：</w:t>
            </w:r>
            <w:r>
              <w:rPr>
                <w:rFonts w:hint="eastAsia"/>
                <w:szCs w:val="21"/>
              </w:rPr>
              <w:t>砷、镉、六价铬、铜、铅、汞、镍、四氯化碳、氯仿、氯甲烷、</w:t>
            </w:r>
            <w:r>
              <w:rPr>
                <w:szCs w:val="21"/>
              </w:rPr>
              <w:t>1,1-</w:t>
            </w:r>
            <w:r>
              <w:rPr>
                <w:rFonts w:hint="eastAsia"/>
                <w:szCs w:val="21"/>
              </w:rPr>
              <w:t>二氯乙烷、</w:t>
            </w:r>
            <w:r>
              <w:rPr>
                <w:szCs w:val="21"/>
              </w:rPr>
              <w:t>1,2-</w:t>
            </w:r>
            <w:r>
              <w:rPr>
                <w:rFonts w:hint="eastAsia"/>
                <w:szCs w:val="21"/>
              </w:rPr>
              <w:t>二氯乙烷、</w:t>
            </w:r>
            <w:r>
              <w:rPr>
                <w:szCs w:val="21"/>
              </w:rPr>
              <w:t>1,1-</w:t>
            </w:r>
            <w:r>
              <w:rPr>
                <w:rFonts w:hint="eastAsia"/>
                <w:szCs w:val="21"/>
              </w:rPr>
              <w:t>二氯乙烯、顺</w:t>
            </w:r>
            <w:r>
              <w:rPr>
                <w:szCs w:val="21"/>
              </w:rPr>
              <w:t>-1,2-</w:t>
            </w:r>
            <w:r>
              <w:rPr>
                <w:rFonts w:hint="eastAsia"/>
                <w:szCs w:val="21"/>
              </w:rPr>
              <w:t>二氯乙烯、反</w:t>
            </w:r>
            <w:r>
              <w:rPr>
                <w:szCs w:val="21"/>
              </w:rPr>
              <w:t>-1,2-</w:t>
            </w:r>
            <w:r>
              <w:rPr>
                <w:rFonts w:hint="eastAsia"/>
                <w:szCs w:val="21"/>
              </w:rPr>
              <w:t>二氯乙烯、二氯甲烷、</w:t>
            </w:r>
            <w:r>
              <w:rPr>
                <w:szCs w:val="21"/>
              </w:rPr>
              <w:t>1,2-</w:t>
            </w:r>
            <w:r>
              <w:rPr>
                <w:rFonts w:hint="eastAsia"/>
                <w:szCs w:val="21"/>
              </w:rPr>
              <w:t>二氯丙烷、</w:t>
            </w:r>
            <w:r>
              <w:rPr>
                <w:szCs w:val="21"/>
              </w:rPr>
              <w:t>1,1,1,2-</w:t>
            </w:r>
            <w:r>
              <w:rPr>
                <w:rFonts w:hint="eastAsia"/>
                <w:szCs w:val="21"/>
              </w:rPr>
              <w:t>四氯乙烷、</w:t>
            </w:r>
            <w:r>
              <w:rPr>
                <w:szCs w:val="21"/>
              </w:rPr>
              <w:t>1,1,2,2-</w:t>
            </w:r>
            <w:r>
              <w:rPr>
                <w:rFonts w:hint="eastAsia"/>
                <w:szCs w:val="21"/>
              </w:rPr>
              <w:t>四氯乙烷、四氯乙烯、</w:t>
            </w:r>
            <w:r>
              <w:rPr>
                <w:szCs w:val="21"/>
              </w:rPr>
              <w:t>1,1,1-</w:t>
            </w:r>
            <w:r>
              <w:rPr>
                <w:rFonts w:hint="eastAsia"/>
                <w:szCs w:val="21"/>
              </w:rPr>
              <w:t>三氯乙烷、</w:t>
            </w:r>
            <w:r>
              <w:rPr>
                <w:szCs w:val="21"/>
              </w:rPr>
              <w:t>1,1,2-</w:t>
            </w:r>
            <w:r>
              <w:rPr>
                <w:rFonts w:hint="eastAsia"/>
                <w:szCs w:val="21"/>
              </w:rPr>
              <w:t>三氯乙烷、三氯乙烯、</w:t>
            </w:r>
            <w:r>
              <w:rPr>
                <w:szCs w:val="21"/>
              </w:rPr>
              <w:t>1,2,3-</w:t>
            </w:r>
            <w:r>
              <w:rPr>
                <w:rFonts w:hint="eastAsia"/>
                <w:szCs w:val="21"/>
              </w:rPr>
              <w:t>三氯丙烷、氯乙烯、苯、氯苯、</w:t>
            </w:r>
            <w:r>
              <w:rPr>
                <w:szCs w:val="21"/>
              </w:rPr>
              <w:t>1,2-</w:t>
            </w:r>
            <w:r>
              <w:rPr>
                <w:rFonts w:hint="eastAsia"/>
                <w:szCs w:val="21"/>
              </w:rPr>
              <w:t>二氯苯、</w:t>
            </w:r>
            <w:r>
              <w:rPr>
                <w:szCs w:val="21"/>
              </w:rPr>
              <w:t>1,4-</w:t>
            </w:r>
            <w:r>
              <w:rPr>
                <w:rFonts w:hint="eastAsia"/>
                <w:szCs w:val="21"/>
              </w:rPr>
              <w:t>二氯苯、乙苯、苯乙烯、甲苯、间二甲苯</w:t>
            </w:r>
            <w:r>
              <w:rPr>
                <w:szCs w:val="21"/>
              </w:rPr>
              <w:t>+</w:t>
            </w:r>
            <w:r>
              <w:rPr>
                <w:rFonts w:hint="eastAsia"/>
                <w:szCs w:val="21"/>
              </w:rPr>
              <w:t>对二甲苯、邻二甲苯、硝基苯、苯胺、</w:t>
            </w:r>
            <w:r>
              <w:rPr>
                <w:szCs w:val="21"/>
              </w:rPr>
              <w:t>2-</w:t>
            </w:r>
            <w:r>
              <w:rPr>
                <w:rFonts w:hint="eastAsia"/>
                <w:szCs w:val="21"/>
              </w:rPr>
              <w:t>氯苯酚、苯并［</w:t>
            </w:r>
            <w:r>
              <w:rPr>
                <w:szCs w:val="21"/>
              </w:rPr>
              <w:t>a</w:t>
            </w:r>
            <w:r>
              <w:rPr>
                <w:rFonts w:hint="eastAsia"/>
                <w:szCs w:val="21"/>
              </w:rPr>
              <w:t>］蒽、苯并［</w:t>
            </w:r>
            <w:r>
              <w:rPr>
                <w:szCs w:val="21"/>
              </w:rPr>
              <w:t>a</w:t>
            </w:r>
            <w:r>
              <w:rPr>
                <w:rFonts w:hint="eastAsia"/>
                <w:szCs w:val="21"/>
              </w:rPr>
              <w:t>］芘、苯并［</w:t>
            </w:r>
            <w:r>
              <w:rPr>
                <w:szCs w:val="21"/>
              </w:rPr>
              <w:t>b</w:t>
            </w:r>
            <w:r>
              <w:rPr>
                <w:rFonts w:hint="eastAsia"/>
                <w:szCs w:val="21"/>
              </w:rPr>
              <w:t>］荧蒽、苯并［</w:t>
            </w:r>
            <w:r>
              <w:rPr>
                <w:szCs w:val="21"/>
              </w:rPr>
              <w:t>k</w:t>
            </w:r>
            <w:r>
              <w:rPr>
                <w:rFonts w:hint="eastAsia"/>
                <w:szCs w:val="21"/>
              </w:rPr>
              <w:t>］荧蒽、䓛、二苯并［a,h］蒽、茚并［1,2,3-cd］芘、萘、</w:t>
            </w:r>
            <w:r>
              <w:rPr>
                <w:rFonts w:hint="eastAsia" w:eastAsiaTheme="minorEastAsia"/>
                <w:bCs/>
                <w:szCs w:val="21"/>
              </w:rPr>
              <w:t>钼、硒、铊、钡、银、锡、氟化物（可溶性）、氨氮、丙酮、二硫化碳、溴氯甲烷、2-氯甲苯、4-氯甲苯、1,2,4-三氯苯、1,2,3-三氯苯、1,3-二氯丙烷、1,1,2-三氯丙烷、溴甲烷、氯乙烷、三氯氟甲烷、二溴甲烷、1,2-二溴-3-氯丙烷、二氯二氟甲烷、丙烯腈、溴苯、异丙基苯、正丙苯、叔丁基苯、仲丁基苯、正丁苯、1,3,5-三甲苯、1,2,4-三甲苯、2-丁酮、4-甲基-2-戊酮、2-己酮、甲醛、六氯乙烷、N-亚硝基二丙胺、N-亚硝基二甲胺、六氯丁二烯、4-甲基苯酚、2,4-二甲基苯酚、2,3,4,6-四氯苯酚、2-甲基苯酚、2,6-二硝基甲苯、异佛乐酮、4-氯-3-甲基苯酚、4,6-二硝基邻甲酚、偶氮苯、苯酚、2,4,5-三氯酚、4-硝基苯胺、4-氯苯胺、2-硝基苯胺、2-氯萘、苊、蒽、荧蒽、芴、芘、菲、苯并[g,h,i]苝、2-甲基萘、邻苯二甲酸二乙酯、双（2-氯乙氧基）甲烷、二苯并呋喃、二氯乙醚、毒杀芬、艾氏剂、狄氏剂、异狄氏剂、草甘膦、甲拌磷、乙拌磷、甲基对硫磷、二嗪磷、环氧七氯</w:t>
            </w:r>
          </w:p>
          <w:p>
            <w:pPr>
              <w:widowControl/>
              <w:spacing w:line="240" w:lineRule="exact"/>
              <w:rPr>
                <w:kern w:val="0"/>
                <w:szCs w:val="21"/>
              </w:rPr>
            </w:pPr>
            <w:r>
              <w:rPr>
                <w:b/>
                <w:szCs w:val="21"/>
              </w:rPr>
              <w:t>理化性质：</w:t>
            </w:r>
            <w:r>
              <w:rPr>
                <w:szCs w:val="21"/>
              </w:rPr>
              <w:t>pH、阳离子交换量、氧化还原电位、饱和导水率、土壤容重、孔隙度。</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restart"/>
            <w:shd w:val="clear" w:color="auto" w:fill="auto"/>
            <w:noWrap/>
            <w:vAlign w:val="center"/>
          </w:tcPr>
          <w:p>
            <w:pPr>
              <w:widowControl/>
              <w:spacing w:line="240" w:lineRule="exact"/>
              <w:jc w:val="center"/>
              <w:rPr>
                <w:kern w:val="0"/>
                <w:szCs w:val="21"/>
              </w:rPr>
            </w:pPr>
            <w:r>
              <w:rPr>
                <w:kern w:val="0"/>
                <w:szCs w:val="21"/>
              </w:rPr>
              <w:t>现状评价</w:t>
            </w:r>
          </w:p>
        </w:tc>
        <w:tc>
          <w:tcPr>
            <w:tcW w:w="865" w:type="pct"/>
            <w:shd w:val="clear" w:color="auto" w:fill="auto"/>
            <w:noWrap/>
            <w:vAlign w:val="center"/>
          </w:tcPr>
          <w:p>
            <w:pPr>
              <w:widowControl/>
              <w:spacing w:line="240" w:lineRule="exact"/>
              <w:jc w:val="center"/>
              <w:rPr>
                <w:kern w:val="0"/>
                <w:szCs w:val="21"/>
              </w:rPr>
            </w:pPr>
            <w:r>
              <w:rPr>
                <w:kern w:val="0"/>
                <w:szCs w:val="21"/>
              </w:rPr>
              <w:t>评价因子</w:t>
            </w:r>
          </w:p>
        </w:tc>
        <w:tc>
          <w:tcPr>
            <w:tcW w:w="3344" w:type="pct"/>
            <w:gridSpan w:val="5"/>
            <w:shd w:val="clear" w:color="auto" w:fill="auto"/>
            <w:noWrap/>
            <w:vAlign w:val="center"/>
          </w:tcPr>
          <w:p>
            <w:pPr>
              <w:spacing w:line="240" w:lineRule="exact"/>
              <w:jc w:val="center"/>
              <w:rPr>
                <w:kern w:val="0"/>
                <w:szCs w:val="21"/>
              </w:rPr>
            </w:pPr>
            <w:r>
              <w:rPr>
                <w:rFonts w:hint="eastAsia" w:eastAsiaTheme="minorEastAsia"/>
                <w:kern w:val="0"/>
                <w:szCs w:val="21"/>
              </w:rPr>
              <w:t>铅、汞、砷和六价铬</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评价标准</w:t>
            </w:r>
          </w:p>
        </w:tc>
        <w:tc>
          <w:tcPr>
            <w:tcW w:w="3344" w:type="pct"/>
            <w:gridSpan w:val="5"/>
            <w:shd w:val="clear" w:color="auto" w:fill="auto"/>
            <w:noWrap/>
            <w:vAlign w:val="center"/>
          </w:tcPr>
          <w:p>
            <w:pPr>
              <w:widowControl/>
              <w:spacing w:line="240" w:lineRule="exact"/>
              <w:jc w:val="center"/>
              <w:rPr>
                <w:kern w:val="0"/>
                <w:szCs w:val="21"/>
              </w:rPr>
            </w:pPr>
            <w:r>
              <w:rPr>
                <w:kern w:val="0"/>
                <w:szCs w:val="21"/>
              </w:rPr>
              <w:t>GB15618</w:t>
            </w:r>
            <w:r>
              <w:rPr>
                <w:rFonts w:ascii="Segoe UI Emoji" w:hAnsi="Segoe UI Emoji" w:eastAsia="MS Mincho" w:cs="Segoe UI Emoji"/>
                <w:szCs w:val="21"/>
              </w:rPr>
              <w:t>☑</w:t>
            </w:r>
            <w:r>
              <w:rPr>
                <w:kern w:val="0"/>
                <w:szCs w:val="21"/>
              </w:rPr>
              <w:t>；GB36600</w:t>
            </w:r>
            <w:r>
              <w:rPr>
                <w:rFonts w:ascii="Segoe UI Emoji" w:hAnsi="Segoe UI Emoji" w:eastAsia="MS Mincho" w:cs="Segoe UI Emoji"/>
                <w:szCs w:val="21"/>
              </w:rPr>
              <w:t>☑</w:t>
            </w:r>
            <w:r>
              <w:rPr>
                <w:kern w:val="0"/>
                <w:szCs w:val="21"/>
              </w:rPr>
              <w:t>；表D.1</w:t>
            </w:r>
            <w:r>
              <w:rPr>
                <w:szCs w:val="21"/>
              </w:rPr>
              <w:t>□</w:t>
            </w:r>
            <w:r>
              <w:rPr>
                <w:kern w:val="0"/>
                <w:szCs w:val="21"/>
              </w:rPr>
              <w:t>；表D.2</w:t>
            </w:r>
            <w:r>
              <w:rPr>
                <w:szCs w:val="21"/>
              </w:rPr>
              <w:t>□</w:t>
            </w:r>
            <w:r>
              <w:rPr>
                <w:kern w:val="0"/>
                <w:szCs w:val="21"/>
              </w:rPr>
              <w:t>；其他（  ）</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现状评价结论</w:t>
            </w:r>
          </w:p>
        </w:tc>
        <w:tc>
          <w:tcPr>
            <w:tcW w:w="3344" w:type="pct"/>
            <w:gridSpan w:val="5"/>
            <w:shd w:val="clear" w:color="auto" w:fill="auto"/>
            <w:noWrap/>
            <w:vAlign w:val="center"/>
          </w:tcPr>
          <w:p>
            <w:pPr>
              <w:widowControl/>
              <w:spacing w:line="240" w:lineRule="exact"/>
              <w:jc w:val="center"/>
              <w:rPr>
                <w:kern w:val="0"/>
                <w:szCs w:val="21"/>
              </w:rPr>
            </w:pPr>
            <w:r>
              <w:rPr>
                <w:kern w:val="0"/>
                <w:szCs w:val="21"/>
              </w:rPr>
              <w:t>各点位各监测因子均达到相应标准要求，土壤环境质量较好。</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restart"/>
            <w:shd w:val="clear" w:color="auto" w:fill="auto"/>
            <w:noWrap/>
            <w:vAlign w:val="center"/>
          </w:tcPr>
          <w:p>
            <w:pPr>
              <w:widowControl/>
              <w:spacing w:line="240" w:lineRule="exact"/>
              <w:jc w:val="center"/>
              <w:rPr>
                <w:kern w:val="0"/>
                <w:szCs w:val="21"/>
              </w:rPr>
            </w:pPr>
            <w:r>
              <w:rPr>
                <w:kern w:val="0"/>
                <w:szCs w:val="21"/>
              </w:rPr>
              <w:t>影响预测</w:t>
            </w:r>
          </w:p>
        </w:tc>
        <w:tc>
          <w:tcPr>
            <w:tcW w:w="865" w:type="pct"/>
            <w:shd w:val="clear" w:color="auto" w:fill="auto"/>
            <w:noWrap/>
            <w:vAlign w:val="center"/>
          </w:tcPr>
          <w:p>
            <w:pPr>
              <w:widowControl/>
              <w:spacing w:line="240" w:lineRule="exact"/>
              <w:jc w:val="center"/>
              <w:rPr>
                <w:kern w:val="0"/>
                <w:szCs w:val="21"/>
              </w:rPr>
            </w:pPr>
            <w:r>
              <w:rPr>
                <w:kern w:val="0"/>
                <w:szCs w:val="21"/>
              </w:rPr>
              <w:t>预测因子</w:t>
            </w:r>
          </w:p>
        </w:tc>
        <w:tc>
          <w:tcPr>
            <w:tcW w:w="3344" w:type="pct"/>
            <w:gridSpan w:val="5"/>
            <w:shd w:val="clear" w:color="auto" w:fill="auto"/>
            <w:noWrap/>
            <w:vAlign w:val="center"/>
          </w:tcPr>
          <w:p>
            <w:pPr>
              <w:widowControl/>
              <w:spacing w:line="240" w:lineRule="exact"/>
              <w:jc w:val="center"/>
              <w:rPr>
                <w:kern w:val="0"/>
                <w:szCs w:val="21"/>
              </w:rPr>
            </w:pPr>
            <w:r>
              <w:rPr>
                <w:rFonts w:hint="eastAsia"/>
                <w:kern w:val="0"/>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预测方法</w:t>
            </w:r>
          </w:p>
        </w:tc>
        <w:tc>
          <w:tcPr>
            <w:tcW w:w="3344" w:type="pct"/>
            <w:gridSpan w:val="5"/>
            <w:shd w:val="clear" w:color="auto" w:fill="auto"/>
            <w:noWrap/>
            <w:vAlign w:val="center"/>
          </w:tcPr>
          <w:p>
            <w:pPr>
              <w:widowControl/>
              <w:spacing w:line="240" w:lineRule="exact"/>
              <w:jc w:val="center"/>
              <w:rPr>
                <w:kern w:val="0"/>
                <w:szCs w:val="21"/>
              </w:rPr>
            </w:pPr>
            <w:r>
              <w:rPr>
                <w:kern w:val="0"/>
                <w:szCs w:val="21"/>
              </w:rPr>
              <w:t>附录E</w:t>
            </w:r>
            <w:r>
              <w:rPr>
                <w:rFonts w:ascii="Segoe UI Emoji" w:hAnsi="Segoe UI Emoji" w:eastAsia="MS Mincho" w:cs="Segoe UI Emoji"/>
                <w:szCs w:val="21"/>
              </w:rPr>
              <w:t>☑</w:t>
            </w:r>
            <w:r>
              <w:rPr>
                <w:kern w:val="0"/>
                <w:szCs w:val="21"/>
              </w:rPr>
              <w:t>；附录F</w:t>
            </w:r>
            <w:r>
              <w:rPr>
                <w:szCs w:val="21"/>
              </w:rPr>
              <w:t>□</w:t>
            </w:r>
            <w:r>
              <w:rPr>
                <w:kern w:val="0"/>
                <w:szCs w:val="21"/>
              </w:rPr>
              <w:t>；其他（）</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预测分析内容</w:t>
            </w:r>
          </w:p>
        </w:tc>
        <w:tc>
          <w:tcPr>
            <w:tcW w:w="3344" w:type="pct"/>
            <w:gridSpan w:val="5"/>
            <w:shd w:val="clear" w:color="auto" w:fill="auto"/>
            <w:noWrap/>
            <w:vAlign w:val="center"/>
          </w:tcPr>
          <w:p>
            <w:pPr>
              <w:widowControl/>
              <w:spacing w:line="240" w:lineRule="exact"/>
              <w:jc w:val="center"/>
              <w:rPr>
                <w:kern w:val="0"/>
                <w:szCs w:val="21"/>
              </w:rPr>
            </w:pPr>
            <w:r>
              <w:rPr>
                <w:kern w:val="0"/>
                <w:szCs w:val="21"/>
              </w:rPr>
              <w:t>影响范围（1.0km）影响程度（轻微）</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预测结论</w:t>
            </w:r>
          </w:p>
        </w:tc>
        <w:tc>
          <w:tcPr>
            <w:tcW w:w="3344" w:type="pct"/>
            <w:gridSpan w:val="5"/>
            <w:shd w:val="clear" w:color="auto" w:fill="auto"/>
            <w:vAlign w:val="center"/>
          </w:tcPr>
          <w:p>
            <w:pPr>
              <w:widowControl/>
              <w:spacing w:line="240" w:lineRule="exact"/>
              <w:jc w:val="center"/>
              <w:rPr>
                <w:kern w:val="0"/>
                <w:szCs w:val="21"/>
              </w:rPr>
            </w:pPr>
            <w:r>
              <w:rPr>
                <w:kern w:val="0"/>
                <w:szCs w:val="21"/>
              </w:rPr>
              <w:t>达标结论：a）</w:t>
            </w:r>
            <w:r>
              <w:rPr>
                <w:rFonts w:ascii="Segoe UI Emoji" w:hAnsi="Segoe UI Emoji" w:eastAsia="MS Mincho" w:cs="Segoe UI Emoji"/>
                <w:szCs w:val="21"/>
              </w:rPr>
              <w:t>☑</w:t>
            </w:r>
            <w:r>
              <w:rPr>
                <w:kern w:val="0"/>
                <w:szCs w:val="21"/>
              </w:rPr>
              <w:t>；b）</w:t>
            </w:r>
            <w:r>
              <w:rPr>
                <w:szCs w:val="21"/>
              </w:rPr>
              <w:t>□</w:t>
            </w:r>
            <w:r>
              <w:rPr>
                <w:kern w:val="0"/>
                <w:szCs w:val="21"/>
              </w:rPr>
              <w:t>；c）</w:t>
            </w:r>
            <w:r>
              <w:rPr>
                <w:szCs w:val="21"/>
              </w:rPr>
              <w:t>□</w:t>
            </w:r>
            <w:r>
              <w:rPr>
                <w:kern w:val="0"/>
                <w:szCs w:val="21"/>
              </w:rPr>
              <w:br w:type="textWrapping"/>
            </w:r>
            <w:r>
              <w:rPr>
                <w:kern w:val="0"/>
                <w:szCs w:val="21"/>
              </w:rPr>
              <w:t>不达标结论：a）</w:t>
            </w:r>
            <w:r>
              <w:rPr>
                <w:szCs w:val="21"/>
              </w:rPr>
              <w:t>□</w:t>
            </w:r>
            <w:r>
              <w:rPr>
                <w:kern w:val="0"/>
                <w:szCs w:val="21"/>
              </w:rPr>
              <w:t>；b）</w:t>
            </w:r>
            <w:r>
              <w:rPr>
                <w:szCs w:val="21"/>
              </w:rPr>
              <w:t>□</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restart"/>
            <w:shd w:val="clear" w:color="auto" w:fill="auto"/>
            <w:noWrap/>
            <w:vAlign w:val="center"/>
          </w:tcPr>
          <w:p>
            <w:pPr>
              <w:widowControl/>
              <w:spacing w:line="240" w:lineRule="exact"/>
              <w:jc w:val="center"/>
              <w:rPr>
                <w:kern w:val="0"/>
                <w:szCs w:val="21"/>
              </w:rPr>
            </w:pPr>
            <w:r>
              <w:rPr>
                <w:kern w:val="0"/>
                <w:szCs w:val="21"/>
              </w:rPr>
              <w:t>防治措施</w:t>
            </w:r>
          </w:p>
        </w:tc>
        <w:tc>
          <w:tcPr>
            <w:tcW w:w="865" w:type="pct"/>
            <w:shd w:val="clear" w:color="auto" w:fill="auto"/>
            <w:noWrap/>
            <w:vAlign w:val="center"/>
          </w:tcPr>
          <w:p>
            <w:pPr>
              <w:widowControl/>
              <w:spacing w:line="240" w:lineRule="exact"/>
              <w:jc w:val="center"/>
              <w:rPr>
                <w:kern w:val="0"/>
                <w:szCs w:val="21"/>
              </w:rPr>
            </w:pPr>
            <w:r>
              <w:rPr>
                <w:kern w:val="0"/>
                <w:szCs w:val="21"/>
              </w:rPr>
              <w:t>防控措施</w:t>
            </w:r>
          </w:p>
        </w:tc>
        <w:tc>
          <w:tcPr>
            <w:tcW w:w="3344" w:type="pct"/>
            <w:gridSpan w:val="5"/>
            <w:shd w:val="clear" w:color="auto" w:fill="auto"/>
            <w:noWrap/>
            <w:vAlign w:val="center"/>
          </w:tcPr>
          <w:p>
            <w:pPr>
              <w:widowControl/>
              <w:spacing w:line="240" w:lineRule="exact"/>
              <w:rPr>
                <w:kern w:val="0"/>
                <w:szCs w:val="21"/>
              </w:rPr>
            </w:pPr>
            <w:r>
              <w:rPr>
                <w:kern w:val="0"/>
                <w:szCs w:val="21"/>
              </w:rPr>
              <w:t>土壤环境质量现状保障</w:t>
            </w:r>
            <w:r>
              <w:rPr>
                <w:szCs w:val="21"/>
              </w:rPr>
              <w:t>□</w:t>
            </w:r>
            <w:r>
              <w:rPr>
                <w:kern w:val="0"/>
                <w:szCs w:val="21"/>
              </w:rPr>
              <w:t>；源头控制</w:t>
            </w:r>
            <w:r>
              <w:rPr>
                <w:rFonts w:ascii="Segoe UI Emoji" w:hAnsi="Segoe UI Emoji" w:eastAsia="MS Mincho" w:cs="Segoe UI Emoji"/>
                <w:szCs w:val="21"/>
              </w:rPr>
              <w:t>☑</w:t>
            </w:r>
            <w:r>
              <w:rPr>
                <w:kern w:val="0"/>
                <w:szCs w:val="21"/>
              </w:rPr>
              <w:t>；过程防控</w:t>
            </w:r>
            <w:r>
              <w:rPr>
                <w:rFonts w:ascii="Segoe UI Symbol" w:hAnsi="Segoe UI Symbol" w:eastAsia="MS Mincho" w:cs="Segoe UI Symbol"/>
                <w:szCs w:val="21"/>
              </w:rPr>
              <w:t>☑</w:t>
            </w:r>
            <w:r>
              <w:rPr>
                <w:kern w:val="0"/>
                <w:szCs w:val="21"/>
              </w:rPr>
              <w:t>；其他（  ）</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vMerge w:val="restart"/>
            <w:shd w:val="clear" w:color="auto" w:fill="auto"/>
            <w:noWrap/>
            <w:vAlign w:val="center"/>
          </w:tcPr>
          <w:p>
            <w:pPr>
              <w:widowControl/>
              <w:spacing w:line="240" w:lineRule="exact"/>
              <w:jc w:val="center"/>
              <w:rPr>
                <w:kern w:val="0"/>
                <w:szCs w:val="21"/>
              </w:rPr>
            </w:pPr>
            <w:r>
              <w:rPr>
                <w:kern w:val="0"/>
                <w:szCs w:val="21"/>
              </w:rPr>
              <w:t>跟踪监测</w:t>
            </w:r>
          </w:p>
        </w:tc>
        <w:tc>
          <w:tcPr>
            <w:tcW w:w="1518" w:type="pct"/>
            <w:gridSpan w:val="2"/>
            <w:shd w:val="clear" w:color="auto" w:fill="auto"/>
            <w:noWrap/>
            <w:vAlign w:val="center"/>
          </w:tcPr>
          <w:p>
            <w:pPr>
              <w:widowControl/>
              <w:spacing w:line="240" w:lineRule="exact"/>
              <w:jc w:val="center"/>
              <w:rPr>
                <w:kern w:val="0"/>
                <w:szCs w:val="21"/>
              </w:rPr>
            </w:pPr>
            <w:r>
              <w:rPr>
                <w:kern w:val="0"/>
                <w:szCs w:val="21"/>
              </w:rPr>
              <w:t>监测点数</w:t>
            </w:r>
          </w:p>
        </w:tc>
        <w:tc>
          <w:tcPr>
            <w:tcW w:w="1204" w:type="pct"/>
            <w:gridSpan w:val="2"/>
            <w:shd w:val="clear" w:color="auto" w:fill="auto"/>
            <w:noWrap/>
            <w:vAlign w:val="center"/>
          </w:tcPr>
          <w:p>
            <w:pPr>
              <w:widowControl/>
              <w:spacing w:line="240" w:lineRule="exact"/>
              <w:jc w:val="center"/>
              <w:rPr>
                <w:kern w:val="0"/>
                <w:szCs w:val="21"/>
              </w:rPr>
            </w:pPr>
            <w:r>
              <w:rPr>
                <w:kern w:val="0"/>
                <w:szCs w:val="21"/>
              </w:rPr>
              <w:t>监测指标</w:t>
            </w:r>
          </w:p>
        </w:tc>
        <w:tc>
          <w:tcPr>
            <w:tcW w:w="622" w:type="pct"/>
            <w:shd w:val="clear" w:color="auto" w:fill="auto"/>
            <w:noWrap/>
            <w:vAlign w:val="center"/>
          </w:tcPr>
          <w:p>
            <w:pPr>
              <w:widowControl/>
              <w:spacing w:line="240" w:lineRule="exact"/>
              <w:jc w:val="center"/>
              <w:rPr>
                <w:kern w:val="0"/>
                <w:szCs w:val="21"/>
              </w:rPr>
            </w:pPr>
            <w:r>
              <w:rPr>
                <w:kern w:val="0"/>
                <w:szCs w:val="21"/>
              </w:rPr>
              <w:t>监测频次</w:t>
            </w:r>
          </w:p>
        </w:tc>
        <w:tc>
          <w:tcPr>
            <w:tcW w:w="501" w:type="pct"/>
            <w:vMerge w:val="restar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vMerge w:val="continue"/>
            <w:vAlign w:val="center"/>
          </w:tcPr>
          <w:p>
            <w:pPr>
              <w:widowControl/>
              <w:spacing w:line="240" w:lineRule="exact"/>
              <w:jc w:val="center"/>
              <w:rPr>
                <w:kern w:val="0"/>
                <w:szCs w:val="21"/>
              </w:rPr>
            </w:pPr>
          </w:p>
        </w:tc>
        <w:tc>
          <w:tcPr>
            <w:tcW w:w="1518" w:type="pct"/>
            <w:gridSpan w:val="2"/>
            <w:shd w:val="clear" w:color="auto" w:fill="auto"/>
            <w:noWrap/>
            <w:vAlign w:val="center"/>
          </w:tcPr>
          <w:p>
            <w:pPr>
              <w:widowControl/>
              <w:spacing w:line="240" w:lineRule="exact"/>
              <w:jc w:val="center"/>
              <w:rPr>
                <w:kern w:val="0"/>
                <w:szCs w:val="21"/>
              </w:rPr>
            </w:pPr>
            <w:r>
              <w:rPr>
                <w:kern w:val="0"/>
                <w:szCs w:val="21"/>
              </w:rPr>
              <w:t>3</w:t>
            </w:r>
          </w:p>
        </w:tc>
        <w:tc>
          <w:tcPr>
            <w:tcW w:w="1204" w:type="pct"/>
            <w:gridSpan w:val="2"/>
            <w:shd w:val="clear" w:color="auto" w:fill="auto"/>
            <w:noWrap/>
            <w:vAlign w:val="center"/>
          </w:tcPr>
          <w:p>
            <w:r>
              <w:rPr>
                <w:rFonts w:hint="eastAsia"/>
              </w:rPr>
              <w:t>铅、汞、砷和六价铬</w:t>
            </w:r>
          </w:p>
        </w:tc>
        <w:tc>
          <w:tcPr>
            <w:tcW w:w="622" w:type="pct"/>
            <w:shd w:val="clear" w:color="auto" w:fill="auto"/>
            <w:noWrap/>
            <w:vAlign w:val="center"/>
          </w:tcPr>
          <w:p>
            <w:pPr>
              <w:widowControl/>
              <w:spacing w:line="240" w:lineRule="exact"/>
              <w:jc w:val="center"/>
              <w:rPr>
                <w:kern w:val="0"/>
                <w:szCs w:val="21"/>
              </w:rPr>
            </w:pPr>
            <w:r>
              <w:rPr>
                <w:kern w:val="0"/>
                <w:szCs w:val="21"/>
              </w:rPr>
              <w:t>1次/3年</w:t>
            </w:r>
          </w:p>
        </w:tc>
        <w:tc>
          <w:tcPr>
            <w:tcW w:w="501" w:type="pct"/>
            <w:vMerge w:val="continue"/>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90" w:type="pct"/>
            <w:vMerge w:val="continue"/>
            <w:vAlign w:val="center"/>
          </w:tcPr>
          <w:p>
            <w:pPr>
              <w:widowControl/>
              <w:spacing w:line="240" w:lineRule="exact"/>
              <w:jc w:val="center"/>
              <w:rPr>
                <w:kern w:val="0"/>
                <w:szCs w:val="21"/>
              </w:rPr>
            </w:pPr>
          </w:p>
        </w:tc>
        <w:tc>
          <w:tcPr>
            <w:tcW w:w="865" w:type="pct"/>
            <w:shd w:val="clear" w:color="auto" w:fill="auto"/>
            <w:noWrap/>
            <w:vAlign w:val="center"/>
          </w:tcPr>
          <w:p>
            <w:pPr>
              <w:widowControl/>
              <w:spacing w:line="240" w:lineRule="exact"/>
              <w:jc w:val="center"/>
              <w:rPr>
                <w:kern w:val="0"/>
                <w:szCs w:val="21"/>
              </w:rPr>
            </w:pPr>
            <w:r>
              <w:rPr>
                <w:kern w:val="0"/>
                <w:szCs w:val="21"/>
              </w:rPr>
              <w:t>信息公开指标</w:t>
            </w:r>
          </w:p>
        </w:tc>
        <w:tc>
          <w:tcPr>
            <w:tcW w:w="3344" w:type="pct"/>
            <w:gridSpan w:val="5"/>
            <w:shd w:val="clear" w:color="auto" w:fill="auto"/>
            <w:noWrap/>
            <w:vAlign w:val="center"/>
          </w:tcPr>
          <w:p>
            <w:pPr>
              <w:widowControl/>
              <w:spacing w:line="240" w:lineRule="exact"/>
              <w:jc w:val="center"/>
              <w:rPr>
                <w:kern w:val="0"/>
                <w:szCs w:val="21"/>
              </w:rPr>
            </w:pPr>
          </w:p>
        </w:tc>
        <w:tc>
          <w:tcPr>
            <w:tcW w:w="501" w:type="pct"/>
            <w:vMerge w:val="continue"/>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155" w:type="pct"/>
            <w:gridSpan w:val="2"/>
            <w:shd w:val="clear" w:color="auto" w:fill="auto"/>
            <w:noWrap/>
            <w:vAlign w:val="center"/>
          </w:tcPr>
          <w:p>
            <w:pPr>
              <w:widowControl/>
              <w:spacing w:line="240" w:lineRule="exact"/>
              <w:jc w:val="center"/>
              <w:rPr>
                <w:kern w:val="0"/>
                <w:szCs w:val="21"/>
              </w:rPr>
            </w:pPr>
            <w:r>
              <w:rPr>
                <w:kern w:val="0"/>
                <w:szCs w:val="21"/>
              </w:rPr>
              <w:t>评价结论</w:t>
            </w:r>
          </w:p>
        </w:tc>
        <w:tc>
          <w:tcPr>
            <w:tcW w:w="3344" w:type="pct"/>
            <w:gridSpan w:val="5"/>
            <w:shd w:val="clear" w:color="auto" w:fill="auto"/>
            <w:noWrap/>
            <w:vAlign w:val="center"/>
          </w:tcPr>
          <w:p>
            <w:pPr>
              <w:widowControl/>
              <w:spacing w:line="240" w:lineRule="exact"/>
              <w:jc w:val="center"/>
              <w:rPr>
                <w:kern w:val="0"/>
                <w:szCs w:val="21"/>
              </w:rPr>
            </w:pPr>
            <w:r>
              <w:rPr>
                <w:kern w:val="0"/>
                <w:szCs w:val="21"/>
              </w:rPr>
              <w:t>建设项目对土壤环境影响可以接受</w:t>
            </w:r>
          </w:p>
        </w:tc>
        <w:tc>
          <w:tcPr>
            <w:tcW w:w="501" w:type="pct"/>
            <w:shd w:val="clear" w:color="auto" w:fill="auto"/>
            <w:noWrap/>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000" w:type="pct"/>
            <w:gridSpan w:val="8"/>
            <w:shd w:val="clear" w:color="auto" w:fill="auto"/>
            <w:vAlign w:val="center"/>
          </w:tcPr>
          <w:p>
            <w:pPr>
              <w:widowControl/>
              <w:spacing w:line="240" w:lineRule="exact"/>
              <w:rPr>
                <w:kern w:val="0"/>
                <w:szCs w:val="21"/>
              </w:rPr>
            </w:pPr>
            <w:r>
              <w:rPr>
                <w:kern w:val="0"/>
                <w:szCs w:val="21"/>
              </w:rPr>
              <w:t>注1：“</w:t>
            </w:r>
            <w:r>
              <w:rPr>
                <w:szCs w:val="21"/>
              </w:rPr>
              <w:t>□</w:t>
            </w:r>
            <w:r>
              <w:rPr>
                <w:kern w:val="0"/>
                <w:szCs w:val="21"/>
              </w:rPr>
              <w:t>”为勾选项，可√；“（ ）”为内容填写项；“备注”为其他补充内容。</w:t>
            </w:r>
            <w:r>
              <w:rPr>
                <w:kern w:val="0"/>
                <w:szCs w:val="21"/>
              </w:rPr>
              <w:br w:type="textWrapping"/>
            </w:r>
            <w:r>
              <w:rPr>
                <w:kern w:val="0"/>
                <w:szCs w:val="21"/>
              </w:rPr>
              <w:t>注2：需要分别开展土壤环境影响评级工作的，分别填写自查表。</w:t>
            </w:r>
          </w:p>
        </w:tc>
      </w:tr>
    </w:tbl>
    <w:p>
      <w:pPr>
        <w:keepNext/>
        <w:keepLines/>
        <w:numPr>
          <w:ilvl w:val="1"/>
          <w:numId w:val="5"/>
        </w:numPr>
        <w:tabs>
          <w:tab w:val="left" w:pos="432"/>
          <w:tab w:val="left" w:pos="720"/>
          <w:tab w:val="clear" w:pos="862"/>
        </w:tabs>
        <w:adjustRightInd w:val="0"/>
        <w:snapToGrid w:val="0"/>
        <w:spacing w:before="156" w:beforeLines="50" w:line="360" w:lineRule="auto"/>
        <w:ind w:left="0" w:firstLine="0"/>
        <w:outlineLvl w:val="1"/>
        <w:rPr>
          <w:b/>
          <w:bCs/>
          <w:sz w:val="30"/>
          <w:szCs w:val="30"/>
        </w:rPr>
      </w:pPr>
      <w:bookmarkStart w:id="140" w:name="_Toc88472197"/>
      <w:bookmarkStart w:id="141" w:name="_Toc94101230"/>
      <w:r>
        <w:rPr>
          <w:rFonts w:hint="eastAsia"/>
          <w:b/>
          <w:bCs/>
          <w:sz w:val="30"/>
          <w:szCs w:val="30"/>
        </w:rPr>
        <w:t>施工、营运期</w:t>
      </w:r>
      <w:r>
        <w:rPr>
          <w:b/>
          <w:bCs/>
          <w:sz w:val="30"/>
          <w:szCs w:val="30"/>
        </w:rPr>
        <w:t>生态环境影响分析</w:t>
      </w:r>
      <w:bookmarkEnd w:id="140"/>
      <w:bookmarkEnd w:id="141"/>
    </w:p>
    <w:p>
      <w:pPr>
        <w:pStyle w:val="62"/>
        <w:numPr>
          <w:ilvl w:val="2"/>
          <w:numId w:val="5"/>
        </w:numPr>
        <w:tabs>
          <w:tab w:val="left" w:pos="567"/>
          <w:tab w:val="left" w:pos="709"/>
          <w:tab w:val="clear" w:pos="1021"/>
        </w:tabs>
        <w:spacing w:before="156" w:after="156"/>
        <w:rPr>
          <w:rFonts w:ascii="Times New Roman" w:hAnsi="Times New Roman"/>
        </w:rPr>
      </w:pPr>
      <w:bookmarkStart w:id="142" w:name="_Hlk89784491"/>
      <w:r>
        <w:rPr>
          <w:rFonts w:hint="eastAsia" w:ascii="Times New Roman" w:hAnsi="Times New Roman"/>
        </w:rPr>
        <w:t>生态环境现状调查</w:t>
      </w:r>
    </w:p>
    <w:p>
      <w:pPr>
        <w:adjustRightInd w:val="0"/>
        <w:snapToGrid w:val="0"/>
        <w:spacing w:line="360" w:lineRule="auto"/>
        <w:ind w:firstLine="482" w:firstLineChars="200"/>
        <w:rPr>
          <w:b/>
          <w:bCs/>
          <w:sz w:val="24"/>
          <w:szCs w:val="24"/>
        </w:rPr>
      </w:pPr>
      <w:r>
        <w:rPr>
          <w:rFonts w:hint="eastAsia"/>
          <w:b/>
          <w:bCs/>
          <w:sz w:val="24"/>
          <w:szCs w:val="24"/>
        </w:rPr>
        <w:t>1、生态系统类型</w:t>
      </w:r>
    </w:p>
    <w:p>
      <w:pPr>
        <w:adjustRightInd w:val="0"/>
        <w:snapToGrid w:val="0"/>
        <w:spacing w:line="360" w:lineRule="auto"/>
        <w:ind w:firstLine="480" w:firstLineChars="200"/>
        <w:rPr>
          <w:sz w:val="24"/>
          <w:szCs w:val="24"/>
        </w:rPr>
      </w:pPr>
      <w:bookmarkStart w:id="143" w:name="_Hlk80264347"/>
      <w:r>
        <w:rPr>
          <w:rFonts w:hint="eastAsia"/>
          <w:sz w:val="24"/>
          <w:szCs w:val="24"/>
        </w:rPr>
        <w:t>根据现场调查，场址区域地表沟壑纵横，起伏较大，沟壑底部基本无植被覆盖，坡顶区域为低矮林地和灌木，主要树种为山杨树、柽柳树、柠条、灌杂等。</w:t>
      </w:r>
      <w:bookmarkEnd w:id="143"/>
      <w:r>
        <w:rPr>
          <w:sz w:val="24"/>
          <w:szCs w:val="24"/>
        </w:rPr>
        <w:t>项目区域所处生态系统类型为山地生态系统，以</w:t>
      </w:r>
      <w:r>
        <w:rPr>
          <w:rFonts w:hint="eastAsia"/>
          <w:sz w:val="24"/>
          <w:szCs w:val="24"/>
        </w:rPr>
        <w:t>人工种植</w:t>
      </w:r>
      <w:r>
        <w:rPr>
          <w:sz w:val="24"/>
          <w:szCs w:val="24"/>
        </w:rPr>
        <w:t>林地</w:t>
      </w:r>
      <w:r>
        <w:rPr>
          <w:rFonts w:hint="eastAsia"/>
          <w:sz w:val="24"/>
          <w:szCs w:val="24"/>
        </w:rPr>
        <w:t>、荒草</w:t>
      </w:r>
      <w:r>
        <w:rPr>
          <w:sz w:val="24"/>
          <w:szCs w:val="24"/>
        </w:rPr>
        <w:t>地为主。</w:t>
      </w:r>
      <w:r>
        <w:rPr>
          <w:rFonts w:hint="eastAsia"/>
          <w:sz w:val="24"/>
          <w:szCs w:val="24"/>
        </w:rPr>
        <w:t>生物多样性不高，样地调查的结果表明，平均物种量在8~18种/100m</w:t>
      </w:r>
      <w:r>
        <w:rPr>
          <w:rFonts w:hint="eastAsia"/>
          <w:sz w:val="24"/>
          <w:szCs w:val="24"/>
          <w:vertAlign w:val="superscript"/>
        </w:rPr>
        <w:t>2</w:t>
      </w:r>
      <w:r>
        <w:rPr>
          <w:rFonts w:hint="eastAsia"/>
          <w:sz w:val="24"/>
          <w:szCs w:val="24"/>
        </w:rPr>
        <w:t>之间。</w:t>
      </w:r>
    </w:p>
    <w:p>
      <w:pPr>
        <w:adjustRightInd w:val="0"/>
        <w:snapToGrid w:val="0"/>
        <w:spacing w:line="360" w:lineRule="auto"/>
        <w:ind w:firstLine="480" w:firstLineChars="200"/>
        <w:rPr>
          <w:sz w:val="24"/>
          <w:szCs w:val="24"/>
        </w:rPr>
      </w:pPr>
      <w:r>
        <w:rPr>
          <w:rFonts w:hint="eastAsia"/>
          <w:sz w:val="24"/>
          <w:szCs w:val="24"/>
        </w:rPr>
        <w:t>具体见照片</w:t>
      </w:r>
      <w:r>
        <w:rPr>
          <w:sz w:val="24"/>
          <w:szCs w:val="24"/>
        </w:rPr>
        <w:t>4.3.6-1</w:t>
      </w:r>
      <w:r>
        <w:rPr>
          <w:rFonts w:hint="eastAsia"/>
          <w:sz w:val="24"/>
          <w:szCs w:val="24"/>
        </w:rPr>
        <w:t>。</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0"/>
        <w:gridCol w:w="4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45" w:type="dxa"/>
          </w:tcPr>
          <w:p>
            <w:pPr>
              <w:rPr>
                <w:kern w:val="0"/>
                <w:sz w:val="20"/>
              </w:rPr>
            </w:pPr>
            <w:r>
              <w:rPr>
                <w:kern w:val="0"/>
                <w:sz w:val="20"/>
              </w:rPr>
              <w:drawing>
                <wp:inline distT="0" distB="0" distL="0" distR="0">
                  <wp:extent cx="2560320" cy="1918970"/>
                  <wp:effectExtent l="0" t="0" r="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2569234" cy="1926153"/>
                          </a:xfrm>
                          <a:prstGeom prst="rect">
                            <a:avLst/>
                          </a:prstGeom>
                          <a:noFill/>
                          <a:ln>
                            <a:noFill/>
                          </a:ln>
                        </pic:spPr>
                      </pic:pic>
                    </a:graphicData>
                  </a:graphic>
                </wp:inline>
              </w:drawing>
            </w:r>
          </w:p>
        </w:tc>
        <w:tc>
          <w:tcPr>
            <w:tcW w:w="4277" w:type="dxa"/>
          </w:tcPr>
          <w:p>
            <w:pPr>
              <w:rPr>
                <w:kern w:val="0"/>
                <w:sz w:val="20"/>
              </w:rPr>
            </w:pPr>
            <w:r>
              <w:rPr>
                <w:kern w:val="0"/>
                <w:sz w:val="20"/>
              </w:rPr>
              <w:drawing>
                <wp:inline distT="0" distB="0" distL="0" distR="0">
                  <wp:extent cx="2552700" cy="191389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2554424" cy="1915049"/>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45" w:type="dxa"/>
          </w:tcPr>
          <w:p>
            <w:pPr>
              <w:rPr>
                <w:kern w:val="0"/>
                <w:sz w:val="20"/>
              </w:rPr>
            </w:pPr>
            <w:r>
              <w:rPr>
                <w:kern w:val="0"/>
                <w:sz w:val="20"/>
              </w:rPr>
              <w:drawing>
                <wp:inline distT="0" distB="0" distL="0" distR="0">
                  <wp:extent cx="2778760" cy="208280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2783023" cy="2086430"/>
                          </a:xfrm>
                          <a:prstGeom prst="rect">
                            <a:avLst/>
                          </a:prstGeom>
                          <a:noFill/>
                          <a:ln>
                            <a:noFill/>
                          </a:ln>
                        </pic:spPr>
                      </pic:pic>
                    </a:graphicData>
                  </a:graphic>
                </wp:inline>
              </w:drawing>
            </w:r>
          </w:p>
        </w:tc>
        <w:tc>
          <w:tcPr>
            <w:tcW w:w="4277" w:type="dxa"/>
          </w:tcPr>
          <w:p>
            <w:pPr>
              <w:rPr>
                <w:kern w:val="0"/>
                <w:sz w:val="20"/>
              </w:rPr>
            </w:pPr>
            <w:r>
              <w:rPr>
                <w:kern w:val="0"/>
                <w:sz w:val="20"/>
              </w:rPr>
              <w:drawing>
                <wp:inline distT="0" distB="0" distL="0" distR="0">
                  <wp:extent cx="2714625" cy="2034540"/>
                  <wp:effectExtent l="0" t="0" r="0" b="3810"/>
                  <wp:docPr id="1425" name="图片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2735151" cy="2050541"/>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5" w:type="dxa"/>
          </w:tcPr>
          <w:p>
            <w:pPr>
              <w:rPr>
                <w:kern w:val="0"/>
                <w:sz w:val="20"/>
              </w:rPr>
            </w:pPr>
            <w:r>
              <w:rPr>
                <w:kern w:val="0"/>
                <w:sz w:val="20"/>
              </w:rPr>
              <w:drawing>
                <wp:inline distT="0" distB="0" distL="0" distR="0">
                  <wp:extent cx="2560320" cy="1864360"/>
                  <wp:effectExtent l="0" t="0" r="0"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2576177" cy="1876058"/>
                          </a:xfrm>
                          <a:prstGeom prst="rect">
                            <a:avLst/>
                          </a:prstGeom>
                          <a:noFill/>
                          <a:ln>
                            <a:noFill/>
                          </a:ln>
                        </pic:spPr>
                      </pic:pic>
                    </a:graphicData>
                  </a:graphic>
                </wp:inline>
              </w:drawing>
            </w:r>
          </w:p>
        </w:tc>
        <w:tc>
          <w:tcPr>
            <w:tcW w:w="4277" w:type="dxa"/>
          </w:tcPr>
          <w:p>
            <w:pPr>
              <w:rPr>
                <w:kern w:val="0"/>
                <w:sz w:val="20"/>
              </w:rPr>
            </w:pPr>
            <w:r>
              <w:rPr>
                <w:kern w:val="0"/>
                <w:sz w:val="20"/>
              </w:rPr>
              <w:drawing>
                <wp:inline distT="0" distB="0" distL="0" distR="0">
                  <wp:extent cx="2595245" cy="184912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618300" cy="1865547"/>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jc w:val="center"/>
              <w:rPr>
                <w:b/>
                <w:bCs/>
                <w:kern w:val="0"/>
                <w:sz w:val="20"/>
              </w:rPr>
            </w:pPr>
            <w:r>
              <w:rPr>
                <w:rFonts w:hint="eastAsia"/>
                <w:b/>
                <w:bCs/>
                <w:kern w:val="0"/>
                <w:sz w:val="20"/>
              </w:rPr>
              <w:t>图4</w:t>
            </w:r>
            <w:r>
              <w:rPr>
                <w:b/>
                <w:bCs/>
                <w:kern w:val="0"/>
                <w:sz w:val="20"/>
              </w:rPr>
              <w:t xml:space="preserve">.3.6-1   </w:t>
            </w:r>
            <w:r>
              <w:rPr>
                <w:rFonts w:hint="eastAsia"/>
                <w:b/>
                <w:bCs/>
                <w:kern w:val="0"/>
                <w:sz w:val="20"/>
              </w:rPr>
              <w:t>本项目现场照片</w:t>
            </w:r>
          </w:p>
        </w:tc>
      </w:tr>
    </w:tbl>
    <w:p>
      <w:pPr>
        <w:adjustRightInd w:val="0"/>
        <w:snapToGrid w:val="0"/>
        <w:spacing w:line="360" w:lineRule="auto"/>
        <w:ind w:firstLine="482" w:firstLineChars="200"/>
        <w:rPr>
          <w:b/>
          <w:bCs/>
          <w:sz w:val="24"/>
          <w:szCs w:val="24"/>
        </w:rPr>
      </w:pPr>
      <w:r>
        <w:rPr>
          <w:rFonts w:hint="eastAsia"/>
          <w:b/>
          <w:bCs/>
          <w:sz w:val="24"/>
          <w:szCs w:val="24"/>
        </w:rPr>
        <w:t>2、土地利用现状</w:t>
      </w:r>
    </w:p>
    <w:p>
      <w:pPr>
        <w:adjustRightInd w:val="0"/>
        <w:snapToGrid w:val="0"/>
        <w:spacing w:line="360" w:lineRule="auto"/>
        <w:ind w:firstLine="480" w:firstLineChars="200"/>
        <w:rPr>
          <w:bCs/>
          <w:sz w:val="24"/>
          <w:szCs w:val="24"/>
        </w:rPr>
      </w:pPr>
      <w:r>
        <w:rPr>
          <w:sz w:val="24"/>
          <w:szCs w:val="24"/>
        </w:rPr>
        <w:t>调查区面积为47.21hm</w:t>
      </w:r>
      <w:r>
        <w:rPr>
          <w:sz w:val="24"/>
          <w:szCs w:val="24"/>
          <w:vertAlign w:val="superscript"/>
        </w:rPr>
        <w:t>2</w:t>
      </w:r>
      <w:r>
        <w:rPr>
          <w:sz w:val="24"/>
          <w:szCs w:val="24"/>
        </w:rPr>
        <w:t>，通过遥感影像解译，林草地13.22hm</w:t>
      </w:r>
      <w:r>
        <w:rPr>
          <w:sz w:val="24"/>
          <w:szCs w:val="24"/>
          <w:vertAlign w:val="superscript"/>
        </w:rPr>
        <w:t>2</w:t>
      </w:r>
      <w:r>
        <w:rPr>
          <w:sz w:val="24"/>
          <w:szCs w:val="24"/>
        </w:rPr>
        <w:t>，无植被用地 33.99hm</w:t>
      </w:r>
      <w:r>
        <w:rPr>
          <w:sz w:val="24"/>
          <w:szCs w:val="24"/>
          <w:vertAlign w:val="superscript"/>
        </w:rPr>
        <w:t>2</w:t>
      </w:r>
      <w:r>
        <w:rPr>
          <w:sz w:val="24"/>
          <w:szCs w:val="24"/>
        </w:rPr>
        <w:t>。从整个调查区的土地分布情况看，调查区域主要土地利用类型为草地、林地，其次为荒地和道路。</w:t>
      </w:r>
      <w:r>
        <w:rPr>
          <w:rFonts w:hint="eastAsia"/>
          <w:bCs/>
          <w:sz w:val="24"/>
          <w:szCs w:val="24"/>
        </w:rPr>
        <w:t>地表沟壑纵横，起伏较大；流域内土壤主要为褐土、风沙土，土性疏松，抗蚀能力较差，易风化。</w:t>
      </w:r>
    </w:p>
    <w:p>
      <w:pPr>
        <w:adjustRightInd w:val="0"/>
        <w:snapToGrid w:val="0"/>
        <w:spacing w:line="360" w:lineRule="auto"/>
        <w:ind w:firstLine="480" w:firstLineChars="200"/>
        <w:rPr>
          <w:bCs/>
          <w:sz w:val="24"/>
          <w:szCs w:val="24"/>
        </w:rPr>
      </w:pPr>
      <w:r>
        <w:rPr>
          <w:rFonts w:hint="eastAsia"/>
          <w:bCs/>
          <w:sz w:val="24"/>
          <w:szCs w:val="24"/>
        </w:rPr>
        <w:t>土地利用现状见图5</w:t>
      </w:r>
      <w:r>
        <w:rPr>
          <w:bCs/>
          <w:sz w:val="24"/>
          <w:szCs w:val="24"/>
        </w:rPr>
        <w:t>.8-2</w:t>
      </w:r>
      <w:r>
        <w:rPr>
          <w:rFonts w:hint="eastAsia"/>
          <w:bCs/>
          <w:sz w:val="24"/>
          <w:szCs w:val="24"/>
        </w:rPr>
        <w:t>。</w:t>
      </w:r>
    </w:p>
    <w:p>
      <w:pPr>
        <w:adjustRightInd w:val="0"/>
        <w:snapToGrid w:val="0"/>
        <w:spacing w:line="360" w:lineRule="auto"/>
        <w:jc w:val="center"/>
        <w:rPr>
          <w:bCs/>
          <w:sz w:val="24"/>
          <w:szCs w:val="24"/>
        </w:rPr>
      </w:pPr>
      <w:r>
        <w:drawing>
          <wp:inline distT="0" distB="0" distL="0" distR="0">
            <wp:extent cx="4627880" cy="3164840"/>
            <wp:effectExtent l="0" t="0" r="1270" b="0"/>
            <wp:docPr id="1464" name="图片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图片 146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4627880" cy="3164840"/>
                    </a:xfrm>
                    <a:prstGeom prst="rect">
                      <a:avLst/>
                    </a:prstGeom>
                    <a:noFill/>
                    <a:ln>
                      <a:noFill/>
                    </a:ln>
                  </pic:spPr>
                </pic:pic>
              </a:graphicData>
            </a:graphic>
          </wp:inline>
        </w:drawing>
      </w:r>
    </w:p>
    <w:p>
      <w:pPr>
        <w:adjustRightInd w:val="0"/>
        <w:snapToGrid w:val="0"/>
        <w:spacing w:line="360" w:lineRule="auto"/>
        <w:jc w:val="center"/>
        <w:rPr>
          <w:b/>
          <w:bCs/>
          <w:sz w:val="24"/>
          <w:szCs w:val="24"/>
        </w:rPr>
      </w:pPr>
      <w:r>
        <w:rPr>
          <w:rFonts w:hint="eastAsia"/>
          <w:b/>
          <w:bCs/>
          <w:sz w:val="24"/>
          <w:szCs w:val="24"/>
        </w:rPr>
        <w:t>图5.8-2   土地利用现状图</w:t>
      </w:r>
    </w:p>
    <w:p>
      <w:pPr>
        <w:adjustRightInd w:val="0"/>
        <w:snapToGrid w:val="0"/>
        <w:spacing w:line="360" w:lineRule="auto"/>
        <w:ind w:firstLine="482" w:firstLineChars="200"/>
        <w:rPr>
          <w:b/>
          <w:bCs/>
          <w:sz w:val="24"/>
          <w:szCs w:val="24"/>
        </w:rPr>
      </w:pPr>
      <w:r>
        <w:rPr>
          <w:rFonts w:hint="eastAsia"/>
          <w:b/>
          <w:bCs/>
          <w:sz w:val="24"/>
          <w:szCs w:val="24"/>
        </w:rPr>
        <w:t>3、动、植物现状调查</w:t>
      </w:r>
    </w:p>
    <w:p>
      <w:pPr>
        <w:adjustRightInd w:val="0"/>
        <w:snapToGrid w:val="0"/>
        <w:spacing w:line="360" w:lineRule="auto"/>
        <w:ind w:firstLine="480" w:firstLineChars="200"/>
        <w:rPr>
          <w:sz w:val="24"/>
          <w:szCs w:val="24"/>
        </w:rPr>
      </w:pPr>
      <w:r>
        <w:rPr>
          <w:rFonts w:hint="eastAsia"/>
          <w:sz w:val="24"/>
          <w:szCs w:val="24"/>
        </w:rPr>
        <w:t>根据现场调查，调查区域地表沟壑纵横，起伏较大，沟壑底部基本无植被覆盖，坡顶区域为低矮林地和灌木，主要树种为山杨树、柽柳树、柠条、灌杂等，草本植被有茜草、兔丝子、蒿草、狗尾草等。</w:t>
      </w:r>
    </w:p>
    <w:p>
      <w:pPr>
        <w:adjustRightInd w:val="0"/>
        <w:snapToGrid w:val="0"/>
        <w:spacing w:line="360" w:lineRule="auto"/>
        <w:ind w:firstLine="480" w:firstLineChars="200"/>
        <w:rPr>
          <w:sz w:val="24"/>
          <w:szCs w:val="24"/>
        </w:rPr>
      </w:pPr>
      <w:r>
        <w:rPr>
          <w:sz w:val="24"/>
          <w:szCs w:val="24"/>
        </w:rPr>
        <w:t>项目所在区域为山地区域，人类开发活动显著，经现场踏勘，项目所在区域已无大型野生动物活动，无国家和地方保护的珍稀濒危野生动物天然集中分布区，动物种类以小型野生动物，主要为田鼠、野兔等小型动物：鸟类有麻雀、</w:t>
      </w:r>
      <w:r>
        <w:rPr>
          <w:rFonts w:hint="eastAsia"/>
          <w:sz w:val="24"/>
          <w:szCs w:val="24"/>
        </w:rPr>
        <w:t>乌鸦、</w:t>
      </w:r>
      <w:r>
        <w:rPr>
          <w:sz w:val="24"/>
          <w:szCs w:val="24"/>
        </w:rPr>
        <w:t>燕子等。</w:t>
      </w:r>
    </w:p>
    <w:p>
      <w:pPr>
        <w:adjustRightInd w:val="0"/>
        <w:snapToGrid w:val="0"/>
        <w:spacing w:line="360" w:lineRule="auto"/>
        <w:jc w:val="center"/>
        <w:rPr>
          <w:sz w:val="24"/>
          <w:szCs w:val="24"/>
        </w:rPr>
      </w:pPr>
      <w:r>
        <w:drawing>
          <wp:inline distT="0" distB="0" distL="0" distR="0">
            <wp:extent cx="4643755" cy="3713480"/>
            <wp:effectExtent l="0" t="0" r="4445" b="1270"/>
            <wp:docPr id="1432" name="图片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43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4643755" cy="3713480"/>
                    </a:xfrm>
                    <a:prstGeom prst="rect">
                      <a:avLst/>
                    </a:prstGeom>
                    <a:noFill/>
                    <a:ln>
                      <a:noFill/>
                    </a:ln>
                  </pic:spPr>
                </pic:pic>
              </a:graphicData>
            </a:graphic>
          </wp:inline>
        </w:drawing>
      </w:r>
    </w:p>
    <w:p>
      <w:pPr>
        <w:adjustRightInd w:val="0"/>
        <w:snapToGrid w:val="0"/>
        <w:spacing w:line="360" w:lineRule="auto"/>
        <w:jc w:val="center"/>
        <w:rPr>
          <w:b/>
          <w:sz w:val="24"/>
          <w:szCs w:val="24"/>
        </w:rPr>
      </w:pPr>
      <w:r>
        <w:rPr>
          <w:rFonts w:hint="eastAsia"/>
          <w:b/>
          <w:sz w:val="24"/>
          <w:szCs w:val="24"/>
        </w:rPr>
        <w:t>图5.8-3  项目区域植被类型图</w:t>
      </w:r>
    </w:p>
    <w:p>
      <w:pPr>
        <w:pStyle w:val="62"/>
        <w:numPr>
          <w:ilvl w:val="2"/>
          <w:numId w:val="5"/>
        </w:numPr>
        <w:tabs>
          <w:tab w:val="left" w:pos="567"/>
          <w:tab w:val="clear" w:pos="1163"/>
        </w:tabs>
        <w:spacing w:before="156" w:after="156"/>
        <w:ind w:left="1021"/>
        <w:rPr>
          <w:rFonts w:ascii="Times New Roman" w:hAnsi="Times New Roman"/>
        </w:rPr>
      </w:pPr>
      <w:r>
        <w:rPr>
          <w:rFonts w:ascii="Times New Roman" w:hAnsi="Times New Roman"/>
        </w:rPr>
        <w:t>施工期生态影响分析</w:t>
      </w:r>
    </w:p>
    <w:p>
      <w:pPr>
        <w:adjustRightInd w:val="0"/>
        <w:snapToGrid w:val="0"/>
        <w:spacing w:line="360" w:lineRule="auto"/>
        <w:ind w:firstLine="480" w:firstLineChars="200"/>
        <w:rPr>
          <w:sz w:val="24"/>
        </w:rPr>
      </w:pPr>
      <w:r>
        <w:rPr>
          <w:rFonts w:hint="eastAsia"/>
          <w:sz w:val="24"/>
        </w:rPr>
        <w:t>1、施工期占地影响分析</w:t>
      </w:r>
    </w:p>
    <w:p>
      <w:pPr>
        <w:adjustRightInd w:val="0"/>
        <w:snapToGrid w:val="0"/>
        <w:spacing w:line="360" w:lineRule="auto"/>
        <w:ind w:firstLine="480" w:firstLineChars="200"/>
        <w:rPr>
          <w:sz w:val="24"/>
        </w:rPr>
      </w:pPr>
      <w:r>
        <w:rPr>
          <w:rFonts w:hint="eastAsia"/>
          <w:sz w:val="24"/>
        </w:rPr>
        <w:t>（1）土地利用变更影响</w:t>
      </w:r>
    </w:p>
    <w:p>
      <w:pPr>
        <w:adjustRightInd w:val="0"/>
        <w:snapToGrid w:val="0"/>
        <w:spacing w:line="360" w:lineRule="auto"/>
        <w:ind w:firstLine="480" w:firstLineChars="200"/>
        <w:rPr>
          <w:sz w:val="24"/>
        </w:rPr>
      </w:pPr>
      <w:r>
        <w:rPr>
          <w:rFonts w:hint="eastAsia"/>
          <w:sz w:val="24"/>
        </w:rPr>
        <w:t>根据调查，区域地表沟壑纵横，起伏较大，沟壑底部基本无植被覆盖，坡顶区域为低矮林地和灌木，用地现状为沟壑和林地。项目占用土地将随着项目建设而改变原有的功能，成为城市基础设施建设用地，土地使用功能将发生不可逆的转变。项目不涉及保护区或保护用地，因此，项目建设不会明显造成人地矛盾的加剧，对土地利用及其资源容量的不利影响较小。</w:t>
      </w:r>
    </w:p>
    <w:p>
      <w:pPr>
        <w:adjustRightInd w:val="0"/>
        <w:snapToGrid w:val="0"/>
        <w:spacing w:line="360" w:lineRule="auto"/>
        <w:ind w:firstLine="480" w:firstLineChars="200"/>
        <w:rPr>
          <w:sz w:val="24"/>
        </w:rPr>
      </w:pPr>
      <w:r>
        <w:rPr>
          <w:rFonts w:hint="eastAsia"/>
          <w:sz w:val="24"/>
        </w:rPr>
        <w:t>（2）对生物多样性的影响</w:t>
      </w:r>
    </w:p>
    <w:p>
      <w:pPr>
        <w:adjustRightInd w:val="0"/>
        <w:snapToGrid w:val="0"/>
        <w:spacing w:line="360" w:lineRule="auto"/>
        <w:ind w:firstLine="480" w:firstLineChars="200"/>
        <w:rPr>
          <w:sz w:val="24"/>
        </w:rPr>
      </w:pPr>
      <w:r>
        <w:rPr>
          <w:rFonts w:hint="eastAsia"/>
          <w:sz w:val="24"/>
        </w:rPr>
        <w:t>本项目用地范围内地表沟壑纵横，起伏较大，沟壑底部基本无植被覆盖，坡顶区域为低矮林地和灌木，主要树种为山杨树、柽柳树、柠条、灌杂等，均是常见的种类，</w:t>
      </w:r>
      <w:r>
        <w:rPr>
          <w:sz w:val="24"/>
        </w:rPr>
        <w:t>评价范围内无珍稀野生动植物和国家级保护动植物</w:t>
      </w:r>
      <w:r>
        <w:rPr>
          <w:rFonts w:hint="eastAsia"/>
          <w:sz w:val="24"/>
        </w:rPr>
        <w:t>分布，项目区生态环境简单。</w:t>
      </w:r>
    </w:p>
    <w:p>
      <w:pPr>
        <w:adjustRightInd w:val="0"/>
        <w:snapToGrid w:val="0"/>
        <w:spacing w:line="360" w:lineRule="auto"/>
        <w:ind w:firstLine="480" w:firstLineChars="200"/>
        <w:rPr>
          <w:sz w:val="24"/>
        </w:rPr>
      </w:pPr>
      <w:r>
        <w:rPr>
          <w:sz w:val="24"/>
        </w:rPr>
        <w:t>本项目施工期间，</w:t>
      </w:r>
      <w:r>
        <w:rPr>
          <w:rFonts w:hint="eastAsia"/>
          <w:sz w:val="24"/>
        </w:rPr>
        <w:t>填埋</w:t>
      </w:r>
      <w:r>
        <w:rPr>
          <w:sz w:val="24"/>
        </w:rPr>
        <w:t>场地平整、施工材料运输、建（构）筑物建设、道路路基及房屋地基开挖、填筑等将造成一定程度的植被破坏、地面裸露、表土破损等。为了尽可能减少占地、降低生态影响，本项目将临时施工生产生活区和临时堆土场区布设在项目区内绿化用地处，不再另征占地，可减少扰动地表面积，减轻了工程建设过程中对水土资源及植被的破坏。施工结束后通过临时用地恢复、分隔带及两侧绿化将加倍补偿施工造成的植被破坏，</w:t>
      </w:r>
      <w:r>
        <w:rPr>
          <w:rFonts w:hint="eastAsia"/>
          <w:sz w:val="24"/>
        </w:rPr>
        <w:t>因此，本项目施工期建设对区域生物多样性影响较小，</w:t>
      </w:r>
      <w:r>
        <w:rPr>
          <w:sz w:val="24"/>
        </w:rPr>
        <w:t>施工结束后影响将消失。</w:t>
      </w:r>
    </w:p>
    <w:p>
      <w:pPr>
        <w:adjustRightInd w:val="0"/>
        <w:snapToGrid w:val="0"/>
        <w:spacing w:line="360" w:lineRule="auto"/>
        <w:ind w:firstLine="480" w:firstLineChars="200"/>
        <w:rPr>
          <w:sz w:val="24"/>
        </w:rPr>
      </w:pPr>
      <w:r>
        <w:rPr>
          <w:rFonts w:hint="eastAsia"/>
          <w:sz w:val="24"/>
        </w:rPr>
        <w:t>（3）用地土壤性质的改变</w:t>
      </w:r>
    </w:p>
    <w:p>
      <w:pPr>
        <w:adjustRightInd w:val="0"/>
        <w:snapToGrid w:val="0"/>
        <w:spacing w:line="360" w:lineRule="auto"/>
        <w:ind w:firstLine="480" w:firstLineChars="200"/>
        <w:rPr>
          <w:sz w:val="24"/>
        </w:rPr>
      </w:pPr>
      <w:r>
        <w:rPr>
          <w:rFonts w:hint="eastAsia"/>
          <w:sz w:val="24"/>
        </w:rPr>
        <w:t>本项目填埋物以无机物为主，其入场后会产生一定的地热，局地气温升高，使得周边土壤发生一定程度的升温，从而改变土壤的理化性质，改变土壤中原有的微生物群落结构。项目建成后可以通过绿化缓解这些矛盾。</w:t>
      </w:r>
    </w:p>
    <w:p>
      <w:pPr>
        <w:adjustRightInd w:val="0"/>
        <w:snapToGrid w:val="0"/>
        <w:spacing w:line="360" w:lineRule="auto"/>
        <w:ind w:firstLine="482" w:firstLineChars="200"/>
        <w:rPr>
          <w:sz w:val="24"/>
        </w:rPr>
      </w:pPr>
      <w:r>
        <w:rPr>
          <w:b/>
          <w:bCs/>
          <w:sz w:val="24"/>
        </w:rPr>
        <w:t>2</w:t>
      </w:r>
      <w:r>
        <w:rPr>
          <w:rFonts w:hint="eastAsia"/>
          <w:b/>
          <w:bCs/>
          <w:sz w:val="24"/>
        </w:rPr>
        <w:t>、施工期水土流失影响分析</w:t>
      </w:r>
    </w:p>
    <w:p>
      <w:pPr>
        <w:adjustRightInd w:val="0"/>
        <w:snapToGrid w:val="0"/>
        <w:spacing w:line="360" w:lineRule="auto"/>
        <w:ind w:firstLine="480" w:firstLineChars="200"/>
        <w:rPr>
          <w:sz w:val="24"/>
        </w:rPr>
      </w:pPr>
      <w:r>
        <w:rPr>
          <w:rFonts w:hint="eastAsia"/>
          <w:sz w:val="24"/>
        </w:rPr>
        <w:t>（1）工程建设过程中，占用土地，扰动地表，损坏原有土层结构和地表植被，使其原有的水土保持功能降低或丧失，在短期内难以恢复到原有水平；另一方面在施工中挖填形成的裸露坡面、松散的表土临时堆放，极易造成水土流失，使项目区土壤侵蚀模数远远超过容许范围，从而加剧原有的水土流失，在采取水土保持措施前提下对区域生态环境影响较小。</w:t>
      </w:r>
    </w:p>
    <w:p>
      <w:pPr>
        <w:adjustRightInd w:val="0"/>
        <w:snapToGrid w:val="0"/>
        <w:spacing w:line="360" w:lineRule="auto"/>
        <w:ind w:firstLine="480" w:firstLineChars="200"/>
        <w:rPr>
          <w:sz w:val="24"/>
        </w:rPr>
      </w:pPr>
      <w:r>
        <w:rPr>
          <w:rFonts w:hint="eastAsia"/>
          <w:sz w:val="24"/>
        </w:rPr>
        <w:t>（2）对项目本身工程可能造成的危害：由于降雨地表径流的作用，基坑开挖形成的坡面以及地质条件较差的地段，在施工期间及运行期，如果防护措施不到位，则潜在着崩塌、滑坡等</w:t>
      </w:r>
      <w:r>
        <w:rPr>
          <w:rFonts w:hint="eastAsia"/>
          <w:sz w:val="24"/>
          <w:lang w:eastAsia="zh-CN"/>
        </w:rPr>
        <w:t>安全隐患</w:t>
      </w:r>
      <w:r>
        <w:rPr>
          <w:rFonts w:hint="eastAsia"/>
          <w:sz w:val="24"/>
        </w:rPr>
        <w:t>。一旦发生，将影响场地出让操作运行，给工程本身带来经济损失。</w:t>
      </w:r>
    </w:p>
    <w:bookmarkEnd w:id="142"/>
    <w:p>
      <w:pPr>
        <w:pStyle w:val="62"/>
        <w:numPr>
          <w:ilvl w:val="2"/>
          <w:numId w:val="5"/>
        </w:numPr>
        <w:tabs>
          <w:tab w:val="left" w:pos="567"/>
          <w:tab w:val="clear" w:pos="1163"/>
        </w:tabs>
        <w:spacing w:before="156" w:after="156"/>
        <w:ind w:left="0" w:firstLine="0"/>
        <w:rPr>
          <w:rFonts w:ascii="Times New Roman" w:hAnsi="Times New Roman"/>
        </w:rPr>
      </w:pPr>
      <w:r>
        <w:rPr>
          <w:rFonts w:hint="eastAsia" w:ascii="Times New Roman" w:hAnsi="Times New Roman"/>
        </w:rPr>
        <w:t>营运期对生态系统完整性影响分析</w:t>
      </w:r>
    </w:p>
    <w:p>
      <w:pPr>
        <w:spacing w:line="360" w:lineRule="auto"/>
        <w:ind w:firstLine="436" w:firstLineChars="182"/>
        <w:rPr>
          <w:sz w:val="24"/>
          <w:szCs w:val="24"/>
        </w:rPr>
      </w:pPr>
      <w:r>
        <w:rPr>
          <w:rFonts w:hint="eastAsia"/>
          <w:sz w:val="24"/>
          <w:szCs w:val="24"/>
        </w:rPr>
        <w:t>本项目建成后，占用一定的土地，使区域土地利用格局发生一定的变化，原有用地变为建设用地，是一种单向的、不可逆的过程。随着项目的建设实施将改变原有自然风貌，会对区域内的景观风貌产生影响。</w:t>
      </w:r>
    </w:p>
    <w:p>
      <w:pPr>
        <w:spacing w:line="360" w:lineRule="auto"/>
        <w:ind w:firstLine="436" w:firstLineChars="182"/>
        <w:rPr>
          <w:sz w:val="24"/>
          <w:szCs w:val="24"/>
        </w:rPr>
      </w:pPr>
      <w:r>
        <w:rPr>
          <w:rFonts w:hint="eastAsia"/>
          <w:sz w:val="24"/>
          <w:szCs w:val="24"/>
        </w:rPr>
        <w:t>项目拟建地原为围场县龙头山镇龙头山村集体林地，属于以人工植被为主的生态系统，生物多样性不高，本项目用地缩小了一些野生动物的栖息地，使得原来林地生态系统中动物不得不往周围适宜生存的地域迁移，总体上来说，项目拟建区域没有珍稀保护动物，项目建设占地较小，不会对动物物种多样性造成大的影响。</w:t>
      </w:r>
    </w:p>
    <w:p>
      <w:pPr>
        <w:spacing w:line="360" w:lineRule="auto"/>
        <w:ind w:firstLine="436" w:firstLineChars="182"/>
        <w:rPr>
          <w:sz w:val="24"/>
          <w:szCs w:val="24"/>
        </w:rPr>
      </w:pPr>
      <w:r>
        <w:rPr>
          <w:sz w:val="24"/>
          <w:szCs w:val="24"/>
        </w:rPr>
        <w:t>本项目的建设会造成</w:t>
      </w:r>
      <w:r>
        <w:rPr>
          <w:rFonts w:hint="eastAsia"/>
          <w:sz w:val="24"/>
          <w:szCs w:val="24"/>
        </w:rPr>
        <w:t>场</w:t>
      </w:r>
      <w:r>
        <w:rPr>
          <w:sz w:val="24"/>
          <w:szCs w:val="24"/>
        </w:rPr>
        <w:t>址内部分生物量的损失</w:t>
      </w:r>
      <w:r>
        <w:rPr>
          <w:rFonts w:hint="eastAsia"/>
          <w:sz w:val="24"/>
          <w:szCs w:val="24"/>
        </w:rPr>
        <w:t>，但填埋过程及封场后，通过对填埋场内部及周边区域进行造林绿化，增加新的景观风貌，能在一定程度上改善项目填埋场区域原有景观风貌产生的负面影响。本项目典型生态保护措施平面布置示意图见图5</w:t>
      </w:r>
      <w:r>
        <w:rPr>
          <w:sz w:val="24"/>
          <w:szCs w:val="24"/>
        </w:rPr>
        <w:t>.8-3</w:t>
      </w:r>
      <w:r>
        <w:rPr>
          <w:rFonts w:hint="eastAsia"/>
          <w:sz w:val="24"/>
          <w:szCs w:val="24"/>
        </w:rPr>
        <w:t>。</w:t>
      </w:r>
    </w:p>
    <w:p>
      <w:pPr>
        <w:spacing w:line="360" w:lineRule="auto"/>
        <w:ind w:firstLine="436" w:firstLineChars="182"/>
        <w:rPr>
          <w:sz w:val="24"/>
          <w:szCs w:val="24"/>
        </w:rPr>
      </w:pPr>
      <w:r>
        <w:rPr>
          <w:rFonts w:hint="eastAsia"/>
          <w:sz w:val="24"/>
          <w:szCs w:val="24"/>
        </w:rPr>
        <w:t>填埋场封场后，林草植被恢复系数</w:t>
      </w:r>
      <w:r>
        <w:rPr>
          <w:sz w:val="24"/>
          <w:szCs w:val="24"/>
        </w:rPr>
        <w:t>96.1%</w:t>
      </w:r>
      <w:r>
        <w:rPr>
          <w:rFonts w:hint="eastAsia"/>
          <w:sz w:val="24"/>
          <w:szCs w:val="24"/>
        </w:rPr>
        <w:t>，林草植被覆盖率近期达到达</w:t>
      </w:r>
      <w:r>
        <w:rPr>
          <w:sz w:val="24"/>
          <w:szCs w:val="24"/>
        </w:rPr>
        <w:t>95%</w:t>
      </w:r>
      <w:r>
        <w:rPr>
          <w:rFonts w:hint="eastAsia"/>
          <w:sz w:val="24"/>
          <w:szCs w:val="24"/>
        </w:rPr>
        <w:t>以上，能减少工程施工期的水土流失量，改善和提高工程区域的生态环境质量。</w:t>
      </w:r>
    </w:p>
    <w:p>
      <w:pPr>
        <w:spacing w:line="360" w:lineRule="auto"/>
        <w:ind w:firstLine="436" w:firstLineChars="182"/>
        <w:rPr>
          <w:sz w:val="24"/>
          <w:szCs w:val="24"/>
        </w:rPr>
      </w:pPr>
    </w:p>
    <w:p>
      <w:pPr>
        <w:spacing w:line="360" w:lineRule="auto"/>
        <w:ind w:firstLine="436" w:firstLineChars="182"/>
        <w:rPr>
          <w:sz w:val="24"/>
          <w:szCs w:val="24"/>
        </w:rPr>
        <w:sectPr>
          <w:headerReference r:id="rId23" w:type="default"/>
          <w:footerReference r:id="rId24" w:type="default"/>
          <w:footerReference r:id="rId25" w:type="even"/>
          <w:pgSz w:w="11906" w:h="16838"/>
          <w:pgMar w:top="1440" w:right="1800" w:bottom="1440" w:left="1800" w:header="851" w:footer="992" w:gutter="0"/>
          <w:cols w:space="425" w:num="1"/>
          <w:docGrid w:type="lines" w:linePitch="312" w:charSpace="0"/>
        </w:sectPr>
      </w:pPr>
    </w:p>
    <w:p>
      <w:pPr>
        <w:spacing w:line="360" w:lineRule="auto"/>
        <w:rPr>
          <w:sz w:val="24"/>
          <w:szCs w:val="24"/>
        </w:rPr>
        <w:sectPr>
          <w:pgSz w:w="16838" w:h="11906" w:orient="landscape"/>
          <w:pgMar w:top="1797" w:right="1440" w:bottom="1797" w:left="1440" w:header="851" w:footer="992" w:gutter="0"/>
          <w:cols w:space="425" w:num="1"/>
          <w:docGrid w:type="linesAndChars" w:linePitch="312" w:charSpace="0"/>
        </w:sectPr>
      </w:pPr>
      <w:r>
        <w:rPr>
          <w:sz w:val="24"/>
          <w:szCs w:val="24"/>
        </w:rPr>
        <mc:AlternateContent>
          <mc:Choice Requires="wps">
            <w:drawing>
              <wp:anchor distT="0" distB="0" distL="114300" distR="114300" simplePos="0" relativeHeight="251698176" behindDoc="0" locked="0" layoutInCell="1" allowOverlap="1">
                <wp:simplePos x="0" y="0"/>
                <wp:positionH relativeFrom="column">
                  <wp:posOffset>1706880</wp:posOffset>
                </wp:positionH>
                <wp:positionV relativeFrom="paragraph">
                  <wp:posOffset>1053465</wp:posOffset>
                </wp:positionV>
                <wp:extent cx="1195705" cy="632460"/>
                <wp:effectExtent l="0" t="0" r="461645" b="396240"/>
                <wp:wrapNone/>
                <wp:docPr id="138" name="对话气泡: 圆角矩形 138"/>
                <wp:cNvGraphicFramePr/>
                <a:graphic xmlns:a="http://schemas.openxmlformats.org/drawingml/2006/main">
                  <a:graphicData uri="http://schemas.microsoft.com/office/word/2010/wordprocessingShape">
                    <wps:wsp>
                      <wps:cNvSpPr/>
                      <wps:spPr>
                        <a:xfrm>
                          <a:off x="0" y="0"/>
                          <a:ext cx="1195705" cy="632460"/>
                        </a:xfrm>
                        <a:prstGeom prst="wedgeRoundRectCallout">
                          <a:avLst>
                            <a:gd name="adj1" fmla="val 85201"/>
                            <a:gd name="adj2" fmla="val 110507"/>
                            <a:gd name="adj3" fmla="val 16667"/>
                          </a:avLst>
                        </a:prstGeom>
                        <a:solidFill>
                          <a:srgbClr val="FFFF00"/>
                        </a:solidFill>
                        <a:ln w="25400" cap="flat" cmpd="sng" algn="ctr">
                          <a:solidFill>
                            <a:srgbClr val="4F81BD">
                              <a:shade val="50000"/>
                            </a:srgbClr>
                          </a:solidFill>
                          <a:prstDash val="solid"/>
                        </a:ln>
                        <a:effectLst/>
                      </wps:spPr>
                      <wps:txbx>
                        <w:txbxContent>
                          <w:p>
                            <w:pPr>
                              <w:jc w:val="center"/>
                              <w:rPr>
                                <w:b/>
                                <w:bCs/>
                                <w:color w:val="FF0000"/>
                                <w:sz w:val="28"/>
                                <w:szCs w:val="28"/>
                              </w:rPr>
                            </w:pPr>
                            <w:r>
                              <w:rPr>
                                <w:rFonts w:hint="eastAsia"/>
                                <w:b/>
                                <w:bCs/>
                                <w:color w:val="FF0000"/>
                                <w:sz w:val="28"/>
                                <w:szCs w:val="28"/>
                              </w:rPr>
                              <w:t>绿化区域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38" o:spid="_x0000_s1026" o:spt="62" type="#_x0000_t62" style="position:absolute;left:0pt;margin-left:134.4pt;margin-top:82.95pt;height:49.8pt;width:94.15pt;z-index:251698176;v-text-anchor:middle;mso-width-relative:page;mso-height-relative:page;" fillcolor="#FFFF00" filled="t" stroked="t" coordsize="21600,21600" o:gfxdata="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Cxnr0d2gAAAAsBAAAPAAAAAAAAAAEAIAAAACIAAABkcnMvZG93bnJl&#10;di54bWxQSwECFAAUAAAACACHTuJApoBozN8CAAC2BQAADgAAAAAAAAABACAAAAApAQAAZHJzL2Uy&#10;b0RvYy54bWxQSwUGAAAAAAYABgBZAQAAegYAAAAA&#10;" adj="29203,34670,14400">
                <v:fill on="t" focussize="0,0"/>
                <v:stroke weight="2pt" color="#385D8A" joinstyle="round"/>
                <v:imagedata o:title=""/>
                <o:lock v:ext="edit" aspectratio="f"/>
                <v:textbox>
                  <w:txbxContent>
                    <w:p>
                      <w:pPr>
                        <w:jc w:val="center"/>
                        <w:rPr>
                          <w:b/>
                          <w:bCs/>
                          <w:color w:val="FF0000"/>
                          <w:sz w:val="28"/>
                          <w:szCs w:val="28"/>
                        </w:rPr>
                      </w:pPr>
                      <w:r>
                        <w:rPr>
                          <w:rFonts w:hint="eastAsia"/>
                          <w:b/>
                          <w:bCs/>
                          <w:color w:val="FF0000"/>
                          <w:sz w:val="28"/>
                          <w:szCs w:val="28"/>
                        </w:rPr>
                        <w:t>绿化区域</w:t>
                      </w:r>
                    </w:p>
                  </w:txbxContent>
                </v:textbox>
              </v:shape>
            </w:pict>
          </mc:Fallback>
        </mc:AlternateContent>
      </w:r>
      <w:r>
        <w:rPr>
          <w:sz w:val="24"/>
          <w:szCs w:val="24"/>
        </w:rPr>
        <mc:AlternateContent>
          <mc:Choice Requires="wps">
            <w:drawing>
              <wp:anchor distT="0" distB="0" distL="114300" distR="114300" simplePos="0" relativeHeight="251718656" behindDoc="0" locked="0" layoutInCell="1" allowOverlap="1">
                <wp:simplePos x="0" y="0"/>
                <wp:positionH relativeFrom="column">
                  <wp:posOffset>6488430</wp:posOffset>
                </wp:positionH>
                <wp:positionV relativeFrom="paragraph">
                  <wp:posOffset>3263265</wp:posOffset>
                </wp:positionV>
                <wp:extent cx="1195705" cy="632460"/>
                <wp:effectExtent l="419100" t="0" r="23495" b="15240"/>
                <wp:wrapNone/>
                <wp:docPr id="142" name="对话气泡: 圆角矩形 142"/>
                <wp:cNvGraphicFramePr/>
                <a:graphic xmlns:a="http://schemas.openxmlformats.org/drawingml/2006/main">
                  <a:graphicData uri="http://schemas.microsoft.com/office/word/2010/wordprocessingShape">
                    <wps:wsp>
                      <wps:cNvSpPr/>
                      <wps:spPr>
                        <a:xfrm>
                          <a:off x="0" y="0"/>
                          <a:ext cx="1195705" cy="632460"/>
                        </a:xfrm>
                        <a:prstGeom prst="wedgeRoundRectCallout">
                          <a:avLst>
                            <a:gd name="adj1" fmla="val -84023"/>
                            <a:gd name="adj2" fmla="val 29228"/>
                            <a:gd name="adj3" fmla="val 16667"/>
                          </a:avLst>
                        </a:prstGeom>
                        <a:solidFill>
                          <a:srgbClr val="FFFF00"/>
                        </a:solidFill>
                        <a:ln w="25400" cap="flat" cmpd="sng" algn="ctr">
                          <a:solidFill>
                            <a:srgbClr val="4F81BD">
                              <a:shade val="50000"/>
                            </a:srgbClr>
                          </a:solidFill>
                          <a:prstDash val="solid"/>
                        </a:ln>
                        <a:effectLst/>
                      </wps:spPr>
                      <wps:txbx>
                        <w:txbxContent>
                          <w:p>
                            <w:pPr>
                              <w:jc w:val="center"/>
                              <w:rPr>
                                <w:b/>
                                <w:bCs/>
                                <w:color w:val="FF0000"/>
                                <w:sz w:val="28"/>
                                <w:szCs w:val="28"/>
                              </w:rPr>
                            </w:pPr>
                            <w:r>
                              <w:rPr>
                                <w:rFonts w:hint="eastAsia"/>
                                <w:b/>
                                <w:bCs/>
                                <w:color w:val="FF0000"/>
                                <w:sz w:val="28"/>
                                <w:szCs w:val="28"/>
                              </w:rPr>
                              <w:t>绿化区域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2" o:spid="_x0000_s1026" o:spt="62" type="#_x0000_t62" style="position:absolute;left:0pt;margin-left:510.9pt;margin-top:256.95pt;height:49.8pt;width:94.15pt;z-index:251718656;v-text-anchor:middle;mso-width-relative:page;mso-height-relative:page;" fillcolor="#FFFF00" filled="t" stroked="t" coordsize="21600,21600" o:gfxdata="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oLojQ9oAAAANAQAADwAAAAAAAAABACAAAAAiAAAAZHJzL2Rv&#10;d25yZXYueG1sUEsBAhQAFAAAAAgAh07iQPj6nQLjAgAAtgUAAA4AAAAAAAAAAQAgAAAAKQEAAGRy&#10;cy9lMm9Eb2MueG1sUEsFBgAAAAAGAAYAWQEAAH4GAAAAAA==&#10;" adj="-7349,17113,14400">
                <v:fill on="t" focussize="0,0"/>
                <v:stroke weight="2pt" color="#385D8A" joinstyle="round"/>
                <v:imagedata o:title=""/>
                <o:lock v:ext="edit" aspectratio="f"/>
                <v:textbox>
                  <w:txbxContent>
                    <w:p>
                      <w:pPr>
                        <w:jc w:val="center"/>
                        <w:rPr>
                          <w:b/>
                          <w:bCs/>
                          <w:color w:val="FF0000"/>
                          <w:sz w:val="28"/>
                          <w:szCs w:val="28"/>
                        </w:rPr>
                      </w:pPr>
                      <w:r>
                        <w:rPr>
                          <w:rFonts w:hint="eastAsia"/>
                          <w:b/>
                          <w:bCs/>
                          <w:color w:val="FF0000"/>
                          <w:sz w:val="28"/>
                          <w:szCs w:val="28"/>
                        </w:rPr>
                        <w:t>绿化区域</w:t>
                      </w:r>
                    </w:p>
                  </w:txbxContent>
                </v:textbox>
              </v:shape>
            </w:pict>
          </mc:Fallback>
        </mc:AlternateContent>
      </w:r>
      <w:r>
        <w:rPr>
          <w:sz w:val="24"/>
          <w:szCs w:val="24"/>
        </w:rPr>
        <mc:AlternateContent>
          <mc:Choice Requires="wps">
            <w:drawing>
              <wp:anchor distT="0" distB="0" distL="114300" distR="114300" simplePos="0" relativeHeight="251708416" behindDoc="0" locked="0" layoutInCell="1" allowOverlap="1">
                <wp:simplePos x="0" y="0"/>
                <wp:positionH relativeFrom="column">
                  <wp:posOffset>2553970</wp:posOffset>
                </wp:positionH>
                <wp:positionV relativeFrom="paragraph">
                  <wp:posOffset>4333875</wp:posOffset>
                </wp:positionV>
                <wp:extent cx="1195705" cy="632460"/>
                <wp:effectExtent l="0" t="266700" r="252095" b="15240"/>
                <wp:wrapNone/>
                <wp:docPr id="141" name="对话气泡: 圆角矩形 141"/>
                <wp:cNvGraphicFramePr/>
                <a:graphic xmlns:a="http://schemas.openxmlformats.org/drawingml/2006/main">
                  <a:graphicData uri="http://schemas.microsoft.com/office/word/2010/wordprocessingShape">
                    <wps:wsp>
                      <wps:cNvSpPr/>
                      <wps:spPr>
                        <a:xfrm>
                          <a:off x="0" y="0"/>
                          <a:ext cx="1195705" cy="632460"/>
                        </a:xfrm>
                        <a:prstGeom prst="wedgeRoundRectCallout">
                          <a:avLst>
                            <a:gd name="adj1" fmla="val 68876"/>
                            <a:gd name="adj2" fmla="val -90420"/>
                            <a:gd name="adj3" fmla="val 16667"/>
                          </a:avLst>
                        </a:prstGeom>
                        <a:solidFill>
                          <a:srgbClr val="FFFF00"/>
                        </a:solidFill>
                        <a:ln w="25400" cap="flat" cmpd="sng" algn="ctr">
                          <a:solidFill>
                            <a:srgbClr val="4F81BD">
                              <a:shade val="50000"/>
                            </a:srgbClr>
                          </a:solidFill>
                          <a:prstDash val="solid"/>
                        </a:ln>
                        <a:effectLst/>
                      </wps:spPr>
                      <wps:txbx>
                        <w:txbxContent>
                          <w:p>
                            <w:pPr>
                              <w:jc w:val="center"/>
                              <w:rPr>
                                <w:b/>
                                <w:bCs/>
                                <w:color w:val="FF0000"/>
                                <w:sz w:val="28"/>
                                <w:szCs w:val="28"/>
                              </w:rPr>
                            </w:pPr>
                            <w:r>
                              <w:rPr>
                                <w:rFonts w:hint="eastAsia"/>
                                <w:b/>
                                <w:bCs/>
                                <w:color w:val="FF0000"/>
                                <w:sz w:val="28"/>
                                <w:szCs w:val="28"/>
                              </w:rPr>
                              <w:t>绿化区域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141" o:spid="_x0000_s1026" o:spt="62" type="#_x0000_t62" style="position:absolute;left:0pt;margin-left:201.1pt;margin-top:341.25pt;height:49.8pt;width:94.15pt;z-index:251708416;v-text-anchor:middle;mso-width-relative:page;mso-height-relative:page;" fillcolor="#FFFF00" filled="t" stroked="t" coordsize="21600,21600" o:gfxdata="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E/egxbYAAAACwEAAA8AAAAAAAAAAQAgAAAAIgAAAGRycy9kb3du&#10;cmV2LnhtbFBLAQIUABQAAAAIAIdO4kAfAru64wIAALYFAAAOAAAAAAAAAAEAIAAAACcBAABkcnMv&#10;ZTJvRG9jLnhtbFBLBQYAAAAABgAGAFkBAAB8BgAAAAA=&#10;" adj="25677,-8731,14400">
                <v:fill on="t" focussize="0,0"/>
                <v:stroke weight="2pt" color="#385D8A" joinstyle="round"/>
                <v:imagedata o:title=""/>
                <o:lock v:ext="edit" aspectratio="f"/>
                <v:textbox>
                  <w:txbxContent>
                    <w:p>
                      <w:pPr>
                        <w:jc w:val="center"/>
                        <w:rPr>
                          <w:b/>
                          <w:bCs/>
                          <w:color w:val="FF0000"/>
                          <w:sz w:val="28"/>
                          <w:szCs w:val="28"/>
                        </w:rPr>
                      </w:pPr>
                      <w:r>
                        <w:rPr>
                          <w:rFonts w:hint="eastAsia"/>
                          <w:b/>
                          <w:bCs/>
                          <w:color w:val="FF0000"/>
                          <w:sz w:val="28"/>
                          <w:szCs w:val="28"/>
                        </w:rPr>
                        <w:t>绿化区域</w:t>
                      </w:r>
                    </w:p>
                  </w:txbxContent>
                </v:textbox>
              </v:shape>
            </w:pict>
          </mc:Fallback>
        </mc:AlternateContent>
      </w:r>
      <w:r>
        <w:rPr>
          <w:sz w:val="24"/>
          <w:szCs w:val="24"/>
        </w:rPr>
        <mc:AlternateContent>
          <mc:Choice Requires="wps">
            <w:drawing>
              <wp:anchor distT="45720" distB="45720" distL="114300" distR="114300" simplePos="0" relativeHeight="251680768" behindDoc="0" locked="0" layoutInCell="1" allowOverlap="1">
                <wp:simplePos x="0" y="0"/>
                <wp:positionH relativeFrom="column">
                  <wp:posOffset>7789545</wp:posOffset>
                </wp:positionH>
                <wp:positionV relativeFrom="paragraph">
                  <wp:posOffset>2111375</wp:posOffset>
                </wp:positionV>
                <wp:extent cx="1552575" cy="1404620"/>
                <wp:effectExtent l="0" t="0" r="28575" b="17780"/>
                <wp:wrapSquare wrapText="bothSides"/>
                <wp:docPr id="13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52575" cy="1404620"/>
                        </a:xfrm>
                        <a:prstGeom prst="rect">
                          <a:avLst/>
                        </a:prstGeom>
                        <a:solidFill>
                          <a:srgbClr val="FFFFFF"/>
                        </a:solidFill>
                        <a:ln w="9525">
                          <a:solidFill>
                            <a:srgbClr val="000000"/>
                          </a:solidFill>
                          <a:miter lim="800000"/>
                        </a:ln>
                      </wps:spPr>
                      <wps:txbx>
                        <w:txbxContent>
                          <w:p>
                            <w:pPr>
                              <w:jc w:val="center"/>
                            </w:pPr>
                            <w:r>
                              <w:rPr>
                                <w:b/>
                                <w:bCs/>
                                <w:kern w:val="0"/>
                                <w:sz w:val="24"/>
                                <w:szCs w:val="24"/>
                                <w:highlight w:val="green"/>
                              </w:rPr>
                              <w:t xml:space="preserve">图5.8-3 </w:t>
                            </w:r>
                            <w:r>
                              <w:rPr>
                                <w:rFonts w:hint="eastAsia"/>
                                <w:b/>
                                <w:bCs/>
                                <w:kern w:val="0"/>
                                <w:sz w:val="24"/>
                                <w:szCs w:val="24"/>
                                <w:highlight w:val="green"/>
                              </w:rPr>
                              <w:t>典型生态保护措施平面布置示意图</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613.35pt;margin-top:166.25pt;height:110.6pt;width:122.25pt;mso-wrap-distance-bottom:3.6pt;mso-wrap-distance-left:9pt;mso-wrap-distance-right:9pt;mso-wrap-distance-top:3.6pt;z-index:251680768;mso-width-relative:page;mso-height-relative:margin;mso-height-percent:200;" fillcolor="#FFFFFF" filled="t" stroked="t" coordsize="21600,21600" o:gfxdata="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NBT2dkAAAANAQAADwAAAAAAAAABACAAAAAiAAAAZHJz&#10;L2Rvd25yZXYueG1sUEsBAhQAFAAAAAgAh07iQB2UEsc8AgAAfgQAAA4AAAAAAAAAAQAgAAAAKAEA&#10;AGRycy9lMm9Eb2MueG1sUEsFBgAAAAAGAAYAWQEAANYFAAAAAA==&#10;">
                <v:fill on="t" focussize="0,0"/>
                <v:stroke color="#000000" miterlimit="8" joinstyle="miter"/>
                <v:imagedata o:title=""/>
                <o:lock v:ext="edit" aspectratio="f"/>
                <v:textbox style="mso-fit-shape-to-text:t;">
                  <w:txbxContent>
                    <w:p>
                      <w:pPr>
                        <w:jc w:val="center"/>
                      </w:pPr>
                      <w:r>
                        <w:rPr>
                          <w:b/>
                          <w:bCs/>
                          <w:kern w:val="0"/>
                          <w:sz w:val="24"/>
                          <w:szCs w:val="24"/>
                          <w:highlight w:val="green"/>
                        </w:rPr>
                        <w:t xml:space="preserve">图5.8-3 </w:t>
                      </w:r>
                      <w:r>
                        <w:rPr>
                          <w:rFonts w:hint="eastAsia"/>
                          <w:b/>
                          <w:bCs/>
                          <w:kern w:val="0"/>
                          <w:sz w:val="24"/>
                          <w:szCs w:val="24"/>
                          <w:highlight w:val="green"/>
                        </w:rPr>
                        <w:t>典型生态保护措施平面布置示意图</w:t>
                      </w:r>
                    </w:p>
                  </w:txbxContent>
                </v:textbox>
                <w10:wrap type="square"/>
              </v:shape>
            </w:pict>
          </mc:Fallback>
        </mc:AlternateContent>
      </w:r>
      <w:r>
        <w:rPr>
          <w:rFonts w:eastAsia="Times New Roman"/>
          <w:snapToGrid w:val="0"/>
          <w:w w:val="0"/>
          <w:kern w:val="0"/>
          <w:sz w:val="0"/>
          <w:szCs w:val="0"/>
          <w:u w:color="000000"/>
          <w:shd w:val="clear" w:color="000000" w:fill="000000"/>
          <w:lang w:val="zh-CN" w:eastAsia="zh-CN" w:bidi="zh-CN"/>
        </w:rPr>
        <w:t xml:space="preserve"> </w:t>
      </w:r>
      <w:r>
        <w:rPr>
          <w:sz w:val="24"/>
          <w:szCs w:val="24"/>
        </w:rPr>
        <w:drawing>
          <wp:inline distT="0" distB="0" distL="0" distR="0">
            <wp:extent cx="7516495" cy="5120640"/>
            <wp:effectExtent l="0" t="0" r="8255" b="381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7519276" cy="5122217"/>
                    </a:xfrm>
                    <a:prstGeom prst="rect">
                      <a:avLst/>
                    </a:prstGeom>
                    <a:noFill/>
                    <a:ln>
                      <a:noFill/>
                    </a:ln>
                  </pic:spPr>
                </pic:pic>
              </a:graphicData>
            </a:graphic>
          </wp:inline>
        </w:drawing>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对自然生态体系稳定性影响分析</w:t>
      </w:r>
    </w:p>
    <w:p>
      <w:pPr>
        <w:spacing w:line="360" w:lineRule="auto"/>
        <w:ind w:firstLine="436" w:firstLineChars="182"/>
        <w:rPr>
          <w:sz w:val="24"/>
          <w:szCs w:val="24"/>
        </w:rPr>
      </w:pPr>
      <w:r>
        <w:rPr>
          <w:rFonts w:hint="eastAsia"/>
          <w:sz w:val="24"/>
          <w:szCs w:val="24"/>
        </w:rPr>
        <w:t>建设项目施工及运营对局部自然生态环境造成一定的破坏，但对整个评价区域自然体系的稳定性不会造成明显影响，仅使局部区域植被铲除，水土流失侵蚀度增加，使局部生物量减少，局部自然生态环境遭到一定的破坏。但由于影响面积小，对评价区域内自然生态体系的稳定性和对外界环境干扰的阻抗和恢复功能影响不大，对整个评价范围内区域自然体系恢复稳定性不会产生明显的影响，是评价区域内自然体系可以承受的；同时，工程建设和施工使区域生态环境局部动植物物种的移动和抵御内外界干扰受到了一定的影响，但对植被分布的空间影响不大。因此，项目实施与运行对区域自然体系中生态环境自身的异质化程度影响不大，对评价区域自然体系的稳定性影响较小。</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景观影响分析</w:t>
      </w:r>
    </w:p>
    <w:p>
      <w:pPr>
        <w:spacing w:line="360" w:lineRule="auto"/>
        <w:ind w:firstLine="436" w:firstLineChars="182"/>
        <w:rPr>
          <w:sz w:val="24"/>
          <w:szCs w:val="24"/>
        </w:rPr>
      </w:pPr>
      <w:r>
        <w:rPr>
          <w:rFonts w:hint="eastAsia"/>
          <w:sz w:val="24"/>
          <w:szCs w:val="24"/>
        </w:rPr>
        <w:t>本项目在建设和填埋过程将大量的开挖地表，原有的沟谷、丘陵等地貌等被改变，区域原有自然植被将被部分改变，原有的生态景观被填埋场所取代，在运营初期由于场区防渗的需要，将会有大面积的土壤裸露，随着填埋区的堆填和封场，裸露的土地将被覆盖，进而在场区绿化后区域景观得到改善和恢复，与周围景观恢复协调，对该区域景观的影响不大。</w:t>
      </w:r>
    </w:p>
    <w:p>
      <w:pPr>
        <w:keepNext/>
        <w:keepLines/>
        <w:numPr>
          <w:ilvl w:val="1"/>
          <w:numId w:val="5"/>
        </w:numPr>
        <w:tabs>
          <w:tab w:val="left" w:pos="432"/>
          <w:tab w:val="left" w:pos="720"/>
        </w:tabs>
        <w:adjustRightInd w:val="0"/>
        <w:snapToGrid w:val="0"/>
        <w:spacing w:before="156" w:beforeLines="50" w:line="360" w:lineRule="auto"/>
        <w:ind w:left="0" w:firstLine="0"/>
        <w:outlineLvl w:val="1"/>
        <w:rPr>
          <w:b/>
          <w:bCs/>
          <w:sz w:val="30"/>
          <w:szCs w:val="30"/>
        </w:rPr>
      </w:pPr>
      <w:bookmarkStart w:id="144" w:name="_Toc94101231"/>
      <w:r>
        <w:rPr>
          <w:b/>
          <w:bCs/>
          <w:sz w:val="30"/>
          <w:szCs w:val="30"/>
        </w:rPr>
        <w:t>运营期环境风险分析</w:t>
      </w:r>
      <w:bookmarkEnd w:id="144"/>
    </w:p>
    <w:p>
      <w:pPr>
        <w:adjustRightInd w:val="0"/>
        <w:snapToGrid w:val="0"/>
        <w:spacing w:line="360" w:lineRule="auto"/>
        <w:ind w:firstLine="480" w:firstLineChars="200"/>
        <w:rPr>
          <w:sz w:val="24"/>
          <w:szCs w:val="24"/>
        </w:rPr>
      </w:pPr>
      <w:r>
        <w:rPr>
          <w:rFonts w:hint="eastAsia"/>
          <w:sz w:val="24"/>
          <w:szCs w:val="24"/>
        </w:rPr>
        <w:t>根据国家环境保护总局《关于进一步加强环境影响评价管理防范环境风险的通知》（环发[2012]77号）及《建设项目环境风险评价技术导则》(HJ169-2018)的要求，对本项目实施过程中可能存在的环境风险对环境造成的影响进行分析和评价。</w:t>
      </w:r>
    </w:p>
    <w:p>
      <w:pPr>
        <w:pStyle w:val="62"/>
        <w:numPr>
          <w:ilvl w:val="2"/>
          <w:numId w:val="5"/>
        </w:numPr>
        <w:tabs>
          <w:tab w:val="left" w:pos="567"/>
          <w:tab w:val="left" w:pos="709"/>
          <w:tab w:val="clear" w:pos="1021"/>
        </w:tabs>
        <w:spacing w:before="156" w:after="156"/>
        <w:ind w:left="0" w:firstLine="0"/>
        <w:rPr>
          <w:rFonts w:ascii="Times New Roman" w:hAnsi="Times New Roman"/>
        </w:rPr>
      </w:pPr>
      <w:r>
        <w:rPr>
          <w:rFonts w:ascii="Times New Roman" w:hAnsi="Times New Roman"/>
        </w:rPr>
        <w:t>评价依据</w:t>
      </w:r>
    </w:p>
    <w:p>
      <w:pPr>
        <w:pStyle w:val="62"/>
        <w:numPr>
          <w:ilvl w:val="3"/>
          <w:numId w:val="5"/>
        </w:numPr>
        <w:tabs>
          <w:tab w:val="left" w:pos="851"/>
          <w:tab w:val="clear" w:pos="1021"/>
        </w:tabs>
        <w:spacing w:before="156" w:after="156"/>
        <w:ind w:left="993"/>
        <w:outlineLvl w:val="3"/>
        <w:rPr>
          <w:rFonts w:ascii="Times New Roman" w:hAnsi="Times New Roman"/>
        </w:rPr>
      </w:pPr>
      <w:r>
        <w:rPr>
          <w:rFonts w:ascii="Times New Roman" w:hAnsi="Times New Roman"/>
        </w:rPr>
        <w:t>风险调查</w:t>
      </w:r>
    </w:p>
    <w:p>
      <w:pPr>
        <w:adjustRightInd w:val="0"/>
        <w:snapToGrid w:val="0"/>
        <w:spacing w:line="360" w:lineRule="auto"/>
        <w:ind w:firstLine="480" w:firstLineChars="200"/>
        <w:rPr>
          <w:sz w:val="24"/>
          <w:szCs w:val="24"/>
        </w:rPr>
      </w:pPr>
      <w:r>
        <w:rPr>
          <w:rFonts w:hint="eastAsia"/>
          <w:sz w:val="24"/>
          <w:szCs w:val="24"/>
        </w:rPr>
        <w:t>本项目属于环保项目，工程本身不存在环境风险因素，本次环境风险评价的目的在于分析识别填埋施工作业、封场后固化飞灰堆体稳定化维护过程中存在的风险因素及可能诱发的环境问题，并对针对潜在的环境风险，提出相应的合理可行的防范、应急与减缓措施，从源头防范环境风险，力求将潜在风险的危害程度降至最低。</w:t>
      </w:r>
    </w:p>
    <w:p>
      <w:pPr>
        <w:pStyle w:val="62"/>
        <w:numPr>
          <w:ilvl w:val="3"/>
          <w:numId w:val="5"/>
        </w:numPr>
        <w:tabs>
          <w:tab w:val="left" w:pos="851"/>
          <w:tab w:val="clear" w:pos="1021"/>
        </w:tabs>
        <w:spacing w:before="156" w:after="156"/>
        <w:ind w:left="993"/>
        <w:outlineLvl w:val="3"/>
        <w:rPr>
          <w:rFonts w:ascii="Times New Roman" w:hAnsi="Times New Roman"/>
        </w:rPr>
      </w:pPr>
      <w:r>
        <w:rPr>
          <w:rFonts w:ascii="Times New Roman" w:hAnsi="Times New Roman"/>
        </w:rPr>
        <w:t>风险潜势初判</w:t>
      </w:r>
    </w:p>
    <w:p>
      <w:pPr>
        <w:pStyle w:val="194"/>
        <w:widowControl/>
        <w:ind w:firstLine="480"/>
      </w:pPr>
      <w:r>
        <w:rPr>
          <w:rFonts w:hint="eastAsia"/>
        </w:rPr>
        <w:t>本项目为飞灰固化物填埋项目，在填埋过程中不产生甲烷等填埋气，在填埋过程中涉及到的危险物质主要为润滑油和渗滤液，渗滤液的成分主要是重金属，氨氮、</w:t>
      </w:r>
      <w:r>
        <w:t>COD</w:t>
      </w:r>
      <w:r>
        <w:rPr>
          <w:vertAlign w:val="subscript"/>
        </w:rPr>
        <w:t>Cr</w:t>
      </w:r>
      <w:r>
        <w:rPr>
          <w:rFonts w:hint="eastAsia"/>
        </w:rPr>
        <w:t>浓度较低，未达到《建设项目环境风险评价技术导则》（</w:t>
      </w:r>
      <w:r>
        <w:t>HJ169-2018</w:t>
      </w:r>
      <w:r>
        <w:rPr>
          <w:rFonts w:hint="eastAsia"/>
        </w:rPr>
        <w:t>）附录</w:t>
      </w:r>
      <w:r>
        <w:t>B</w:t>
      </w:r>
      <w:r>
        <w:rPr>
          <w:rFonts w:hint="eastAsia"/>
        </w:rPr>
        <w:t>和《企业突发环境事件风险分级方法》（</w:t>
      </w:r>
      <w:r>
        <w:t>HJ941-2018</w:t>
      </w:r>
      <w:r>
        <w:rPr>
          <w:rFonts w:hint="eastAsia"/>
        </w:rPr>
        <w:t>）中附录</w:t>
      </w:r>
      <w:r>
        <w:t>A</w:t>
      </w:r>
      <w:r>
        <w:rPr>
          <w:rFonts w:hint="eastAsia"/>
        </w:rPr>
        <w:t>中危险物质</w:t>
      </w:r>
      <w:r>
        <w:t>“COD</w:t>
      </w:r>
      <w:r>
        <w:rPr>
          <w:vertAlign w:val="subscript"/>
        </w:rPr>
        <w:t>Cr</w:t>
      </w:r>
      <w:r>
        <w:rPr>
          <w:rFonts w:hint="eastAsia"/>
        </w:rPr>
        <w:t>浓度≥</w:t>
      </w:r>
      <w:r>
        <w:t>10000mg/L</w:t>
      </w:r>
      <w:r>
        <w:rPr>
          <w:rFonts w:hint="eastAsia"/>
        </w:rPr>
        <w:t>的有机废液、</w:t>
      </w:r>
      <w:r>
        <w:t>NH</w:t>
      </w:r>
      <w:r>
        <w:rPr>
          <w:vertAlign w:val="subscript"/>
        </w:rPr>
        <w:t>3</w:t>
      </w:r>
      <w:r>
        <w:t>-N</w:t>
      </w:r>
      <w:r>
        <w:rPr>
          <w:rFonts w:hint="eastAsia"/>
        </w:rPr>
        <w:t>浓度≥</w:t>
      </w:r>
      <w:r>
        <w:t>2000mg/L</w:t>
      </w:r>
      <w:r>
        <w:rPr>
          <w:rFonts w:hint="eastAsia"/>
        </w:rPr>
        <w:t>的废液</w:t>
      </w:r>
      <w:r>
        <w:t>”</w:t>
      </w:r>
      <w:r>
        <w:rPr>
          <w:rFonts w:hint="eastAsia"/>
        </w:rPr>
        <w:t>，故可认为本项目的渗滤液不属于环境风险中重点关注的危险物质。</w:t>
      </w:r>
    </w:p>
    <w:p>
      <w:pPr>
        <w:pStyle w:val="194"/>
        <w:widowControl/>
        <w:ind w:firstLine="480"/>
      </w:pPr>
      <w:r>
        <w:rPr>
          <w:rFonts w:hint="eastAsia"/>
        </w:rPr>
        <w:t>污水预处理使用的</w:t>
      </w:r>
      <w:r>
        <w:t>NaOH</w:t>
      </w:r>
      <w:r>
        <w:rPr>
          <w:rFonts w:hint="eastAsia"/>
        </w:rPr>
        <w:t>、</w:t>
      </w:r>
      <w:r>
        <w:t>PAC</w:t>
      </w:r>
      <w:r>
        <w:rPr>
          <w:rFonts w:hint="eastAsia"/>
        </w:rPr>
        <w:t>（混凝剂聚合氯化铝）、</w:t>
      </w:r>
      <w:r>
        <w:t>PAM</w:t>
      </w:r>
      <w:r>
        <w:rPr>
          <w:rFonts w:hint="eastAsia"/>
        </w:rPr>
        <w:t>（絮凝剂聚丙烯酰胺）不属于附录</w:t>
      </w:r>
      <w:r>
        <w:t xml:space="preserve">B </w:t>
      </w:r>
      <w:r>
        <w:rPr>
          <w:rFonts w:hint="eastAsia"/>
        </w:rPr>
        <w:t>重点关注的危险物质，未构成风险物质重大危险源。</w:t>
      </w:r>
    </w:p>
    <w:p>
      <w:pPr>
        <w:pStyle w:val="194"/>
        <w:widowControl/>
        <w:ind w:firstLine="480"/>
        <w:rPr>
          <w:bCs/>
        </w:rPr>
      </w:pPr>
      <w:r>
        <w:rPr>
          <w:rFonts w:hint="eastAsia"/>
        </w:rPr>
        <w:t>对照《建设项目环境风险评价技术导则》（</w:t>
      </w:r>
      <w:r>
        <w:t>HJ169-2018</w:t>
      </w:r>
      <w:r>
        <w:rPr>
          <w:rFonts w:hint="eastAsia"/>
        </w:rPr>
        <w:t>）中的相关规定判定见表2</w:t>
      </w:r>
      <w:r>
        <w:t>.6-8</w:t>
      </w:r>
      <w:r>
        <w:rPr>
          <w:rFonts w:hint="eastAsia"/>
        </w:rPr>
        <w:t>，本项目危险物质数量与临界量比值</w:t>
      </w:r>
      <w:r>
        <w:t>Q=0.00006</w:t>
      </w:r>
      <w:r>
        <w:rPr>
          <w:rFonts w:hint="eastAsia"/>
        </w:rPr>
        <w:t>＜</w:t>
      </w:r>
      <w:r>
        <w:t>1</w:t>
      </w:r>
      <w:r>
        <w:rPr>
          <w:rFonts w:hint="eastAsia"/>
        </w:rPr>
        <w:t>。</w:t>
      </w:r>
      <w:r>
        <w:rPr>
          <w:rFonts w:hint="eastAsia"/>
          <w:bCs/>
        </w:rPr>
        <w:t>根据《建设项目环境风险评价技术导则》（</w:t>
      </w:r>
      <w:r>
        <w:rPr>
          <w:bCs/>
        </w:rPr>
        <w:t>HJ 169-2018</w:t>
      </w:r>
      <w:r>
        <w:rPr>
          <w:rFonts w:hint="eastAsia"/>
          <w:bCs/>
        </w:rPr>
        <w:t>），该项目环境风险潜势直接判定为Ⅰ级。可开展简单分析。</w:t>
      </w:r>
    </w:p>
    <w:p>
      <w:pPr>
        <w:adjustRightInd w:val="0"/>
        <w:snapToGrid w:val="0"/>
        <w:spacing w:line="360" w:lineRule="auto"/>
        <w:ind w:firstLine="480" w:firstLineChars="200"/>
        <w:rPr>
          <w:sz w:val="24"/>
          <w:szCs w:val="24"/>
        </w:rPr>
      </w:pPr>
      <w:r>
        <w:rPr>
          <w:sz w:val="24"/>
          <w:szCs w:val="24"/>
        </w:rPr>
        <w:t>根据《建设项目环境风险评价技术导则》（HJ/T169-2018）的要求，本次环境风险评价的范围定为：厂界外3km范围内区域。</w:t>
      </w:r>
    </w:p>
    <w:p>
      <w:pPr>
        <w:pStyle w:val="62"/>
        <w:numPr>
          <w:ilvl w:val="2"/>
          <w:numId w:val="5"/>
        </w:numPr>
        <w:tabs>
          <w:tab w:val="left" w:pos="567"/>
          <w:tab w:val="left" w:pos="851"/>
          <w:tab w:val="clear" w:pos="1021"/>
        </w:tabs>
        <w:spacing w:before="156" w:after="156"/>
        <w:ind w:left="0" w:firstLine="0"/>
        <w:rPr>
          <w:rFonts w:ascii="Times New Roman" w:hAnsi="Times New Roman"/>
        </w:rPr>
      </w:pPr>
      <w:r>
        <w:rPr>
          <w:rFonts w:ascii="Times New Roman" w:hAnsi="Times New Roman"/>
        </w:rPr>
        <w:t>环境敏感目标概况</w:t>
      </w:r>
    </w:p>
    <w:p>
      <w:pPr>
        <w:adjustRightInd w:val="0"/>
        <w:snapToGrid w:val="0"/>
        <w:spacing w:line="360" w:lineRule="auto"/>
        <w:ind w:firstLine="480" w:firstLineChars="200"/>
        <w:rPr>
          <w:sz w:val="24"/>
        </w:rPr>
      </w:pPr>
      <w:r>
        <w:rPr>
          <w:sz w:val="24"/>
        </w:rPr>
        <w:t>根据对建设项目周边环境现状的调查，建设项目评价范围内无自然保护区、风景名胜区、文物古迹和饮用水源保护区等敏感目标。场址周围300m范围内无居民区、医院、学校等敏感目标</w:t>
      </w:r>
      <w:r>
        <w:rPr>
          <w:rFonts w:hint="eastAsia"/>
          <w:sz w:val="24"/>
        </w:rPr>
        <w:t>。</w:t>
      </w:r>
      <w:r>
        <w:rPr>
          <w:sz w:val="24"/>
        </w:rPr>
        <w:t>项目周边大气环境、地表水、地下水环境敏感特征情况见</w:t>
      </w:r>
      <w:r>
        <w:rPr>
          <w:rFonts w:hint="eastAsia"/>
          <w:sz w:val="24"/>
        </w:rPr>
        <w:t>本报告2</w:t>
      </w:r>
      <w:r>
        <w:rPr>
          <w:sz w:val="24"/>
        </w:rPr>
        <w:t>.10章</w:t>
      </w:r>
      <w:r>
        <w:rPr>
          <w:rFonts w:hint="eastAsia"/>
          <w:sz w:val="24"/>
        </w:rPr>
        <w:t>节中</w:t>
      </w:r>
      <w:r>
        <w:rPr>
          <w:sz w:val="24"/>
        </w:rPr>
        <w:t>表2.10-1。</w:t>
      </w:r>
    </w:p>
    <w:p>
      <w:pPr>
        <w:pStyle w:val="62"/>
        <w:numPr>
          <w:ilvl w:val="2"/>
          <w:numId w:val="5"/>
        </w:numPr>
        <w:tabs>
          <w:tab w:val="left" w:pos="567"/>
          <w:tab w:val="left" w:pos="851"/>
          <w:tab w:val="clear" w:pos="1021"/>
        </w:tabs>
        <w:spacing w:before="156" w:after="156"/>
        <w:ind w:left="0" w:firstLine="0"/>
        <w:rPr>
          <w:rFonts w:ascii="Times New Roman" w:hAnsi="Times New Roman"/>
        </w:rPr>
      </w:pPr>
      <w:r>
        <w:rPr>
          <w:rFonts w:ascii="Times New Roman" w:hAnsi="Times New Roman"/>
        </w:rPr>
        <w:t>环境风险识别</w:t>
      </w:r>
    </w:p>
    <w:p>
      <w:pPr>
        <w:pStyle w:val="62"/>
        <w:numPr>
          <w:ilvl w:val="3"/>
          <w:numId w:val="5"/>
        </w:numPr>
        <w:tabs>
          <w:tab w:val="left" w:pos="851"/>
          <w:tab w:val="clear" w:pos="1021"/>
        </w:tabs>
        <w:spacing w:before="0" w:beforeLines="0" w:after="0" w:afterLines="0"/>
        <w:ind w:left="993" w:hanging="851"/>
        <w:outlineLvl w:val="3"/>
        <w:rPr>
          <w:rFonts w:ascii="Times New Roman" w:hAnsi="Times New Roman"/>
        </w:rPr>
      </w:pPr>
      <w:r>
        <w:rPr>
          <w:rFonts w:hint="eastAsia" w:ascii="Times New Roman" w:hAnsi="Times New Roman"/>
        </w:rPr>
        <w:t>主要危险</w:t>
      </w:r>
      <w:r>
        <w:rPr>
          <w:rFonts w:ascii="Times New Roman" w:hAnsi="Times New Roman"/>
        </w:rPr>
        <w:t>物质</w:t>
      </w:r>
      <w:r>
        <w:rPr>
          <w:rFonts w:hint="eastAsia" w:ascii="Times New Roman" w:hAnsi="Times New Roman"/>
        </w:rPr>
        <w:t>识别</w:t>
      </w:r>
    </w:p>
    <w:p>
      <w:pPr>
        <w:adjustRightInd w:val="0"/>
        <w:snapToGrid w:val="0"/>
        <w:spacing w:line="360" w:lineRule="auto"/>
        <w:ind w:firstLine="480" w:firstLineChars="200"/>
        <w:rPr>
          <w:rFonts w:asciiTheme="minorEastAsia" w:hAnsiTheme="minorEastAsia" w:eastAsiaTheme="minorEastAsia"/>
          <w:sz w:val="24"/>
          <w:szCs w:val="28"/>
        </w:rPr>
      </w:pPr>
      <w:r>
        <w:rPr>
          <w:rFonts w:hint="eastAsia" w:asciiTheme="minorEastAsia" w:hAnsiTheme="minorEastAsia" w:eastAsiaTheme="minorEastAsia"/>
          <w:sz w:val="24"/>
          <w:szCs w:val="28"/>
        </w:rPr>
        <w:t>本项目填埋物为飞灰固化物，不产生填埋废气，涉及化学品主要为废水预处理使用的少量</w:t>
      </w:r>
      <w:r>
        <w:rPr>
          <w:rFonts w:asciiTheme="minorEastAsia" w:hAnsiTheme="minorEastAsia" w:eastAsiaTheme="minorEastAsia"/>
          <w:sz w:val="24"/>
          <w:szCs w:val="28"/>
        </w:rPr>
        <w:t>NaOH</w:t>
      </w:r>
      <w:r>
        <w:rPr>
          <w:rFonts w:hint="eastAsia" w:asciiTheme="minorEastAsia" w:hAnsiTheme="minorEastAsia" w:eastAsiaTheme="minorEastAsia"/>
          <w:sz w:val="24"/>
          <w:szCs w:val="28"/>
        </w:rPr>
        <w:t>、</w:t>
      </w:r>
      <w:r>
        <w:rPr>
          <w:rFonts w:asciiTheme="minorEastAsia" w:hAnsiTheme="minorEastAsia" w:eastAsiaTheme="minorEastAsia"/>
          <w:sz w:val="24"/>
          <w:szCs w:val="28"/>
        </w:rPr>
        <w:t>PAC</w:t>
      </w:r>
      <w:r>
        <w:rPr>
          <w:rFonts w:hint="eastAsia" w:asciiTheme="minorEastAsia" w:hAnsiTheme="minorEastAsia" w:eastAsiaTheme="minorEastAsia"/>
          <w:sz w:val="24"/>
          <w:szCs w:val="28"/>
        </w:rPr>
        <w:t>（混凝剂聚合氯化铝）、</w:t>
      </w:r>
      <w:r>
        <w:rPr>
          <w:rFonts w:asciiTheme="minorEastAsia" w:hAnsiTheme="minorEastAsia" w:eastAsiaTheme="minorEastAsia"/>
          <w:sz w:val="24"/>
          <w:szCs w:val="28"/>
        </w:rPr>
        <w:t>PAM</w:t>
      </w:r>
      <w:r>
        <w:rPr>
          <w:rFonts w:hint="eastAsia" w:asciiTheme="minorEastAsia" w:hAnsiTheme="minorEastAsia" w:eastAsiaTheme="minorEastAsia"/>
          <w:sz w:val="24"/>
          <w:szCs w:val="28"/>
        </w:rPr>
        <w:t>（絮凝剂聚丙烯酰胺）等，风险性较小，不属于《建设项目环境风险评价技术导则》（</w:t>
      </w:r>
      <w:r>
        <w:rPr>
          <w:rFonts w:asciiTheme="minorEastAsia" w:hAnsiTheme="minorEastAsia" w:eastAsiaTheme="minorEastAsia"/>
          <w:sz w:val="24"/>
          <w:szCs w:val="28"/>
        </w:rPr>
        <w:t>HJ 169-2018</w:t>
      </w:r>
      <w:r>
        <w:rPr>
          <w:rFonts w:hint="eastAsia" w:asciiTheme="minorEastAsia" w:hAnsiTheme="minorEastAsia" w:eastAsiaTheme="minorEastAsia"/>
          <w:sz w:val="24"/>
          <w:szCs w:val="28"/>
        </w:rPr>
        <w:t>）附录</w:t>
      </w:r>
      <w:r>
        <w:rPr>
          <w:rFonts w:asciiTheme="minorEastAsia" w:hAnsiTheme="minorEastAsia" w:eastAsiaTheme="minorEastAsia"/>
          <w:sz w:val="24"/>
          <w:szCs w:val="28"/>
        </w:rPr>
        <w:t xml:space="preserve">B </w:t>
      </w:r>
      <w:r>
        <w:rPr>
          <w:rFonts w:hint="eastAsia" w:asciiTheme="minorEastAsia" w:hAnsiTheme="minorEastAsia" w:eastAsiaTheme="minorEastAsia"/>
          <w:sz w:val="24"/>
          <w:szCs w:val="28"/>
        </w:rPr>
        <w:t>重点关注的危险物质。</w:t>
      </w:r>
    </w:p>
    <w:p>
      <w:pPr>
        <w:pStyle w:val="62"/>
        <w:numPr>
          <w:ilvl w:val="3"/>
          <w:numId w:val="5"/>
        </w:numPr>
        <w:tabs>
          <w:tab w:val="left" w:pos="851"/>
          <w:tab w:val="clear" w:pos="1021"/>
        </w:tabs>
        <w:spacing w:before="0" w:beforeLines="0" w:after="0" w:afterLines="0"/>
        <w:outlineLvl w:val="3"/>
        <w:rPr>
          <w:rFonts w:ascii="Times New Roman" w:hAnsi="Times New Roman"/>
        </w:rPr>
      </w:pPr>
      <w:r>
        <w:rPr>
          <w:rFonts w:hint="eastAsia" w:ascii="Times New Roman" w:hAnsi="Times New Roman"/>
        </w:rPr>
        <w:t>生产设施</w:t>
      </w:r>
      <w:r>
        <w:rPr>
          <w:rFonts w:ascii="Times New Roman" w:hAnsi="Times New Roman"/>
        </w:rPr>
        <w:t>风险</w:t>
      </w:r>
      <w:r>
        <w:rPr>
          <w:rFonts w:hint="eastAsia" w:ascii="Times New Roman" w:hAnsi="Times New Roman"/>
        </w:rPr>
        <w:t>识别</w:t>
      </w:r>
    </w:p>
    <w:p>
      <w:pPr>
        <w:adjustRightInd w:val="0"/>
        <w:snapToGrid w:val="0"/>
        <w:spacing w:line="360" w:lineRule="auto"/>
        <w:ind w:firstLine="480" w:firstLineChars="200"/>
        <w:rPr>
          <w:sz w:val="24"/>
          <w:szCs w:val="28"/>
        </w:rPr>
      </w:pPr>
      <w:r>
        <w:rPr>
          <w:rFonts w:hint="eastAsia"/>
          <w:sz w:val="24"/>
          <w:szCs w:val="28"/>
        </w:rPr>
        <w:t>本项目生产设施风险源主要为填埋库区、渗滤液收集池和预处理车间等。</w:t>
      </w:r>
    </w:p>
    <w:p>
      <w:pPr>
        <w:adjustRightInd w:val="0"/>
        <w:snapToGrid w:val="0"/>
        <w:spacing w:line="360" w:lineRule="auto"/>
        <w:ind w:firstLine="480" w:firstLineChars="200"/>
        <w:rPr>
          <w:sz w:val="24"/>
          <w:szCs w:val="28"/>
        </w:rPr>
      </w:pPr>
      <w:r>
        <w:rPr>
          <w:rFonts w:hint="eastAsia"/>
          <w:sz w:val="24"/>
          <w:szCs w:val="28"/>
        </w:rPr>
        <w:t>拟建填埋场库区、渗滤液调节池和预处理车间采用防渗效果较好的防渗结构，填埋库区采取雨水及地下水导排系统、渗滤液收集导排系统，雨天不进行填埋作业，库区每天填埋作业结束进行日覆盖，采取以上措施填埋库区发生渗滤液泄漏事故概率很低。但填埋防渗层一旦破损，渗滤液泄漏将对地下水环境造成污染。</w:t>
      </w:r>
    </w:p>
    <w:p>
      <w:pPr>
        <w:adjustRightInd w:val="0"/>
        <w:snapToGrid w:val="0"/>
        <w:spacing w:line="360" w:lineRule="auto"/>
        <w:ind w:firstLine="480" w:firstLineChars="200"/>
        <w:rPr>
          <w:sz w:val="24"/>
          <w:szCs w:val="28"/>
        </w:rPr>
      </w:pPr>
      <w:r>
        <w:rPr>
          <w:rFonts w:hint="eastAsia"/>
          <w:sz w:val="24"/>
          <w:szCs w:val="28"/>
        </w:rPr>
        <w:t>渗滤液收集导排系统管道破裂、渗滤液调节池和渗滤液预处理车间防渗层或构筑物破损，渗滤液泄漏也将对地下水环境造成污染影响。</w:t>
      </w:r>
    </w:p>
    <w:p>
      <w:pPr>
        <w:adjustRightInd w:val="0"/>
        <w:snapToGrid w:val="0"/>
        <w:spacing w:line="360" w:lineRule="auto"/>
        <w:ind w:firstLine="480" w:firstLineChars="200"/>
        <w:rPr>
          <w:sz w:val="24"/>
          <w:szCs w:val="28"/>
        </w:rPr>
      </w:pPr>
      <w:r>
        <w:rPr>
          <w:rFonts w:hint="eastAsia"/>
          <w:sz w:val="24"/>
          <w:szCs w:val="28"/>
        </w:rPr>
        <w:t>雨水及地下水导排系统因排水沟或管道堵塞、破裂，雨水或地下水进入填埋场内造成渗滤液增加，增加的渗滤液可进入渗滤液调节池暂存，进入渗滤液预处理站处理。</w:t>
      </w:r>
    </w:p>
    <w:p>
      <w:pPr>
        <w:adjustRightInd w:val="0"/>
        <w:snapToGrid w:val="0"/>
        <w:spacing w:line="360" w:lineRule="auto"/>
        <w:ind w:firstLine="480" w:firstLineChars="200"/>
        <w:rPr>
          <w:sz w:val="24"/>
          <w:szCs w:val="28"/>
        </w:rPr>
      </w:pPr>
      <w:r>
        <w:rPr>
          <w:rFonts w:hint="eastAsia"/>
          <w:sz w:val="24"/>
          <w:szCs w:val="28"/>
        </w:rPr>
        <w:t>填埋物进场填埋后，虽然采取铺匀分层逐层向上填埋作业，但由于堆体总高相对较高，存在堆体滑动或沉降的风险。根据可研报告，拟建场地地质稳定，场地主要地层分布稳定，不存在能导致场地滑移、大的变形和破坏等严重情况的地质条件，在严格做好填埋区排水和保证堆填工程质量的情况下，堆体产生滑坡等地质灾害的危险性较小。</w:t>
      </w:r>
    </w:p>
    <w:p>
      <w:pPr>
        <w:adjustRightInd w:val="0"/>
        <w:snapToGrid w:val="0"/>
        <w:spacing w:line="360" w:lineRule="auto"/>
        <w:ind w:firstLine="480" w:firstLineChars="200"/>
        <w:rPr>
          <w:sz w:val="24"/>
          <w:szCs w:val="28"/>
        </w:rPr>
      </w:pPr>
      <w:r>
        <w:rPr>
          <w:rFonts w:hint="eastAsia"/>
          <w:sz w:val="24"/>
          <w:szCs w:val="28"/>
        </w:rPr>
        <w:t>拟建填埋场设计在填埋库区采用坝型为混凝土重力坝，如坝基失稳、垮坝、开裂、渗透破坏等，可能造成溃坝事故，引起的人员伤亡或财产损失。</w:t>
      </w:r>
    </w:p>
    <w:p>
      <w:pPr>
        <w:pStyle w:val="62"/>
        <w:numPr>
          <w:ilvl w:val="2"/>
          <w:numId w:val="5"/>
        </w:numPr>
        <w:tabs>
          <w:tab w:val="left" w:pos="567"/>
          <w:tab w:val="left" w:pos="851"/>
          <w:tab w:val="clear" w:pos="1021"/>
        </w:tabs>
        <w:spacing w:before="156" w:after="156"/>
        <w:ind w:left="0" w:firstLine="0"/>
        <w:rPr>
          <w:rFonts w:ascii="Times New Roman" w:hAnsi="Times New Roman"/>
        </w:rPr>
      </w:pPr>
      <w:r>
        <w:rPr>
          <w:rFonts w:ascii="Times New Roman" w:hAnsi="Times New Roman"/>
        </w:rPr>
        <w:t>环境风险</w:t>
      </w:r>
      <w:r>
        <w:rPr>
          <w:rFonts w:hint="eastAsia" w:ascii="Times New Roman" w:hAnsi="Times New Roman"/>
        </w:rPr>
        <w:t>分析</w:t>
      </w:r>
    </w:p>
    <w:p>
      <w:pPr>
        <w:pStyle w:val="62"/>
        <w:numPr>
          <w:ilvl w:val="3"/>
          <w:numId w:val="5"/>
        </w:numPr>
        <w:tabs>
          <w:tab w:val="left" w:pos="851"/>
          <w:tab w:val="clear" w:pos="1021"/>
        </w:tabs>
        <w:spacing w:before="156" w:after="156"/>
        <w:outlineLvl w:val="3"/>
        <w:rPr>
          <w:rFonts w:ascii="Times New Roman" w:hAnsi="Times New Roman"/>
        </w:rPr>
      </w:pPr>
      <w:r>
        <w:rPr>
          <w:rFonts w:hint="eastAsia" w:ascii="Times New Roman" w:hAnsi="Times New Roman"/>
        </w:rPr>
        <w:t>事故源项分析</w:t>
      </w:r>
    </w:p>
    <w:p>
      <w:pPr>
        <w:adjustRightInd w:val="0"/>
        <w:snapToGrid w:val="0"/>
        <w:spacing w:line="360" w:lineRule="auto"/>
        <w:ind w:firstLine="480" w:firstLineChars="200"/>
        <w:rPr>
          <w:sz w:val="24"/>
        </w:rPr>
      </w:pPr>
      <w:r>
        <w:rPr>
          <w:rFonts w:hint="eastAsia"/>
          <w:sz w:val="24"/>
        </w:rPr>
        <w:t>根据同类型项目类比调查，本项目主要的风险存在于以下几个方面：</w:t>
      </w:r>
    </w:p>
    <w:p>
      <w:pPr>
        <w:adjustRightInd w:val="0"/>
        <w:snapToGrid w:val="0"/>
        <w:spacing w:line="360" w:lineRule="auto"/>
        <w:ind w:firstLine="482" w:firstLineChars="200"/>
        <w:rPr>
          <w:b/>
          <w:bCs/>
          <w:sz w:val="24"/>
        </w:rPr>
      </w:pPr>
      <w:r>
        <w:rPr>
          <w:rFonts w:hint="eastAsia"/>
          <w:b/>
          <w:bCs/>
          <w:sz w:val="24"/>
        </w:rPr>
        <w:t>（1）填埋防渗膜破坏</w:t>
      </w:r>
    </w:p>
    <w:p>
      <w:pPr>
        <w:adjustRightInd w:val="0"/>
        <w:snapToGrid w:val="0"/>
        <w:spacing w:line="360" w:lineRule="auto"/>
        <w:ind w:firstLine="480" w:firstLineChars="200"/>
        <w:rPr>
          <w:sz w:val="24"/>
        </w:rPr>
      </w:pPr>
      <w:r>
        <w:rPr>
          <w:rFonts w:hint="eastAsia"/>
          <w:sz w:val="24"/>
        </w:rPr>
        <w:t>本项目填埋库发生渗滤液泄漏事故概率很低，但一旦防渗层发生破漏事故，渗滤液直接排入地下水，将对地下水及土壤造成污染。</w:t>
      </w:r>
    </w:p>
    <w:p>
      <w:pPr>
        <w:adjustRightInd w:val="0"/>
        <w:snapToGrid w:val="0"/>
        <w:spacing w:line="360" w:lineRule="auto"/>
        <w:ind w:firstLine="482" w:firstLineChars="200"/>
        <w:rPr>
          <w:b/>
          <w:bCs/>
          <w:sz w:val="24"/>
        </w:rPr>
      </w:pPr>
      <w:r>
        <w:rPr>
          <w:rFonts w:hint="eastAsia"/>
          <w:b/>
          <w:bCs/>
          <w:sz w:val="24"/>
        </w:rPr>
        <w:t>（2）渗滤液收集设施故障</w:t>
      </w:r>
    </w:p>
    <w:p>
      <w:pPr>
        <w:adjustRightInd w:val="0"/>
        <w:snapToGrid w:val="0"/>
        <w:spacing w:line="360" w:lineRule="auto"/>
        <w:ind w:firstLine="480" w:firstLineChars="200"/>
        <w:rPr>
          <w:sz w:val="24"/>
        </w:rPr>
      </w:pPr>
      <w:r>
        <w:rPr>
          <w:rFonts w:hint="eastAsia"/>
          <w:sz w:val="24"/>
        </w:rPr>
        <w:t>渗滤液收集系统可能因管道堵塞、破裂或设计有缺陷而失效，未经处理的渗滤液直接外排，会影响纳污水体的环境质量，进而污染地下水和土壤。</w:t>
      </w:r>
    </w:p>
    <w:p>
      <w:pPr>
        <w:adjustRightInd w:val="0"/>
        <w:snapToGrid w:val="0"/>
        <w:spacing w:line="360" w:lineRule="auto"/>
        <w:ind w:firstLine="482" w:firstLineChars="200"/>
        <w:rPr>
          <w:b/>
          <w:bCs/>
          <w:sz w:val="24"/>
        </w:rPr>
      </w:pPr>
      <w:r>
        <w:rPr>
          <w:rFonts w:hint="eastAsia"/>
          <w:b/>
          <w:bCs/>
          <w:sz w:val="24"/>
        </w:rPr>
        <w:t>（3）渗滤液处理设施发生故障</w:t>
      </w:r>
    </w:p>
    <w:p>
      <w:pPr>
        <w:adjustRightInd w:val="0"/>
        <w:snapToGrid w:val="0"/>
        <w:spacing w:line="360" w:lineRule="auto"/>
        <w:ind w:firstLine="480" w:firstLineChars="200"/>
        <w:rPr>
          <w:sz w:val="24"/>
        </w:rPr>
      </w:pPr>
      <w:r>
        <w:rPr>
          <w:rFonts w:hint="eastAsia"/>
          <w:sz w:val="24"/>
        </w:rPr>
        <w:t>渗滤液处理站处理设施发生故障。如果未经处理的渗滤液一旦直接外排，会影响纳污水体的环境质量，污染地下水和土壤。</w:t>
      </w:r>
    </w:p>
    <w:p>
      <w:pPr>
        <w:adjustRightInd w:val="0"/>
        <w:snapToGrid w:val="0"/>
        <w:spacing w:line="360" w:lineRule="auto"/>
        <w:ind w:firstLine="482" w:firstLineChars="200"/>
        <w:rPr>
          <w:b/>
          <w:bCs/>
          <w:sz w:val="24"/>
        </w:rPr>
      </w:pPr>
      <w:r>
        <w:rPr>
          <w:rFonts w:hint="eastAsia"/>
          <w:b/>
          <w:bCs/>
          <w:sz w:val="24"/>
        </w:rPr>
        <w:t>（4）坝体溃坝风险分析</w:t>
      </w:r>
    </w:p>
    <w:p>
      <w:pPr>
        <w:adjustRightInd w:val="0"/>
        <w:snapToGrid w:val="0"/>
        <w:spacing w:line="360" w:lineRule="auto"/>
        <w:ind w:firstLine="480" w:firstLineChars="200"/>
        <w:rPr>
          <w:sz w:val="24"/>
        </w:rPr>
      </w:pPr>
      <w:r>
        <w:rPr>
          <w:rFonts w:hint="eastAsia"/>
          <w:sz w:val="24"/>
        </w:rPr>
        <w:t>本项目坝体采用混凝土重力坝，只要设计、施工严格按照有关标准执行，其安全性能是可靠的，但是，当遇到特大暴雨或发生地震等严重地质灾害时，则坝体可能会溃坝等安全问题。发生这种现象，将会影响渗滤液和地表径流的正常收集，使已填埋的填埋物冲向坝体外，对地表水、植被、土壤和地下水等造成严重影响，同时使填埋场无法正常运行。</w:t>
      </w:r>
    </w:p>
    <w:p>
      <w:pPr>
        <w:adjustRightInd w:val="0"/>
        <w:snapToGrid w:val="0"/>
        <w:spacing w:line="360" w:lineRule="auto"/>
        <w:ind w:firstLine="480" w:firstLineChars="200"/>
        <w:rPr>
          <w:sz w:val="24"/>
        </w:rPr>
      </w:pPr>
      <w:r>
        <w:rPr>
          <w:rFonts w:hint="eastAsia"/>
          <w:sz w:val="24"/>
        </w:rPr>
        <w:t>为杜绝坝体出现安全问题而引起环境污染，项目可研阶段设计根据场地地形的特点，坡形平缓，且将各种角度根据具体情况合理设计，确保坝体的抗滑动容许安全系数在标准要求的限值之内，同时建设单位和施工单位将严把质量关，确保坝体质量，故拟建项目溃坝的可能性较小。</w:t>
      </w:r>
    </w:p>
    <w:p>
      <w:pPr>
        <w:pStyle w:val="62"/>
        <w:numPr>
          <w:ilvl w:val="3"/>
          <w:numId w:val="5"/>
        </w:numPr>
        <w:tabs>
          <w:tab w:val="left" w:pos="851"/>
          <w:tab w:val="clear" w:pos="1021"/>
        </w:tabs>
        <w:spacing w:before="156" w:after="156"/>
        <w:outlineLvl w:val="3"/>
        <w:rPr>
          <w:rFonts w:ascii="Times New Roman" w:hAnsi="Times New Roman"/>
        </w:rPr>
      </w:pPr>
      <w:r>
        <w:rPr>
          <w:rFonts w:hint="eastAsia" w:ascii="Times New Roman" w:hAnsi="Times New Roman"/>
        </w:rPr>
        <w:t>最大可信事故及后果分析</w:t>
      </w:r>
      <w:r>
        <w:rPr>
          <w:rFonts w:ascii="Times New Roman" w:hAnsi="Times New Roman"/>
        </w:rPr>
        <w:t xml:space="preserve"> </w:t>
      </w:r>
    </w:p>
    <w:p>
      <w:pPr>
        <w:adjustRightInd w:val="0"/>
        <w:snapToGrid w:val="0"/>
        <w:spacing w:line="360" w:lineRule="auto"/>
        <w:ind w:firstLine="480" w:firstLineChars="200"/>
        <w:rPr>
          <w:sz w:val="24"/>
        </w:rPr>
      </w:pPr>
      <w:r>
        <w:rPr>
          <w:rFonts w:hint="eastAsia"/>
          <w:sz w:val="24"/>
        </w:rPr>
        <w:t>根据以上分析，确定本项目最大可信事故为填埋场防渗膜破坏，渗滤液泄漏和填埋堆体坍塌风险。</w:t>
      </w:r>
    </w:p>
    <w:p>
      <w:pPr>
        <w:adjustRightInd w:val="0"/>
        <w:snapToGrid w:val="0"/>
        <w:spacing w:line="360" w:lineRule="auto"/>
        <w:ind w:firstLine="480" w:firstLineChars="200"/>
        <w:rPr>
          <w:sz w:val="24"/>
        </w:rPr>
      </w:pPr>
      <w:r>
        <w:rPr>
          <w:rFonts w:hint="eastAsia"/>
          <w:sz w:val="24"/>
        </w:rPr>
        <w:t>1、渗滤液泄漏</w:t>
      </w:r>
    </w:p>
    <w:p>
      <w:pPr>
        <w:adjustRightInd w:val="0"/>
        <w:snapToGrid w:val="0"/>
        <w:spacing w:line="360" w:lineRule="auto"/>
        <w:ind w:firstLine="480" w:firstLineChars="200"/>
        <w:rPr>
          <w:sz w:val="24"/>
        </w:rPr>
      </w:pPr>
      <w:r>
        <w:rPr>
          <w:rFonts w:hint="eastAsia"/>
          <w:sz w:val="24"/>
        </w:rPr>
        <w:t>渗滤液泄漏主要原因包括：防渗系统破坏导致渗滤液进入地下渗漏、渗滤液导排系统失效导致导排过程中通过管道等位置泄漏、和渗滤液调节池位置由于运行不当或容积设计不足导致渗滤液溢出造成泄漏。</w:t>
      </w:r>
    </w:p>
    <w:p>
      <w:pPr>
        <w:adjustRightInd w:val="0"/>
        <w:snapToGrid w:val="0"/>
        <w:spacing w:line="360" w:lineRule="auto"/>
        <w:ind w:firstLine="480" w:firstLineChars="200"/>
        <w:rPr>
          <w:sz w:val="24"/>
        </w:rPr>
      </w:pPr>
      <w:r>
        <w:rPr>
          <w:rFonts w:hint="eastAsia"/>
          <w:sz w:val="24"/>
        </w:rPr>
        <w:t>渗滤液渗漏的预测对地下水的影响分析详见本报告</w:t>
      </w:r>
      <w:r>
        <w:rPr>
          <w:sz w:val="24"/>
        </w:rPr>
        <w:t>5.3</w:t>
      </w:r>
      <w:r>
        <w:rPr>
          <w:rFonts w:hint="eastAsia"/>
          <w:sz w:val="24"/>
        </w:rPr>
        <w:t>章节。根据预测，在实施填埋区、调节池等防渗、减少渗滤液的产生，雨污分流，及时覆盖、绿化并对地下水环境进行定期监测等防治措施后，项目产生的渗滤液对地下水环境不会造成明显影响。</w:t>
      </w:r>
    </w:p>
    <w:p>
      <w:pPr>
        <w:adjustRightInd w:val="0"/>
        <w:snapToGrid w:val="0"/>
        <w:spacing w:line="360" w:lineRule="auto"/>
        <w:ind w:firstLine="480" w:firstLineChars="200"/>
        <w:rPr>
          <w:sz w:val="24"/>
          <w:szCs w:val="24"/>
        </w:rPr>
      </w:pPr>
      <w:r>
        <w:rPr>
          <w:rFonts w:hint="eastAsia"/>
          <w:sz w:val="24"/>
          <w:szCs w:val="24"/>
        </w:rPr>
        <w:t>非正常状况下调节池中的渗滤液泄漏后，污染物向下游东南方向运移，污染物泄漏会对下游一定范围内的地下水环境造成影响，但各污染物在厂界处地下水中的浓度均满足《地下水质量标准》（GB/T14848-2017）中的Ⅲ类标准，</w:t>
      </w:r>
      <w:r>
        <w:rPr>
          <w:rFonts w:hint="eastAsia"/>
          <w:sz w:val="24"/>
        </w:rPr>
        <w:t>对地下水影响较小；</w:t>
      </w:r>
      <w:r>
        <w:rPr>
          <w:rFonts w:hint="eastAsia"/>
          <w:sz w:val="24"/>
          <w:szCs w:val="24"/>
        </w:rPr>
        <w:t>对下游保护目标的影响较小。</w:t>
      </w:r>
    </w:p>
    <w:p>
      <w:pPr>
        <w:adjustRightInd w:val="0"/>
        <w:snapToGrid w:val="0"/>
        <w:spacing w:line="360" w:lineRule="auto"/>
        <w:ind w:firstLine="480" w:firstLineChars="200"/>
        <w:rPr>
          <w:sz w:val="24"/>
        </w:rPr>
      </w:pPr>
      <w:r>
        <w:rPr>
          <w:rFonts w:hint="eastAsia"/>
          <w:sz w:val="24"/>
        </w:rPr>
        <w:t>本项目固化飞灰填埋区设置有渗漏检测系统，保证在防渗衬层发生渗滤液渗漏时能及时发现并采取必要的污染控制措施。渗漏检测系统设置于双人工复合衬层之间，收集、排出并检测液体通过主防渗层的渗漏液体，它包括双人工复合衬层之间的导排介质、集排水管道和集水井，并分区设置。检测层渗透系数应大于</w:t>
      </w:r>
      <w:r>
        <w:rPr>
          <w:sz w:val="24"/>
        </w:rPr>
        <w:t>0.1cm/s</w:t>
      </w:r>
      <w:r>
        <w:rPr>
          <w:rFonts w:hint="eastAsia"/>
          <w:sz w:val="24"/>
        </w:rPr>
        <w:t>。</w:t>
      </w:r>
    </w:p>
    <w:p>
      <w:pPr>
        <w:adjustRightInd w:val="0"/>
        <w:snapToGrid w:val="0"/>
        <w:spacing w:line="360" w:lineRule="auto"/>
        <w:ind w:firstLine="480" w:firstLineChars="200"/>
        <w:rPr>
          <w:sz w:val="24"/>
        </w:rPr>
      </w:pPr>
      <w:r>
        <w:rPr>
          <w:rFonts w:hint="eastAsia"/>
          <w:sz w:val="24"/>
        </w:rPr>
        <w:t>本评价建议建设单位做好库区防渗和渗滤液调节池底层防渗工作以及渗漏检测系统日常监测工作，并且加强环境安全管理，尽量避免非正常情况的发生，最大限度的避免生产运营过程中对地下水的影响。</w:t>
      </w:r>
    </w:p>
    <w:p>
      <w:pPr>
        <w:adjustRightInd w:val="0"/>
        <w:snapToGrid w:val="0"/>
        <w:spacing w:line="360" w:lineRule="auto"/>
        <w:ind w:firstLine="480" w:firstLineChars="200"/>
        <w:rPr>
          <w:sz w:val="24"/>
        </w:rPr>
      </w:pPr>
      <w:r>
        <w:rPr>
          <w:rFonts w:hint="eastAsia"/>
          <w:sz w:val="24"/>
        </w:rPr>
        <w:t>本项目设置的渗滤液调节池容积</w:t>
      </w:r>
      <w:r>
        <w:rPr>
          <w:sz w:val="24"/>
        </w:rPr>
        <w:t>3000m</w:t>
      </w:r>
      <w:r>
        <w:rPr>
          <w:sz w:val="24"/>
          <w:vertAlign w:val="superscript"/>
        </w:rPr>
        <w:t>3</w:t>
      </w:r>
      <w:r>
        <w:rPr>
          <w:rFonts w:hint="eastAsia"/>
          <w:sz w:val="24"/>
        </w:rPr>
        <w:t>考虑了项目区域最大暴雨量时渗滤液的产生量，并设置了完善的雨污分流和截洪导排措施，最大限度地降低了渗滤液外溢的发生。</w:t>
      </w:r>
    </w:p>
    <w:p>
      <w:pPr>
        <w:adjustRightInd w:val="0"/>
        <w:snapToGrid w:val="0"/>
        <w:spacing w:line="360" w:lineRule="auto"/>
        <w:ind w:firstLine="482" w:firstLineChars="200"/>
        <w:rPr>
          <w:b/>
          <w:bCs/>
          <w:sz w:val="24"/>
        </w:rPr>
      </w:pPr>
      <w:r>
        <w:rPr>
          <w:rFonts w:hint="eastAsia"/>
          <w:b/>
          <w:bCs/>
          <w:sz w:val="24"/>
        </w:rPr>
        <w:t>2、填埋堆体坍塌风险</w:t>
      </w:r>
    </w:p>
    <w:p>
      <w:pPr>
        <w:adjustRightInd w:val="0"/>
        <w:snapToGrid w:val="0"/>
        <w:spacing w:line="360" w:lineRule="auto"/>
        <w:ind w:firstLine="480" w:firstLineChars="200"/>
        <w:rPr>
          <w:sz w:val="24"/>
        </w:rPr>
      </w:pPr>
      <w:r>
        <w:rPr>
          <w:rFonts w:hint="eastAsia"/>
          <w:sz w:val="24"/>
        </w:rPr>
        <w:t>填埋场沉降量取决于最初的压实度、降解情况、填埋场的高度等因素。沉降主要发生在头5年，在之后的时间里，沉降量小，并呈递减趋势。</w:t>
      </w:r>
    </w:p>
    <w:p>
      <w:pPr>
        <w:adjustRightInd w:val="0"/>
        <w:snapToGrid w:val="0"/>
        <w:spacing w:line="360" w:lineRule="auto"/>
        <w:ind w:firstLine="480" w:firstLineChars="200"/>
        <w:rPr>
          <w:sz w:val="24"/>
        </w:rPr>
      </w:pPr>
      <w:r>
        <w:rPr>
          <w:rFonts w:hint="eastAsia"/>
          <w:sz w:val="24"/>
        </w:rPr>
        <w:t>填埋场沉降尤其是不均匀沉降(塌陷)具有负面的环境影响：填埋场沉降有可能使盖层的坡度降低甚至造成局部地方周边高中间低的情况，导致地表降雨排泄不畅或者向低洼处的汇集，致使大量雨水进入填埋场；填埋场的不均匀沉降有可能破坏盖层的结构，造成盖层发生断裂，降低盖层的排水能力；较严重的不均匀沉降还可以破坏气体收排设施。</w:t>
      </w:r>
    </w:p>
    <w:p>
      <w:pPr>
        <w:adjustRightInd w:val="0"/>
        <w:snapToGrid w:val="0"/>
        <w:spacing w:line="360" w:lineRule="auto"/>
        <w:ind w:firstLine="480" w:firstLineChars="200"/>
        <w:rPr>
          <w:sz w:val="24"/>
        </w:rPr>
      </w:pPr>
      <w:r>
        <w:rPr>
          <w:rFonts w:hint="eastAsia"/>
          <w:sz w:val="24"/>
        </w:rPr>
        <w:t>在填埋场设计、施工、运行和封场后管理中都必须考虑填埋场沉降的环境影响。进行填埋场盖层坡度设计时，应考虑沉降造成的坡度损失；填埋场盖层必须有稳定性、抗塌陷、抗断裂和边坡失稳、抗向下滑动、抗蠕动，有抵抗填埋场不均匀沉降的能力，如果发生沉降，应进行盖层恢复治理，剥去填埋场的覆盖层，调整填埋场的坡度，然后再铺设盖层。垃圾填埋过程中采用分层压实方法进行操作，按单元一次逐层推进，层层压实。在采取以上措施后，填埋场发生垃圾堆体坍塌的风险较小。</w:t>
      </w:r>
    </w:p>
    <w:p>
      <w:pPr>
        <w:pStyle w:val="62"/>
        <w:numPr>
          <w:ilvl w:val="2"/>
          <w:numId w:val="5"/>
        </w:numPr>
        <w:tabs>
          <w:tab w:val="left" w:pos="567"/>
          <w:tab w:val="left" w:pos="851"/>
          <w:tab w:val="clear" w:pos="1021"/>
        </w:tabs>
        <w:spacing w:before="156" w:after="156"/>
        <w:ind w:left="0" w:firstLine="0"/>
        <w:rPr>
          <w:rFonts w:ascii="Times New Roman" w:hAnsi="Times New Roman"/>
        </w:rPr>
      </w:pPr>
      <w:r>
        <w:rPr>
          <w:rFonts w:ascii="Times New Roman" w:hAnsi="Times New Roman"/>
        </w:rPr>
        <w:t>环境风险管理</w:t>
      </w:r>
      <w:r>
        <w:rPr>
          <w:rFonts w:hint="eastAsia" w:ascii="Times New Roman" w:hAnsi="Times New Roman"/>
        </w:rPr>
        <w:t>及防范措施</w:t>
      </w:r>
    </w:p>
    <w:p>
      <w:pPr>
        <w:pStyle w:val="62"/>
        <w:numPr>
          <w:ilvl w:val="3"/>
          <w:numId w:val="5"/>
        </w:numPr>
        <w:tabs>
          <w:tab w:val="left" w:pos="851"/>
          <w:tab w:val="clear" w:pos="1021"/>
        </w:tabs>
        <w:spacing w:before="156" w:after="156"/>
        <w:outlineLvl w:val="3"/>
        <w:rPr>
          <w:rFonts w:ascii="Times New Roman" w:hAnsi="Times New Roman"/>
        </w:rPr>
      </w:pPr>
      <w:r>
        <w:rPr>
          <w:rFonts w:hint="eastAsia" w:ascii="Times New Roman" w:hAnsi="Times New Roman"/>
        </w:rPr>
        <w:t>渗滤液防渗层渗漏防范措施</w:t>
      </w:r>
      <w:r>
        <w:rPr>
          <w:rFonts w:ascii="Times New Roman" w:hAnsi="Times New Roman"/>
        </w:rPr>
        <w:t xml:space="preserve"> </w:t>
      </w:r>
    </w:p>
    <w:p>
      <w:pPr>
        <w:spacing w:line="480" w:lineRule="exact"/>
        <w:ind w:firstLine="480" w:firstLineChars="200"/>
        <w:rPr>
          <w:rFonts w:ascii="宋体" w:hAnsi="宋体" w:cs="宋体"/>
          <w:sz w:val="24"/>
        </w:rPr>
      </w:pPr>
      <w:r>
        <w:rPr>
          <w:rFonts w:hint="eastAsia" w:ascii="宋体" w:hAnsi="宋体" w:cs="宋体"/>
          <w:sz w:val="24"/>
        </w:rPr>
        <w:t>防止渗滤液渗漏污染地下水是填埋场工程污染防治的最重要的问题。本项目采用的防渗材料高密度聚乙烯（</w:t>
      </w:r>
      <w:r>
        <w:rPr>
          <w:rFonts w:ascii="宋体" w:hAnsi="宋体" w:cs="宋体"/>
          <w:sz w:val="24"/>
        </w:rPr>
        <w:t>HDPE</w:t>
      </w:r>
      <w:r>
        <w:rPr>
          <w:rFonts w:hint="eastAsia" w:ascii="宋体" w:hAnsi="宋体" w:cs="宋体"/>
          <w:sz w:val="24"/>
        </w:rPr>
        <w:t>），防渗系数小于</w:t>
      </w:r>
      <w:r>
        <w:rPr>
          <w:rFonts w:ascii="宋体" w:hAnsi="宋体" w:cs="宋体"/>
          <w:sz w:val="24"/>
        </w:rPr>
        <w:t>10</w:t>
      </w:r>
      <w:r>
        <w:rPr>
          <w:rFonts w:ascii="宋体" w:hAnsi="宋体" w:cs="宋体"/>
          <w:sz w:val="24"/>
          <w:vertAlign w:val="superscript"/>
        </w:rPr>
        <w:t>-11</w:t>
      </w:r>
      <w:r>
        <w:rPr>
          <w:rFonts w:ascii="宋体" w:hAnsi="宋体" w:cs="宋体"/>
          <w:sz w:val="24"/>
        </w:rPr>
        <w:t>cm/s</w:t>
      </w:r>
      <w:r>
        <w:rPr>
          <w:rFonts w:hint="eastAsia" w:ascii="宋体" w:hAnsi="宋体" w:cs="宋体"/>
          <w:sz w:val="24"/>
        </w:rPr>
        <w:t>。填埋库区采用组合式双层衬层防渗结构方案，最大限度减少防渗膜破坏的可能性。</w:t>
      </w:r>
    </w:p>
    <w:p>
      <w:pPr>
        <w:spacing w:line="480" w:lineRule="exact"/>
        <w:ind w:firstLine="480" w:firstLineChars="200"/>
        <w:rPr>
          <w:rFonts w:ascii="宋体" w:hAnsi="宋体" w:cs="宋体"/>
          <w:sz w:val="24"/>
        </w:rPr>
      </w:pPr>
      <w:r>
        <w:rPr>
          <w:rFonts w:hint="eastAsia" w:ascii="宋体" w:hAnsi="宋体" w:cs="宋体"/>
          <w:sz w:val="24"/>
        </w:rPr>
        <w:t>针对填埋场渗滤液可能渗漏对地下水及土壤造成的危害，应定期对填埋场监测井的水质及土壤进行定期监测。如发现异常，及时查找原因进行处理，必要时应倒库对防渗层进行修补，防止污染进一步扩散。</w:t>
      </w:r>
    </w:p>
    <w:p>
      <w:pPr>
        <w:pStyle w:val="62"/>
        <w:numPr>
          <w:ilvl w:val="3"/>
          <w:numId w:val="5"/>
        </w:numPr>
        <w:tabs>
          <w:tab w:val="left" w:pos="851"/>
          <w:tab w:val="clear" w:pos="1021"/>
        </w:tabs>
        <w:spacing w:before="156" w:after="156"/>
        <w:outlineLvl w:val="3"/>
        <w:rPr>
          <w:rFonts w:ascii="Times New Roman" w:hAnsi="Times New Roman"/>
        </w:rPr>
      </w:pPr>
      <w:r>
        <w:rPr>
          <w:rFonts w:hint="eastAsia" w:ascii="Times New Roman" w:hAnsi="Times New Roman"/>
        </w:rPr>
        <w:t>渗滤液收集、处理设施故障防范措施</w:t>
      </w:r>
    </w:p>
    <w:p>
      <w:pPr>
        <w:spacing w:line="480" w:lineRule="exact"/>
        <w:ind w:firstLine="480" w:firstLineChars="200"/>
        <w:rPr>
          <w:rFonts w:ascii="宋体" w:hAnsi="宋体" w:cs="宋体"/>
          <w:sz w:val="24"/>
        </w:rPr>
      </w:pPr>
      <w:r>
        <w:rPr>
          <w:rFonts w:hint="eastAsia" w:ascii="宋体" w:hAnsi="宋体" w:cs="宋体"/>
          <w:sz w:val="24"/>
        </w:rPr>
        <w:t>渗滤液收集系统由导流层、主副盲沟和导排井构成。主盲沟内铺设</w:t>
      </w:r>
      <w:r>
        <w:rPr>
          <w:rFonts w:ascii="宋体" w:hAnsi="宋体" w:cs="宋体"/>
          <w:sz w:val="24"/>
        </w:rPr>
        <w:t>DN300</w:t>
      </w:r>
      <w:r>
        <w:rPr>
          <w:rFonts w:hint="eastAsia" w:ascii="宋体" w:hAnsi="宋体" w:cs="宋体"/>
          <w:sz w:val="24"/>
        </w:rPr>
        <w:t>的穿孔</w:t>
      </w:r>
      <w:r>
        <w:rPr>
          <w:rFonts w:ascii="宋体" w:hAnsi="宋体" w:cs="宋体"/>
          <w:sz w:val="24"/>
        </w:rPr>
        <w:t>HDPE</w:t>
      </w:r>
      <w:r>
        <w:rPr>
          <w:rFonts w:hint="eastAsia" w:ascii="宋体" w:hAnsi="宋体" w:cs="宋体"/>
          <w:sz w:val="24"/>
        </w:rPr>
        <w:t>管，管周边填充卵（砾）石以防淤堵。渗滤液导排层的坡度不宜小于</w:t>
      </w:r>
      <w:r>
        <w:rPr>
          <w:rFonts w:ascii="宋体" w:hAnsi="宋体" w:cs="宋体"/>
          <w:sz w:val="24"/>
        </w:rPr>
        <w:t>2%</w:t>
      </w:r>
      <w:r>
        <w:rPr>
          <w:rFonts w:hint="eastAsia" w:ascii="宋体" w:hAnsi="宋体" w:cs="宋体"/>
          <w:sz w:val="24"/>
        </w:rPr>
        <w:t>。</w:t>
      </w:r>
    </w:p>
    <w:p>
      <w:pPr>
        <w:spacing w:line="480" w:lineRule="exact"/>
        <w:ind w:firstLine="480" w:firstLineChars="200"/>
        <w:rPr>
          <w:rFonts w:ascii="宋体" w:hAnsi="宋体" w:cs="宋体"/>
          <w:sz w:val="24"/>
        </w:rPr>
      </w:pPr>
      <w:r>
        <w:rPr>
          <w:rFonts w:hint="eastAsia" w:ascii="宋体" w:hAnsi="宋体" w:cs="宋体"/>
          <w:sz w:val="24"/>
        </w:rPr>
        <w:t>首先应确保废水处理设施正常运行，确保污染物达到排放要求；当废水处理设施不能正常运行或处理效率降低时，所有渗滤液全部进入调节池，不外排。</w:t>
      </w:r>
    </w:p>
    <w:p>
      <w:pPr>
        <w:spacing w:line="480" w:lineRule="exact"/>
        <w:ind w:firstLine="480" w:firstLineChars="200"/>
        <w:rPr>
          <w:rFonts w:ascii="宋体" w:hAnsi="宋体" w:cs="宋体"/>
          <w:sz w:val="24"/>
        </w:rPr>
      </w:pPr>
      <w:r>
        <w:rPr>
          <w:rFonts w:hint="eastAsia" w:ascii="宋体" w:hAnsi="宋体" w:cs="宋体"/>
          <w:sz w:val="24"/>
        </w:rPr>
        <w:t>当发生暴雨导致渗滤液量增加时，所有渗滤液全部进入调节池。同时，每年雨季之前，完成截洪沟的清理和整修，确保其畅通无阻，确保雨污分流；在有大雨、暴雨预报时，及时抽干排空收集系统内的积液。</w:t>
      </w:r>
      <w:r>
        <w:rPr>
          <w:rFonts w:ascii="宋体" w:hAnsi="宋体" w:cs="宋体"/>
          <w:sz w:val="24"/>
        </w:rPr>
        <w:t xml:space="preserve"> </w:t>
      </w:r>
    </w:p>
    <w:p>
      <w:pPr>
        <w:pStyle w:val="62"/>
        <w:numPr>
          <w:ilvl w:val="3"/>
          <w:numId w:val="5"/>
        </w:numPr>
        <w:tabs>
          <w:tab w:val="left" w:pos="851"/>
          <w:tab w:val="clear" w:pos="1021"/>
        </w:tabs>
        <w:spacing w:before="156" w:after="156"/>
        <w:outlineLvl w:val="3"/>
        <w:rPr>
          <w:rFonts w:cs="宋体"/>
          <w:sz w:val="24"/>
        </w:rPr>
      </w:pPr>
      <w:r>
        <w:rPr>
          <w:rFonts w:hint="eastAsia" w:ascii="Times New Roman" w:hAnsi="Times New Roman"/>
        </w:rPr>
        <w:t>堆体沉降或滑动</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填埋物进场填埋后，虽然采取铺匀分层逐层向上填埋作业，但由于堆体总高相对较高，存在堆体滑动或沉降的风险。根据可研报告，拟建场地属稳定的建筑场地，场地主要地层分布稳定，不存在能导致场地滑移、大的变形和破坏等严重情况的地质条件。企业加强综合管理，严格填埋作业规范，保证堆填工程质量，可有效避免堆体产生滑坡等地质灾害危险。</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拟建填埋场设计在填埋库区采用垃圾坝坝型为混凝土重力坝，如坝基失稳、垮坝、开裂、渗透破坏等，可能造成溃坝事故，引起的人员伤亡或财产损失。通过区域地质资料与本次勘探结果综合分析，未发现有影响建筑场地稳定性的断裂构造，拟建场地适宜建设该工程。</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填埋场运行过程中应采取措施保障填埋场稳定性，根据要求定期对填埋堆体和边坡的稳定性进行分析评估，并根据评估结果确定是否对后续运行计划进行修订及采取必要的应急处置措施。</w:t>
      </w:r>
    </w:p>
    <w:p>
      <w:pPr>
        <w:pStyle w:val="62"/>
        <w:numPr>
          <w:ilvl w:val="3"/>
          <w:numId w:val="5"/>
        </w:numPr>
        <w:tabs>
          <w:tab w:val="left" w:pos="851"/>
          <w:tab w:val="clear" w:pos="1021"/>
        </w:tabs>
        <w:spacing w:before="156" w:after="156"/>
        <w:outlineLvl w:val="3"/>
        <w:rPr>
          <w:rFonts w:ascii="Times New Roman" w:hAnsi="Times New Roman"/>
        </w:rPr>
      </w:pPr>
      <w:r>
        <w:rPr>
          <w:rFonts w:hint="eastAsia" w:ascii="Times New Roman" w:hAnsi="Times New Roman"/>
        </w:rPr>
        <w:t>飞灰运输事故防范措施</w:t>
      </w:r>
      <w:r>
        <w:rPr>
          <w:rFonts w:ascii="Times New Roman" w:hAnsi="Times New Roman"/>
        </w:rPr>
        <w:t xml:space="preserve">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生活垃圾焚烧厂产生的飞灰经车辆封闭运输至本项目填埋场填埋。运输过程中的预防措施：</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1）采用符合国家标准的专用废物转运车，转运车内有防止废物周转箱翻倒的装置。运输车辆须经过主管单位审查，并持有关部门签发的许可证，负责运输的司机应通过严格培训，树立起高度的责任感，具备良好的工作技能、态度和作风。</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（2）运输车辆设置明显的标志，以引起关注。</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（3）运输废物的车将需持有运输许可证，其上注明废物来源、性质和运往地点。</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（4）对运输车辆配备通讯设备，以便在发生运输意外污染事故的情况下实施紧急救援和补救措施。</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（5）雨天进行运输时应格外小心谨慎，严防废物洒落泄漏，随雨水流失，扩大污染范围。</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（6）运输过程中如发生翻车事故，司机应立即向相关责任人报告并采取必要的应急措施防止飞灰泄漏，接到报告后应立即启动风险应急预案。</w:t>
      </w:r>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事故应急预案</w:t>
      </w:r>
    </w:p>
    <w:p>
      <w:pPr>
        <w:spacing w:line="480" w:lineRule="exact"/>
        <w:ind w:firstLine="480" w:firstLineChars="200"/>
        <w:rPr>
          <w:sz w:val="24"/>
          <w:szCs w:val="24"/>
        </w:rPr>
      </w:pPr>
      <w:r>
        <w:rPr>
          <w:sz w:val="24"/>
          <w:szCs w:val="24"/>
        </w:rPr>
        <w:t>（1）制定风险事故应急预案的目的</w:t>
      </w:r>
    </w:p>
    <w:p>
      <w:pPr>
        <w:spacing w:line="480" w:lineRule="exact"/>
        <w:ind w:firstLine="480" w:firstLineChars="200"/>
        <w:rPr>
          <w:sz w:val="24"/>
          <w:szCs w:val="24"/>
        </w:rPr>
      </w:pPr>
      <w:r>
        <w:rPr>
          <w:sz w:val="24"/>
          <w:szCs w:val="24"/>
        </w:rPr>
        <w:t>制定风险事故应急预案的目的是为了在发生风险事故时，能以最快的速度发挥最大的效能，有序的实施救援，尽快控制事态的发展，降低事故造成的危害，减少事故造成的损失。</w:t>
      </w:r>
    </w:p>
    <w:p>
      <w:pPr>
        <w:spacing w:line="480" w:lineRule="exact"/>
        <w:ind w:firstLine="480" w:firstLineChars="200"/>
        <w:rPr>
          <w:sz w:val="24"/>
          <w:szCs w:val="24"/>
        </w:rPr>
      </w:pPr>
      <w:r>
        <w:rPr>
          <w:sz w:val="24"/>
          <w:szCs w:val="24"/>
        </w:rPr>
        <w:t>（2）风险事故应急预案的基本要求</w:t>
      </w:r>
    </w:p>
    <w:p>
      <w:pPr>
        <w:spacing w:line="480" w:lineRule="exact"/>
        <w:ind w:firstLine="480" w:firstLineChars="200"/>
        <w:rPr>
          <w:sz w:val="24"/>
        </w:rPr>
      </w:pPr>
      <w:r>
        <w:rPr>
          <w:sz w:val="24"/>
        </w:rPr>
        <w:t>风险事故应急预案的基本要求包括：科学性、实用性和权威性。风险事故的应急救援工作是一项科学性很强的工作，必须开展科学分析和论证，制定严密、统一、完整的应急预案；应急预案应符合项目的客观情况，具有实用、简单、易掌握等特性，便于实施；对事故处置过程中职责、权限、任务、工作标准、奖励与处罚等做出明确规定，使之成为企业的一项制度，确保其权威性。</w:t>
      </w:r>
    </w:p>
    <w:p>
      <w:pPr>
        <w:spacing w:line="480" w:lineRule="exact"/>
        <w:ind w:firstLine="480" w:firstLineChars="200"/>
        <w:rPr>
          <w:sz w:val="24"/>
        </w:rPr>
      </w:pPr>
      <w:r>
        <w:rPr>
          <w:sz w:val="24"/>
        </w:rPr>
        <w:t>（3）环境风险应急组织机构设置及职责</w:t>
      </w:r>
    </w:p>
    <w:p>
      <w:pPr>
        <w:spacing w:line="480" w:lineRule="exact"/>
        <w:ind w:firstLine="480" w:firstLineChars="200"/>
        <w:rPr>
          <w:sz w:val="24"/>
        </w:rPr>
      </w:pPr>
      <w:r>
        <w:rPr>
          <w:sz w:val="24"/>
        </w:rPr>
        <w:t>应急指挥机构及职责见下表5.10-1</w:t>
      </w:r>
      <w:r>
        <w:rPr>
          <w:rFonts w:hint="eastAsia"/>
          <w:sz w:val="24"/>
        </w:rPr>
        <w:t>1</w:t>
      </w:r>
      <w:r>
        <w:rPr>
          <w:sz w:val="24"/>
        </w:rPr>
        <w:t>。</w:t>
      </w:r>
    </w:p>
    <w:p>
      <w:pPr>
        <w:spacing w:line="480" w:lineRule="exact"/>
        <w:jc w:val="center"/>
        <w:rPr>
          <w:b/>
          <w:sz w:val="24"/>
        </w:rPr>
      </w:pPr>
      <w:r>
        <w:rPr>
          <w:b/>
          <w:sz w:val="24"/>
        </w:rPr>
        <w:t>表5.10-1</w:t>
      </w:r>
      <w:r>
        <w:rPr>
          <w:rFonts w:hint="eastAsia"/>
          <w:b/>
          <w:sz w:val="24"/>
        </w:rPr>
        <w:t>1</w:t>
      </w:r>
      <w:r>
        <w:rPr>
          <w:b/>
          <w:sz w:val="24"/>
        </w:rPr>
        <w:t xml:space="preserve"> 应急指挥机构及职责</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3"/>
        <w:gridCol w:w="3124"/>
        <w:gridCol w:w="40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shd w:val="clear" w:color="auto" w:fill="auto"/>
            <w:vAlign w:val="center"/>
          </w:tcPr>
          <w:p>
            <w:pPr>
              <w:adjustRightInd w:val="0"/>
              <w:snapToGrid w:val="0"/>
              <w:jc w:val="center"/>
            </w:pPr>
            <w:r>
              <w:t>机构组成</w:t>
            </w:r>
          </w:p>
        </w:tc>
        <w:tc>
          <w:tcPr>
            <w:tcW w:w="1833" w:type="pct"/>
            <w:shd w:val="clear" w:color="auto" w:fill="auto"/>
            <w:vAlign w:val="center"/>
          </w:tcPr>
          <w:p>
            <w:pPr>
              <w:adjustRightInd w:val="0"/>
              <w:snapToGrid w:val="0"/>
              <w:jc w:val="center"/>
            </w:pPr>
            <w:r>
              <w:t>应急处置小组</w:t>
            </w:r>
          </w:p>
        </w:tc>
        <w:tc>
          <w:tcPr>
            <w:tcW w:w="2373" w:type="pct"/>
            <w:shd w:val="clear" w:color="auto" w:fill="auto"/>
            <w:vAlign w:val="center"/>
          </w:tcPr>
          <w:p>
            <w:pPr>
              <w:adjustRightInd w:val="0"/>
              <w:snapToGrid w:val="0"/>
              <w:jc w:val="center"/>
            </w:pPr>
            <w:r>
              <w:t>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vMerge w:val="restart"/>
            <w:shd w:val="clear" w:color="auto" w:fill="auto"/>
            <w:vAlign w:val="center"/>
          </w:tcPr>
          <w:p>
            <w:pPr>
              <w:adjustRightInd w:val="0"/>
              <w:snapToGrid w:val="0"/>
              <w:jc w:val="center"/>
            </w:pPr>
            <w:r>
              <w:t>现场指挥部</w:t>
            </w:r>
          </w:p>
        </w:tc>
        <w:tc>
          <w:tcPr>
            <w:tcW w:w="1833" w:type="pct"/>
            <w:shd w:val="clear" w:color="auto" w:fill="auto"/>
            <w:vAlign w:val="center"/>
          </w:tcPr>
          <w:p>
            <w:pPr>
              <w:adjustRightInd w:val="0"/>
              <w:snapToGrid w:val="0"/>
              <w:jc w:val="center"/>
            </w:pPr>
            <w:r>
              <w:t>现场总指挥</w:t>
            </w:r>
          </w:p>
        </w:tc>
        <w:tc>
          <w:tcPr>
            <w:tcW w:w="2373" w:type="pct"/>
            <w:shd w:val="clear" w:color="auto" w:fill="auto"/>
            <w:vAlign w:val="center"/>
          </w:tcPr>
          <w:p>
            <w:pPr>
              <w:adjustRightInd w:val="0"/>
              <w:snapToGrid w:val="0"/>
              <w:jc w:val="center"/>
            </w:pPr>
            <w:r>
              <w:t>组织指挥全公司的应急救援工作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vMerge w:val="continue"/>
            <w:shd w:val="clear" w:color="auto" w:fill="auto"/>
            <w:vAlign w:val="center"/>
          </w:tcPr>
          <w:p>
            <w:pPr>
              <w:adjustRightInd w:val="0"/>
              <w:snapToGrid w:val="0"/>
              <w:jc w:val="center"/>
            </w:pPr>
          </w:p>
        </w:tc>
        <w:tc>
          <w:tcPr>
            <w:tcW w:w="1833" w:type="pct"/>
            <w:shd w:val="clear" w:color="auto" w:fill="auto"/>
            <w:vAlign w:val="center"/>
          </w:tcPr>
          <w:p>
            <w:pPr>
              <w:adjustRightInd w:val="0"/>
              <w:snapToGrid w:val="0"/>
              <w:jc w:val="center"/>
            </w:pPr>
            <w:r>
              <w:t>现场副总指挥</w:t>
            </w:r>
          </w:p>
        </w:tc>
        <w:tc>
          <w:tcPr>
            <w:tcW w:w="2373" w:type="pct"/>
            <w:shd w:val="clear" w:color="auto" w:fill="auto"/>
            <w:vAlign w:val="center"/>
          </w:tcPr>
          <w:p>
            <w:pPr>
              <w:adjustRightInd w:val="0"/>
              <w:snapToGrid w:val="0"/>
              <w:jc w:val="center"/>
            </w:pPr>
            <w:r>
              <w:t>协助总指挥负责具体的应急救援指挥工作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vMerge w:val="restart"/>
            <w:shd w:val="clear" w:color="auto" w:fill="auto"/>
            <w:vAlign w:val="center"/>
          </w:tcPr>
          <w:p>
            <w:pPr>
              <w:adjustRightInd w:val="0"/>
              <w:snapToGrid w:val="0"/>
              <w:jc w:val="center"/>
            </w:pPr>
            <w:r>
              <w:t>应急处置小组</w:t>
            </w:r>
          </w:p>
        </w:tc>
        <w:tc>
          <w:tcPr>
            <w:tcW w:w="1833" w:type="pct"/>
            <w:shd w:val="clear" w:color="auto" w:fill="auto"/>
            <w:vAlign w:val="center"/>
          </w:tcPr>
          <w:p>
            <w:pPr>
              <w:adjustRightInd w:val="0"/>
              <w:snapToGrid w:val="0"/>
              <w:jc w:val="center"/>
            </w:pPr>
            <w:r>
              <w:t>生产抢险组</w:t>
            </w:r>
          </w:p>
        </w:tc>
        <w:tc>
          <w:tcPr>
            <w:tcW w:w="2373" w:type="pct"/>
            <w:shd w:val="clear" w:color="auto" w:fill="auto"/>
            <w:vAlign w:val="center"/>
          </w:tcPr>
          <w:p>
            <w:pPr>
              <w:adjustRightInd w:val="0"/>
              <w:snapToGrid w:val="0"/>
              <w:jc w:val="center"/>
            </w:pPr>
            <w:r>
              <w:t>各岗位操作人员负责事故处置时生产系统的开、停车调度工作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vMerge w:val="continue"/>
            <w:shd w:val="clear" w:color="auto" w:fill="auto"/>
            <w:vAlign w:val="center"/>
          </w:tcPr>
          <w:p>
            <w:pPr>
              <w:adjustRightInd w:val="0"/>
              <w:snapToGrid w:val="0"/>
              <w:jc w:val="center"/>
            </w:pPr>
          </w:p>
        </w:tc>
        <w:tc>
          <w:tcPr>
            <w:tcW w:w="1833" w:type="pct"/>
            <w:shd w:val="clear" w:color="auto" w:fill="auto"/>
            <w:vAlign w:val="center"/>
          </w:tcPr>
          <w:p>
            <w:pPr>
              <w:adjustRightInd w:val="0"/>
              <w:snapToGrid w:val="0"/>
              <w:jc w:val="center"/>
            </w:pPr>
            <w:r>
              <w:t>通讯联络组</w:t>
            </w:r>
          </w:p>
        </w:tc>
        <w:tc>
          <w:tcPr>
            <w:tcW w:w="2373" w:type="pct"/>
            <w:shd w:val="clear" w:color="auto" w:fill="auto"/>
            <w:vAlign w:val="center"/>
          </w:tcPr>
          <w:p>
            <w:pPr>
              <w:adjustRightInd w:val="0"/>
              <w:snapToGrid w:val="0"/>
              <w:jc w:val="center"/>
            </w:pPr>
            <w:r>
              <w:t>负责事故报警、事故现场通讯联络和对外联系，负责中毒及受伤人员救护工作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vMerge w:val="continue"/>
            <w:shd w:val="clear" w:color="auto" w:fill="auto"/>
            <w:vAlign w:val="center"/>
          </w:tcPr>
          <w:p>
            <w:pPr>
              <w:adjustRightInd w:val="0"/>
              <w:snapToGrid w:val="0"/>
              <w:jc w:val="center"/>
            </w:pPr>
          </w:p>
        </w:tc>
        <w:tc>
          <w:tcPr>
            <w:tcW w:w="1833" w:type="pct"/>
            <w:shd w:val="clear" w:color="auto" w:fill="auto"/>
            <w:vAlign w:val="center"/>
          </w:tcPr>
          <w:p>
            <w:pPr>
              <w:adjustRightInd w:val="0"/>
              <w:snapToGrid w:val="0"/>
              <w:jc w:val="center"/>
            </w:pPr>
            <w:r>
              <w:t>设备抢修组</w:t>
            </w:r>
          </w:p>
        </w:tc>
        <w:tc>
          <w:tcPr>
            <w:tcW w:w="2373" w:type="pct"/>
            <w:shd w:val="clear" w:color="auto" w:fill="auto"/>
            <w:vAlign w:val="center"/>
          </w:tcPr>
          <w:p>
            <w:pPr>
              <w:adjustRightInd w:val="0"/>
              <w:snapToGrid w:val="0"/>
              <w:jc w:val="center"/>
            </w:pPr>
            <w:r>
              <w:t>负责灭火、堵漏、应急等工作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94" w:type="pct"/>
            <w:vMerge w:val="continue"/>
            <w:shd w:val="clear" w:color="auto" w:fill="auto"/>
            <w:vAlign w:val="center"/>
          </w:tcPr>
          <w:p>
            <w:pPr>
              <w:adjustRightInd w:val="0"/>
              <w:snapToGrid w:val="0"/>
              <w:jc w:val="center"/>
            </w:pPr>
          </w:p>
        </w:tc>
        <w:tc>
          <w:tcPr>
            <w:tcW w:w="1833" w:type="pct"/>
            <w:shd w:val="clear" w:color="auto" w:fill="auto"/>
            <w:vAlign w:val="center"/>
          </w:tcPr>
          <w:p>
            <w:pPr>
              <w:adjustRightInd w:val="0"/>
              <w:snapToGrid w:val="0"/>
              <w:jc w:val="center"/>
            </w:pPr>
            <w:r>
              <w:t>警戒疏散救护组</w:t>
            </w:r>
          </w:p>
        </w:tc>
        <w:tc>
          <w:tcPr>
            <w:tcW w:w="2373" w:type="pct"/>
            <w:shd w:val="clear" w:color="auto" w:fill="auto"/>
            <w:vAlign w:val="center"/>
          </w:tcPr>
          <w:p>
            <w:pPr>
              <w:adjustRightInd w:val="0"/>
              <w:snapToGrid w:val="0"/>
              <w:jc w:val="center"/>
            </w:pPr>
            <w:r>
              <w:t>负责警戒、疏散等工作</w:t>
            </w:r>
          </w:p>
        </w:tc>
      </w:tr>
    </w:tbl>
    <w:p>
      <w:pPr>
        <w:spacing w:line="480" w:lineRule="exact"/>
        <w:ind w:firstLine="480" w:firstLineChars="200"/>
        <w:rPr>
          <w:sz w:val="24"/>
        </w:rPr>
      </w:pPr>
      <w:r>
        <w:rPr>
          <w:sz w:val="24"/>
        </w:rPr>
        <w:t>应急组织结构图详见图5.10-1。</w:t>
      </w:r>
    </w:p>
    <w:p>
      <w:pPr>
        <w:widowControl/>
        <w:jc w:val="center"/>
        <w:rPr>
          <w:kern w:val="0"/>
          <w:sz w:val="24"/>
          <w:szCs w:val="24"/>
        </w:rPr>
      </w:pPr>
      <w:r>
        <w:rPr>
          <w:kern w:val="0"/>
          <w:sz w:val="24"/>
          <w:szCs w:val="24"/>
        </w:rPr>
        <mc:AlternateContent>
          <mc:Choice Requires="wps">
            <w:drawing>
              <wp:anchor distT="45720" distB="45720" distL="114300" distR="114300" simplePos="0" relativeHeight="251688960" behindDoc="0" locked="0" layoutInCell="1" allowOverlap="1">
                <wp:simplePos x="0" y="0"/>
                <wp:positionH relativeFrom="column">
                  <wp:posOffset>1965960</wp:posOffset>
                </wp:positionH>
                <wp:positionV relativeFrom="paragraph">
                  <wp:posOffset>729615</wp:posOffset>
                </wp:positionV>
                <wp:extent cx="1560195" cy="241300"/>
                <wp:effectExtent l="0" t="0" r="21590" b="25400"/>
                <wp:wrapNone/>
                <wp:docPr id="1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59966" cy="241300"/>
                        </a:xfrm>
                        <a:prstGeom prst="rect">
                          <a:avLst/>
                        </a:prstGeom>
                        <a:solidFill>
                          <a:srgbClr val="FFFFFF"/>
                        </a:solidFill>
                        <a:ln w="9525">
                          <a:solidFill>
                            <a:srgbClr val="000000"/>
                          </a:solidFill>
                          <a:miter lim="800000"/>
                        </a:ln>
                      </wps:spPr>
                      <wps:txbx>
                        <w:txbxContent>
                          <w:p>
                            <w:pPr>
                              <w:adjustRightInd w:val="0"/>
                              <w:snapToGrid w:val="0"/>
                              <w:spacing w:line="240" w:lineRule="atLeast"/>
                              <w:jc w:val="center"/>
                              <w:rPr>
                                <w:sz w:val="18"/>
                                <w:szCs w:val="18"/>
                              </w:rPr>
                            </w:pPr>
                            <w:r>
                              <w:rPr>
                                <w:rFonts w:hint="eastAsia"/>
                                <w:sz w:val="18"/>
                                <w:szCs w:val="18"/>
                              </w:rPr>
                              <w:t>公司应急指挥中心</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54.8pt;margin-top:57.45pt;height:19pt;width:122.85pt;z-index:251688960;mso-width-relative:page;mso-height-relative:page;" fillcolor="#FFFFFF" filled="t" stroked="t" coordsize="21600,21600" o:gfxdata="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tmKqi2gAAAAsBAAAPAAAAAAAAAAEAIAAAACIAAABkcnMv&#10;ZG93bnJldi54bWxQSwECFAAUAAAACACHTuJATbP5UToCAAB8BAAADgAAAAAAAAABACAAAAApAQAA&#10;ZHJzL2Uyb0RvYy54bWxQSwUGAAAAAAYABgBZAQAA1QUAAAAA&#10;">
                <v:fill on="t" focussize="0,0"/>
                <v:stroke color="#000000" miterlimit="8" joinstyle="miter"/>
                <v:imagedata o:title=""/>
                <o:lock v:ext="edit" aspectratio="f"/>
                <v:textbox>
                  <w:txbxContent>
                    <w:p>
                      <w:pPr>
                        <w:adjustRightInd w:val="0"/>
                        <w:snapToGrid w:val="0"/>
                        <w:spacing w:line="240" w:lineRule="atLeast"/>
                        <w:jc w:val="center"/>
                        <w:rPr>
                          <w:sz w:val="18"/>
                          <w:szCs w:val="18"/>
                        </w:rPr>
                      </w:pPr>
                      <w:r>
                        <w:rPr>
                          <w:rFonts w:hint="eastAsia"/>
                          <w:sz w:val="18"/>
                          <w:szCs w:val="18"/>
                        </w:rPr>
                        <w:t>公司应急指挥中心</w:t>
                      </w:r>
                    </w:p>
                  </w:txbxContent>
                </v:textbox>
              </v:shape>
            </w:pict>
          </mc:Fallback>
        </mc:AlternateContent>
      </w:r>
      <w:r>
        <w:rPr>
          <w:kern w:val="0"/>
          <w:sz w:val="24"/>
          <w:szCs w:val="24"/>
        </w:rPr>
        <mc:AlternateContent>
          <mc:Choice Requires="wps">
            <w:drawing>
              <wp:anchor distT="45720" distB="45720" distL="114300" distR="114300" simplePos="0" relativeHeight="251681792" behindDoc="0" locked="0" layoutInCell="1" allowOverlap="1">
                <wp:simplePos x="0" y="0"/>
                <wp:positionH relativeFrom="column">
                  <wp:posOffset>2005330</wp:posOffset>
                </wp:positionH>
                <wp:positionV relativeFrom="paragraph">
                  <wp:posOffset>725805</wp:posOffset>
                </wp:positionV>
                <wp:extent cx="1517650" cy="249555"/>
                <wp:effectExtent l="0" t="0" r="25400" b="17145"/>
                <wp:wrapNone/>
                <wp:docPr id="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17650" cy="249555"/>
                        </a:xfrm>
                        <a:prstGeom prst="rect">
                          <a:avLst/>
                        </a:prstGeom>
                        <a:solidFill>
                          <a:srgbClr val="FFFFFF"/>
                        </a:solidFill>
                        <a:ln w="9525">
                          <a:solidFill>
                            <a:srgbClr val="000000"/>
                          </a:solidFill>
                          <a:miter lim="800000"/>
                        </a:ln>
                      </wps:spPr>
                      <wps:txbx>
                        <w:txbxContent>
                          <w:p>
                            <w:pPr>
                              <w:adjustRightInd w:val="0"/>
                              <w:snapToGrid w:val="0"/>
                              <w:spacing w:line="240" w:lineRule="atLeast"/>
                              <w:jc w:val="center"/>
                              <w:rPr>
                                <w:sz w:val="18"/>
                                <w:szCs w:val="18"/>
                              </w:rPr>
                            </w:pPr>
                            <w:r>
                              <w:rPr>
                                <w:rFonts w:hint="eastAsia"/>
                                <w:sz w:val="18"/>
                                <w:szCs w:val="18"/>
                              </w:rPr>
                              <w:t>公司应急指挥中心</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57.9pt;margin-top:57.15pt;height:19.65pt;width:119.5pt;z-index:251681792;mso-width-relative:page;mso-height-relative:page;" fillcolor="#FFFFFF" filled="t" stroked="t" coordsize="21600,21600" o:gfxdata="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3Zl3w9kAAAALAQAADwAAAAAAAAABACAAAAAiAAAAZHJzL2Rv&#10;d25yZXYueG1sUEsBAhQAFAAAAAgAh07iQAi2OW05AgAAewQAAA4AAAAAAAAAAQAgAAAAKAEAAGRy&#10;cy9lMm9Eb2MueG1sUEsFBgAAAAAGAAYAWQEAANMFAAAAAA==&#10;">
                <v:fill on="t" focussize="0,0"/>
                <v:stroke color="#000000" miterlimit="8" joinstyle="miter"/>
                <v:imagedata o:title=""/>
                <o:lock v:ext="edit" aspectratio="f"/>
                <v:textbox>
                  <w:txbxContent>
                    <w:p>
                      <w:pPr>
                        <w:adjustRightInd w:val="0"/>
                        <w:snapToGrid w:val="0"/>
                        <w:spacing w:line="240" w:lineRule="atLeast"/>
                        <w:jc w:val="center"/>
                        <w:rPr>
                          <w:sz w:val="18"/>
                          <w:szCs w:val="18"/>
                        </w:rPr>
                      </w:pPr>
                      <w:r>
                        <w:rPr>
                          <w:rFonts w:hint="eastAsia"/>
                          <w:sz w:val="18"/>
                          <w:szCs w:val="18"/>
                        </w:rPr>
                        <w:t>公司应急指挥中心</w:t>
                      </w:r>
                    </w:p>
                  </w:txbxContent>
                </v:textbox>
              </v:shape>
            </w:pict>
          </mc:Fallback>
        </mc:AlternateContent>
      </w:r>
      <w:r>
        <w:rPr>
          <w:kern w:val="0"/>
          <w:sz w:val="24"/>
          <w:szCs w:val="24"/>
        </w:rPr>
        <w:drawing>
          <wp:inline distT="0" distB="0" distL="0" distR="0">
            <wp:extent cx="3942715" cy="2378075"/>
            <wp:effectExtent l="0" t="0" r="635" b="3175"/>
            <wp:docPr id="7" name="图片 7" descr="说明: C:\Users\Administrator\AppData\Roaming\Tencent\Users\233077844\QQ\WinTemp\RichOle\C$V4O]MVO421M9)M]Q9{`Y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说明: C:\Users\Administrator\AppData\Roaming\Tencent\Users\233077844\QQ\WinTemp\RichOle\C$V4O]MVO421M9)M]Q9{`YH.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3951512" cy="2383880"/>
                    </a:xfrm>
                    <a:prstGeom prst="rect">
                      <a:avLst/>
                    </a:prstGeom>
                    <a:noFill/>
                    <a:ln>
                      <a:noFill/>
                    </a:ln>
                  </pic:spPr>
                </pic:pic>
              </a:graphicData>
            </a:graphic>
          </wp:inline>
        </w:drawing>
      </w:r>
    </w:p>
    <w:p>
      <w:pPr>
        <w:spacing w:line="480" w:lineRule="exact"/>
        <w:jc w:val="center"/>
        <w:rPr>
          <w:b/>
          <w:sz w:val="24"/>
        </w:rPr>
      </w:pPr>
      <w:r>
        <w:rPr>
          <w:b/>
          <w:sz w:val="24"/>
        </w:rPr>
        <w:t>图5.10-1  应急组织机构图</w:t>
      </w:r>
    </w:p>
    <w:p>
      <w:pPr>
        <w:spacing w:line="480" w:lineRule="exact"/>
        <w:ind w:firstLine="480" w:firstLineChars="200"/>
        <w:rPr>
          <w:sz w:val="24"/>
          <w:szCs w:val="24"/>
        </w:rPr>
      </w:pPr>
      <w:r>
        <w:rPr>
          <w:sz w:val="24"/>
        </w:rPr>
        <w:t>（4）</w:t>
      </w:r>
      <w:r>
        <w:rPr>
          <w:sz w:val="24"/>
          <w:szCs w:val="24"/>
        </w:rPr>
        <w:t>风险应急计划</w:t>
      </w:r>
    </w:p>
    <w:p>
      <w:pPr>
        <w:spacing w:line="480" w:lineRule="exact"/>
        <w:ind w:firstLine="480" w:firstLineChars="200"/>
        <w:rPr>
          <w:sz w:val="24"/>
        </w:rPr>
      </w:pPr>
      <w:r>
        <w:rPr>
          <w:sz w:val="24"/>
        </w:rPr>
        <w:t>根据建设项目环境风险评价技术导则要求，本项目需制定相关的环境保护应急预案。作为事故风险防范和应急对策的重要组成部分，应制定应急计划，其基本内容应包括应急组织、应急设施、应急通讯、应急监测、应急安全保卫、应急撤离措施、应急救援、应急培训计划等。</w:t>
      </w:r>
    </w:p>
    <w:p>
      <w:pPr>
        <w:spacing w:line="480" w:lineRule="exact"/>
        <w:ind w:firstLine="480" w:firstLineChars="200"/>
        <w:jc w:val="center"/>
        <w:rPr>
          <w:b/>
          <w:bCs/>
          <w:sz w:val="24"/>
          <w:szCs w:val="24"/>
        </w:rPr>
      </w:pPr>
      <w:r>
        <w:rPr>
          <w:sz w:val="24"/>
        </w:rPr>
        <w:t>针对可能出现的风险事故，本项目应采取的风险应急预案措施见表5.10-1</w:t>
      </w:r>
      <w:r>
        <w:rPr>
          <w:rFonts w:hint="eastAsia"/>
          <w:sz w:val="24"/>
        </w:rPr>
        <w:t>2</w:t>
      </w:r>
      <w:r>
        <w:rPr>
          <w:sz w:val="24"/>
        </w:rPr>
        <w:t>。</w:t>
      </w:r>
      <w:r>
        <w:rPr>
          <w:b/>
          <w:bCs/>
          <w:sz w:val="24"/>
          <w:szCs w:val="24"/>
        </w:rPr>
        <w:t>表5.10-1</w:t>
      </w:r>
      <w:r>
        <w:rPr>
          <w:rFonts w:hint="eastAsia"/>
          <w:b/>
          <w:bCs/>
          <w:sz w:val="24"/>
          <w:szCs w:val="24"/>
        </w:rPr>
        <w:t>2</w:t>
      </w:r>
      <w:r>
        <w:rPr>
          <w:b/>
          <w:bCs/>
          <w:sz w:val="24"/>
          <w:szCs w:val="24"/>
        </w:rPr>
        <w:t xml:space="preserve">    应急预案措施内容</w:t>
      </w:r>
    </w:p>
    <w:tbl>
      <w:tblPr>
        <w:tblStyle w:val="3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60"/>
        <w:gridCol w:w="2016"/>
        <w:gridCol w:w="57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序号</w:t>
            </w:r>
          </w:p>
        </w:tc>
        <w:tc>
          <w:tcPr>
            <w:tcW w:w="2016" w:type="dxa"/>
            <w:vAlign w:val="center"/>
          </w:tcPr>
          <w:p>
            <w:pPr>
              <w:adjustRightInd w:val="0"/>
              <w:snapToGrid w:val="0"/>
              <w:jc w:val="center"/>
              <w:rPr>
                <w:szCs w:val="21"/>
              </w:rPr>
            </w:pPr>
            <w:r>
              <w:rPr>
                <w:szCs w:val="21"/>
              </w:rPr>
              <w:t>项目</w:t>
            </w:r>
          </w:p>
        </w:tc>
        <w:tc>
          <w:tcPr>
            <w:tcW w:w="5746" w:type="dxa"/>
            <w:vAlign w:val="center"/>
          </w:tcPr>
          <w:p>
            <w:pPr>
              <w:adjustRightInd w:val="0"/>
              <w:snapToGrid w:val="0"/>
              <w:jc w:val="center"/>
              <w:rPr>
                <w:szCs w:val="21"/>
              </w:rPr>
            </w:pPr>
            <w:r>
              <w:rPr>
                <w:szCs w:val="21"/>
              </w:rPr>
              <w:t>内容及要求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1</w:t>
            </w:r>
          </w:p>
        </w:tc>
        <w:tc>
          <w:tcPr>
            <w:tcW w:w="2016" w:type="dxa"/>
            <w:vAlign w:val="center"/>
          </w:tcPr>
          <w:p>
            <w:pPr>
              <w:adjustRightInd w:val="0"/>
              <w:snapToGrid w:val="0"/>
              <w:jc w:val="center"/>
              <w:rPr>
                <w:szCs w:val="21"/>
              </w:rPr>
            </w:pPr>
            <w:r>
              <w:rPr>
                <w:szCs w:val="21"/>
              </w:rPr>
              <w:t>应急计划区</w:t>
            </w:r>
          </w:p>
        </w:tc>
        <w:tc>
          <w:tcPr>
            <w:tcW w:w="5746" w:type="dxa"/>
            <w:vAlign w:val="center"/>
          </w:tcPr>
          <w:p>
            <w:pPr>
              <w:adjustRightInd w:val="0"/>
              <w:snapToGrid w:val="0"/>
              <w:rPr>
                <w:szCs w:val="21"/>
              </w:rPr>
            </w:pPr>
            <w:r>
              <w:rPr>
                <w:szCs w:val="21"/>
              </w:rPr>
              <w:t>（1）</w:t>
            </w:r>
            <w:r>
              <w:rPr>
                <w:rFonts w:hint="eastAsia"/>
                <w:szCs w:val="21"/>
              </w:rPr>
              <w:t>危险目标：库区、渗滤液处理区、环境保护目标。</w:t>
            </w:r>
          </w:p>
          <w:p>
            <w:pPr>
              <w:adjustRightInd w:val="0"/>
              <w:snapToGrid w:val="0"/>
              <w:rPr>
                <w:szCs w:val="21"/>
              </w:rPr>
            </w:pPr>
            <w:r>
              <w:rPr>
                <w:szCs w:val="21"/>
              </w:rPr>
              <w:t>（2）环境保护目标：周边</w:t>
            </w:r>
            <w:r>
              <w:rPr>
                <w:rFonts w:hint="eastAsia"/>
                <w:szCs w:val="21"/>
              </w:rPr>
              <w:t>企业</w:t>
            </w:r>
            <w:r>
              <w:rPr>
                <w:szCs w:val="21"/>
              </w:rPr>
              <w:t>、地表水、地下水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2</w:t>
            </w:r>
          </w:p>
        </w:tc>
        <w:tc>
          <w:tcPr>
            <w:tcW w:w="2016" w:type="dxa"/>
            <w:vAlign w:val="center"/>
          </w:tcPr>
          <w:p>
            <w:pPr>
              <w:adjustRightInd w:val="0"/>
              <w:snapToGrid w:val="0"/>
              <w:jc w:val="center"/>
              <w:rPr>
                <w:szCs w:val="21"/>
              </w:rPr>
            </w:pPr>
            <w:r>
              <w:rPr>
                <w:szCs w:val="21"/>
              </w:rPr>
              <w:t>应急组织机构、人员</w:t>
            </w:r>
          </w:p>
        </w:tc>
        <w:tc>
          <w:tcPr>
            <w:tcW w:w="5746" w:type="dxa"/>
            <w:vAlign w:val="center"/>
          </w:tcPr>
          <w:p>
            <w:pPr>
              <w:adjustRightInd w:val="0"/>
              <w:snapToGrid w:val="0"/>
              <w:rPr>
                <w:szCs w:val="21"/>
              </w:rPr>
            </w:pPr>
            <w:r>
              <w:rPr>
                <w:szCs w:val="21"/>
              </w:rPr>
              <w:t>（1）公司</w:t>
            </w:r>
          </w:p>
          <w:p>
            <w:pPr>
              <w:adjustRightInd w:val="0"/>
              <w:snapToGrid w:val="0"/>
              <w:rPr>
                <w:szCs w:val="21"/>
              </w:rPr>
            </w:pPr>
            <w:r>
              <w:rPr>
                <w:szCs w:val="21"/>
              </w:rPr>
              <w:t>公司指挥部：负责现场全面指挥，由总经理任总指挥；公司救援队伍：负责事故控制、救援、善后处理，由指挥部负责组建。</w:t>
            </w:r>
          </w:p>
          <w:p>
            <w:pPr>
              <w:adjustRightInd w:val="0"/>
              <w:snapToGrid w:val="0"/>
              <w:rPr>
                <w:szCs w:val="21"/>
              </w:rPr>
            </w:pPr>
            <w:r>
              <w:rPr>
                <w:szCs w:val="21"/>
              </w:rPr>
              <w:t>（2）地区</w:t>
            </w:r>
          </w:p>
          <w:p>
            <w:pPr>
              <w:adjustRightInd w:val="0"/>
              <w:snapToGrid w:val="0"/>
              <w:rPr>
                <w:szCs w:val="21"/>
              </w:rPr>
            </w:pPr>
            <w:r>
              <w:rPr>
                <w:szCs w:val="21"/>
              </w:rPr>
              <w:t>地区指挥部：负责工程附近地区全面指挥、救援、管制、疏散；专业救援队伍：负责对公司救援队伍的支援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3</w:t>
            </w:r>
          </w:p>
        </w:tc>
        <w:tc>
          <w:tcPr>
            <w:tcW w:w="2016" w:type="dxa"/>
            <w:vAlign w:val="center"/>
          </w:tcPr>
          <w:p>
            <w:pPr>
              <w:adjustRightInd w:val="0"/>
              <w:snapToGrid w:val="0"/>
              <w:jc w:val="center"/>
              <w:rPr>
                <w:szCs w:val="21"/>
              </w:rPr>
            </w:pPr>
            <w:r>
              <w:rPr>
                <w:szCs w:val="21"/>
              </w:rPr>
              <w:t>预案分级响应条件</w:t>
            </w:r>
          </w:p>
        </w:tc>
        <w:tc>
          <w:tcPr>
            <w:tcW w:w="5746" w:type="dxa"/>
            <w:vAlign w:val="center"/>
          </w:tcPr>
          <w:p>
            <w:pPr>
              <w:adjustRightInd w:val="0"/>
              <w:snapToGrid w:val="0"/>
              <w:rPr>
                <w:szCs w:val="21"/>
              </w:rPr>
            </w:pPr>
            <w:r>
              <w:rPr>
                <w:rFonts w:hint="eastAsia"/>
                <w:szCs w:val="21"/>
              </w:rPr>
              <w:t>规定预案的级别及分级响应程序，应根据环境事件的可控性、严重程度和影响范围，坚持“企业自救、属地为主”的原则，超出本公司环境事件应急预案应急处 置能力时，应及时请求启动上一级应急预案。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4</w:t>
            </w:r>
          </w:p>
        </w:tc>
        <w:tc>
          <w:tcPr>
            <w:tcW w:w="2016" w:type="dxa"/>
            <w:vAlign w:val="center"/>
          </w:tcPr>
          <w:p>
            <w:pPr>
              <w:adjustRightInd w:val="0"/>
              <w:snapToGrid w:val="0"/>
              <w:jc w:val="center"/>
              <w:rPr>
                <w:szCs w:val="21"/>
              </w:rPr>
            </w:pPr>
            <w:r>
              <w:rPr>
                <w:szCs w:val="21"/>
              </w:rPr>
              <w:t>应急救援保障</w:t>
            </w:r>
          </w:p>
        </w:tc>
        <w:tc>
          <w:tcPr>
            <w:tcW w:w="5746" w:type="dxa"/>
            <w:vAlign w:val="center"/>
          </w:tcPr>
          <w:p>
            <w:pPr>
              <w:adjustRightInd w:val="0"/>
              <w:snapToGrid w:val="0"/>
              <w:rPr>
                <w:szCs w:val="21"/>
              </w:rPr>
            </w:pPr>
            <w:r>
              <w:rPr>
                <w:szCs w:val="21"/>
              </w:rPr>
              <w:t>应急设施、设备与器材，包括灭火、消防给水等；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5</w:t>
            </w:r>
          </w:p>
        </w:tc>
        <w:tc>
          <w:tcPr>
            <w:tcW w:w="2016" w:type="dxa"/>
            <w:vAlign w:val="center"/>
          </w:tcPr>
          <w:p>
            <w:pPr>
              <w:adjustRightInd w:val="0"/>
              <w:snapToGrid w:val="0"/>
              <w:jc w:val="center"/>
              <w:rPr>
                <w:szCs w:val="21"/>
              </w:rPr>
            </w:pPr>
            <w:r>
              <w:rPr>
                <w:szCs w:val="21"/>
              </w:rPr>
              <w:t>报警、通信联络方式</w:t>
            </w:r>
          </w:p>
        </w:tc>
        <w:tc>
          <w:tcPr>
            <w:tcW w:w="5746" w:type="dxa"/>
            <w:vAlign w:val="center"/>
          </w:tcPr>
          <w:p>
            <w:pPr>
              <w:adjustRightInd w:val="0"/>
              <w:snapToGrid w:val="0"/>
              <w:rPr>
                <w:szCs w:val="21"/>
              </w:rPr>
            </w:pPr>
            <w:r>
              <w:rPr>
                <w:szCs w:val="21"/>
              </w:rPr>
              <w:t>规定应急状态下的报警通讯方式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6</w:t>
            </w:r>
          </w:p>
        </w:tc>
        <w:tc>
          <w:tcPr>
            <w:tcW w:w="2016" w:type="dxa"/>
            <w:vAlign w:val="center"/>
          </w:tcPr>
          <w:p>
            <w:pPr>
              <w:adjustRightInd w:val="0"/>
              <w:snapToGrid w:val="0"/>
              <w:jc w:val="center"/>
              <w:rPr>
                <w:szCs w:val="21"/>
              </w:rPr>
            </w:pPr>
            <w:r>
              <w:rPr>
                <w:szCs w:val="21"/>
              </w:rPr>
              <w:t>应急环境监测、抢险、救援及控制措施</w:t>
            </w:r>
          </w:p>
        </w:tc>
        <w:tc>
          <w:tcPr>
            <w:tcW w:w="5746" w:type="dxa"/>
            <w:vAlign w:val="center"/>
          </w:tcPr>
          <w:p>
            <w:pPr>
              <w:adjustRightInd w:val="0"/>
              <w:snapToGrid w:val="0"/>
              <w:rPr>
                <w:szCs w:val="21"/>
              </w:rPr>
            </w:pPr>
            <w:r>
              <w:rPr>
                <w:szCs w:val="21"/>
              </w:rPr>
              <w:t>报警的同时，通知承德市、围场县环保局，由环境监测负责厂区及下风向敏感点的监测工作，并对事故性质、参数与后果进行评估，为指挥部门提供决策依据。</w:t>
            </w:r>
          </w:p>
          <w:p>
            <w:pPr>
              <w:adjustRightInd w:val="0"/>
              <w:snapToGrid w:val="0"/>
              <w:rPr>
                <w:szCs w:val="21"/>
              </w:rPr>
            </w:pPr>
            <w:r>
              <w:rPr>
                <w:szCs w:val="21"/>
              </w:rPr>
              <w:t>事故现场：控制事故、防止扩大、蔓延与连锁反应；</w:t>
            </w:r>
          </w:p>
          <w:p>
            <w:pPr>
              <w:adjustRightInd w:val="0"/>
              <w:snapToGrid w:val="0"/>
              <w:rPr>
                <w:szCs w:val="21"/>
              </w:rPr>
            </w:pPr>
            <w:r>
              <w:rPr>
                <w:szCs w:val="21"/>
              </w:rPr>
              <w:t>邻近区域：控制防火区域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7</w:t>
            </w:r>
          </w:p>
        </w:tc>
        <w:tc>
          <w:tcPr>
            <w:tcW w:w="2016" w:type="dxa"/>
            <w:vAlign w:val="center"/>
          </w:tcPr>
          <w:p>
            <w:pPr>
              <w:adjustRightInd w:val="0"/>
              <w:snapToGrid w:val="0"/>
              <w:jc w:val="center"/>
              <w:rPr>
                <w:rFonts w:eastAsia="仿宋_GB2312"/>
                <w:szCs w:val="21"/>
              </w:rPr>
            </w:pPr>
            <w:r>
              <w:rPr>
                <w:szCs w:val="21"/>
              </w:rPr>
              <w:t>人员紧急撤离、疏散，应急剂量控制、撤离组织计划</w:t>
            </w:r>
          </w:p>
        </w:tc>
        <w:tc>
          <w:tcPr>
            <w:tcW w:w="5746" w:type="dxa"/>
            <w:vAlign w:val="center"/>
          </w:tcPr>
          <w:p>
            <w:pPr>
              <w:adjustRightInd w:val="0"/>
              <w:snapToGrid w:val="0"/>
              <w:rPr>
                <w:szCs w:val="21"/>
              </w:rPr>
            </w:pPr>
            <w:r>
              <w:rPr>
                <w:szCs w:val="21"/>
              </w:rPr>
              <w:t>事故现场非救援队伍人员需紧急撤离至安全地带，在转移时要用湿毛巾掩住口鼻；并应切断电源、避免接触火种，以防发生爆炸和火灾；参加救援的工作人员要穿防护服和佩戴呼吸防护器。</w:t>
            </w:r>
          </w:p>
          <w:p>
            <w:pPr>
              <w:adjustRightInd w:val="0"/>
              <w:snapToGrid w:val="0"/>
              <w:rPr>
                <w:rFonts w:eastAsia="仿宋_GB2312"/>
                <w:szCs w:val="21"/>
              </w:rPr>
            </w:pPr>
            <w:r>
              <w:rPr>
                <w:szCs w:val="21"/>
              </w:rPr>
              <w:t>为保证公众健康，要尽量向上风向或侧上风向转移。建议下风向居民转移至下风向3km外区域或者向侧风向转移。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8</w:t>
            </w:r>
          </w:p>
        </w:tc>
        <w:tc>
          <w:tcPr>
            <w:tcW w:w="2016" w:type="dxa"/>
            <w:vAlign w:val="center"/>
          </w:tcPr>
          <w:p>
            <w:pPr>
              <w:adjustRightInd w:val="0"/>
              <w:snapToGrid w:val="0"/>
              <w:jc w:val="center"/>
              <w:rPr>
                <w:szCs w:val="21"/>
              </w:rPr>
            </w:pPr>
            <w:r>
              <w:rPr>
                <w:szCs w:val="21"/>
              </w:rPr>
              <w:t>应急救援关闭程序与恢复措施</w:t>
            </w:r>
          </w:p>
        </w:tc>
        <w:tc>
          <w:tcPr>
            <w:tcW w:w="5746" w:type="dxa"/>
            <w:vAlign w:val="center"/>
          </w:tcPr>
          <w:p>
            <w:pPr>
              <w:adjustRightInd w:val="0"/>
              <w:snapToGrid w:val="0"/>
              <w:rPr>
                <w:szCs w:val="21"/>
              </w:rPr>
            </w:pPr>
            <w:r>
              <w:rPr>
                <w:szCs w:val="21"/>
              </w:rPr>
              <w:t>事故应急救援程序的启动、关闭与恢复均由相应的应急组织机构的上一级主管部门发布。待厂区及下风向敏感点污染物浓度达标后，应急状态即可终止；清理现场，恢复措施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9</w:t>
            </w:r>
          </w:p>
        </w:tc>
        <w:tc>
          <w:tcPr>
            <w:tcW w:w="2016" w:type="dxa"/>
            <w:vAlign w:val="center"/>
          </w:tcPr>
          <w:p>
            <w:pPr>
              <w:adjustRightInd w:val="0"/>
              <w:snapToGrid w:val="0"/>
              <w:jc w:val="center"/>
              <w:rPr>
                <w:szCs w:val="21"/>
              </w:rPr>
            </w:pPr>
            <w:r>
              <w:rPr>
                <w:szCs w:val="21"/>
              </w:rPr>
              <w:t>事故应急培训计划</w:t>
            </w:r>
          </w:p>
        </w:tc>
        <w:tc>
          <w:tcPr>
            <w:tcW w:w="5746" w:type="dxa"/>
            <w:vAlign w:val="center"/>
          </w:tcPr>
          <w:p>
            <w:pPr>
              <w:adjustRightInd w:val="0"/>
              <w:snapToGrid w:val="0"/>
              <w:rPr>
                <w:szCs w:val="21"/>
              </w:rPr>
            </w:pPr>
            <w:r>
              <w:rPr>
                <w:szCs w:val="21"/>
              </w:rPr>
              <w:t>应急计划制定后，平时安排人员培训与演练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60" w:type="dxa"/>
            <w:vAlign w:val="center"/>
          </w:tcPr>
          <w:p>
            <w:pPr>
              <w:adjustRightInd w:val="0"/>
              <w:snapToGrid w:val="0"/>
              <w:jc w:val="center"/>
              <w:rPr>
                <w:szCs w:val="21"/>
              </w:rPr>
            </w:pPr>
            <w:r>
              <w:rPr>
                <w:szCs w:val="21"/>
              </w:rPr>
              <w:t>10</w:t>
            </w:r>
          </w:p>
        </w:tc>
        <w:tc>
          <w:tcPr>
            <w:tcW w:w="2016" w:type="dxa"/>
            <w:vAlign w:val="center"/>
          </w:tcPr>
          <w:p>
            <w:pPr>
              <w:adjustRightInd w:val="0"/>
              <w:snapToGrid w:val="0"/>
              <w:jc w:val="center"/>
              <w:rPr>
                <w:szCs w:val="21"/>
              </w:rPr>
            </w:pPr>
            <w:r>
              <w:rPr>
                <w:szCs w:val="21"/>
              </w:rPr>
              <w:t>公众教育和信息</w:t>
            </w:r>
          </w:p>
        </w:tc>
        <w:tc>
          <w:tcPr>
            <w:tcW w:w="5746" w:type="dxa"/>
            <w:vAlign w:val="center"/>
          </w:tcPr>
          <w:p>
            <w:pPr>
              <w:adjustRightInd w:val="0"/>
              <w:snapToGrid w:val="0"/>
              <w:rPr>
                <w:szCs w:val="21"/>
              </w:rPr>
            </w:pPr>
            <w:r>
              <w:rPr>
                <w:szCs w:val="21"/>
              </w:rPr>
              <w:t>对厂区邻近地区开展公众教育、培训和发布有关信息</w:t>
            </w:r>
          </w:p>
        </w:tc>
      </w:tr>
    </w:tbl>
    <w:p>
      <w:pPr>
        <w:adjustRightInd w:val="0"/>
        <w:snapToGrid w:val="0"/>
        <w:jc w:val="center"/>
        <w:rPr>
          <w:b/>
          <w:bCs/>
          <w:sz w:val="24"/>
          <w:szCs w:val="24"/>
        </w:rPr>
      </w:pPr>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分析结论</w:t>
      </w:r>
    </w:p>
    <w:p>
      <w:pPr>
        <w:adjustRightInd w:val="0"/>
        <w:snapToGrid w:val="0"/>
        <w:spacing w:line="360" w:lineRule="auto"/>
        <w:ind w:firstLine="480" w:firstLineChars="200"/>
        <w:rPr>
          <w:sz w:val="24"/>
        </w:rPr>
      </w:pPr>
      <w:r>
        <w:rPr>
          <w:rFonts w:hint="eastAsia"/>
          <w:sz w:val="24"/>
        </w:rPr>
        <w:t>（1）本项目无《建设项目环境风险评价技术导则》（</w:t>
      </w:r>
      <w:r>
        <w:rPr>
          <w:sz w:val="24"/>
        </w:rPr>
        <w:t>HJ 169-2018</w:t>
      </w:r>
      <w:r>
        <w:rPr>
          <w:rFonts w:hint="eastAsia"/>
          <w:sz w:val="24"/>
        </w:rPr>
        <w:t>）中的突发环境事件风险物质，判断本项目风险潜势为Ⅰ，则本项目风险评价等级为简单分析。</w:t>
      </w:r>
    </w:p>
    <w:p>
      <w:pPr>
        <w:adjustRightInd w:val="0"/>
        <w:snapToGrid w:val="0"/>
        <w:spacing w:line="360" w:lineRule="auto"/>
        <w:ind w:firstLine="480" w:firstLineChars="200"/>
        <w:rPr>
          <w:sz w:val="24"/>
        </w:rPr>
      </w:pPr>
      <w:r>
        <w:rPr>
          <w:rFonts w:hint="eastAsia"/>
          <w:sz w:val="24"/>
        </w:rPr>
        <w:t>（2）本项目最大可信事故设定为填埋场防渗系统破坏，渗滤液泄漏。本项目采取了较为完善的防范措施，事故发生可能很小。</w:t>
      </w:r>
    </w:p>
    <w:p>
      <w:pPr>
        <w:adjustRightInd w:val="0"/>
        <w:snapToGrid w:val="0"/>
        <w:spacing w:line="360" w:lineRule="auto"/>
        <w:ind w:firstLine="480" w:firstLineChars="200"/>
        <w:rPr>
          <w:sz w:val="24"/>
          <w:szCs w:val="24"/>
        </w:rPr>
      </w:pPr>
      <w:r>
        <w:rPr>
          <w:rFonts w:hint="eastAsia"/>
          <w:sz w:val="24"/>
          <w:szCs w:val="24"/>
        </w:rPr>
        <w:t>（3）各项预防和应急措施是确保本项目安全正常运行的前提，必须认真落实。</w:t>
      </w:r>
    </w:p>
    <w:p>
      <w:pPr>
        <w:adjustRightInd w:val="0"/>
        <w:snapToGrid w:val="0"/>
        <w:spacing w:line="360" w:lineRule="auto"/>
        <w:ind w:firstLine="480" w:firstLineChars="200"/>
        <w:rPr>
          <w:sz w:val="24"/>
          <w:szCs w:val="24"/>
        </w:rPr>
      </w:pPr>
      <w:r>
        <w:rPr>
          <w:sz w:val="24"/>
          <w:szCs w:val="24"/>
        </w:rPr>
        <w:t>综上所述，</w:t>
      </w:r>
      <w:r>
        <w:rPr>
          <w:rFonts w:hint="eastAsia"/>
          <w:sz w:val="24"/>
          <w:szCs w:val="24"/>
        </w:rPr>
        <w:t>综合评价认为，在加强监控、建立前述风险防范措施，并制定切实可行的应急预案的情况下，本项目的环境风险是可以接受的。建设项目环境风险简单分析内容表见表</w:t>
      </w:r>
      <w:r>
        <w:rPr>
          <w:sz w:val="24"/>
          <w:szCs w:val="24"/>
        </w:rPr>
        <w:t>5.10-13</w:t>
      </w:r>
      <w:r>
        <w:rPr>
          <w:rFonts w:hint="eastAsia"/>
          <w:sz w:val="24"/>
          <w:szCs w:val="24"/>
        </w:rPr>
        <w:t>。</w:t>
      </w:r>
    </w:p>
    <w:p>
      <w:pPr>
        <w:adjustRightInd w:val="0"/>
        <w:snapToGrid w:val="0"/>
        <w:spacing w:line="360" w:lineRule="auto"/>
        <w:ind w:firstLine="480" w:firstLineChars="200"/>
        <w:rPr>
          <w:sz w:val="24"/>
          <w:szCs w:val="24"/>
        </w:rPr>
      </w:pPr>
    </w:p>
    <w:p>
      <w:pPr>
        <w:spacing w:line="480" w:lineRule="exact"/>
        <w:jc w:val="center"/>
        <w:rPr>
          <w:b/>
          <w:bCs/>
          <w:sz w:val="24"/>
          <w:szCs w:val="24"/>
        </w:rPr>
      </w:pPr>
      <w:r>
        <w:rPr>
          <w:b/>
          <w:bCs/>
          <w:sz w:val="24"/>
          <w:szCs w:val="24"/>
        </w:rPr>
        <w:t>表5.10-1</w:t>
      </w:r>
      <w:r>
        <w:rPr>
          <w:rFonts w:hint="eastAsia"/>
          <w:b/>
          <w:bCs/>
          <w:sz w:val="24"/>
          <w:szCs w:val="24"/>
        </w:rPr>
        <w:t>3</w:t>
      </w:r>
      <w:r>
        <w:rPr>
          <w:b/>
          <w:bCs/>
          <w:sz w:val="24"/>
          <w:szCs w:val="24"/>
        </w:rPr>
        <w:t xml:space="preserve">   </w:t>
      </w:r>
      <w:r>
        <w:rPr>
          <w:rFonts w:hint="eastAsia"/>
          <w:b/>
          <w:bCs/>
          <w:sz w:val="24"/>
          <w:szCs w:val="24"/>
        </w:rPr>
        <w:t>建设项目环境风险简单分析内容表</w:t>
      </w:r>
    </w:p>
    <w:tbl>
      <w:tblPr>
        <w:tblStyle w:val="39"/>
        <w:tblW w:w="88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276"/>
        <w:gridCol w:w="1560"/>
        <w:gridCol w:w="850"/>
        <w:gridCol w:w="851"/>
        <w:gridCol w:w="1430"/>
        <w:gridCol w:w="14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 w:hRule="atLeast"/>
        </w:trPr>
        <w:tc>
          <w:tcPr>
            <w:tcW w:w="1384" w:type="dxa"/>
            <w:tcBorders>
              <w:right w:val="single" w:color="000000"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建设项目名称</w:t>
            </w:r>
          </w:p>
        </w:tc>
        <w:tc>
          <w:tcPr>
            <w:tcW w:w="7436" w:type="dxa"/>
            <w:gridSpan w:val="6"/>
            <w:tcBorders>
              <w:left w:val="single" w:color="000000"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围场满族蒙古族自治县静脉产业园飞灰填埋场项目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5" w:hRule="atLeast"/>
        </w:trPr>
        <w:tc>
          <w:tcPr>
            <w:tcW w:w="1384" w:type="dxa"/>
            <w:tcBorders>
              <w:right w:val="single" w:color="000000"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建设地点 </w:t>
            </w:r>
          </w:p>
        </w:tc>
        <w:tc>
          <w:tcPr>
            <w:tcW w:w="1276" w:type="dxa"/>
            <w:tcBorders>
              <w:left w:val="single" w:color="000000"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（河北）省 </w:t>
            </w:r>
          </w:p>
        </w:tc>
        <w:tc>
          <w:tcPr>
            <w:tcW w:w="1560" w:type="dxa"/>
            <w:vAlign w:val="center"/>
          </w:tcPr>
          <w:p>
            <w:pPr>
              <w:autoSpaceDE w:val="0"/>
              <w:autoSpaceDN w:val="0"/>
              <w:adjustRightInd w:val="0"/>
              <w:jc w:val="left"/>
              <w:rPr>
                <w:rFonts w:eastAsiaTheme="minorEastAsia"/>
                <w:kern w:val="0"/>
                <w:szCs w:val="21"/>
              </w:rPr>
            </w:pPr>
            <w:r>
              <w:rPr>
                <w:rFonts w:eastAsiaTheme="minorEastAsia"/>
                <w:kern w:val="0"/>
                <w:szCs w:val="21"/>
              </w:rPr>
              <w:t xml:space="preserve">（承德）市 </w:t>
            </w:r>
          </w:p>
        </w:tc>
        <w:tc>
          <w:tcPr>
            <w:tcW w:w="1701" w:type="dxa"/>
            <w:gridSpan w:val="2"/>
            <w:vAlign w:val="center"/>
          </w:tcPr>
          <w:p>
            <w:pPr>
              <w:autoSpaceDE w:val="0"/>
              <w:autoSpaceDN w:val="0"/>
              <w:adjustRightInd w:val="0"/>
              <w:jc w:val="left"/>
              <w:rPr>
                <w:rFonts w:eastAsiaTheme="minorEastAsia"/>
                <w:kern w:val="0"/>
                <w:szCs w:val="21"/>
              </w:rPr>
            </w:pPr>
            <w:r>
              <w:rPr>
                <w:rFonts w:eastAsiaTheme="minorEastAsia"/>
                <w:kern w:val="0"/>
                <w:szCs w:val="21"/>
              </w:rPr>
              <w:t xml:space="preserve">（）区 </w:t>
            </w:r>
          </w:p>
        </w:tc>
        <w:tc>
          <w:tcPr>
            <w:tcW w:w="1430" w:type="dxa"/>
            <w:vAlign w:val="center"/>
          </w:tcPr>
          <w:p>
            <w:pPr>
              <w:autoSpaceDE w:val="0"/>
              <w:autoSpaceDN w:val="0"/>
              <w:adjustRightInd w:val="0"/>
              <w:jc w:val="left"/>
              <w:rPr>
                <w:rFonts w:eastAsiaTheme="minorEastAsia"/>
                <w:kern w:val="0"/>
                <w:szCs w:val="21"/>
              </w:rPr>
            </w:pPr>
            <w:r>
              <w:rPr>
                <w:rFonts w:eastAsiaTheme="minorEastAsia"/>
                <w:kern w:val="0"/>
                <w:szCs w:val="21"/>
              </w:rPr>
              <w:t xml:space="preserve">（围场）县 </w:t>
            </w:r>
          </w:p>
        </w:tc>
        <w:tc>
          <w:tcPr>
            <w:tcW w:w="1469" w:type="dxa"/>
            <w:vAlign w:val="center"/>
          </w:tcPr>
          <w:p>
            <w:pPr>
              <w:autoSpaceDE w:val="0"/>
              <w:autoSpaceDN w:val="0"/>
              <w:adjustRightInd w:val="0"/>
              <w:jc w:val="left"/>
              <w:rPr>
                <w:rFonts w:eastAsiaTheme="minorEastAsia"/>
                <w:kern w:val="0"/>
                <w:szCs w:val="21"/>
              </w:rPr>
            </w:pPr>
            <w:r>
              <w:rPr>
                <w:rFonts w:eastAsiaTheme="minorEastAsia"/>
                <w:kern w:val="0"/>
                <w:szCs w:val="21"/>
              </w:rPr>
              <w:t xml:space="preserve">（）园区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trPr>
        <w:tc>
          <w:tcPr>
            <w:tcW w:w="1384" w:type="dxa"/>
            <w:tcBorders>
              <w:righ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地理坐标 </w:t>
            </w:r>
          </w:p>
        </w:tc>
        <w:tc>
          <w:tcPr>
            <w:tcW w:w="1276" w:type="dxa"/>
            <w:tcBorders>
              <w:lef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经度 </w:t>
            </w:r>
          </w:p>
        </w:tc>
        <w:tc>
          <w:tcPr>
            <w:tcW w:w="2410" w:type="dxa"/>
            <w:gridSpan w:val="2"/>
            <w:vAlign w:val="center"/>
          </w:tcPr>
          <w:p>
            <w:pPr>
              <w:autoSpaceDE w:val="0"/>
              <w:autoSpaceDN w:val="0"/>
              <w:adjustRightInd w:val="0"/>
              <w:snapToGrid w:val="0"/>
              <w:jc w:val="left"/>
              <w:rPr>
                <w:rFonts w:eastAsiaTheme="minorEastAsia"/>
                <w:kern w:val="0"/>
                <w:szCs w:val="21"/>
              </w:rPr>
            </w:pPr>
            <w:r>
              <w:rPr>
                <w:rFonts w:eastAsiaTheme="minorEastAsia"/>
                <w:kern w:val="0"/>
                <w:szCs w:val="21"/>
              </w:rPr>
              <w:t xml:space="preserve">东经 </w:t>
            </w:r>
            <w:r>
              <w:rPr>
                <w:rFonts w:eastAsiaTheme="minorEastAsia"/>
                <w:spacing w:val="4"/>
                <w:szCs w:val="21"/>
              </w:rPr>
              <w:t>117.7068078671°</w:t>
            </w:r>
          </w:p>
        </w:tc>
        <w:tc>
          <w:tcPr>
            <w:tcW w:w="851" w:type="dxa"/>
            <w:vAlign w:val="center"/>
          </w:tcPr>
          <w:p>
            <w:pPr>
              <w:autoSpaceDE w:val="0"/>
              <w:autoSpaceDN w:val="0"/>
              <w:adjustRightInd w:val="0"/>
              <w:jc w:val="left"/>
              <w:rPr>
                <w:rFonts w:eastAsiaTheme="minorEastAsia"/>
                <w:kern w:val="0"/>
                <w:szCs w:val="21"/>
              </w:rPr>
            </w:pPr>
            <w:r>
              <w:rPr>
                <w:rFonts w:eastAsiaTheme="minorEastAsia"/>
                <w:kern w:val="0"/>
                <w:szCs w:val="21"/>
              </w:rPr>
              <w:t xml:space="preserve">纬度 </w:t>
            </w:r>
          </w:p>
        </w:tc>
        <w:tc>
          <w:tcPr>
            <w:tcW w:w="2899" w:type="dxa"/>
            <w:gridSpan w:val="2"/>
            <w:vAlign w:val="center"/>
          </w:tcPr>
          <w:p>
            <w:pPr>
              <w:autoSpaceDE w:val="0"/>
              <w:autoSpaceDN w:val="0"/>
              <w:adjustRightInd w:val="0"/>
              <w:jc w:val="left"/>
              <w:rPr>
                <w:rFonts w:eastAsiaTheme="minorEastAsia"/>
                <w:kern w:val="0"/>
                <w:szCs w:val="21"/>
              </w:rPr>
            </w:pPr>
            <w:r>
              <w:rPr>
                <w:rFonts w:eastAsiaTheme="minorEastAsia"/>
                <w:kern w:val="0"/>
                <w:szCs w:val="21"/>
              </w:rPr>
              <w:t xml:space="preserve">北纬 </w:t>
            </w:r>
            <w:r>
              <w:rPr>
                <w:rFonts w:eastAsiaTheme="minorEastAsia"/>
                <w:spacing w:val="4"/>
                <w:szCs w:val="21"/>
              </w:rPr>
              <w:t>41.9962995546°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1" w:hRule="atLeast"/>
        </w:trPr>
        <w:tc>
          <w:tcPr>
            <w:tcW w:w="1384" w:type="dxa"/>
            <w:tcBorders>
              <w:righ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主要危险物质及分布 </w:t>
            </w:r>
          </w:p>
        </w:tc>
        <w:tc>
          <w:tcPr>
            <w:tcW w:w="7436" w:type="dxa"/>
            <w:gridSpan w:val="6"/>
            <w:tcBorders>
              <w:lef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主要为飞灰渗滤液泄漏，位于调节池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3" w:hRule="atLeast"/>
        </w:trPr>
        <w:tc>
          <w:tcPr>
            <w:tcW w:w="1384" w:type="dxa"/>
            <w:tcBorders>
              <w:righ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环境影响途径及危害后果（大气、地表水、地下水等） </w:t>
            </w:r>
          </w:p>
        </w:tc>
        <w:tc>
          <w:tcPr>
            <w:tcW w:w="7436" w:type="dxa"/>
            <w:gridSpan w:val="6"/>
            <w:tcBorders>
              <w:lef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（1）地表水环境</w:t>
            </w:r>
            <w:r>
              <w:rPr>
                <w:rFonts w:hint="eastAsia" w:eastAsiaTheme="minorEastAsia"/>
                <w:kern w:val="0"/>
                <w:szCs w:val="21"/>
              </w:rPr>
              <w:t>：</w:t>
            </w:r>
            <w:r>
              <w:rPr>
                <w:rFonts w:eastAsiaTheme="minorEastAsia"/>
                <w:kern w:val="0"/>
                <w:szCs w:val="21"/>
              </w:rPr>
              <w:t xml:space="preserve">飞灰渗滤液泄漏，流入周边地表水，对周边地表水造成污染。 </w:t>
            </w:r>
          </w:p>
          <w:p>
            <w:pPr>
              <w:autoSpaceDE w:val="0"/>
              <w:autoSpaceDN w:val="0"/>
              <w:adjustRightInd w:val="0"/>
              <w:jc w:val="left"/>
              <w:rPr>
                <w:rFonts w:eastAsiaTheme="minorEastAsia"/>
                <w:kern w:val="0"/>
                <w:szCs w:val="21"/>
              </w:rPr>
            </w:pPr>
            <w:r>
              <w:rPr>
                <w:rFonts w:eastAsiaTheme="minorEastAsia"/>
                <w:kern w:val="0"/>
                <w:szCs w:val="21"/>
              </w:rPr>
              <w:t>（2）土壤环境</w:t>
            </w:r>
            <w:r>
              <w:rPr>
                <w:rFonts w:hint="eastAsia" w:eastAsiaTheme="minorEastAsia"/>
                <w:kern w:val="0"/>
                <w:szCs w:val="21"/>
              </w:rPr>
              <w:t>：</w:t>
            </w:r>
            <w:r>
              <w:rPr>
                <w:rFonts w:eastAsiaTheme="minorEastAsia"/>
                <w:kern w:val="0"/>
                <w:szCs w:val="21"/>
              </w:rPr>
              <w:t xml:space="preserve">飞灰渗滤液泄漏进入土壤，对项目所在地土壤造成污染。 </w:t>
            </w:r>
          </w:p>
          <w:p>
            <w:pPr>
              <w:autoSpaceDE w:val="0"/>
              <w:autoSpaceDN w:val="0"/>
              <w:adjustRightInd w:val="0"/>
              <w:jc w:val="left"/>
              <w:rPr>
                <w:rFonts w:eastAsiaTheme="minorEastAsia"/>
                <w:kern w:val="0"/>
                <w:szCs w:val="21"/>
              </w:rPr>
            </w:pPr>
            <w:r>
              <w:rPr>
                <w:rFonts w:eastAsiaTheme="minorEastAsia"/>
                <w:kern w:val="0"/>
                <w:szCs w:val="21"/>
              </w:rPr>
              <w:t>（3）地下水环境</w:t>
            </w:r>
            <w:r>
              <w:rPr>
                <w:rFonts w:hint="eastAsia" w:eastAsiaTheme="minorEastAsia"/>
                <w:kern w:val="0"/>
                <w:szCs w:val="21"/>
              </w:rPr>
              <w:t>：</w:t>
            </w:r>
            <w:r>
              <w:rPr>
                <w:rFonts w:eastAsiaTheme="minorEastAsia"/>
                <w:kern w:val="0"/>
                <w:szCs w:val="21"/>
              </w:rPr>
              <w:t xml:space="preserve">飞灰渗滤液泄漏进入土壤后进入地下水，对项目所在地地下水造成污染。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3" w:hRule="atLeast"/>
        </w:trPr>
        <w:tc>
          <w:tcPr>
            <w:tcW w:w="1384" w:type="dxa"/>
            <w:tcBorders>
              <w:righ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风险防范措施要求 </w:t>
            </w:r>
          </w:p>
        </w:tc>
        <w:tc>
          <w:tcPr>
            <w:tcW w:w="7436" w:type="dxa"/>
            <w:gridSpan w:val="6"/>
            <w:tcBorders>
              <w:lef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针对填埋场渗滤液可能渗漏对地下水及土壤造成的危害，应定期对填埋场监测井的水质及土壤进行定期监测。如发现异常，及时查找原因进行处理，必要时应倒库对防渗层进行修补。 </w:t>
            </w:r>
          </w:p>
          <w:p>
            <w:pPr>
              <w:autoSpaceDE w:val="0"/>
              <w:autoSpaceDN w:val="0"/>
              <w:adjustRightInd w:val="0"/>
              <w:jc w:val="left"/>
              <w:rPr>
                <w:rFonts w:eastAsiaTheme="minorEastAsia"/>
                <w:kern w:val="0"/>
                <w:szCs w:val="21"/>
              </w:rPr>
            </w:pPr>
            <w:r>
              <w:rPr>
                <w:rFonts w:eastAsiaTheme="minorEastAsia"/>
                <w:kern w:val="0"/>
                <w:szCs w:val="21"/>
              </w:rPr>
              <w:t xml:space="preserve">本项目在填埋库区周边设置处地下水监测井，应加强监控措施、增加监测频次，当发现有污染迹象时，应及时查找原因，发现渗漏位置并采取补救措施，防止污染进一步扩散。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59" w:hRule="atLeast"/>
        </w:trPr>
        <w:tc>
          <w:tcPr>
            <w:tcW w:w="1384" w:type="dxa"/>
            <w:tcBorders>
              <w:righ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 xml:space="preserve">填表说明（列出项目相关信息及评价说明） </w:t>
            </w:r>
          </w:p>
        </w:tc>
        <w:tc>
          <w:tcPr>
            <w:tcW w:w="7436" w:type="dxa"/>
            <w:gridSpan w:val="6"/>
            <w:tcBorders>
              <w:left w:val="single" w:color="auto" w:sz="12" w:space="0"/>
            </w:tcBorders>
            <w:vAlign w:val="center"/>
          </w:tcPr>
          <w:p>
            <w:pPr>
              <w:autoSpaceDE w:val="0"/>
              <w:autoSpaceDN w:val="0"/>
              <w:adjustRightInd w:val="0"/>
              <w:jc w:val="left"/>
              <w:rPr>
                <w:rFonts w:eastAsiaTheme="minorEastAsia"/>
                <w:kern w:val="0"/>
                <w:szCs w:val="21"/>
              </w:rPr>
            </w:pPr>
            <w:r>
              <w:rPr>
                <w:rFonts w:eastAsiaTheme="minorEastAsia"/>
                <w:kern w:val="0"/>
                <w:szCs w:val="21"/>
              </w:rPr>
              <w:t>项目实施后主要为</w:t>
            </w:r>
            <w:r>
              <w:rPr>
                <w:rFonts w:hint="eastAsia" w:eastAsiaTheme="minorEastAsia"/>
                <w:kern w:val="0"/>
                <w:szCs w:val="21"/>
              </w:rPr>
              <w:t>固化后</w:t>
            </w:r>
            <w:r>
              <w:rPr>
                <w:rFonts w:eastAsiaTheme="minorEastAsia"/>
                <w:kern w:val="0"/>
                <w:szCs w:val="21"/>
              </w:rPr>
              <w:t>飞灰填埋。根据《建设项目环境风险评价技术导则》（HJ 169-2018）和《危险化学品重大危险源辨识》（GB18218-2018），本项目不存在危险物质，不构成重大危险源，环境风险潜势为Ⅰ，环境风险评价工作等级为简单分析。经过分析，本项目主要环境风险事故类型为渗滤液泄漏事故，由此对环境造成地表水、土壤、地下水的污染及人群的危害。</w:t>
            </w:r>
          </w:p>
          <w:p>
            <w:pPr>
              <w:autoSpaceDE w:val="0"/>
              <w:autoSpaceDN w:val="0"/>
              <w:adjustRightInd w:val="0"/>
              <w:jc w:val="left"/>
              <w:rPr>
                <w:rFonts w:eastAsiaTheme="minorEastAsia"/>
                <w:kern w:val="0"/>
                <w:szCs w:val="21"/>
              </w:rPr>
            </w:pPr>
            <w:r>
              <w:rPr>
                <w:rFonts w:eastAsiaTheme="minorEastAsia"/>
                <w:kern w:val="0"/>
                <w:szCs w:val="21"/>
              </w:rPr>
              <w:t xml:space="preserve">建设单位应按照本评价要求，做好各项风险的防范措施。项目在严格落实环评提出各项措施和要求的前提下，项目风险事故基本可在厂内解决，影响在可恢复范围内，影响不大，从环境风险角度分析，本项目的环境风险水平是可接受的。 </w:t>
            </w:r>
          </w:p>
        </w:tc>
      </w:tr>
    </w:tbl>
    <w:p>
      <w:pPr>
        <w:spacing w:line="480" w:lineRule="exact"/>
        <w:ind w:firstLine="480" w:firstLineChars="200"/>
        <w:jc w:val="center"/>
        <w:rPr>
          <w:sz w:val="24"/>
          <w:szCs w:val="24"/>
        </w:rPr>
      </w:pPr>
    </w:p>
    <w:p>
      <w:pPr>
        <w:spacing w:line="480" w:lineRule="exact"/>
        <w:ind w:firstLine="480" w:firstLineChars="200"/>
        <w:jc w:val="center"/>
        <w:rPr>
          <w:sz w:val="24"/>
          <w:szCs w:val="24"/>
        </w:rPr>
      </w:pPr>
    </w:p>
    <w:p>
      <w:pPr>
        <w:spacing w:line="480" w:lineRule="exact"/>
        <w:ind w:firstLine="480" w:firstLineChars="200"/>
        <w:jc w:val="center"/>
        <w:rPr>
          <w:sz w:val="24"/>
          <w:szCs w:val="24"/>
        </w:rPr>
      </w:pPr>
    </w:p>
    <w:p>
      <w:pPr>
        <w:spacing w:line="480" w:lineRule="exact"/>
        <w:ind w:firstLine="480" w:firstLineChars="200"/>
        <w:jc w:val="center"/>
        <w:rPr>
          <w:sz w:val="24"/>
          <w:szCs w:val="24"/>
        </w:rPr>
      </w:pPr>
    </w:p>
    <w:p>
      <w:pPr>
        <w:sectPr>
          <w:pgSz w:w="11906" w:h="16838"/>
          <w:pgMar w:top="1440" w:right="1800" w:bottom="1440" w:left="1800" w:header="851" w:footer="992" w:gutter="0"/>
          <w:cols w:space="425" w:num="1"/>
          <w:docGrid w:type="lines" w:linePitch="312" w:charSpace="0"/>
        </w:sectPr>
      </w:pPr>
    </w:p>
    <w:p>
      <w:pPr>
        <w:keepNext/>
        <w:keepLines/>
        <w:numPr>
          <w:ilvl w:val="0"/>
          <w:numId w:val="5"/>
        </w:numPr>
        <w:snapToGrid w:val="0"/>
        <w:spacing w:before="50" w:after="50" w:line="360" w:lineRule="auto"/>
        <w:jc w:val="center"/>
        <w:outlineLvl w:val="0"/>
        <w:rPr>
          <w:b/>
          <w:bCs/>
          <w:kern w:val="44"/>
          <w:sz w:val="32"/>
          <w:szCs w:val="32"/>
        </w:rPr>
      </w:pPr>
      <w:bookmarkStart w:id="145" w:name="_Toc94101232"/>
      <w:bookmarkStart w:id="146" w:name="_Toc518025917"/>
      <w:r>
        <w:rPr>
          <w:b/>
          <w:bCs/>
          <w:kern w:val="44"/>
          <w:sz w:val="32"/>
          <w:szCs w:val="32"/>
        </w:rPr>
        <w:t>环境保护措施及经济技术可行性论证</w:t>
      </w:r>
      <w:bookmarkEnd w:id="145"/>
      <w:bookmarkEnd w:id="146"/>
    </w:p>
    <w:p>
      <w:pPr>
        <w:pStyle w:val="61"/>
        <w:numPr>
          <w:ilvl w:val="1"/>
          <w:numId w:val="5"/>
        </w:numPr>
        <w:tabs>
          <w:tab w:val="left" w:pos="567"/>
          <w:tab w:val="clear" w:pos="432"/>
        </w:tabs>
        <w:spacing w:before="156" w:after="156"/>
        <w:ind w:left="0" w:firstLine="0"/>
        <w:rPr>
          <w:rFonts w:ascii="Times New Roman" w:hAnsi="Times New Roman"/>
        </w:rPr>
      </w:pPr>
      <w:bookmarkStart w:id="147" w:name="_Toc94101233"/>
      <w:bookmarkStart w:id="148" w:name="_Toc518025918"/>
      <w:r>
        <w:rPr>
          <w:rFonts w:ascii="Times New Roman" w:hAnsi="Times New Roman"/>
        </w:rPr>
        <w:t>施工期污染防治措施</w:t>
      </w:r>
      <w:bookmarkEnd w:id="147"/>
      <w:bookmarkEnd w:id="148"/>
    </w:p>
    <w:p>
      <w:pPr>
        <w:pStyle w:val="62"/>
        <w:numPr>
          <w:ilvl w:val="2"/>
          <w:numId w:val="5"/>
        </w:numPr>
        <w:tabs>
          <w:tab w:val="left" w:pos="567"/>
        </w:tabs>
        <w:spacing w:before="156" w:after="156"/>
        <w:ind w:left="0" w:firstLine="0"/>
        <w:rPr>
          <w:rFonts w:ascii="Times New Roman" w:hAnsi="Times New Roman"/>
        </w:rPr>
      </w:pPr>
      <w:bookmarkStart w:id="149" w:name="_Toc518025919"/>
      <w:r>
        <w:rPr>
          <w:rFonts w:ascii="Times New Roman" w:hAnsi="Times New Roman"/>
        </w:rPr>
        <w:t>大气污染防治措施</w:t>
      </w:r>
      <w:bookmarkEnd w:id="149"/>
    </w:p>
    <w:p>
      <w:pPr>
        <w:pStyle w:val="2"/>
        <w:adjustRightInd w:val="0"/>
        <w:snapToGrid w:val="0"/>
        <w:spacing w:after="0" w:line="360" w:lineRule="auto"/>
        <w:ind w:left="0" w:leftChars="0" w:firstLine="480"/>
        <w:rPr>
          <w:sz w:val="24"/>
          <w:szCs w:val="24"/>
        </w:rPr>
      </w:pPr>
      <w:r>
        <w:rPr>
          <w:sz w:val="24"/>
          <w:szCs w:val="24"/>
        </w:rPr>
        <w:t>为有效控制扬尘污染，本评价要求项目建设及施工单位严格执行《施工场地扬尘排放标准》(DB13/2934-2019)、《河北省大气污染防治条例》（2016年1月13日）、《关于印发&lt;河北省2018年建筑施工与城市道路扬尘整治工作方案&gt;的通知》(冀建安[2018]8号)、《中共河北省委河北省人民政府关于强化推进大气污染综合治理的意见》（冀发[2017]7号）、《河北省人民代表大会常务委员会关于加强扬尘污染防治的决定》、《扬尘在线监测系统建设及运行技术规范》(DB13/T2935-2019)，同时结合《防治城市扬尘污染技术规范》(HJ/T393-2007)及同类施工场地采取的抑尘措施，对项目施工提出以下扬尘控制要求。通过采取以下抑尘措施后，可较大限度的降低施工扬尘对周围环境的影响。</w:t>
      </w:r>
    </w:p>
    <w:p>
      <w:pPr>
        <w:pStyle w:val="2"/>
        <w:adjustRightInd w:val="0"/>
        <w:snapToGrid w:val="0"/>
        <w:spacing w:after="0" w:line="360" w:lineRule="auto"/>
        <w:ind w:left="0" w:leftChars="0" w:firstLine="480"/>
        <w:rPr>
          <w:sz w:val="24"/>
          <w:szCs w:val="24"/>
        </w:rPr>
      </w:pPr>
      <w:r>
        <w:rPr>
          <w:sz w:val="24"/>
          <w:szCs w:val="24"/>
        </w:rPr>
        <w:t>具体</w:t>
      </w:r>
      <w:r>
        <w:rPr>
          <w:rFonts w:hint="eastAsia"/>
          <w:sz w:val="24"/>
          <w:szCs w:val="24"/>
        </w:rPr>
        <w:t>措施</w:t>
      </w:r>
      <w:r>
        <w:rPr>
          <w:sz w:val="24"/>
          <w:szCs w:val="24"/>
        </w:rPr>
        <w:t>见表6.1-1。</w:t>
      </w:r>
    </w:p>
    <w:p>
      <w:pPr>
        <w:adjustRightInd w:val="0"/>
        <w:jc w:val="center"/>
        <w:rPr>
          <w:rFonts w:eastAsia="黑体"/>
          <w:spacing w:val="5"/>
          <w:sz w:val="24"/>
          <w:szCs w:val="24"/>
        </w:rPr>
      </w:pPr>
      <w:r>
        <w:rPr>
          <w:rFonts w:eastAsia="黑体"/>
          <w:spacing w:val="5"/>
          <w:sz w:val="24"/>
          <w:szCs w:val="24"/>
        </w:rPr>
        <w:t>表6.1-1    施工期扬尘污染防治措施一览表</w:t>
      </w:r>
    </w:p>
    <w:tbl>
      <w:tblPr>
        <w:tblStyle w:val="39"/>
        <w:tblW w:w="835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451"/>
        <w:gridCol w:w="850"/>
        <w:gridCol w:w="3969"/>
        <w:gridCol w:w="30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adjustRightInd w:val="0"/>
              <w:snapToGrid w:val="0"/>
              <w:jc w:val="center"/>
            </w:pPr>
            <w:r>
              <w:t>序号</w:t>
            </w:r>
          </w:p>
        </w:tc>
        <w:tc>
          <w:tcPr>
            <w:tcW w:w="850" w:type="dxa"/>
            <w:vAlign w:val="center"/>
          </w:tcPr>
          <w:p>
            <w:pPr>
              <w:adjustRightInd w:val="0"/>
              <w:snapToGrid w:val="0"/>
              <w:jc w:val="center"/>
            </w:pPr>
            <w:r>
              <w:t>防治</w:t>
            </w:r>
          </w:p>
          <w:p>
            <w:pPr>
              <w:adjustRightInd w:val="0"/>
              <w:snapToGrid w:val="0"/>
              <w:jc w:val="center"/>
            </w:pPr>
            <w:r>
              <w:t>措施</w:t>
            </w:r>
          </w:p>
        </w:tc>
        <w:tc>
          <w:tcPr>
            <w:tcW w:w="3969" w:type="dxa"/>
            <w:vAlign w:val="center"/>
          </w:tcPr>
          <w:p>
            <w:pPr>
              <w:adjustRightInd w:val="0"/>
              <w:snapToGrid w:val="0"/>
              <w:jc w:val="center"/>
            </w:pPr>
            <w:r>
              <w:t>具体要求</w:t>
            </w:r>
          </w:p>
        </w:tc>
        <w:tc>
          <w:tcPr>
            <w:tcW w:w="3086" w:type="dxa"/>
            <w:vAlign w:val="center"/>
          </w:tcPr>
          <w:p>
            <w:pPr>
              <w:adjustRightInd w:val="0"/>
              <w:snapToGrid w:val="0"/>
              <w:jc w:val="center"/>
            </w:pPr>
            <w:r>
              <w:t>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120" w:hRule="atLeast"/>
          <w:jc w:val="center"/>
        </w:trPr>
        <w:tc>
          <w:tcPr>
            <w:tcW w:w="451" w:type="dxa"/>
            <w:vAlign w:val="center"/>
          </w:tcPr>
          <w:p>
            <w:pPr>
              <w:adjustRightInd w:val="0"/>
              <w:snapToGrid w:val="0"/>
              <w:jc w:val="center"/>
            </w:pPr>
            <w:r>
              <w:t>1</w:t>
            </w:r>
          </w:p>
        </w:tc>
        <w:tc>
          <w:tcPr>
            <w:tcW w:w="850" w:type="dxa"/>
            <w:vAlign w:val="center"/>
          </w:tcPr>
          <w:p>
            <w:pPr>
              <w:adjustRightInd w:val="0"/>
              <w:snapToGrid w:val="0"/>
              <w:jc w:val="center"/>
            </w:pPr>
            <w:r>
              <w:t>设置扬尘防治公示牌</w:t>
            </w:r>
          </w:p>
        </w:tc>
        <w:tc>
          <w:tcPr>
            <w:tcW w:w="3969" w:type="dxa"/>
            <w:vAlign w:val="center"/>
          </w:tcPr>
          <w:p>
            <w:pPr>
              <w:adjustRightInd w:val="0"/>
              <w:snapToGrid w:val="0"/>
              <w:jc w:val="center"/>
            </w:pPr>
            <w:r>
              <w:t>必须在施工现场出入口明显位置设置扬尘防治公示牌，内容包括建设、施工及监管等单位名称、扬尘防治负责人的名称、联系电话、举报电话等</w:t>
            </w:r>
          </w:p>
        </w:tc>
        <w:tc>
          <w:tcPr>
            <w:tcW w:w="3086" w:type="dxa"/>
            <w:vAlign w:val="center"/>
          </w:tcPr>
          <w:p>
            <w:pPr>
              <w:adjustRightInd w:val="0"/>
              <w:snapToGrid w:val="0"/>
              <w:jc w:val="center"/>
            </w:pPr>
            <w:r>
              <w:t>《关于印发&lt;河北省2018年建筑施工与城市道路扬尘整治工作方案&gt;的通知》(冀建安[2018]8号)、《河北省扬尘污染防治办法》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595" w:hRule="atLeast"/>
          <w:jc w:val="center"/>
        </w:trPr>
        <w:tc>
          <w:tcPr>
            <w:tcW w:w="451" w:type="dxa"/>
            <w:vAlign w:val="center"/>
          </w:tcPr>
          <w:p>
            <w:pPr>
              <w:adjustRightInd w:val="0"/>
              <w:snapToGrid w:val="0"/>
              <w:jc w:val="center"/>
            </w:pPr>
            <w:r>
              <w:t>2</w:t>
            </w:r>
          </w:p>
        </w:tc>
        <w:tc>
          <w:tcPr>
            <w:tcW w:w="850" w:type="dxa"/>
            <w:vAlign w:val="center"/>
          </w:tcPr>
          <w:p>
            <w:pPr>
              <w:adjustRightInd w:val="0"/>
              <w:snapToGrid w:val="0"/>
              <w:jc w:val="center"/>
            </w:pPr>
            <w:r>
              <w:t>设置</w:t>
            </w:r>
          </w:p>
          <w:p>
            <w:pPr>
              <w:adjustRightInd w:val="0"/>
              <w:snapToGrid w:val="0"/>
              <w:jc w:val="center"/>
            </w:pPr>
            <w:r>
              <w:t>围挡</w:t>
            </w:r>
          </w:p>
        </w:tc>
        <w:tc>
          <w:tcPr>
            <w:tcW w:w="3969" w:type="dxa"/>
            <w:vAlign w:val="center"/>
          </w:tcPr>
          <w:p>
            <w:pPr>
              <w:adjustRightInd w:val="0"/>
              <w:snapToGrid w:val="0"/>
              <w:jc w:val="center"/>
              <w:rPr>
                <w:spacing w:val="-4"/>
              </w:rPr>
            </w:pPr>
            <w:r>
              <w:rPr>
                <w:spacing w:val="-4"/>
              </w:rPr>
              <w:t>施工现场必须连续设置硬质围挡，围挡应坚固、美观，严禁围挡不严或敞开式施工。高度不低于1.8或2.5m；（城区主干道两侧的围挡高度不低于2.5m，一般路段高度不低于1.8m）</w:t>
            </w:r>
          </w:p>
        </w:tc>
        <w:tc>
          <w:tcPr>
            <w:tcW w:w="3086" w:type="dxa"/>
            <w:vAlign w:val="center"/>
          </w:tcPr>
          <w:p>
            <w:pPr>
              <w:adjustRightInd w:val="0"/>
              <w:snapToGrid w:val="0"/>
              <w:jc w:val="center"/>
              <w:rPr>
                <w:spacing w:val="-4"/>
              </w:rPr>
            </w:pPr>
            <w:r>
              <w:rPr>
                <w:spacing w:val="-4"/>
              </w:rPr>
              <w:t>《防治城市扬尘污染技术规范》(HJ/T393-2007)、《关于印发&lt;河北省2018年建筑施工与城市道路扬尘整治工作方案&gt;的通知》(冀建安[2018]8号)、</w:t>
            </w:r>
            <w:r>
              <w:t>《河北省扬尘污染防治办法》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400" w:hRule="atLeast"/>
          <w:jc w:val="center"/>
        </w:trPr>
        <w:tc>
          <w:tcPr>
            <w:tcW w:w="451" w:type="dxa"/>
            <w:vAlign w:val="center"/>
          </w:tcPr>
          <w:p>
            <w:pPr>
              <w:adjustRightInd w:val="0"/>
              <w:snapToGrid w:val="0"/>
              <w:jc w:val="center"/>
            </w:pPr>
            <w:r>
              <w:t>3</w:t>
            </w:r>
          </w:p>
        </w:tc>
        <w:tc>
          <w:tcPr>
            <w:tcW w:w="850" w:type="dxa"/>
            <w:vAlign w:val="center"/>
          </w:tcPr>
          <w:p>
            <w:pPr>
              <w:adjustRightInd w:val="0"/>
              <w:snapToGrid w:val="0"/>
              <w:jc w:val="center"/>
            </w:pPr>
            <w:r>
              <w:t>施工场地硬化</w:t>
            </w:r>
          </w:p>
        </w:tc>
        <w:tc>
          <w:tcPr>
            <w:tcW w:w="3969" w:type="dxa"/>
            <w:vAlign w:val="center"/>
          </w:tcPr>
          <w:p>
            <w:pPr>
              <w:adjustRightInd w:val="0"/>
              <w:snapToGrid w:val="0"/>
              <w:jc w:val="center"/>
            </w:pPr>
            <w:r>
              <w:rPr>
                <w:rFonts w:hint="eastAsia" w:ascii="宋体" w:hAnsi="宋体" w:cs="宋体"/>
              </w:rPr>
              <w:t>①</w:t>
            </w:r>
            <w:r>
              <w:t>对主要出入口、主要道路、堆放区的地面按规定进行硬化处理;</w:t>
            </w:r>
            <w:r>
              <w:rPr>
                <w:rFonts w:hint="eastAsia" w:ascii="宋体" w:hAnsi="宋体" w:cs="宋体"/>
              </w:rPr>
              <w:t>②</w:t>
            </w:r>
            <w:r>
              <w:t>施工现场出入口必须采用混凝土进行硬化或采用硬质砌块铺设，严禁使用其他软质材料铺设</w:t>
            </w:r>
          </w:p>
        </w:tc>
        <w:tc>
          <w:tcPr>
            <w:tcW w:w="3086" w:type="dxa"/>
            <w:vAlign w:val="center"/>
          </w:tcPr>
          <w:p>
            <w:pPr>
              <w:adjustRightInd w:val="0"/>
              <w:snapToGrid w:val="0"/>
              <w:jc w:val="center"/>
            </w:pPr>
            <w:r>
              <w:t>《</w:t>
            </w:r>
            <w:r>
              <w:rPr>
                <w:spacing w:val="-6"/>
              </w:rPr>
              <w:t>河北省大气污染防治条例》(2016年1月13日)、《关于印发&lt;河北省2018年建筑施工与城市道路扬尘整治工作方案&gt;的通知》(冀建安[2018]8号)、</w:t>
            </w:r>
            <w:r>
              <w:t>《河北省扬尘污染防治办法》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adjustRightInd w:val="0"/>
              <w:snapToGrid w:val="0"/>
              <w:jc w:val="center"/>
            </w:pPr>
            <w:r>
              <w:t>4</w:t>
            </w:r>
          </w:p>
        </w:tc>
        <w:tc>
          <w:tcPr>
            <w:tcW w:w="850" w:type="dxa"/>
            <w:vAlign w:val="center"/>
          </w:tcPr>
          <w:p>
            <w:pPr>
              <w:adjustRightInd w:val="0"/>
              <w:snapToGrid w:val="0"/>
              <w:jc w:val="center"/>
            </w:pPr>
            <w:r>
              <w:t>施工车辆冲洗设施</w:t>
            </w:r>
          </w:p>
        </w:tc>
        <w:tc>
          <w:tcPr>
            <w:tcW w:w="3969" w:type="dxa"/>
            <w:vAlign w:val="center"/>
          </w:tcPr>
          <w:p>
            <w:pPr>
              <w:adjustRightInd w:val="0"/>
              <w:snapToGrid w:val="0"/>
              <w:jc w:val="center"/>
            </w:pPr>
            <w:r>
              <w:t>在施工现场出口处设置车辆冲洗设施并配套设置排水、泥浆沉淀设施，施工车辆不得带泥上路行驶，施工现场道路以及出口周边的道路不得存留建筑垃圾和泥土</w:t>
            </w:r>
          </w:p>
        </w:tc>
        <w:tc>
          <w:tcPr>
            <w:tcW w:w="3086" w:type="dxa"/>
            <w:vAlign w:val="center"/>
          </w:tcPr>
          <w:p>
            <w:pPr>
              <w:adjustRightInd w:val="0"/>
              <w:snapToGrid w:val="0"/>
              <w:jc w:val="center"/>
            </w:pPr>
            <w:r>
              <w:t>《防治城市扬尘污染技术规范》(HJ/T393-2007)、《河北省大气污染防治条例》(2016年1月13日)、《关于印发&lt;河北省2018年建筑施工与城市道路扬尘整治工作方案&gt;的通知》(冀建安[2018]8号)、《河北省扬尘污染防治办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adjustRightInd w:val="0"/>
              <w:snapToGrid w:val="0"/>
              <w:jc w:val="center"/>
            </w:pPr>
            <w:r>
              <w:t>5</w:t>
            </w:r>
          </w:p>
        </w:tc>
        <w:tc>
          <w:tcPr>
            <w:tcW w:w="850" w:type="dxa"/>
            <w:vAlign w:val="center"/>
          </w:tcPr>
          <w:p>
            <w:pPr>
              <w:adjustRightInd w:val="0"/>
              <w:snapToGrid w:val="0"/>
              <w:jc w:val="center"/>
            </w:pPr>
            <w:r>
              <w:t>施工扬尘实时监控</w:t>
            </w:r>
          </w:p>
        </w:tc>
        <w:tc>
          <w:tcPr>
            <w:tcW w:w="3969" w:type="dxa"/>
            <w:vAlign w:val="center"/>
          </w:tcPr>
          <w:p>
            <w:pPr>
              <w:adjustRightInd w:val="0"/>
              <w:snapToGrid w:val="0"/>
              <w:jc w:val="center"/>
            </w:pPr>
            <w:r>
              <w:t>施工工地安装视频监控设备和扬尘污染物在线监测设备，并分别与建设主管部门、环境保护主管部门的监控设备联网。施工场地车辆进出口布置1个扬尘在线监测设备，西南厂界布置3个扬尘在线监测设备</w:t>
            </w:r>
          </w:p>
        </w:tc>
        <w:tc>
          <w:tcPr>
            <w:tcW w:w="3086" w:type="dxa"/>
            <w:vAlign w:val="center"/>
          </w:tcPr>
          <w:p>
            <w:pPr>
              <w:adjustRightInd w:val="0"/>
              <w:snapToGrid w:val="0"/>
              <w:jc w:val="center"/>
            </w:pPr>
            <w:r>
              <w:t>《河北省人民代表大会常务委员会关于加强扬尘污染防治的决定》、《扬尘在线监测系统建设及运行技术规范》(DB13/T2935-2019)、《河北省扬尘污染防治办法》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adjustRightInd w:val="0"/>
              <w:snapToGrid w:val="0"/>
              <w:jc w:val="center"/>
            </w:pPr>
            <w:r>
              <w:t>6</w:t>
            </w:r>
          </w:p>
        </w:tc>
        <w:tc>
          <w:tcPr>
            <w:tcW w:w="850" w:type="dxa"/>
            <w:vAlign w:val="center"/>
          </w:tcPr>
          <w:p>
            <w:pPr>
              <w:adjustRightInd w:val="0"/>
              <w:snapToGrid w:val="0"/>
              <w:jc w:val="center"/>
            </w:pPr>
            <w:r>
              <w:t>密闭苫盖措施</w:t>
            </w:r>
          </w:p>
        </w:tc>
        <w:tc>
          <w:tcPr>
            <w:tcW w:w="3969" w:type="dxa"/>
            <w:vAlign w:val="center"/>
          </w:tcPr>
          <w:p>
            <w:pPr>
              <w:adjustRightInd w:val="0"/>
              <w:snapToGrid w:val="0"/>
              <w:jc w:val="center"/>
            </w:pPr>
            <w:r>
              <w:rPr>
                <w:rFonts w:hint="eastAsia" w:ascii="宋体" w:hAnsi="宋体" w:cs="宋体"/>
              </w:rPr>
              <w:t>①</w:t>
            </w:r>
            <w:r>
              <w:t>建筑材料采用密闭存储、设置围挡或堆砌围墙、采用防尘布苫盖等措施；</w:t>
            </w:r>
            <w:r>
              <w:rPr>
                <w:rFonts w:hint="eastAsia" w:ascii="宋体" w:hAnsi="宋体" w:cs="宋体"/>
              </w:rPr>
              <w:t>②</w:t>
            </w:r>
            <w:r>
              <w:t>建筑垃圾采用覆盖防尘布、防尘网、定期喷洒抑尘剂、定期喷水压尘等措施，生活垃圾应用封闭式容器存放，日产日清，严禁随意丢弃；</w:t>
            </w:r>
            <w:r>
              <w:rPr>
                <w:rFonts w:hint="eastAsia" w:ascii="宋体" w:hAnsi="宋体" w:cs="宋体"/>
              </w:rPr>
              <w:t>③</w:t>
            </w:r>
            <w:r>
              <w:t>施工现场集中堆放的土方和裸露场地必须采取覆盖、固化或绿化等降尘措施，严禁裸露；</w:t>
            </w:r>
            <w:r>
              <w:rPr>
                <w:rFonts w:hint="eastAsia" w:ascii="宋体" w:hAnsi="宋体" w:cs="宋体"/>
              </w:rPr>
              <w:t>④</w:t>
            </w:r>
            <w:r>
              <w:t>施工现场易飞扬的细颗粒建筑材料必须密闭存放或严密覆盖，严禁露天放置；搬运时应有降尘措施，余料及时回收</w:t>
            </w:r>
          </w:p>
        </w:tc>
        <w:tc>
          <w:tcPr>
            <w:tcW w:w="3086" w:type="dxa"/>
            <w:vAlign w:val="center"/>
          </w:tcPr>
          <w:p>
            <w:pPr>
              <w:adjustRightInd w:val="0"/>
              <w:snapToGrid w:val="0"/>
              <w:jc w:val="center"/>
            </w:pPr>
            <w:r>
              <w:t>《防治城市扬尘污染技术规范》(HJ/T393-2007)、《河北省大气污染防治条例》(2016年1月13日)、《关于印发&lt;河北省2018年建筑施工与城市道路扬尘整治工作方案&gt;的通知》(冀建安[2018]8号)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adjustRightInd w:val="0"/>
              <w:snapToGrid w:val="0"/>
              <w:jc w:val="center"/>
            </w:pPr>
            <w:r>
              <w:t>7</w:t>
            </w:r>
          </w:p>
        </w:tc>
        <w:tc>
          <w:tcPr>
            <w:tcW w:w="850" w:type="dxa"/>
            <w:vAlign w:val="center"/>
          </w:tcPr>
          <w:p>
            <w:pPr>
              <w:adjustRightInd w:val="0"/>
              <w:snapToGrid w:val="0"/>
              <w:jc w:val="center"/>
            </w:pPr>
            <w:r>
              <w:t>物料运输车辆密闭措施</w:t>
            </w:r>
          </w:p>
        </w:tc>
        <w:tc>
          <w:tcPr>
            <w:tcW w:w="3969" w:type="dxa"/>
            <w:vAlign w:val="center"/>
          </w:tcPr>
          <w:p>
            <w:pPr>
              <w:adjustRightInd w:val="0"/>
              <w:snapToGrid w:val="0"/>
              <w:jc w:val="center"/>
              <w:rPr>
                <w:spacing w:val="-6"/>
              </w:rPr>
            </w:pPr>
            <w:r>
              <w:rPr>
                <w:rFonts w:hint="eastAsia" w:ascii="宋体" w:hAnsi="宋体" w:cs="宋体"/>
                <w:spacing w:val="-6"/>
              </w:rPr>
              <w:t>①</w:t>
            </w:r>
            <w:r>
              <w:rPr>
                <w:spacing w:val="-6"/>
              </w:rPr>
              <w:t>出工地的物料、渣土、垃圾运输车辆，应尽可能采用密闭车斗，并保证物料不遗撒外漏。若无密闭车斗，物料、垃圾、渣土的装载高度不得超过车辆槽帮上沿，车斗应用苫布遮盖严实；</w:t>
            </w:r>
            <w:r>
              <w:rPr>
                <w:rFonts w:hint="eastAsia" w:ascii="宋体" w:hAnsi="宋体" w:cs="宋体"/>
                <w:spacing w:val="-6"/>
              </w:rPr>
              <w:t>②</w:t>
            </w:r>
            <w:r>
              <w:rPr>
                <w:spacing w:val="-6"/>
              </w:rPr>
              <w:t>装卸和运输渣土、砂石、建筑垃圾等易产生扬尘污染物料的，应当采取完全密闭措施</w:t>
            </w:r>
          </w:p>
        </w:tc>
        <w:tc>
          <w:tcPr>
            <w:tcW w:w="3086" w:type="dxa"/>
            <w:vAlign w:val="center"/>
          </w:tcPr>
          <w:p>
            <w:pPr>
              <w:adjustRightInd w:val="0"/>
              <w:snapToGrid w:val="0"/>
              <w:jc w:val="center"/>
            </w:pPr>
            <w:r>
              <w:t>《防治城市扬尘污染技术规范》(HJ/T393-2007)、《河北省大气污染防治条例》(2016年1月13日)、《关于印发&lt;河北省2018年建筑施工与城市道路扬尘整治工作方案&gt;的通知》(冀建安[2018]8号)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Merge w:val="restart"/>
            <w:vAlign w:val="center"/>
          </w:tcPr>
          <w:p>
            <w:pPr>
              <w:adjustRightInd w:val="0"/>
              <w:snapToGrid w:val="0"/>
              <w:jc w:val="center"/>
            </w:pPr>
            <w:r>
              <w:t>8</w:t>
            </w:r>
          </w:p>
        </w:tc>
        <w:tc>
          <w:tcPr>
            <w:tcW w:w="850" w:type="dxa"/>
            <w:vMerge w:val="restart"/>
            <w:vAlign w:val="center"/>
          </w:tcPr>
          <w:p>
            <w:pPr>
              <w:adjustRightInd w:val="0"/>
              <w:snapToGrid w:val="0"/>
              <w:jc w:val="center"/>
            </w:pPr>
            <w:r>
              <w:t>洒水抑尘措施</w:t>
            </w:r>
          </w:p>
        </w:tc>
        <w:tc>
          <w:tcPr>
            <w:tcW w:w="3969" w:type="dxa"/>
            <w:vAlign w:val="center"/>
          </w:tcPr>
          <w:p>
            <w:pPr>
              <w:adjustRightInd w:val="0"/>
              <w:snapToGrid w:val="0"/>
              <w:jc w:val="center"/>
            </w:pPr>
            <w:r>
              <w:t>遇到干燥、易起尘的土方工程作业时，应辅以洒水压尘，尽量缩短起尘操作时间，遇到四级及四级以上大风天气，应停止土方作业，同时作业处覆以防尘网</w:t>
            </w:r>
          </w:p>
        </w:tc>
        <w:tc>
          <w:tcPr>
            <w:tcW w:w="3086" w:type="dxa"/>
            <w:vAlign w:val="center"/>
          </w:tcPr>
          <w:p>
            <w:pPr>
              <w:adjustRightInd w:val="0"/>
              <w:snapToGrid w:val="0"/>
              <w:jc w:val="center"/>
            </w:pPr>
            <w:r>
              <w:t>《防治城市扬尘污染技术规范》</w:t>
            </w:r>
          </w:p>
          <w:p>
            <w:pPr>
              <w:adjustRightInd w:val="0"/>
              <w:snapToGrid w:val="0"/>
              <w:jc w:val="center"/>
            </w:pPr>
            <w:r>
              <w:t>(HJ/T393-2007)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Merge w:val="continue"/>
            <w:vAlign w:val="center"/>
          </w:tcPr>
          <w:p>
            <w:pPr>
              <w:adjustRightInd w:val="0"/>
              <w:snapToGrid w:val="0"/>
              <w:jc w:val="center"/>
            </w:pPr>
          </w:p>
        </w:tc>
        <w:tc>
          <w:tcPr>
            <w:tcW w:w="850" w:type="dxa"/>
            <w:vMerge w:val="continue"/>
            <w:vAlign w:val="center"/>
          </w:tcPr>
          <w:p>
            <w:pPr>
              <w:adjustRightInd w:val="0"/>
              <w:snapToGrid w:val="0"/>
              <w:jc w:val="center"/>
            </w:pPr>
          </w:p>
        </w:tc>
        <w:tc>
          <w:tcPr>
            <w:tcW w:w="3969" w:type="dxa"/>
            <w:vAlign w:val="center"/>
          </w:tcPr>
          <w:p>
            <w:pPr>
              <w:adjustRightInd w:val="0"/>
              <w:snapToGrid w:val="0"/>
              <w:jc w:val="center"/>
              <w:rPr>
                <w:spacing w:val="-2"/>
              </w:rPr>
            </w:pPr>
            <w:r>
              <w:rPr>
                <w:spacing w:val="-2"/>
              </w:rPr>
              <w:t>施工现场必须建立洒水清扫抑尘制度，配备洒水设备。非冰冻期每天洒水不少于2次，并有专人负责。重污染天气时相应增加洒水频次</w:t>
            </w:r>
          </w:p>
        </w:tc>
        <w:tc>
          <w:tcPr>
            <w:tcW w:w="3086" w:type="dxa"/>
            <w:vAlign w:val="center"/>
          </w:tcPr>
          <w:p>
            <w:pPr>
              <w:adjustRightInd w:val="0"/>
              <w:snapToGrid w:val="0"/>
              <w:jc w:val="center"/>
            </w:pPr>
            <w:r>
              <w:t>《关于印发&lt;河北省2018年建筑施工与城市道路扬尘整治工作方案&gt;的通知》(冀建安[2018]8号)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jc w:val="center"/>
            </w:pPr>
            <w:r>
              <w:t>9</w:t>
            </w:r>
          </w:p>
        </w:tc>
        <w:tc>
          <w:tcPr>
            <w:tcW w:w="850" w:type="dxa"/>
            <w:vAlign w:val="center"/>
          </w:tcPr>
          <w:p>
            <w:pPr>
              <w:jc w:val="center"/>
            </w:pPr>
            <w:r>
              <w:t>拌合</w:t>
            </w:r>
          </w:p>
        </w:tc>
        <w:tc>
          <w:tcPr>
            <w:tcW w:w="3969" w:type="dxa"/>
            <w:vAlign w:val="center"/>
          </w:tcPr>
          <w:p>
            <w:pPr>
              <w:jc w:val="center"/>
            </w:pPr>
            <w:r>
              <w:t>具备条件的地区施工现场必须使用商品混凝土、预拌砂浆，严禁现场搅拌</w:t>
            </w:r>
          </w:p>
        </w:tc>
        <w:tc>
          <w:tcPr>
            <w:tcW w:w="3086" w:type="dxa"/>
            <w:vAlign w:val="center"/>
          </w:tcPr>
          <w:p>
            <w:pPr>
              <w:jc w:val="center"/>
            </w:pPr>
            <w:r>
              <w:t>《关于印发&lt;河北省2018年建筑施工与城市道路扬尘整治工作方案&gt;的通知》(冀建安[2018]8号)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jc w:val="center"/>
            </w:pPr>
            <w:r>
              <w:t>10</w:t>
            </w:r>
          </w:p>
        </w:tc>
        <w:tc>
          <w:tcPr>
            <w:tcW w:w="850" w:type="dxa"/>
            <w:vAlign w:val="center"/>
          </w:tcPr>
          <w:p>
            <w:pPr>
              <w:jc w:val="center"/>
            </w:pPr>
            <w:r>
              <w:t>建筑</w:t>
            </w:r>
          </w:p>
          <w:p>
            <w:pPr>
              <w:jc w:val="center"/>
            </w:pPr>
            <w:r>
              <w:t>垃圾</w:t>
            </w:r>
          </w:p>
        </w:tc>
        <w:tc>
          <w:tcPr>
            <w:tcW w:w="3969" w:type="dxa"/>
            <w:vAlign w:val="center"/>
          </w:tcPr>
          <w:p>
            <w:pPr>
              <w:jc w:val="center"/>
            </w:pPr>
            <w:r>
              <w:rPr>
                <w:rFonts w:hint="eastAsia" w:ascii="宋体" w:hAnsi="宋体" w:cs="宋体"/>
              </w:rPr>
              <w:t>①</w:t>
            </w:r>
            <w:r>
              <w:t>建筑物内地面清扫垃圾进行洒水抑尘，保持干净整洁。</w:t>
            </w:r>
            <w:r>
              <w:rPr>
                <w:rFonts w:hint="eastAsia" w:ascii="宋体" w:hAnsi="宋体" w:cs="宋体"/>
              </w:rPr>
              <w:t>②</w:t>
            </w:r>
            <w:r>
              <w:t>施工现场的建筑垃圾设置垃圾存放点，集中堆放并严密覆盖，及时清运。生活垃圾应用封闭式容器存放，日产日清，严禁随意丢弃、焚烧</w:t>
            </w:r>
          </w:p>
        </w:tc>
        <w:tc>
          <w:tcPr>
            <w:tcW w:w="3086" w:type="dxa"/>
            <w:vAlign w:val="center"/>
          </w:tcPr>
          <w:p>
            <w:pPr>
              <w:jc w:val="center"/>
            </w:pPr>
            <w:r>
              <w:t>《关于印发&lt;河北省2018年建筑施工与城市道路扬尘整治工作方案&gt;的通知》(冀建安[2018]8号)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jc w:val="center"/>
            </w:pPr>
            <w:r>
              <w:t>11</w:t>
            </w:r>
          </w:p>
        </w:tc>
        <w:tc>
          <w:tcPr>
            <w:tcW w:w="850" w:type="dxa"/>
            <w:vAlign w:val="center"/>
          </w:tcPr>
          <w:p>
            <w:pPr>
              <w:jc w:val="center"/>
            </w:pPr>
            <w:r>
              <w:t>施工工地扬尘整治</w:t>
            </w:r>
          </w:p>
        </w:tc>
        <w:tc>
          <w:tcPr>
            <w:tcW w:w="3969" w:type="dxa"/>
            <w:vAlign w:val="center"/>
          </w:tcPr>
          <w:p>
            <w:pPr>
              <w:jc w:val="center"/>
            </w:pPr>
            <w:r>
              <w:t>建筑工地安装视频监控，PM</w:t>
            </w:r>
            <w:r>
              <w:rPr>
                <w:vertAlign w:val="subscript"/>
              </w:rPr>
              <w:t>10</w:t>
            </w:r>
            <w:r>
              <w:t>在线监测联网，严格执行《河北省建筑施工扬尘防治标准》，建立扬尘控制责任制度，扬尘治理费用列入工程造价；施工场地扬尘监测点数量不少于4个，监测点位宜设置于施工区域围栏安全范围内，监测点位宜优先设置于车辆进出口处，监测点数量多于车辆进出口数量时，其它监测点位应结合常年主导风向，设置在工地所在区域主导风向下风向的施工场地边界，兼顾扬尘最大落地浓度；监测点PM</w:t>
            </w:r>
            <w:r>
              <w:rPr>
                <w:vertAlign w:val="subscript"/>
              </w:rPr>
              <w:t>10</w:t>
            </w:r>
            <w:r>
              <w:t>浓度限值80µg/m</w:t>
            </w:r>
            <w:r>
              <w:rPr>
                <w:vertAlign w:val="superscript"/>
              </w:rPr>
              <w:t>3</w:t>
            </w:r>
            <w:r>
              <w:t>(指监测点PM</w:t>
            </w:r>
            <w:r>
              <w:rPr>
                <w:vertAlign w:val="subscript"/>
              </w:rPr>
              <w:t>10</w:t>
            </w:r>
            <w:r>
              <w:t>小时平均浓度实测值与同时段所属县(市、区)PM</w:t>
            </w:r>
            <w:r>
              <w:rPr>
                <w:vertAlign w:val="subscript"/>
              </w:rPr>
              <w:t>10</w:t>
            </w:r>
            <w:r>
              <w:t>小时平均浓度的差值，当县(市、区)PM</w:t>
            </w:r>
            <w:r>
              <w:rPr>
                <w:vertAlign w:val="subscript"/>
              </w:rPr>
              <w:t>10</w:t>
            </w:r>
            <w:r>
              <w:t>小时平均浓度大于150µg/m</w:t>
            </w:r>
            <w:r>
              <w:rPr>
                <w:vertAlign w:val="superscript"/>
              </w:rPr>
              <w:t>3</w:t>
            </w:r>
            <w:r>
              <w:t>时，以150µg/m</w:t>
            </w:r>
            <w:r>
              <w:rPr>
                <w:vertAlign w:val="superscript"/>
              </w:rPr>
              <w:t>3</w:t>
            </w:r>
            <w:r>
              <w:t>计)，达标判定依据≤2次/天</w:t>
            </w:r>
          </w:p>
        </w:tc>
        <w:tc>
          <w:tcPr>
            <w:tcW w:w="3086" w:type="dxa"/>
            <w:vAlign w:val="center"/>
          </w:tcPr>
          <w:p>
            <w:pPr>
              <w:jc w:val="center"/>
            </w:pPr>
            <w:r>
              <w:t>《施工场地扬尘排放标准》(DB13/2934-2019)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451" w:type="dxa"/>
            <w:vAlign w:val="center"/>
          </w:tcPr>
          <w:p>
            <w:pPr>
              <w:jc w:val="center"/>
            </w:pPr>
            <w:r>
              <w:t>12</w:t>
            </w:r>
          </w:p>
        </w:tc>
        <w:tc>
          <w:tcPr>
            <w:tcW w:w="850" w:type="dxa"/>
            <w:vAlign w:val="center"/>
          </w:tcPr>
          <w:p>
            <w:pPr>
              <w:jc w:val="center"/>
            </w:pPr>
            <w:r>
              <w:t>其它</w:t>
            </w:r>
          </w:p>
        </w:tc>
        <w:tc>
          <w:tcPr>
            <w:tcW w:w="3969" w:type="dxa"/>
            <w:vAlign w:val="center"/>
          </w:tcPr>
          <w:p>
            <w:pPr>
              <w:jc w:val="center"/>
            </w:pPr>
            <w:r>
              <w:t>施工现场出入口必须安装视频监控系统，对施工扬尘实时监控，鼓励在施工现场安装空气质量检测仪等装置</w:t>
            </w:r>
          </w:p>
        </w:tc>
        <w:tc>
          <w:tcPr>
            <w:tcW w:w="3086" w:type="dxa"/>
            <w:vAlign w:val="center"/>
          </w:tcPr>
          <w:p>
            <w:pPr>
              <w:jc w:val="center"/>
            </w:pPr>
            <w:r>
              <w:t>《关于印发&lt;河北省2018年建筑施工与城市道路扬尘整治工作方案&gt;的通知》(冀建安[2018]8号)</w:t>
            </w:r>
          </w:p>
        </w:tc>
      </w:tr>
    </w:tbl>
    <w:p>
      <w:pPr>
        <w:autoSpaceDE w:val="0"/>
        <w:autoSpaceDN w:val="0"/>
        <w:adjustRightInd w:val="0"/>
        <w:spacing w:line="480" w:lineRule="exact"/>
        <w:ind w:firstLine="480" w:firstLineChars="200"/>
        <w:rPr>
          <w:sz w:val="24"/>
          <w:szCs w:val="24"/>
        </w:rPr>
      </w:pPr>
      <w:r>
        <w:rPr>
          <w:sz w:val="24"/>
          <w:szCs w:val="24"/>
        </w:rPr>
        <w:t>通过采取以上抑尘措施后，可最大限度的降低施工期间土方施工、土方和水泥砂石等建筑料运输、装卸、堆存产生的扬尘以及场地清理、管沟开挖、回填等，大面积的土方开挖、翻动及堆放过程中产生扬尘等对周围环境的影响，当施工的完成后，施工扬尘影响将减弱，随着施工期的结束，施工扬尘影响也将结束。此外，本评价要求冬防期间，涉及土方作业一律停止施工。</w:t>
      </w:r>
    </w:p>
    <w:p>
      <w:pPr>
        <w:autoSpaceDE w:val="0"/>
        <w:autoSpaceDN w:val="0"/>
        <w:adjustRightInd w:val="0"/>
        <w:spacing w:line="480" w:lineRule="exact"/>
        <w:ind w:firstLine="480" w:firstLineChars="200"/>
        <w:rPr>
          <w:sz w:val="24"/>
          <w:szCs w:val="24"/>
        </w:rPr>
      </w:pPr>
      <w:r>
        <w:rPr>
          <w:sz w:val="24"/>
          <w:szCs w:val="24"/>
        </w:rPr>
        <w:t>同时本评价要求，施工现场根据《扬尘在线监测系统建设及运行技术规范》（DB13/T2935-2019）和《施工场地扬尘排放标准》（DB13/2934-2019），并按照标准对监测点进行建设和运营管理。</w:t>
      </w:r>
    </w:p>
    <w:p>
      <w:pPr>
        <w:pStyle w:val="62"/>
        <w:numPr>
          <w:ilvl w:val="2"/>
          <w:numId w:val="5"/>
        </w:numPr>
        <w:tabs>
          <w:tab w:val="left" w:pos="567"/>
        </w:tabs>
        <w:spacing w:before="156" w:after="156"/>
        <w:ind w:left="0" w:firstLine="0"/>
        <w:rPr>
          <w:rFonts w:ascii="Times New Roman" w:hAnsi="Times New Roman"/>
        </w:rPr>
      </w:pPr>
      <w:bookmarkStart w:id="150" w:name="_Toc518025920"/>
      <w:r>
        <w:rPr>
          <w:rFonts w:ascii="Times New Roman" w:hAnsi="Times New Roman"/>
        </w:rPr>
        <w:t>噪声污染防治措施</w:t>
      </w:r>
      <w:bookmarkEnd w:id="150"/>
    </w:p>
    <w:p>
      <w:pPr>
        <w:pStyle w:val="81"/>
        <w:adjustRightInd w:val="0"/>
        <w:snapToGrid w:val="0"/>
        <w:ind w:firstLine="480"/>
        <w:rPr>
          <w:rFonts w:ascii="Times New Roman" w:hAnsi="Times New Roman"/>
        </w:rPr>
      </w:pPr>
      <w:r>
        <w:rPr>
          <w:rFonts w:ascii="Times New Roman" w:hAnsi="Times New Roman"/>
        </w:rPr>
        <w:t>施工期为降低施工噪声对周边环境的影响，项目建设和施工单位采取以下噪声防治措施，以最大限度地减少对环境的影响。</w:t>
      </w:r>
    </w:p>
    <w:p>
      <w:pPr>
        <w:pStyle w:val="20"/>
        <w:adjustRightInd w:val="0"/>
        <w:snapToGrid w:val="0"/>
        <w:spacing w:after="0" w:line="360" w:lineRule="auto"/>
        <w:ind w:firstLine="480" w:firstLineChars="200"/>
        <w:rPr>
          <w:sz w:val="24"/>
          <w:szCs w:val="24"/>
        </w:rPr>
      </w:pPr>
      <w:r>
        <w:rPr>
          <w:sz w:val="24"/>
          <w:szCs w:val="24"/>
        </w:rPr>
        <w:t>（1）合理安排施工时间，制订施工计划时，合理安排施工时间，减少高噪声设备的夜间作业时间，尽量避免在22:00~6:00的时间段进行施工。如必须连续作业或者因特殊需要必须夜间施工的，要在施工日3天前办理夜间施工许可，并对夜间施工的条件及要求具体做出明确规定。</w:t>
      </w:r>
    </w:p>
    <w:p>
      <w:pPr>
        <w:pStyle w:val="20"/>
        <w:adjustRightInd w:val="0"/>
        <w:snapToGrid w:val="0"/>
        <w:spacing w:after="0" w:line="360" w:lineRule="auto"/>
        <w:ind w:firstLine="480" w:firstLineChars="200"/>
        <w:rPr>
          <w:sz w:val="24"/>
          <w:szCs w:val="24"/>
        </w:rPr>
      </w:pPr>
      <w:r>
        <w:rPr>
          <w:sz w:val="24"/>
          <w:szCs w:val="24"/>
        </w:rPr>
        <w:t>（2）合理布局施工现场将高噪声机械设备布置在远离噪声敏感目标的位置，避免在同一地点安排大量动力机械设备，以避免局部声级过高。如果条件允许，应尽量在施工场所靠近敏感点一侧布设围护屏障。</w:t>
      </w:r>
    </w:p>
    <w:p>
      <w:pPr>
        <w:pStyle w:val="20"/>
        <w:adjustRightInd w:val="0"/>
        <w:snapToGrid w:val="0"/>
        <w:spacing w:after="0" w:line="360" w:lineRule="auto"/>
        <w:ind w:firstLine="480" w:firstLineChars="200"/>
        <w:rPr>
          <w:sz w:val="24"/>
          <w:szCs w:val="24"/>
        </w:rPr>
      </w:pPr>
      <w:r>
        <w:rPr>
          <w:sz w:val="24"/>
          <w:szCs w:val="24"/>
        </w:rPr>
        <w:t>（3）降低设备声级设备选型上尽量采用低噪声设备，如以液压机械代替燃油机械，振捣器采用高频振捣器等；固定机械设备与挖土、运土机构，如挖土机、推土机等，可通过排气管消音器和隔离发动机振动部件的方法降低噪声；对动力机械设备进行定期的维修、养护，维修不良的设备常因松动部件的振动或消声器的损坏而增加其工作时声级；闲置不用的设备应立即关闭。</w:t>
      </w:r>
    </w:p>
    <w:p>
      <w:pPr>
        <w:pStyle w:val="20"/>
        <w:adjustRightInd w:val="0"/>
        <w:snapToGrid w:val="0"/>
        <w:spacing w:after="0" w:line="360" w:lineRule="auto"/>
        <w:ind w:firstLine="480" w:firstLineChars="200"/>
      </w:pPr>
      <w:r>
        <w:rPr>
          <w:sz w:val="24"/>
          <w:szCs w:val="24"/>
        </w:rPr>
        <w:t>（4）降低车辆交通噪声运输车辆尽量避免从村庄等穿过，如果必须通过村庄，安排在白天进行，</w:t>
      </w:r>
      <w:r>
        <w:t>避免夜间扰民。运输车辆进入现场应减速，并减少鸣笛。</w:t>
      </w:r>
    </w:p>
    <w:p>
      <w:pPr>
        <w:pStyle w:val="81"/>
        <w:adjustRightInd w:val="0"/>
        <w:snapToGrid w:val="0"/>
        <w:ind w:firstLine="480"/>
        <w:rPr>
          <w:rFonts w:ascii="Times New Roman" w:hAnsi="Times New Roman"/>
        </w:rPr>
      </w:pPr>
      <w:r>
        <w:rPr>
          <w:rFonts w:ascii="Times New Roman" w:hAnsi="Times New Roman"/>
        </w:rPr>
        <w:t>（5）加强施工期环境监测加强施工期噪声监测，发现噪声污染，及时采取有效的噪声污染防治措施。</w:t>
      </w:r>
    </w:p>
    <w:p>
      <w:pPr>
        <w:pStyle w:val="62"/>
        <w:numPr>
          <w:ilvl w:val="2"/>
          <w:numId w:val="5"/>
        </w:numPr>
        <w:tabs>
          <w:tab w:val="left" w:pos="567"/>
        </w:tabs>
        <w:spacing w:before="156" w:after="156"/>
        <w:ind w:left="0" w:firstLine="0"/>
        <w:rPr>
          <w:rFonts w:ascii="Times New Roman" w:hAnsi="Times New Roman"/>
        </w:rPr>
      </w:pPr>
      <w:bookmarkStart w:id="151" w:name="_Toc518025921"/>
      <w:r>
        <w:rPr>
          <w:rFonts w:ascii="Times New Roman" w:hAnsi="Times New Roman"/>
        </w:rPr>
        <w:t>废水污染防治措施</w:t>
      </w:r>
      <w:bookmarkEnd w:id="151"/>
    </w:p>
    <w:p>
      <w:pPr>
        <w:pStyle w:val="20"/>
        <w:adjustRightInd w:val="0"/>
        <w:snapToGrid w:val="0"/>
        <w:spacing w:after="0" w:line="360" w:lineRule="auto"/>
        <w:ind w:firstLine="480" w:firstLineChars="200"/>
        <w:rPr>
          <w:sz w:val="24"/>
          <w:szCs w:val="24"/>
        </w:rPr>
      </w:pPr>
      <w:r>
        <w:rPr>
          <w:sz w:val="24"/>
          <w:szCs w:val="24"/>
        </w:rPr>
        <w:t>施工期间的废水主要来自于施工人员的生活污水以及施工过程中产生的施工废水。为尽可能减少施工期对周围地表水环境造成的不利影响，本评价建议施工单位采取以下措施：</w:t>
      </w:r>
    </w:p>
    <w:p>
      <w:pPr>
        <w:pStyle w:val="20"/>
        <w:adjustRightInd w:val="0"/>
        <w:snapToGrid w:val="0"/>
        <w:spacing w:after="0" w:line="360" w:lineRule="auto"/>
        <w:ind w:firstLine="480" w:firstLineChars="200"/>
        <w:rPr>
          <w:sz w:val="24"/>
          <w:szCs w:val="24"/>
        </w:rPr>
      </w:pPr>
      <w:r>
        <w:rPr>
          <w:sz w:val="24"/>
          <w:szCs w:val="24"/>
        </w:rPr>
        <w:t>（1）可在施工场地设置临时沉淀池（可就近利用废弃的沟、坑）回用于洒水抑尘等；</w:t>
      </w:r>
    </w:p>
    <w:p>
      <w:pPr>
        <w:pStyle w:val="20"/>
        <w:adjustRightInd w:val="0"/>
        <w:snapToGrid w:val="0"/>
        <w:spacing w:after="0" w:line="360" w:lineRule="auto"/>
        <w:ind w:firstLine="480" w:firstLineChars="200"/>
        <w:rPr>
          <w:sz w:val="24"/>
          <w:szCs w:val="24"/>
        </w:rPr>
      </w:pPr>
      <w:r>
        <w:rPr>
          <w:sz w:val="24"/>
          <w:szCs w:val="24"/>
        </w:rPr>
        <w:t>（2）施工区应建有排水明沟，废水利用施工过程中的部分坑、沟作沉淀后再利用于堆场、料场喷淋防尘、道路冲洗、驶离施工区的车辆轮胎冲洗等。散料堆场四周用石块或水泥砌块修砌防冲墙，防止散料被雨水冲刷，污染地表水体；</w:t>
      </w:r>
    </w:p>
    <w:p>
      <w:pPr>
        <w:pStyle w:val="20"/>
        <w:adjustRightInd w:val="0"/>
        <w:snapToGrid w:val="0"/>
        <w:spacing w:after="0" w:line="360" w:lineRule="auto"/>
        <w:ind w:firstLine="480" w:firstLineChars="200"/>
        <w:rPr>
          <w:sz w:val="24"/>
          <w:szCs w:val="24"/>
        </w:rPr>
      </w:pPr>
      <w:r>
        <w:rPr>
          <w:sz w:val="24"/>
          <w:szCs w:val="24"/>
        </w:rPr>
        <w:t>（3）本项目施工营地，</w:t>
      </w:r>
      <w:r>
        <w:rPr>
          <w:rFonts w:hint="eastAsia"/>
          <w:sz w:val="24"/>
          <w:szCs w:val="24"/>
        </w:rPr>
        <w:t>设置移动式卫生间，由当地环卫部门定期清掏</w:t>
      </w:r>
      <w:r>
        <w:rPr>
          <w:sz w:val="24"/>
          <w:szCs w:val="24"/>
        </w:rPr>
        <w:t>。</w:t>
      </w:r>
    </w:p>
    <w:p>
      <w:pPr>
        <w:pStyle w:val="62"/>
        <w:numPr>
          <w:ilvl w:val="2"/>
          <w:numId w:val="5"/>
        </w:numPr>
        <w:tabs>
          <w:tab w:val="left" w:pos="567"/>
        </w:tabs>
        <w:spacing w:before="156" w:after="156"/>
        <w:ind w:left="0" w:firstLine="0"/>
        <w:rPr>
          <w:rFonts w:ascii="Times New Roman" w:hAnsi="Times New Roman"/>
        </w:rPr>
      </w:pPr>
      <w:bookmarkStart w:id="152" w:name="_Toc518025922"/>
      <w:r>
        <w:rPr>
          <w:rFonts w:ascii="Times New Roman" w:hAnsi="Times New Roman"/>
        </w:rPr>
        <w:t>固体废物污染防治措施</w:t>
      </w:r>
      <w:bookmarkEnd w:id="152"/>
    </w:p>
    <w:p>
      <w:pPr>
        <w:pStyle w:val="20"/>
        <w:adjustRightInd w:val="0"/>
        <w:snapToGrid w:val="0"/>
        <w:spacing w:after="0" w:line="360" w:lineRule="auto"/>
        <w:ind w:firstLine="480" w:firstLineChars="200"/>
        <w:rPr>
          <w:sz w:val="24"/>
          <w:szCs w:val="24"/>
        </w:rPr>
      </w:pPr>
      <w:r>
        <w:rPr>
          <w:sz w:val="24"/>
          <w:szCs w:val="24"/>
        </w:rPr>
        <w:t>施工期固体废弃物主要包括施工人员的生活垃圾以及施工过程中产生的施工废弃物。为防止和减少施工期固体废物对环境的影响，采取以下措施：</w:t>
      </w:r>
    </w:p>
    <w:p>
      <w:pPr>
        <w:pStyle w:val="20"/>
        <w:adjustRightInd w:val="0"/>
        <w:snapToGrid w:val="0"/>
        <w:spacing w:after="0" w:line="360" w:lineRule="auto"/>
        <w:ind w:firstLine="480" w:firstLineChars="200"/>
        <w:rPr>
          <w:sz w:val="24"/>
          <w:szCs w:val="24"/>
        </w:rPr>
      </w:pPr>
      <w:r>
        <w:rPr>
          <w:sz w:val="24"/>
          <w:szCs w:val="24"/>
        </w:rPr>
        <w:t>（1）对于施工废弃物，要求进行分类和处理，其中可利用的物料，应重复利用或收购，如纸质、木质、金属性和玻璃质的垃圾可供收购站再利用，对不能利用的，应按要求运送到指定地点。</w:t>
      </w:r>
    </w:p>
    <w:p>
      <w:pPr>
        <w:pStyle w:val="20"/>
        <w:adjustRightInd w:val="0"/>
        <w:snapToGrid w:val="0"/>
        <w:spacing w:after="0" w:line="360" w:lineRule="auto"/>
        <w:ind w:firstLine="480" w:firstLineChars="200"/>
        <w:rPr>
          <w:sz w:val="24"/>
          <w:szCs w:val="24"/>
        </w:rPr>
      </w:pPr>
      <w:r>
        <w:rPr>
          <w:sz w:val="24"/>
          <w:szCs w:val="24"/>
        </w:rPr>
        <w:t>（2）施工人员产生的生活垃圾</w:t>
      </w:r>
      <w:r>
        <w:rPr>
          <w:rFonts w:hint="eastAsia"/>
          <w:sz w:val="24"/>
          <w:szCs w:val="24"/>
        </w:rPr>
        <w:t>集中暂存，</w:t>
      </w:r>
      <w:r>
        <w:rPr>
          <w:sz w:val="24"/>
          <w:szCs w:val="24"/>
        </w:rPr>
        <w:t>交由环卫部门统一进行处理。</w:t>
      </w:r>
    </w:p>
    <w:p>
      <w:pPr>
        <w:pStyle w:val="20"/>
        <w:adjustRightInd w:val="0"/>
        <w:snapToGrid w:val="0"/>
        <w:spacing w:after="0" w:line="360" w:lineRule="auto"/>
        <w:ind w:firstLine="480" w:firstLineChars="200"/>
        <w:rPr>
          <w:sz w:val="24"/>
          <w:szCs w:val="24"/>
        </w:rPr>
      </w:pPr>
      <w:r>
        <w:rPr>
          <w:sz w:val="24"/>
          <w:szCs w:val="24"/>
        </w:rPr>
        <w:t>（3）施工开挖的表层土应单独存放，并采取相应的防护措施，防止雨水冲刷，以备施工结束后绿化和临时占地复耕用。</w:t>
      </w:r>
    </w:p>
    <w:p>
      <w:pPr>
        <w:pStyle w:val="20"/>
        <w:adjustRightInd w:val="0"/>
        <w:snapToGrid w:val="0"/>
        <w:spacing w:after="0" w:line="360" w:lineRule="auto"/>
        <w:ind w:firstLine="480" w:firstLineChars="200"/>
        <w:rPr>
          <w:sz w:val="24"/>
          <w:szCs w:val="24"/>
        </w:rPr>
      </w:pPr>
      <w:r>
        <w:rPr>
          <w:sz w:val="24"/>
          <w:szCs w:val="24"/>
        </w:rPr>
        <w:t>（4）工程建设中应边开挖、边回填、边碾压等措施；尽量缩短施工工期，减少疏松地面的裸露时间，合理安排施工时间。</w:t>
      </w:r>
    </w:p>
    <w:p>
      <w:pPr>
        <w:pStyle w:val="20"/>
        <w:adjustRightInd w:val="0"/>
        <w:snapToGrid w:val="0"/>
        <w:spacing w:after="0" w:line="360" w:lineRule="auto"/>
        <w:ind w:firstLine="480" w:firstLineChars="200"/>
        <w:rPr>
          <w:sz w:val="24"/>
          <w:szCs w:val="24"/>
        </w:rPr>
      </w:pPr>
    </w:p>
    <w:p>
      <w:pPr>
        <w:pStyle w:val="20"/>
        <w:adjustRightInd w:val="0"/>
        <w:snapToGrid w:val="0"/>
        <w:spacing w:after="0" w:line="360" w:lineRule="auto"/>
        <w:ind w:firstLine="480" w:firstLineChars="200"/>
        <w:rPr>
          <w:sz w:val="24"/>
          <w:szCs w:val="24"/>
        </w:rPr>
      </w:pP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施工期生态保护措施</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1</w:t>
      </w:r>
      <w:r>
        <w:rPr>
          <w:rFonts w:hint="eastAsia"/>
          <w:sz w:val="24"/>
          <w:szCs w:val="24"/>
        </w:rPr>
        <w:t>）对弃土、弃渣或堆渣等固体物，必须有专门的存放场地，并采取拦挡措施。对开挖、填方等场地，必须进行护坡或土地整治。</w:t>
      </w:r>
    </w:p>
    <w:p>
      <w:pPr>
        <w:adjustRightInd w:val="0"/>
        <w:snapToGrid w:val="0"/>
        <w:spacing w:line="360" w:lineRule="auto"/>
        <w:ind w:firstLine="480" w:firstLineChars="200"/>
        <w:rPr>
          <w:rFonts w:asciiTheme="minorEastAsia" w:hAnsiTheme="minorEastAsia" w:eastAsiaTheme="minorEastAsia"/>
          <w:sz w:val="24"/>
          <w:szCs w:val="21"/>
        </w:rPr>
      </w:pPr>
      <w:r>
        <w:rPr>
          <w:rFonts w:hint="eastAsia" w:asciiTheme="minorEastAsia" w:hAnsiTheme="minorEastAsia" w:eastAsiaTheme="minorEastAsia"/>
          <w:sz w:val="24"/>
          <w:szCs w:val="21"/>
        </w:rPr>
        <w:t>剥离表土（熟土）在渣场内单独夯实堆放，周围以袋装石渣临时挡护，表面撒播草籽保肥。施工期结束后用于绿化区域。多余土方集中堆放，根据堆放的位置、地形特点，因地制宜，因害设防,采取拦渣、排水等措施防治。控制渣体边坡坡度，堆渣边坡坡度取1：2。挡渣体堆积完成后，削坡整形和平整渣顶，使体形满足稳定要求、不发生滑坡。</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2</w:t>
      </w:r>
      <w:r>
        <w:rPr>
          <w:rFonts w:hint="eastAsia"/>
          <w:sz w:val="24"/>
          <w:szCs w:val="24"/>
        </w:rPr>
        <w:t>）对项目区用地红线进行合理规划，因地制宜地充分利用自然地形地貌，避免大挖大填，尽量减少植被破坏；加强施工队伍组织和管理，避免对占地红线外的地表植被造成破坏。</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3</w:t>
      </w:r>
      <w:r>
        <w:rPr>
          <w:rFonts w:hint="eastAsia"/>
          <w:sz w:val="24"/>
          <w:szCs w:val="24"/>
        </w:rPr>
        <w:t>）建设单位应严格遵守国家和地方有关土地管理法律、法规，依法征用土地，必须严格按照《中华人民共和国土地管理法》，履行手续。</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4</w:t>
      </w:r>
      <w:r>
        <w:rPr>
          <w:rFonts w:hint="eastAsia"/>
          <w:sz w:val="24"/>
          <w:szCs w:val="24"/>
        </w:rPr>
        <w:t>）建设单位应因地制利用自然地形地貌，进行土石方工程的合理设计和施工，尽可能减少土方外运，尽可能在区内平衡挖、填方的土石量。避免乱挖乱填，降低土地生态破坏及其损害程度。</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5</w:t>
      </w:r>
      <w:r>
        <w:rPr>
          <w:rFonts w:hint="eastAsia"/>
          <w:sz w:val="24"/>
          <w:szCs w:val="24"/>
        </w:rPr>
        <w:t>）施工所需砂料应向当地砂料市场购买，不另设采砂料场，充分利用表层剥离土作绿化用土，以减少弃土石量，避免产生新的土地生态破坏。</w:t>
      </w:r>
    </w:p>
    <w:p>
      <w:pPr>
        <w:pStyle w:val="20"/>
        <w:adjustRightInd w:val="0"/>
        <w:snapToGrid w:val="0"/>
        <w:spacing w:after="0" w:line="360" w:lineRule="auto"/>
        <w:ind w:firstLine="480" w:firstLineChars="200"/>
        <w:rPr>
          <w:sz w:val="24"/>
          <w:szCs w:val="24"/>
        </w:rPr>
      </w:pPr>
      <w:r>
        <w:rPr>
          <w:rFonts w:hint="eastAsia"/>
          <w:sz w:val="24"/>
          <w:szCs w:val="24"/>
        </w:rPr>
        <w:t>（6）尽量减少对植被的破坏。如在土地平整及土方施工中，加强施工道路的路面建设，创造施工场地良好的排水条件，裸露地表及时进行护坡和植被，减少雨水冲刷和停留时间。</w:t>
      </w:r>
    </w:p>
    <w:p>
      <w:pPr>
        <w:pStyle w:val="20"/>
        <w:adjustRightInd w:val="0"/>
        <w:snapToGrid w:val="0"/>
        <w:spacing w:after="0" w:line="360" w:lineRule="auto"/>
        <w:ind w:firstLine="480" w:firstLineChars="200"/>
        <w:rPr>
          <w:sz w:val="24"/>
          <w:szCs w:val="24"/>
        </w:rPr>
      </w:pPr>
      <w:r>
        <w:rPr>
          <w:rFonts w:hint="eastAsia"/>
          <w:sz w:val="24"/>
          <w:szCs w:val="24"/>
        </w:rPr>
        <w:t>（7）开发建设形成的裸露土地，应恢复林草植被，并开发利用。</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8</w:t>
      </w:r>
      <w:r>
        <w:rPr>
          <w:rFonts w:hint="eastAsia"/>
          <w:sz w:val="24"/>
          <w:szCs w:val="24"/>
        </w:rPr>
        <w:t>）加强施工人员环保意识，不乱砍伐树木，弃土、弃渣应按照设计要求进行，临时占地应尽可能设置在用地范围内或利用荒地、废弃地等。</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施工期水土保持措施</w:t>
      </w:r>
    </w:p>
    <w:p>
      <w:pPr>
        <w:pStyle w:val="20"/>
        <w:adjustRightInd w:val="0"/>
        <w:snapToGrid w:val="0"/>
        <w:spacing w:after="0" w:line="360" w:lineRule="auto"/>
        <w:ind w:firstLine="480" w:firstLineChars="200"/>
        <w:rPr>
          <w:sz w:val="24"/>
          <w:szCs w:val="24"/>
        </w:rPr>
      </w:pPr>
      <w:r>
        <w:rPr>
          <w:rFonts w:hint="eastAsia"/>
          <w:sz w:val="24"/>
          <w:szCs w:val="24"/>
        </w:rPr>
        <w:t>在项目施工过程中，水土保持措施在满足水土流失防治的前提下，必须符合国家现行标准。应注意对容易诱发水土流失的环节采取相应的水土保持防治措施，同时施工时须符合水土保持的要求，落实预防为主的原则。主要水土保持措施如下：</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1</w:t>
      </w:r>
      <w:r>
        <w:rPr>
          <w:rFonts w:hint="eastAsia"/>
          <w:sz w:val="24"/>
          <w:szCs w:val="24"/>
        </w:rPr>
        <w:t>）优化方案科学施工。应进一步优化土石方利用和调配方案，使土石方利用更加合理，尽量减少水土流失的产生。在土石方的运输过程中，应做好防护措施，避免滴、漏、撒，尽量减少和避免运输过程中造成的水土流失。合理安排工期，避开雨季施工。</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2</w:t>
      </w:r>
      <w:r>
        <w:rPr>
          <w:rFonts w:hint="eastAsia"/>
          <w:sz w:val="24"/>
          <w:szCs w:val="24"/>
        </w:rPr>
        <w:t>）强化临时工程措施。开挖出的土方要利用草袋进行临时拦挡，避免降水直接作用于松散的土体表面，可以有效降低雨水对表面松散土体的侵蚀，减少水土流失。雨季施工时，降水会对临时堆放的松散土石方产生较大的冲刷，应及时修筑临时排水沟，将雨水尽快排向附近的自然沟渠。</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3</w:t>
      </w:r>
      <w:r>
        <w:rPr>
          <w:rFonts w:hint="eastAsia"/>
          <w:sz w:val="24"/>
          <w:szCs w:val="24"/>
        </w:rPr>
        <w:t>）设置沉砂、沉淀池。施工区域砂石料、混凝土系统的废水经沉砂池和沉淀池处理后，上层清液达标后排放或循环使用，沉淀下来的泥砂与施工弃渣外运至指定区域。</w:t>
      </w:r>
    </w:p>
    <w:p>
      <w:pPr>
        <w:pStyle w:val="20"/>
        <w:adjustRightInd w:val="0"/>
        <w:snapToGrid w:val="0"/>
        <w:spacing w:after="0" w:line="360" w:lineRule="auto"/>
        <w:ind w:firstLine="480" w:firstLineChars="200"/>
        <w:rPr>
          <w:sz w:val="24"/>
          <w:szCs w:val="24"/>
        </w:rPr>
      </w:pPr>
      <w:r>
        <w:rPr>
          <w:rFonts w:hint="eastAsia"/>
          <w:sz w:val="24"/>
          <w:szCs w:val="24"/>
        </w:rPr>
        <w:t>（</w:t>
      </w:r>
      <w:r>
        <w:rPr>
          <w:sz w:val="24"/>
          <w:szCs w:val="24"/>
        </w:rPr>
        <w:t>4</w:t>
      </w:r>
      <w:r>
        <w:rPr>
          <w:rFonts w:hint="eastAsia"/>
          <w:sz w:val="24"/>
          <w:szCs w:val="24"/>
        </w:rPr>
        <w:t>）责任落实定期监测。为将水土保持</w:t>
      </w:r>
      <w:bookmarkStart w:id="202" w:name="_GoBack"/>
      <w:bookmarkEnd w:id="202"/>
      <w:r>
        <w:rPr>
          <w:rFonts w:hint="eastAsia"/>
          <w:sz w:val="24"/>
          <w:szCs w:val="24"/>
          <w:lang w:eastAsia="zh-CN"/>
        </w:rPr>
        <w:t>落到实处</w:t>
      </w:r>
      <w:r>
        <w:rPr>
          <w:rFonts w:hint="eastAsia"/>
          <w:sz w:val="24"/>
          <w:szCs w:val="24"/>
        </w:rPr>
        <w:t>，必须将水土保持措施纳入主体工程招标文件，招标书中要有水土保持要求，并列入中标合同书中。</w:t>
      </w:r>
    </w:p>
    <w:p>
      <w:pPr>
        <w:pStyle w:val="20"/>
        <w:adjustRightInd w:val="0"/>
        <w:snapToGrid w:val="0"/>
        <w:spacing w:after="0" w:line="360" w:lineRule="auto"/>
        <w:ind w:firstLine="480" w:firstLineChars="200"/>
        <w:rPr>
          <w:sz w:val="24"/>
          <w:szCs w:val="24"/>
        </w:rPr>
      </w:pPr>
      <w:r>
        <w:rPr>
          <w:rFonts w:hint="eastAsia"/>
          <w:sz w:val="24"/>
          <w:szCs w:val="24"/>
        </w:rPr>
        <w:t>建设单位应选择具有水土保持监测资质的机构进行本项目建设期水土保持监测工作。水土保持监测机构应对水土保持方案报告书中所提出的水土保持监测项目、监测点位、监测频次等，编制水土保持监测计划，并付诸实施。监测机构应将监测成果定期向业主及地方水行政主管部门报告，同时负责编制该项目水土保持监测专项报告提交业主，为工程竣工验收提供依据。</w:t>
      </w:r>
    </w:p>
    <w:p>
      <w:pPr>
        <w:pStyle w:val="61"/>
        <w:numPr>
          <w:ilvl w:val="1"/>
          <w:numId w:val="5"/>
        </w:numPr>
        <w:spacing w:before="156" w:after="156"/>
        <w:rPr>
          <w:rFonts w:ascii="Times New Roman" w:hAnsi="Times New Roman"/>
        </w:rPr>
      </w:pPr>
      <w:bookmarkStart w:id="153" w:name="_Toc94101234"/>
      <w:bookmarkStart w:id="154" w:name="_Toc518025923"/>
      <w:r>
        <w:rPr>
          <w:rFonts w:ascii="Times New Roman" w:hAnsi="Times New Roman"/>
        </w:rPr>
        <w:t>营运期大气污染防治措施</w:t>
      </w:r>
      <w:bookmarkEnd w:id="153"/>
      <w:bookmarkEnd w:id="154"/>
    </w:p>
    <w:p>
      <w:pPr>
        <w:autoSpaceDE w:val="0"/>
        <w:autoSpaceDN w:val="0"/>
        <w:adjustRightInd w:val="0"/>
        <w:snapToGrid w:val="0"/>
        <w:spacing w:line="360" w:lineRule="auto"/>
        <w:ind w:firstLine="480" w:firstLineChars="200"/>
        <w:jc w:val="left"/>
        <w:rPr>
          <w:rFonts w:eastAsiaTheme="minorEastAsia"/>
          <w:kern w:val="0"/>
          <w:sz w:val="24"/>
          <w:szCs w:val="24"/>
        </w:rPr>
      </w:pPr>
      <w:r>
        <w:rPr>
          <w:rFonts w:eastAsiaTheme="minorEastAsia"/>
          <w:kern w:val="0"/>
          <w:sz w:val="24"/>
          <w:szCs w:val="24"/>
        </w:rPr>
        <w:t>（</w:t>
      </w:r>
      <w:r>
        <w:rPr>
          <w:rFonts w:eastAsiaTheme="minorEastAsia"/>
          <w:b/>
          <w:bCs/>
          <w:kern w:val="0"/>
          <w:sz w:val="24"/>
          <w:szCs w:val="24"/>
        </w:rPr>
        <w:t>1</w:t>
      </w:r>
      <w:r>
        <w:rPr>
          <w:rFonts w:eastAsiaTheme="minorEastAsia"/>
          <w:kern w:val="0"/>
          <w:sz w:val="24"/>
          <w:szCs w:val="24"/>
        </w:rPr>
        <w:t>）运输过程中产生的扬尘</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hint="eastAsia" w:ascii="宋体" w:hAnsi="宋体" w:cs="宋体"/>
          <w:kern w:val="0"/>
          <w:sz w:val="24"/>
          <w:szCs w:val="24"/>
        </w:rPr>
        <w:t>①</w:t>
      </w:r>
      <w:r>
        <w:rPr>
          <w:rFonts w:eastAsiaTheme="minorEastAsia"/>
          <w:kern w:val="0"/>
          <w:sz w:val="24"/>
          <w:szCs w:val="24"/>
        </w:rPr>
        <w:t>运输车辆产生一定的道路扬尘，可通过控制车速及道路洒水降尘以降低扬尘污染。</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hint="eastAsia" w:ascii="宋体" w:hAnsi="宋体" w:cs="宋体"/>
          <w:kern w:val="0"/>
          <w:sz w:val="24"/>
          <w:szCs w:val="24"/>
        </w:rPr>
        <w:t>②</w:t>
      </w:r>
      <w:r>
        <w:rPr>
          <w:rFonts w:eastAsiaTheme="minorEastAsia"/>
          <w:kern w:val="0"/>
          <w:sz w:val="24"/>
          <w:szCs w:val="24"/>
        </w:rPr>
        <w:t>固化飞灰采用专用的危废运输车进行密闭运输。</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eastAsiaTheme="minorEastAsia"/>
          <w:kern w:val="0"/>
          <w:sz w:val="24"/>
          <w:szCs w:val="24"/>
        </w:rPr>
        <w:t>（</w:t>
      </w:r>
      <w:r>
        <w:rPr>
          <w:rFonts w:eastAsiaTheme="minorEastAsia"/>
          <w:b/>
          <w:bCs/>
          <w:kern w:val="0"/>
          <w:sz w:val="24"/>
          <w:szCs w:val="24"/>
        </w:rPr>
        <w:t>2</w:t>
      </w:r>
      <w:r>
        <w:rPr>
          <w:rFonts w:eastAsiaTheme="minorEastAsia"/>
          <w:kern w:val="0"/>
          <w:sz w:val="24"/>
          <w:szCs w:val="24"/>
        </w:rPr>
        <w:t>）填埋作业过程中产生的扬尘</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hint="eastAsia" w:ascii="宋体" w:hAnsi="宋体" w:cs="宋体"/>
          <w:kern w:val="0"/>
          <w:sz w:val="24"/>
          <w:szCs w:val="24"/>
        </w:rPr>
        <w:t>①</w:t>
      </w:r>
      <w:r>
        <w:rPr>
          <w:rFonts w:eastAsiaTheme="minorEastAsia"/>
          <w:kern w:val="0"/>
          <w:sz w:val="24"/>
          <w:szCs w:val="24"/>
        </w:rPr>
        <w:t>固化飞灰填埋作业应分单元进行，不运行作业面应及时覆盖。不得同时进行多作业面填埋作业或者不分区全场敞开式作业。每天填埋作业结束后，应对作业面进行覆盖。</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hint="eastAsia" w:ascii="宋体" w:hAnsi="宋体" w:cs="宋体"/>
          <w:kern w:val="0"/>
          <w:sz w:val="24"/>
          <w:szCs w:val="24"/>
        </w:rPr>
        <w:t>②</w:t>
      </w:r>
      <w:r>
        <w:rPr>
          <w:rFonts w:eastAsiaTheme="minorEastAsia"/>
          <w:kern w:val="0"/>
          <w:sz w:val="24"/>
          <w:szCs w:val="24"/>
        </w:rPr>
        <w:t>填埋场库区周边设置有绿化隔离带，可以有效减小填埋作业扬尘影响填埋区外环境。</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hint="eastAsia" w:ascii="宋体" w:hAnsi="宋体" w:cs="宋体"/>
          <w:kern w:val="0"/>
          <w:sz w:val="24"/>
          <w:szCs w:val="24"/>
        </w:rPr>
        <w:t>③</w:t>
      </w:r>
      <w:r>
        <w:rPr>
          <w:rFonts w:eastAsiaTheme="minorEastAsia"/>
          <w:kern w:val="0"/>
          <w:sz w:val="24"/>
          <w:szCs w:val="24"/>
        </w:rPr>
        <w:t>填埋作业时要轻卸，注意控制卸车时的速度，严禁凌空抛洒，以免扬尘产生。</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hint="eastAsia" w:ascii="宋体" w:hAnsi="宋体" w:cs="宋体"/>
          <w:kern w:val="0"/>
          <w:sz w:val="24"/>
          <w:szCs w:val="24"/>
        </w:rPr>
        <w:t>④</w:t>
      </w:r>
      <w:r>
        <w:rPr>
          <w:rFonts w:eastAsiaTheme="minorEastAsia"/>
          <w:kern w:val="0"/>
          <w:sz w:val="24"/>
          <w:szCs w:val="24"/>
        </w:rPr>
        <w:t>填埋区建设2套洒水降尘系统对产尘区和进场道路洒水降尘。</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eastAsiaTheme="minorEastAsia"/>
          <w:kern w:val="0"/>
          <w:sz w:val="24"/>
          <w:szCs w:val="24"/>
        </w:rPr>
        <w:t>（</w:t>
      </w:r>
      <w:r>
        <w:rPr>
          <w:rFonts w:eastAsiaTheme="minorEastAsia"/>
          <w:b/>
          <w:bCs/>
          <w:kern w:val="0"/>
          <w:sz w:val="24"/>
          <w:szCs w:val="24"/>
        </w:rPr>
        <w:t>3</w:t>
      </w:r>
      <w:r>
        <w:rPr>
          <w:rFonts w:eastAsiaTheme="minorEastAsia"/>
          <w:kern w:val="0"/>
          <w:sz w:val="24"/>
          <w:szCs w:val="24"/>
        </w:rPr>
        <w:t>）恶臭气体控制措施</w:t>
      </w:r>
    </w:p>
    <w:p>
      <w:pPr>
        <w:autoSpaceDE w:val="0"/>
        <w:autoSpaceDN w:val="0"/>
        <w:adjustRightInd w:val="0"/>
        <w:snapToGrid w:val="0"/>
        <w:spacing w:line="360" w:lineRule="auto"/>
        <w:ind w:firstLine="480" w:firstLineChars="200"/>
        <w:jc w:val="left"/>
        <w:rPr>
          <w:rFonts w:eastAsiaTheme="minorEastAsia"/>
          <w:kern w:val="0"/>
          <w:sz w:val="24"/>
          <w:szCs w:val="24"/>
        </w:rPr>
      </w:pPr>
      <w:r>
        <w:rPr>
          <w:rFonts w:eastAsiaTheme="minorEastAsia"/>
          <w:kern w:val="0"/>
          <w:sz w:val="24"/>
          <w:szCs w:val="24"/>
        </w:rPr>
        <w:t>渗滤液处理站设置于综合车间内，通过加盖等密闭措施，建设恶臭气体产生；渗滤液调节池采取加盖处理措施，减少恶臭气体对周边环境的影响。</w:t>
      </w:r>
    </w:p>
    <w:p>
      <w:pPr>
        <w:autoSpaceDE w:val="0"/>
        <w:autoSpaceDN w:val="0"/>
        <w:adjustRightInd w:val="0"/>
        <w:snapToGrid w:val="0"/>
        <w:spacing w:line="360" w:lineRule="auto"/>
        <w:ind w:firstLine="480" w:firstLineChars="200"/>
        <w:jc w:val="left"/>
        <w:rPr>
          <w:kern w:val="0"/>
          <w:sz w:val="24"/>
          <w:szCs w:val="24"/>
        </w:rPr>
      </w:pPr>
      <w:r>
        <w:rPr>
          <w:rFonts w:eastAsiaTheme="minorEastAsia"/>
          <w:kern w:val="0"/>
          <w:sz w:val="24"/>
          <w:szCs w:val="24"/>
        </w:rPr>
        <w:t>（</w:t>
      </w:r>
      <w:r>
        <w:rPr>
          <w:rFonts w:eastAsiaTheme="minorEastAsia"/>
          <w:b/>
          <w:bCs/>
          <w:kern w:val="0"/>
          <w:sz w:val="24"/>
          <w:szCs w:val="24"/>
        </w:rPr>
        <w:t>4</w:t>
      </w:r>
      <w:r>
        <w:rPr>
          <w:rFonts w:eastAsiaTheme="minorEastAsia"/>
          <w:kern w:val="0"/>
          <w:sz w:val="24"/>
          <w:szCs w:val="24"/>
        </w:rPr>
        <w:t>）本项目设置50m 的环境防护距离，该防护距离范围内未来不得新建居民区、学校和医院等敏感目标。</w:t>
      </w:r>
    </w:p>
    <w:p>
      <w:pPr>
        <w:pStyle w:val="61"/>
        <w:numPr>
          <w:ilvl w:val="1"/>
          <w:numId w:val="5"/>
        </w:numPr>
        <w:spacing w:before="156" w:after="156"/>
        <w:rPr>
          <w:rFonts w:ascii="Times New Roman" w:hAnsi="Times New Roman"/>
        </w:rPr>
      </w:pPr>
      <w:bookmarkStart w:id="155" w:name="_Toc94101235"/>
      <w:bookmarkStart w:id="156" w:name="_Toc518025935"/>
      <w:r>
        <w:rPr>
          <w:rFonts w:hint="eastAsia" w:ascii="Times New Roman" w:hAnsi="Times New Roman"/>
        </w:rPr>
        <w:t>营运期废</w:t>
      </w:r>
      <w:r>
        <w:rPr>
          <w:rFonts w:ascii="Times New Roman" w:hAnsi="Times New Roman"/>
        </w:rPr>
        <w:t>水污染防治措施</w:t>
      </w:r>
      <w:bookmarkEnd w:id="155"/>
      <w:bookmarkEnd w:id="156"/>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排水系统设置</w:t>
      </w:r>
      <w:r>
        <w:rPr>
          <w:rFonts w:ascii="Times New Roman" w:hAnsi="Times New Roman"/>
        </w:rPr>
        <w:t xml:space="preserve"> </w:t>
      </w:r>
    </w:p>
    <w:p>
      <w:pPr>
        <w:pStyle w:val="20"/>
        <w:adjustRightInd w:val="0"/>
        <w:snapToGrid w:val="0"/>
        <w:spacing w:after="0" w:line="360" w:lineRule="auto"/>
        <w:ind w:firstLine="480" w:firstLineChars="200"/>
        <w:rPr>
          <w:sz w:val="24"/>
          <w:szCs w:val="24"/>
        </w:rPr>
      </w:pPr>
      <w:r>
        <w:rPr>
          <w:rFonts w:hint="eastAsia"/>
          <w:sz w:val="24"/>
          <w:szCs w:val="24"/>
        </w:rPr>
        <w:t>本项目采用清污分流、雨污分流体制。</w:t>
      </w:r>
    </w:p>
    <w:p>
      <w:pPr>
        <w:pStyle w:val="20"/>
        <w:adjustRightInd w:val="0"/>
        <w:snapToGrid w:val="0"/>
        <w:spacing w:after="0" w:line="360" w:lineRule="auto"/>
        <w:ind w:firstLine="480" w:firstLineChars="200"/>
        <w:rPr>
          <w:sz w:val="24"/>
          <w:szCs w:val="24"/>
        </w:rPr>
      </w:pPr>
      <w:r>
        <w:rPr>
          <w:rFonts w:hint="eastAsia"/>
          <w:sz w:val="24"/>
          <w:szCs w:val="24"/>
        </w:rPr>
        <w:t>项目产生的废水包括：填埋场渗滤液、初期雨水、生活污水和冲洗废水。通过本次新建的渗滤液处理站，采用“混凝+沉淀+过滤”一体化处理设备预处理后，通过压力管道泵入紧邻的围场生活垃圾焚烧发电项目的渗滤液处理站，进一步深化处理达标后，全部回用不外排。</w:t>
      </w:r>
    </w:p>
    <w:p>
      <w:pPr>
        <w:pStyle w:val="20"/>
        <w:adjustRightInd w:val="0"/>
        <w:snapToGrid w:val="0"/>
        <w:spacing w:after="0" w:line="360" w:lineRule="auto"/>
        <w:ind w:firstLine="480" w:firstLineChars="200"/>
        <w:rPr>
          <w:sz w:val="24"/>
          <w:szCs w:val="24"/>
        </w:rPr>
      </w:pPr>
      <w:r>
        <w:rPr>
          <w:rFonts w:hint="eastAsia"/>
          <w:sz w:val="24"/>
          <w:szCs w:val="24"/>
        </w:rPr>
        <w:t>本项目废水产生量为</w:t>
      </w:r>
      <w:r>
        <w:rPr>
          <w:rFonts w:hint="eastAsia"/>
          <w:kern w:val="10"/>
          <w:sz w:val="24"/>
        </w:rPr>
        <w:t>20.73 m</w:t>
      </w:r>
      <w:r>
        <w:rPr>
          <w:kern w:val="10"/>
          <w:sz w:val="24"/>
          <w:vertAlign w:val="superscript"/>
        </w:rPr>
        <w:t>3</w:t>
      </w:r>
      <w:r>
        <w:rPr>
          <w:kern w:val="10"/>
          <w:sz w:val="24"/>
        </w:rPr>
        <w:t>/d</w:t>
      </w:r>
      <w:r>
        <w:rPr>
          <w:rFonts w:hint="eastAsia"/>
          <w:sz w:val="24"/>
          <w:szCs w:val="24"/>
        </w:rPr>
        <w:t>，本填埋场渗滤液处理系统建设规模为</w:t>
      </w:r>
      <w:r>
        <w:rPr>
          <w:sz w:val="24"/>
          <w:szCs w:val="24"/>
        </w:rPr>
        <w:t>30m</w:t>
      </w:r>
      <w:r>
        <w:rPr>
          <w:sz w:val="24"/>
          <w:szCs w:val="24"/>
          <w:vertAlign w:val="superscript"/>
        </w:rPr>
        <w:t>3</w:t>
      </w:r>
      <w:r>
        <w:rPr>
          <w:sz w:val="24"/>
          <w:szCs w:val="24"/>
        </w:rPr>
        <w:t>/d</w:t>
      </w:r>
      <w:r>
        <w:rPr>
          <w:rFonts w:hint="eastAsia"/>
          <w:sz w:val="24"/>
          <w:szCs w:val="24"/>
        </w:rPr>
        <w:t>，处理对象为填埋场飞灰渗滤液、冲洗废水和生活污水。渗滤液调节池的容积为3</w:t>
      </w:r>
      <w:r>
        <w:rPr>
          <w:sz w:val="24"/>
          <w:szCs w:val="24"/>
        </w:rPr>
        <w:t>000m</w:t>
      </w:r>
      <w:r>
        <w:rPr>
          <w:sz w:val="24"/>
          <w:szCs w:val="24"/>
          <w:vertAlign w:val="superscript"/>
        </w:rPr>
        <w:t>3</w:t>
      </w:r>
      <w:r>
        <w:rPr>
          <w:rFonts w:hint="eastAsia"/>
          <w:sz w:val="24"/>
          <w:szCs w:val="24"/>
        </w:rPr>
        <w:t>。可存储1</w:t>
      </w:r>
      <w:r>
        <w:rPr>
          <w:sz w:val="24"/>
          <w:szCs w:val="24"/>
        </w:rPr>
        <w:t>40</w:t>
      </w:r>
      <w:r>
        <w:rPr>
          <w:rFonts w:hint="eastAsia"/>
          <w:sz w:val="24"/>
          <w:szCs w:val="24"/>
        </w:rPr>
        <w:t>天左右的废水，</w:t>
      </w:r>
      <w:r>
        <w:rPr>
          <w:rFonts w:hint="eastAsia"/>
          <w:bCs/>
          <w:kern w:val="10"/>
          <w:sz w:val="24"/>
        </w:rPr>
        <w:t>调节池可以对填埋库区各季度渗滤液及初期雨水产量的不均匀性进行调节。</w:t>
      </w:r>
    </w:p>
    <w:p>
      <w:pPr>
        <w:pStyle w:val="20"/>
        <w:adjustRightInd w:val="0"/>
        <w:snapToGrid w:val="0"/>
        <w:spacing w:after="0" w:line="360" w:lineRule="auto"/>
        <w:ind w:firstLine="480" w:firstLineChars="200"/>
        <w:rPr>
          <w:sz w:val="24"/>
          <w:szCs w:val="24"/>
        </w:rPr>
      </w:pPr>
      <w:r>
        <w:rPr>
          <w:rFonts w:hint="eastAsia"/>
          <w:sz w:val="24"/>
          <w:szCs w:val="24"/>
        </w:rPr>
        <w:t>结合实际工程经验，固化飞灰本身含水率较低，基本不会渗出渗滤液，本项目渗滤液来源基本为降雨通过飞灰后沥出来的污水。本项目采用</w:t>
      </w:r>
      <w:r>
        <w:rPr>
          <w:sz w:val="24"/>
          <w:szCs w:val="24"/>
        </w:rPr>
        <w:t>0.5mm</w:t>
      </w:r>
      <w:r>
        <w:rPr>
          <w:rFonts w:hint="eastAsia"/>
          <w:sz w:val="24"/>
          <w:szCs w:val="24"/>
        </w:rPr>
        <w:t>厚</w:t>
      </w:r>
      <w:r>
        <w:rPr>
          <w:sz w:val="24"/>
          <w:szCs w:val="24"/>
        </w:rPr>
        <w:t>HDPE</w:t>
      </w:r>
      <w:r>
        <w:rPr>
          <w:rFonts w:hint="eastAsia"/>
          <w:sz w:val="24"/>
          <w:szCs w:val="24"/>
        </w:rPr>
        <w:t>膜进行日覆盖和中间覆盖，减少进入填埋作业区的雨水量。</w:t>
      </w:r>
    </w:p>
    <w:p>
      <w:pPr>
        <w:pStyle w:val="20"/>
        <w:adjustRightInd w:val="0"/>
        <w:snapToGrid w:val="0"/>
        <w:spacing w:after="0" w:line="360" w:lineRule="auto"/>
        <w:ind w:firstLine="480" w:firstLineChars="200"/>
        <w:rPr>
          <w:sz w:val="24"/>
          <w:szCs w:val="24"/>
        </w:rPr>
      </w:pPr>
      <w:r>
        <w:rPr>
          <w:rFonts w:hint="eastAsia"/>
          <w:sz w:val="24"/>
          <w:szCs w:val="24"/>
        </w:rPr>
        <w:t>根据以上排水情况，主要从以下</w:t>
      </w:r>
      <w:r>
        <w:rPr>
          <w:sz w:val="24"/>
          <w:szCs w:val="24"/>
        </w:rPr>
        <w:t>2</w:t>
      </w:r>
      <w:r>
        <w:rPr>
          <w:rFonts w:hint="eastAsia"/>
          <w:sz w:val="24"/>
          <w:szCs w:val="24"/>
        </w:rPr>
        <w:t>个方面分析本项目的废水处理措施的可行性：①渗滤液减量化措施；②渗滤液处理站废水处理工艺及其处理效果。</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滤液减量化措施</w:t>
      </w:r>
      <w:r>
        <w:rPr>
          <w:rFonts w:ascii="Times New Roman" w:hAnsi="Times New Roman"/>
        </w:rPr>
        <w:t xml:space="preserve"> </w:t>
      </w:r>
    </w:p>
    <w:p>
      <w:pPr>
        <w:pStyle w:val="20"/>
        <w:adjustRightInd w:val="0"/>
        <w:snapToGrid w:val="0"/>
        <w:spacing w:after="0" w:line="360" w:lineRule="auto"/>
        <w:ind w:firstLine="480" w:firstLineChars="200"/>
        <w:rPr>
          <w:sz w:val="24"/>
          <w:szCs w:val="24"/>
        </w:rPr>
      </w:pPr>
      <w:r>
        <w:rPr>
          <w:rFonts w:hint="eastAsia"/>
          <w:sz w:val="24"/>
          <w:szCs w:val="24"/>
        </w:rPr>
        <w:t>为尽可能减少流进填埋库区的雨水量，从而使得渗滤液减量化，采取如下的措施：</w:t>
      </w:r>
    </w:p>
    <w:p>
      <w:pPr>
        <w:pStyle w:val="20"/>
        <w:adjustRightInd w:val="0"/>
        <w:snapToGrid w:val="0"/>
        <w:spacing w:after="0" w:line="360" w:lineRule="auto"/>
        <w:ind w:firstLine="480" w:firstLineChars="200"/>
        <w:rPr>
          <w:sz w:val="24"/>
          <w:szCs w:val="24"/>
        </w:rPr>
      </w:pPr>
      <w:r>
        <w:rPr>
          <w:rFonts w:hint="eastAsia"/>
          <w:sz w:val="24"/>
          <w:szCs w:val="24"/>
        </w:rPr>
        <w:t>（1）将正在填埋的库区分成若干个填埋作业单元，中部用挡水堤隔开，将正在作业区域产生的渗滤液和非作业区的雨水分开收集。非作业区的雨水利用单元渗滤液集水井及污水泵，通过阀门切换，关闭通向调节池的通路，直接排向围堤上的雨水明沟。</w:t>
      </w:r>
    </w:p>
    <w:p>
      <w:pPr>
        <w:pStyle w:val="20"/>
        <w:adjustRightInd w:val="0"/>
        <w:snapToGrid w:val="0"/>
        <w:spacing w:after="0" w:line="360" w:lineRule="auto"/>
        <w:ind w:firstLine="480" w:firstLineChars="200"/>
        <w:rPr>
          <w:sz w:val="24"/>
          <w:szCs w:val="24"/>
        </w:rPr>
      </w:pPr>
      <w:r>
        <w:rPr>
          <w:rFonts w:hint="eastAsia"/>
          <w:sz w:val="24"/>
          <w:szCs w:val="24"/>
        </w:rPr>
        <w:t>（2）及时进行覆盖，阻隔大气降水进入填埋库区。填埋作业采用规范化作业方式，及时进行日覆盖、中间覆盖与生态修复，填埋作业过程中设置合理的排水坡度（≥</w:t>
      </w:r>
      <w:r>
        <w:rPr>
          <w:sz w:val="24"/>
          <w:szCs w:val="24"/>
        </w:rPr>
        <w:t>5%</w:t>
      </w:r>
      <w:r>
        <w:rPr>
          <w:rFonts w:hint="eastAsia"/>
          <w:sz w:val="24"/>
          <w:szCs w:val="24"/>
        </w:rPr>
        <w:t>），尽可能分流进入库区的大气降水。</w:t>
      </w:r>
    </w:p>
    <w:p>
      <w:pPr>
        <w:pStyle w:val="20"/>
        <w:adjustRightInd w:val="0"/>
        <w:snapToGrid w:val="0"/>
        <w:spacing w:after="0" w:line="360" w:lineRule="auto"/>
        <w:ind w:firstLine="480" w:firstLineChars="200"/>
        <w:rPr>
          <w:sz w:val="24"/>
          <w:szCs w:val="24"/>
        </w:rPr>
      </w:pPr>
      <w:r>
        <w:rPr>
          <w:rFonts w:hint="eastAsia"/>
          <w:sz w:val="24"/>
          <w:szCs w:val="24"/>
        </w:rPr>
        <w:t>（3）在填埋场建设和运行、封场时，做好雨污分流，避免雨水进入填埋堆体转化为渗滤液。设置了环场永久雨污分流系统，库区内设置了临时雨污分流系统。</w:t>
      </w:r>
    </w:p>
    <w:p>
      <w:pPr>
        <w:pStyle w:val="20"/>
        <w:adjustRightInd w:val="0"/>
        <w:snapToGrid w:val="0"/>
        <w:spacing w:after="0" w:line="360" w:lineRule="auto"/>
        <w:ind w:firstLine="480" w:firstLineChars="200"/>
        <w:rPr>
          <w:sz w:val="24"/>
          <w:szCs w:val="24"/>
        </w:rPr>
      </w:pPr>
      <w:r>
        <w:rPr>
          <w:rFonts w:hint="eastAsia"/>
          <w:sz w:val="24"/>
          <w:szCs w:val="24"/>
        </w:rPr>
        <w:t>运行期库区外四周设置临时雨水明沟，将围堤内库区外的雨水有组织排至下游，防止雨水进入作业单元内。</w:t>
      </w:r>
    </w:p>
    <w:p>
      <w:pPr>
        <w:pStyle w:val="20"/>
        <w:adjustRightInd w:val="0"/>
        <w:snapToGrid w:val="0"/>
        <w:spacing w:after="0" w:line="360" w:lineRule="auto"/>
        <w:ind w:firstLine="480" w:firstLineChars="200"/>
        <w:rPr>
          <w:sz w:val="24"/>
          <w:szCs w:val="24"/>
        </w:rPr>
      </w:pPr>
      <w:r>
        <w:rPr>
          <w:rFonts w:hint="eastAsia"/>
          <w:sz w:val="24"/>
          <w:szCs w:val="24"/>
        </w:rPr>
        <w:t>封场时堆体的雨水经过堆体设置的雨水明沟排至围堤四周的截洪沟最终排至场外。</w:t>
      </w:r>
    </w:p>
    <w:p>
      <w:pPr>
        <w:pStyle w:val="20"/>
        <w:adjustRightInd w:val="0"/>
        <w:snapToGrid w:val="0"/>
        <w:spacing w:after="0" w:line="360" w:lineRule="auto"/>
        <w:ind w:firstLine="480" w:firstLineChars="200"/>
        <w:rPr>
          <w:sz w:val="24"/>
          <w:szCs w:val="24"/>
        </w:rPr>
      </w:pPr>
      <w:r>
        <w:rPr>
          <w:rFonts w:hint="eastAsia"/>
          <w:sz w:val="24"/>
          <w:szCs w:val="24"/>
        </w:rPr>
        <w:t>（4）填埋场达到使用年限后，进行终场覆盖；同时，场地内种植绿化，以减少雨水转化为渗滤水的量。</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废水处理工艺及其处理效果</w:t>
      </w:r>
    </w:p>
    <w:p>
      <w:pPr>
        <w:pStyle w:val="20"/>
        <w:adjustRightInd w:val="0"/>
        <w:snapToGrid w:val="0"/>
        <w:spacing w:after="0" w:line="360" w:lineRule="auto"/>
        <w:ind w:firstLine="480" w:firstLineChars="200"/>
        <w:rPr>
          <w:sz w:val="24"/>
          <w:szCs w:val="24"/>
        </w:rPr>
      </w:pPr>
      <w:r>
        <w:rPr>
          <w:rFonts w:hint="eastAsia"/>
          <w:sz w:val="24"/>
          <w:szCs w:val="24"/>
        </w:rPr>
        <w:t>由于本项目紧邻的围场生活垃圾焚烧发电项目的渗滤液处理站，且其建设时已考虑本项目废水处理需要，因此，本项目废水处理选择采用絮凝沉淀过滤后，泵入围场生活垃圾焚烧发电项目的渗滤液处理站深度处理后全部回用。</w:t>
      </w:r>
    </w:p>
    <w:p>
      <w:pPr>
        <w:pStyle w:val="20"/>
        <w:adjustRightInd w:val="0"/>
        <w:snapToGrid w:val="0"/>
        <w:spacing w:after="0" w:line="360" w:lineRule="auto"/>
        <w:ind w:firstLine="480" w:firstLineChars="200"/>
        <w:rPr>
          <w:sz w:val="24"/>
          <w:szCs w:val="24"/>
        </w:rPr>
      </w:pPr>
      <w:r>
        <w:rPr>
          <w:rFonts w:hint="eastAsia"/>
          <w:sz w:val="24"/>
          <w:szCs w:val="24"/>
        </w:rPr>
        <w:t>本项目产生的废水经调节池存储调节后，进入渗滤液处理站，采用“混凝+沉淀+过滤”一体化处理设备预处理后，通过压力管道泵入紧邻的围场生活垃圾焚烧发电项目的渗滤液处理站，进一步深化处理达标后，全部回用不外排。</w:t>
      </w:r>
    </w:p>
    <w:p>
      <w:pPr>
        <w:pStyle w:val="20"/>
        <w:adjustRightInd w:val="0"/>
        <w:snapToGrid w:val="0"/>
        <w:spacing w:after="0" w:line="360" w:lineRule="auto"/>
        <w:ind w:firstLine="482" w:firstLineChars="200"/>
        <w:rPr>
          <w:b/>
          <w:bCs/>
          <w:sz w:val="24"/>
          <w:szCs w:val="24"/>
        </w:rPr>
      </w:pPr>
      <w:r>
        <w:rPr>
          <w:rFonts w:hint="eastAsia"/>
          <w:b/>
          <w:bCs/>
          <w:sz w:val="24"/>
          <w:szCs w:val="24"/>
        </w:rPr>
        <w:t>1、处理工艺流程</w:t>
      </w:r>
    </w:p>
    <w:p>
      <w:pPr>
        <w:pStyle w:val="20"/>
        <w:adjustRightInd w:val="0"/>
        <w:snapToGrid w:val="0"/>
        <w:spacing w:after="0" w:line="360" w:lineRule="auto"/>
        <w:ind w:firstLine="480" w:firstLineChars="200"/>
        <w:rPr>
          <w:sz w:val="24"/>
          <w:szCs w:val="21"/>
        </w:rPr>
      </w:pPr>
      <w:r>
        <w:rPr>
          <w:rFonts w:hint="eastAsia"/>
          <w:sz w:val="24"/>
          <w:szCs w:val="24"/>
        </w:rPr>
        <w:t>本项目新建的渗滤液处理站预处理工艺</w:t>
      </w:r>
      <w:r>
        <w:rPr>
          <w:rFonts w:hint="eastAsia"/>
          <w:sz w:val="24"/>
          <w:szCs w:val="21"/>
        </w:rPr>
        <w:t>流程如下：</w:t>
      </w:r>
    </w:p>
    <w:p>
      <w:pPr>
        <w:adjustRightInd w:val="0"/>
        <w:snapToGrid w:val="0"/>
        <w:spacing w:line="360" w:lineRule="auto"/>
        <w:ind w:firstLine="480" w:firstLineChars="200"/>
        <w:rPr>
          <w:sz w:val="24"/>
          <w:szCs w:val="21"/>
        </w:rPr>
      </w:pPr>
      <w:r>
        <w:rPr>
          <w:rFonts w:hint="eastAsia"/>
          <w:sz w:val="24"/>
          <w:szCs w:val="21"/>
        </w:rPr>
        <w:t>渗滤液原水经调节池均质、均量后，经泵提升、流量计量后进入一体化处理设备，该设备主要采用“混凝+沉淀+过滤”技术，原水进入絮凝池，投加药剂进行混凝，絮凝剂发生水解、架桥、吸附、卷带作用，把原水中和后生成的小颗粒沉淀物网捕成大颗粒矾花，经过混凝反应后进入沉淀池。经过沉淀后，出水经泵送至围场生活垃圾焚烧发电项目的渗滤液处理站进一步深化处理后回用。沉淀污泥脱水后，拉至围场垃圾焚烧渗滤液处理站中污泥处理单元统一入炉焚烧，避免产生二次污染。</w:t>
      </w:r>
    </w:p>
    <w:p>
      <w:pPr>
        <w:adjustRightInd w:val="0"/>
        <w:snapToGrid w:val="0"/>
        <w:spacing w:line="360" w:lineRule="auto"/>
        <w:ind w:firstLine="480" w:firstLineChars="200"/>
        <w:rPr>
          <w:sz w:val="24"/>
          <w:szCs w:val="21"/>
        </w:rPr>
      </w:pPr>
      <w:r>
        <w:rPr>
          <w:rFonts w:hint="eastAsia"/>
          <w:sz w:val="24"/>
          <w:szCs w:val="21"/>
        </w:rPr>
        <w:t>渗滤液预处理工艺流程如图</w:t>
      </w:r>
      <w:r>
        <w:rPr>
          <w:sz w:val="24"/>
          <w:szCs w:val="21"/>
        </w:rPr>
        <w:t>6.3-1</w:t>
      </w:r>
      <w:r>
        <w:rPr>
          <w:rFonts w:hint="eastAsia"/>
          <w:sz w:val="24"/>
          <w:szCs w:val="21"/>
        </w:rPr>
        <w:t>所示：</w:t>
      </w:r>
    </w:p>
    <w:p>
      <w:pPr>
        <w:adjustRightInd w:val="0"/>
        <w:snapToGrid w:val="0"/>
        <w:spacing w:line="360" w:lineRule="auto"/>
        <w:rPr>
          <w:sz w:val="24"/>
          <w:szCs w:val="21"/>
        </w:rPr>
      </w:pPr>
      <w:r>
        <w:rPr>
          <w:sz w:val="24"/>
          <w:szCs w:val="21"/>
        </w:rPr>
        <mc:AlternateContent>
          <mc:Choice Requires="wps">
            <w:drawing>
              <wp:anchor distT="0" distB="0" distL="114300" distR="114300" simplePos="0" relativeHeight="251691008" behindDoc="0" locked="0" layoutInCell="1" allowOverlap="1">
                <wp:simplePos x="0" y="0"/>
                <wp:positionH relativeFrom="column">
                  <wp:posOffset>2443480</wp:posOffset>
                </wp:positionH>
                <wp:positionV relativeFrom="paragraph">
                  <wp:posOffset>262255</wp:posOffset>
                </wp:positionV>
                <wp:extent cx="0" cy="227330"/>
                <wp:effectExtent l="76200" t="0" r="57150" b="58420"/>
                <wp:wrapNone/>
                <wp:docPr id="11" name="直接箭头连接符 11"/>
                <wp:cNvGraphicFramePr/>
                <a:graphic xmlns:a="http://schemas.openxmlformats.org/drawingml/2006/main">
                  <a:graphicData uri="http://schemas.microsoft.com/office/word/2010/wordprocessingShape">
                    <wps:wsp>
                      <wps:cNvCnPr/>
                      <wps:spPr>
                        <a:xfrm>
                          <a:off x="0" y="0"/>
                          <a:ext cx="0" cy="227330"/>
                        </a:xfrm>
                        <a:prstGeom prst="straightConnector1">
                          <a:avLst/>
                        </a:prstGeom>
                        <a:noFill/>
                        <a:ln w="9525" cap="flat" cmpd="sng" algn="ctr">
                          <a:solidFill>
                            <a:sysClr val="windowText" lastClr="000000"/>
                          </a:solidFill>
                          <a:prstDash val="dash"/>
                          <a:tailEnd type="triangle"/>
                        </a:ln>
                        <a:effectLst/>
                      </wps:spPr>
                      <wps:bodyPr/>
                    </wps:wsp>
                  </a:graphicData>
                </a:graphic>
              </wp:anchor>
            </w:drawing>
          </mc:Choice>
          <mc:Fallback>
            <w:pict>
              <v:shape id="_x0000_s1026" o:spid="_x0000_s1026" o:spt="32" type="#_x0000_t32" style="position:absolute;left:0pt;margin-left:192.4pt;margin-top:20.65pt;height:17.9pt;width:0pt;z-index:251691008;mso-width-relative:page;mso-height-relative:page;" filled="f" stroked="t" coordsize="21600,21600" o:gfxdata="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xOwvTVAAAACQEAAA8AAAAAAAAAAQAgAAAAIgAA&#10;AGRycy9kb3ducmV2LnhtbFBLAQIUABQAAAAIAIdO4kBhjRvpCwIAAOwDAAAOAAAAAAAAAAEAIAAA&#10;ACQBAABkcnMvZTJvRG9jLnhtbFBLBQYAAAAABgAGAFkBAAChBQAAAAA=&#10;">
                <v:fill on="f" focussize="0,0"/>
                <v:stroke color="#000000" joinstyle="round" dashstyle="dash" endarrow="block"/>
                <v:imagedata o:title=""/>
                <o:lock v:ext="edit" aspectratio="f"/>
              </v:shape>
            </w:pict>
          </mc:Fallback>
        </mc:AlternateContent>
      </w:r>
      <w:r>
        <w:rPr>
          <w:sz w:val="24"/>
          <w:szCs w:val="21"/>
        </w:rPr>
        <mc:AlternateContent>
          <mc:Choice Requires="wps">
            <w:drawing>
              <wp:anchor distT="0" distB="0" distL="114300" distR="114300" simplePos="0" relativeHeight="251693056" behindDoc="0" locked="0" layoutInCell="1" allowOverlap="1">
                <wp:simplePos x="0" y="0"/>
                <wp:positionH relativeFrom="column">
                  <wp:posOffset>2992755</wp:posOffset>
                </wp:positionH>
                <wp:positionV relativeFrom="paragraph">
                  <wp:posOffset>289560</wp:posOffset>
                </wp:positionV>
                <wp:extent cx="0" cy="227330"/>
                <wp:effectExtent l="76200" t="0" r="57150" b="58420"/>
                <wp:wrapNone/>
                <wp:docPr id="12" name="直接箭头连接符 12"/>
                <wp:cNvGraphicFramePr/>
                <a:graphic xmlns:a="http://schemas.openxmlformats.org/drawingml/2006/main">
                  <a:graphicData uri="http://schemas.microsoft.com/office/word/2010/wordprocessingShape">
                    <wps:wsp>
                      <wps:cNvCnPr/>
                      <wps:spPr>
                        <a:xfrm>
                          <a:off x="0" y="0"/>
                          <a:ext cx="0" cy="227330"/>
                        </a:xfrm>
                        <a:prstGeom prst="straightConnector1">
                          <a:avLst/>
                        </a:prstGeom>
                        <a:noFill/>
                        <a:ln w="9525" cap="flat" cmpd="sng" algn="ctr">
                          <a:solidFill>
                            <a:sysClr val="windowText" lastClr="000000"/>
                          </a:solidFill>
                          <a:prstDash val="dash"/>
                          <a:tailEnd type="triangle"/>
                        </a:ln>
                        <a:effectLst/>
                      </wps:spPr>
                      <wps:bodyPr/>
                    </wps:wsp>
                  </a:graphicData>
                </a:graphic>
              </wp:anchor>
            </w:drawing>
          </mc:Choice>
          <mc:Fallback>
            <w:pict>
              <v:shape id="_x0000_s1026" o:spid="_x0000_s1026" o:spt="32" type="#_x0000_t32" style="position:absolute;left:0pt;margin-left:235.65pt;margin-top:22.8pt;height:17.9pt;width:0pt;z-index:251693056;mso-width-relative:page;mso-height-relative:page;" filled="f" stroked="t" coordsize="21600,21600" o:gfxdata="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7BJw9QAAAAJAQAADwAAAAAAAAABACAAAAAiAAAA&#10;ZHJzL2Rvd25yZXYueG1sUEsBAhQAFAAAAAgAh07iQC2czl4LAgAA7AMAAA4AAAAAAAAAAQAgAAAA&#10;IwEAAGRycy9lMm9Eb2MueG1sUEsFBgAAAAAGAAYAWQEAAKAFAAAAAA==&#10;">
                <v:fill on="f" focussize="0,0"/>
                <v:stroke color="#000000" joinstyle="round" dashstyle="dash" endarrow="block"/>
                <v:imagedata o:title=""/>
                <o:lock v:ext="edit" aspectratio="f"/>
              </v:shape>
            </w:pict>
          </mc:Fallback>
        </mc:AlternateContent>
      </w:r>
      <w:r>
        <w:rPr>
          <w:sz w:val="24"/>
          <w:szCs w:val="21"/>
        </w:rPr>
        <mc:AlternateContent>
          <mc:Choice Requires="wps">
            <w:drawing>
              <wp:anchor distT="45720" distB="45720" distL="114300" distR="114300" simplePos="0" relativeHeight="251689984" behindDoc="0" locked="0" layoutInCell="1" allowOverlap="1">
                <wp:simplePos x="0" y="0"/>
                <wp:positionH relativeFrom="column">
                  <wp:posOffset>2136775</wp:posOffset>
                </wp:positionH>
                <wp:positionV relativeFrom="paragraph">
                  <wp:posOffset>10795</wp:posOffset>
                </wp:positionV>
                <wp:extent cx="1296035" cy="1404620"/>
                <wp:effectExtent l="0" t="0" r="0" b="0"/>
                <wp:wrapNone/>
                <wp:docPr id="2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6007" cy="1404620"/>
                        </a:xfrm>
                        <a:prstGeom prst="rect">
                          <a:avLst/>
                        </a:prstGeom>
                        <a:solidFill>
                          <a:srgbClr val="FFFFFF"/>
                        </a:solidFill>
                        <a:ln w="9525">
                          <a:noFill/>
                          <a:miter lim="800000"/>
                        </a:ln>
                      </wps:spPr>
                      <wps:txbx>
                        <w:txbxContent>
                          <w:p>
                            <w:pPr>
                              <w:rPr>
                                <w:b/>
                                <w:bCs/>
                              </w:rPr>
                            </w:pPr>
                            <w:r>
                              <w:rPr>
                                <w:rFonts w:hint="eastAsia"/>
                                <w:b/>
                                <w:bCs/>
                              </w:rPr>
                              <w:t xml:space="preserve">混凝剂 </w:t>
                            </w:r>
                            <w:r>
                              <w:rPr>
                                <w:b/>
                                <w:bCs/>
                              </w:rPr>
                              <w:t xml:space="preserve">   </w:t>
                            </w:r>
                            <w:r>
                              <w:rPr>
                                <w:rFonts w:hint="eastAsia"/>
                                <w:b/>
                                <w:bCs/>
                              </w:rPr>
                              <w:t>絮凝剂</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68.25pt;margin-top:0.85pt;height:110.6pt;width:102.05pt;z-index:251689984;mso-width-relative:page;mso-height-relative:margin;mso-height-percent:200;" fillcolor="#FFFFFF" filled="t" stroked="f" coordsize="21600,21600" o:gfxdata="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Pb7XP1wAAAAkBAAAPAAAAAAAAAAEAIAAAACIAAABkcnMvZG93&#10;bnJldi54bWxQSwECFAAUAAAACACHTuJA0dokZzoCAABUBAAADgAAAAAAAAABACAAAAAmAQAAZHJz&#10;L2Uyb0RvYy54bWxQSwUGAAAAAAYABgBZAQAA0gUAAAAA&#10;">
                <v:fill on="t" focussize="0,0"/>
                <v:stroke on="f" miterlimit="8" joinstyle="miter"/>
                <v:imagedata o:title=""/>
                <o:lock v:ext="edit" aspectratio="f"/>
                <v:textbox style="mso-fit-shape-to-text:t;">
                  <w:txbxContent>
                    <w:p>
                      <w:pPr>
                        <w:rPr>
                          <w:b/>
                          <w:bCs/>
                        </w:rPr>
                      </w:pPr>
                      <w:r>
                        <w:rPr>
                          <w:rFonts w:hint="eastAsia"/>
                          <w:b/>
                          <w:bCs/>
                        </w:rPr>
                        <w:t xml:space="preserve">混凝剂 </w:t>
                      </w:r>
                      <w:r>
                        <w:rPr>
                          <w:b/>
                          <w:bCs/>
                        </w:rPr>
                        <w:t xml:space="preserve">   </w:t>
                      </w:r>
                      <w:r>
                        <w:rPr>
                          <w:rFonts w:hint="eastAsia"/>
                          <w:b/>
                          <w:bCs/>
                        </w:rPr>
                        <w:t>絮凝剂</w:t>
                      </w:r>
                    </w:p>
                  </w:txbxContent>
                </v:textbox>
              </v:shape>
            </w:pict>
          </mc:Fallback>
        </mc:AlternateContent>
      </w:r>
      <w:r>
        <w:drawing>
          <wp:inline distT="0" distB="0" distL="0" distR="0">
            <wp:extent cx="5486400" cy="194818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486400" cy="1948180"/>
                    </a:xfrm>
                    <a:prstGeom prst="rect">
                      <a:avLst/>
                    </a:prstGeom>
                    <a:noFill/>
                    <a:ln>
                      <a:noFill/>
                    </a:ln>
                  </pic:spPr>
                </pic:pic>
              </a:graphicData>
            </a:graphic>
          </wp:inline>
        </w:drawing>
      </w:r>
    </w:p>
    <w:p>
      <w:pPr>
        <w:adjustRightInd w:val="0"/>
        <w:snapToGrid w:val="0"/>
        <w:spacing w:line="360" w:lineRule="auto"/>
        <w:ind w:firstLine="482" w:firstLineChars="200"/>
        <w:jc w:val="center"/>
        <w:rPr>
          <w:sz w:val="24"/>
          <w:szCs w:val="21"/>
        </w:rPr>
      </w:pPr>
      <w:r>
        <w:rPr>
          <w:rFonts w:hint="eastAsia"/>
          <w:b/>
          <w:bCs/>
          <w:sz w:val="24"/>
          <w:szCs w:val="21"/>
        </w:rPr>
        <w:t>图</w:t>
      </w:r>
      <w:r>
        <w:rPr>
          <w:b/>
          <w:bCs/>
          <w:sz w:val="24"/>
          <w:szCs w:val="21"/>
        </w:rPr>
        <w:t xml:space="preserve"> 6.3-1</w:t>
      </w:r>
      <w:r>
        <w:rPr>
          <w:b/>
          <w:bCs/>
          <w:sz w:val="24"/>
          <w:szCs w:val="21"/>
        </w:rPr>
        <w:tab/>
      </w:r>
      <w:r>
        <w:rPr>
          <w:rFonts w:hint="eastAsia"/>
          <w:b/>
          <w:bCs/>
          <w:sz w:val="24"/>
          <w:szCs w:val="21"/>
        </w:rPr>
        <w:t>本项目渗滤液预处理工艺流程示意图</w:t>
      </w:r>
    </w:p>
    <w:p>
      <w:pPr>
        <w:pStyle w:val="20"/>
        <w:adjustRightInd w:val="0"/>
        <w:snapToGrid w:val="0"/>
        <w:spacing w:after="0" w:line="360" w:lineRule="auto"/>
        <w:ind w:firstLine="482" w:firstLineChars="200"/>
        <w:rPr>
          <w:b/>
          <w:bCs/>
          <w:sz w:val="24"/>
          <w:szCs w:val="24"/>
        </w:rPr>
      </w:pPr>
      <w:r>
        <w:rPr>
          <w:rFonts w:hint="eastAsia"/>
          <w:b/>
          <w:bCs/>
          <w:sz w:val="24"/>
          <w:szCs w:val="24"/>
        </w:rPr>
        <w:t>2、预期处理效果</w:t>
      </w:r>
    </w:p>
    <w:p>
      <w:pPr>
        <w:pStyle w:val="20"/>
        <w:adjustRightInd w:val="0"/>
        <w:snapToGrid w:val="0"/>
        <w:spacing w:after="0" w:line="360" w:lineRule="auto"/>
        <w:ind w:firstLine="480" w:firstLineChars="200"/>
        <w:rPr>
          <w:sz w:val="24"/>
          <w:szCs w:val="24"/>
        </w:rPr>
      </w:pPr>
      <w:r>
        <w:rPr>
          <w:rFonts w:hint="eastAsia"/>
          <w:sz w:val="24"/>
          <w:szCs w:val="24"/>
        </w:rPr>
        <w:t>渗滤液经预处理系统处理后主要去除大部分悬浮物和重金属类物质，减少</w:t>
      </w:r>
      <w:r>
        <w:rPr>
          <w:sz w:val="24"/>
          <w:szCs w:val="24"/>
        </w:rPr>
        <w:t xml:space="preserve"> </w:t>
      </w:r>
      <w:r>
        <w:rPr>
          <w:rFonts w:hint="eastAsia"/>
          <w:sz w:val="24"/>
          <w:szCs w:val="24"/>
        </w:rPr>
        <w:t>污水管道堵塞，同时也满足围场县生活垃圾焚烧发电项目污水处理站进一步处理的要求，本项目渗滤液污染因子预处理达到指标详见表</w:t>
      </w:r>
      <w:r>
        <w:rPr>
          <w:sz w:val="24"/>
          <w:szCs w:val="24"/>
        </w:rPr>
        <w:t xml:space="preserve"> 6.3-1</w:t>
      </w:r>
      <w:r>
        <w:rPr>
          <w:rFonts w:hint="eastAsia"/>
          <w:sz w:val="24"/>
          <w:szCs w:val="24"/>
        </w:rPr>
        <w:t>。</w:t>
      </w:r>
    </w:p>
    <w:p>
      <w:pPr>
        <w:adjustRightInd w:val="0"/>
        <w:snapToGrid w:val="0"/>
        <w:ind w:firstLine="482" w:firstLineChars="200"/>
        <w:jc w:val="center"/>
        <w:rPr>
          <w:b/>
          <w:bCs/>
          <w:sz w:val="24"/>
          <w:szCs w:val="21"/>
        </w:rPr>
      </w:pPr>
      <w:r>
        <w:rPr>
          <w:rFonts w:hint="eastAsia"/>
          <w:b/>
          <w:bCs/>
          <w:sz w:val="24"/>
          <w:szCs w:val="21"/>
        </w:rPr>
        <w:t>表</w:t>
      </w:r>
      <w:r>
        <w:rPr>
          <w:b/>
          <w:bCs/>
          <w:sz w:val="24"/>
          <w:szCs w:val="21"/>
        </w:rPr>
        <w:t xml:space="preserve"> 6.3-1   </w:t>
      </w:r>
      <w:r>
        <w:rPr>
          <w:rFonts w:hint="eastAsia"/>
          <w:b/>
          <w:bCs/>
          <w:sz w:val="24"/>
          <w:szCs w:val="21"/>
        </w:rPr>
        <w:t>渗滤液污染因子预处理达到指标一览表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16"/>
        <w:gridCol w:w="1038"/>
        <w:gridCol w:w="723"/>
        <w:gridCol w:w="980"/>
        <w:gridCol w:w="651"/>
        <w:gridCol w:w="794"/>
        <w:gridCol w:w="794"/>
        <w:gridCol w:w="10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6" w:type="pct"/>
          </w:tcPr>
          <w:p>
            <w:pPr>
              <w:jc w:val="center"/>
              <w:rPr>
                <w:kern w:val="0"/>
                <w:sz w:val="20"/>
              </w:rPr>
            </w:pPr>
            <w:r>
              <w:rPr>
                <w:rFonts w:hint="eastAsia"/>
                <w:kern w:val="0"/>
                <w:sz w:val="20"/>
              </w:rPr>
              <w:t>废水因子</w:t>
            </w:r>
          </w:p>
        </w:tc>
        <w:tc>
          <w:tcPr>
            <w:tcW w:w="609" w:type="pct"/>
          </w:tcPr>
          <w:p>
            <w:pPr>
              <w:jc w:val="center"/>
              <w:rPr>
                <w:kern w:val="0"/>
                <w:sz w:val="20"/>
              </w:rPr>
            </w:pPr>
            <w:r>
              <w:rPr>
                <w:spacing w:val="-1"/>
                <w:kern w:val="0"/>
                <w:position w:val="2"/>
                <w:szCs w:val="21"/>
              </w:rPr>
              <w:t>COD</w:t>
            </w:r>
            <w:r>
              <w:rPr>
                <w:spacing w:val="-1"/>
                <w:kern w:val="0"/>
                <w:sz w:val="14"/>
                <w:szCs w:val="14"/>
              </w:rPr>
              <w:t>cr</w:t>
            </w:r>
          </w:p>
        </w:tc>
        <w:tc>
          <w:tcPr>
            <w:tcW w:w="424" w:type="pct"/>
          </w:tcPr>
          <w:p>
            <w:pPr>
              <w:jc w:val="center"/>
              <w:rPr>
                <w:kern w:val="0"/>
                <w:sz w:val="20"/>
              </w:rPr>
            </w:pPr>
            <w:r>
              <w:rPr>
                <w:kern w:val="0"/>
                <w:szCs w:val="21"/>
              </w:rPr>
              <w:t>SS</w:t>
            </w:r>
          </w:p>
        </w:tc>
        <w:tc>
          <w:tcPr>
            <w:tcW w:w="575" w:type="pct"/>
          </w:tcPr>
          <w:p>
            <w:pPr>
              <w:jc w:val="center"/>
              <w:rPr>
                <w:kern w:val="0"/>
                <w:sz w:val="20"/>
              </w:rPr>
            </w:pPr>
            <w:r>
              <w:rPr>
                <w:spacing w:val="-1"/>
                <w:kern w:val="0"/>
                <w:position w:val="1"/>
                <w:sz w:val="18"/>
                <w:szCs w:val="18"/>
              </w:rPr>
              <w:t>NH</w:t>
            </w:r>
            <w:r>
              <w:rPr>
                <w:spacing w:val="-1"/>
                <w:kern w:val="0"/>
                <w:sz w:val="12"/>
                <w:szCs w:val="12"/>
              </w:rPr>
              <w:t>3</w:t>
            </w:r>
            <w:r>
              <w:rPr>
                <w:spacing w:val="-1"/>
                <w:kern w:val="0"/>
                <w:position w:val="1"/>
                <w:sz w:val="18"/>
                <w:szCs w:val="18"/>
              </w:rPr>
              <w:t>-N</w:t>
            </w:r>
          </w:p>
        </w:tc>
        <w:tc>
          <w:tcPr>
            <w:tcW w:w="382" w:type="pct"/>
          </w:tcPr>
          <w:p>
            <w:pPr>
              <w:jc w:val="center"/>
              <w:rPr>
                <w:kern w:val="0"/>
                <w:sz w:val="20"/>
              </w:rPr>
            </w:pPr>
            <w:r>
              <w:rPr>
                <w:rFonts w:hint="eastAsia" w:ascii="宋体" w:cs="宋体"/>
                <w:kern w:val="0"/>
                <w:szCs w:val="21"/>
              </w:rPr>
              <w:t>铜</w:t>
            </w:r>
          </w:p>
        </w:tc>
        <w:tc>
          <w:tcPr>
            <w:tcW w:w="466" w:type="pct"/>
          </w:tcPr>
          <w:p>
            <w:pPr>
              <w:jc w:val="center"/>
              <w:rPr>
                <w:kern w:val="0"/>
                <w:sz w:val="20"/>
              </w:rPr>
            </w:pPr>
            <w:r>
              <w:rPr>
                <w:rFonts w:hint="eastAsia" w:ascii="宋体" w:cs="宋体"/>
                <w:kern w:val="0"/>
                <w:szCs w:val="21"/>
              </w:rPr>
              <w:t>锌</w:t>
            </w:r>
          </w:p>
        </w:tc>
        <w:tc>
          <w:tcPr>
            <w:tcW w:w="466" w:type="pct"/>
          </w:tcPr>
          <w:p>
            <w:pPr>
              <w:jc w:val="center"/>
              <w:rPr>
                <w:kern w:val="0"/>
                <w:sz w:val="20"/>
              </w:rPr>
            </w:pPr>
            <w:r>
              <w:rPr>
                <w:spacing w:val="-1"/>
                <w:kern w:val="0"/>
                <w:sz w:val="18"/>
                <w:szCs w:val="18"/>
              </w:rPr>
              <w:t>Cd</w:t>
            </w:r>
          </w:p>
        </w:tc>
        <w:tc>
          <w:tcPr>
            <w:tcW w:w="602" w:type="pct"/>
          </w:tcPr>
          <w:p>
            <w:pPr>
              <w:jc w:val="center"/>
              <w:rPr>
                <w:kern w:val="0"/>
                <w:sz w:val="20"/>
              </w:rPr>
            </w:pPr>
            <w:r>
              <w:rPr>
                <w:rFonts w:hint="eastAsia" w:ascii="宋体" w:cs="宋体"/>
                <w:kern w:val="0"/>
                <w:sz w:val="18"/>
                <w:szCs w:val="18"/>
              </w:rPr>
              <w:t>六价铬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6" w:type="pct"/>
          </w:tcPr>
          <w:p>
            <w:pPr>
              <w:jc w:val="center"/>
              <w:rPr>
                <w:kern w:val="0"/>
                <w:sz w:val="20"/>
              </w:rPr>
            </w:pPr>
            <w:r>
              <w:rPr>
                <w:rFonts w:hint="eastAsia"/>
                <w:kern w:val="0"/>
                <w:sz w:val="20"/>
              </w:rPr>
              <w:t>进水浓度（mg/L）</w:t>
            </w:r>
          </w:p>
        </w:tc>
        <w:tc>
          <w:tcPr>
            <w:tcW w:w="609" w:type="pct"/>
          </w:tcPr>
          <w:p>
            <w:pPr>
              <w:jc w:val="center"/>
              <w:rPr>
                <w:kern w:val="0"/>
                <w:sz w:val="20"/>
              </w:rPr>
            </w:pPr>
            <w:r>
              <w:rPr>
                <w:kern w:val="0"/>
                <w:szCs w:val="21"/>
              </w:rPr>
              <w:t>1000</w:t>
            </w:r>
          </w:p>
        </w:tc>
        <w:tc>
          <w:tcPr>
            <w:tcW w:w="424" w:type="pct"/>
          </w:tcPr>
          <w:p>
            <w:pPr>
              <w:jc w:val="center"/>
              <w:rPr>
                <w:kern w:val="0"/>
                <w:sz w:val="20"/>
              </w:rPr>
            </w:pPr>
            <w:r>
              <w:rPr>
                <w:kern w:val="0"/>
                <w:szCs w:val="21"/>
              </w:rPr>
              <w:t>300</w:t>
            </w:r>
          </w:p>
        </w:tc>
        <w:tc>
          <w:tcPr>
            <w:tcW w:w="575" w:type="pct"/>
          </w:tcPr>
          <w:p>
            <w:pPr>
              <w:jc w:val="center"/>
              <w:rPr>
                <w:kern w:val="0"/>
                <w:sz w:val="20"/>
              </w:rPr>
            </w:pPr>
            <w:r>
              <w:rPr>
                <w:kern w:val="0"/>
                <w:szCs w:val="21"/>
              </w:rPr>
              <w:t>100</w:t>
            </w:r>
          </w:p>
        </w:tc>
        <w:tc>
          <w:tcPr>
            <w:tcW w:w="382" w:type="pct"/>
          </w:tcPr>
          <w:p>
            <w:pPr>
              <w:jc w:val="center"/>
              <w:rPr>
                <w:kern w:val="0"/>
                <w:sz w:val="20"/>
              </w:rPr>
            </w:pPr>
            <w:r>
              <w:rPr>
                <w:kern w:val="0"/>
                <w:szCs w:val="21"/>
              </w:rPr>
              <w:t>40</w:t>
            </w:r>
          </w:p>
        </w:tc>
        <w:tc>
          <w:tcPr>
            <w:tcW w:w="466" w:type="pct"/>
          </w:tcPr>
          <w:p>
            <w:pPr>
              <w:jc w:val="center"/>
              <w:rPr>
                <w:kern w:val="0"/>
                <w:sz w:val="20"/>
              </w:rPr>
            </w:pPr>
            <w:r>
              <w:rPr>
                <w:kern w:val="0"/>
                <w:szCs w:val="21"/>
              </w:rPr>
              <w:t>100</w:t>
            </w:r>
          </w:p>
        </w:tc>
        <w:tc>
          <w:tcPr>
            <w:tcW w:w="466" w:type="pct"/>
          </w:tcPr>
          <w:p>
            <w:pPr>
              <w:jc w:val="center"/>
              <w:rPr>
                <w:kern w:val="0"/>
                <w:sz w:val="20"/>
              </w:rPr>
            </w:pPr>
            <w:r>
              <w:rPr>
                <w:kern w:val="0"/>
                <w:szCs w:val="21"/>
              </w:rPr>
              <w:t>0.15</w:t>
            </w:r>
          </w:p>
        </w:tc>
        <w:tc>
          <w:tcPr>
            <w:tcW w:w="602" w:type="pct"/>
          </w:tcPr>
          <w:p>
            <w:pPr>
              <w:jc w:val="center"/>
              <w:rPr>
                <w:kern w:val="0"/>
                <w:sz w:val="20"/>
              </w:rPr>
            </w:pPr>
            <w:r>
              <w:rPr>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6" w:type="pct"/>
          </w:tcPr>
          <w:p>
            <w:pPr>
              <w:jc w:val="center"/>
              <w:rPr>
                <w:kern w:val="0"/>
                <w:sz w:val="20"/>
              </w:rPr>
            </w:pPr>
            <w:r>
              <w:rPr>
                <w:rFonts w:hint="eastAsia"/>
                <w:kern w:val="0"/>
                <w:sz w:val="20"/>
              </w:rPr>
              <w:t>出水浓度（mg/L）</w:t>
            </w:r>
          </w:p>
        </w:tc>
        <w:tc>
          <w:tcPr>
            <w:tcW w:w="609" w:type="pct"/>
          </w:tcPr>
          <w:p>
            <w:pPr>
              <w:jc w:val="center"/>
              <w:rPr>
                <w:kern w:val="0"/>
                <w:sz w:val="20"/>
              </w:rPr>
            </w:pPr>
            <w:r>
              <w:rPr>
                <w:kern w:val="0"/>
                <w:szCs w:val="21"/>
              </w:rPr>
              <w:t>800</w:t>
            </w:r>
          </w:p>
        </w:tc>
        <w:tc>
          <w:tcPr>
            <w:tcW w:w="424" w:type="pct"/>
          </w:tcPr>
          <w:p>
            <w:pPr>
              <w:jc w:val="center"/>
              <w:rPr>
                <w:kern w:val="0"/>
                <w:sz w:val="20"/>
              </w:rPr>
            </w:pPr>
            <w:r>
              <w:rPr>
                <w:kern w:val="0"/>
                <w:szCs w:val="21"/>
              </w:rPr>
              <w:t>50</w:t>
            </w:r>
          </w:p>
        </w:tc>
        <w:tc>
          <w:tcPr>
            <w:tcW w:w="575" w:type="pct"/>
          </w:tcPr>
          <w:p>
            <w:pPr>
              <w:jc w:val="center"/>
              <w:rPr>
                <w:kern w:val="0"/>
                <w:sz w:val="20"/>
              </w:rPr>
            </w:pPr>
            <w:r>
              <w:rPr>
                <w:kern w:val="0"/>
                <w:szCs w:val="21"/>
              </w:rPr>
              <w:t>50</w:t>
            </w:r>
          </w:p>
        </w:tc>
        <w:tc>
          <w:tcPr>
            <w:tcW w:w="382" w:type="pct"/>
          </w:tcPr>
          <w:p>
            <w:pPr>
              <w:jc w:val="center"/>
              <w:rPr>
                <w:kern w:val="0"/>
                <w:sz w:val="20"/>
              </w:rPr>
            </w:pPr>
            <w:r>
              <w:rPr>
                <w:kern w:val="0"/>
                <w:szCs w:val="21"/>
              </w:rPr>
              <w:t>4.0</w:t>
            </w:r>
          </w:p>
        </w:tc>
        <w:tc>
          <w:tcPr>
            <w:tcW w:w="466" w:type="pct"/>
          </w:tcPr>
          <w:p>
            <w:pPr>
              <w:jc w:val="center"/>
              <w:rPr>
                <w:kern w:val="0"/>
                <w:sz w:val="20"/>
              </w:rPr>
            </w:pPr>
            <w:r>
              <w:rPr>
                <w:kern w:val="0"/>
                <w:szCs w:val="21"/>
              </w:rPr>
              <w:t>10.0</w:t>
            </w:r>
          </w:p>
        </w:tc>
        <w:tc>
          <w:tcPr>
            <w:tcW w:w="466" w:type="pct"/>
          </w:tcPr>
          <w:p>
            <w:pPr>
              <w:jc w:val="center"/>
              <w:rPr>
                <w:kern w:val="0"/>
                <w:sz w:val="20"/>
              </w:rPr>
            </w:pPr>
            <w:r>
              <w:rPr>
                <w:kern w:val="0"/>
                <w:szCs w:val="21"/>
              </w:rPr>
              <w:t>0.015</w:t>
            </w:r>
          </w:p>
        </w:tc>
        <w:tc>
          <w:tcPr>
            <w:tcW w:w="602" w:type="pct"/>
          </w:tcPr>
          <w:p>
            <w:pPr>
              <w:jc w:val="center"/>
              <w:rPr>
                <w:kern w:val="0"/>
                <w:sz w:val="20"/>
              </w:rPr>
            </w:pPr>
            <w:r>
              <w:rPr>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6" w:type="pct"/>
          </w:tcPr>
          <w:p>
            <w:pPr>
              <w:jc w:val="center"/>
              <w:rPr>
                <w:kern w:val="0"/>
                <w:sz w:val="20"/>
              </w:rPr>
            </w:pPr>
            <w:r>
              <w:rPr>
                <w:rFonts w:hint="eastAsia"/>
                <w:kern w:val="0"/>
                <w:sz w:val="20"/>
              </w:rPr>
              <w:t>去除率（%）</w:t>
            </w:r>
          </w:p>
        </w:tc>
        <w:tc>
          <w:tcPr>
            <w:tcW w:w="609" w:type="pct"/>
          </w:tcPr>
          <w:p>
            <w:pPr>
              <w:jc w:val="center"/>
              <w:rPr>
                <w:kern w:val="0"/>
                <w:sz w:val="20"/>
              </w:rPr>
            </w:pPr>
            <w:r>
              <w:rPr>
                <w:rFonts w:hint="eastAsia"/>
                <w:kern w:val="0"/>
                <w:sz w:val="20"/>
              </w:rPr>
              <w:t>2</w:t>
            </w:r>
            <w:r>
              <w:rPr>
                <w:kern w:val="0"/>
                <w:sz w:val="20"/>
              </w:rPr>
              <w:t>0</w:t>
            </w:r>
          </w:p>
        </w:tc>
        <w:tc>
          <w:tcPr>
            <w:tcW w:w="424" w:type="pct"/>
          </w:tcPr>
          <w:p>
            <w:pPr>
              <w:jc w:val="center"/>
              <w:rPr>
                <w:kern w:val="0"/>
                <w:sz w:val="20"/>
              </w:rPr>
            </w:pPr>
            <w:r>
              <w:rPr>
                <w:rFonts w:hint="eastAsia"/>
                <w:kern w:val="0"/>
                <w:sz w:val="20"/>
              </w:rPr>
              <w:t>8</w:t>
            </w:r>
            <w:r>
              <w:rPr>
                <w:kern w:val="0"/>
                <w:sz w:val="20"/>
              </w:rPr>
              <w:t>3.3</w:t>
            </w:r>
          </w:p>
        </w:tc>
        <w:tc>
          <w:tcPr>
            <w:tcW w:w="575" w:type="pct"/>
          </w:tcPr>
          <w:p>
            <w:pPr>
              <w:jc w:val="center"/>
              <w:rPr>
                <w:kern w:val="0"/>
                <w:sz w:val="20"/>
              </w:rPr>
            </w:pPr>
            <w:r>
              <w:rPr>
                <w:rFonts w:hint="eastAsia"/>
                <w:kern w:val="0"/>
                <w:sz w:val="20"/>
              </w:rPr>
              <w:t>5</w:t>
            </w:r>
            <w:r>
              <w:rPr>
                <w:kern w:val="0"/>
                <w:sz w:val="20"/>
              </w:rPr>
              <w:t>0</w:t>
            </w:r>
          </w:p>
        </w:tc>
        <w:tc>
          <w:tcPr>
            <w:tcW w:w="382" w:type="pct"/>
          </w:tcPr>
          <w:p>
            <w:pPr>
              <w:jc w:val="center"/>
              <w:rPr>
                <w:kern w:val="0"/>
                <w:sz w:val="20"/>
              </w:rPr>
            </w:pPr>
            <w:r>
              <w:rPr>
                <w:rFonts w:hint="eastAsia"/>
                <w:kern w:val="0"/>
                <w:sz w:val="20"/>
              </w:rPr>
              <w:t>9</w:t>
            </w:r>
            <w:r>
              <w:rPr>
                <w:kern w:val="0"/>
                <w:sz w:val="20"/>
              </w:rPr>
              <w:t>0</w:t>
            </w:r>
          </w:p>
        </w:tc>
        <w:tc>
          <w:tcPr>
            <w:tcW w:w="466" w:type="pct"/>
          </w:tcPr>
          <w:p>
            <w:pPr>
              <w:jc w:val="center"/>
              <w:rPr>
                <w:kern w:val="0"/>
                <w:sz w:val="20"/>
              </w:rPr>
            </w:pPr>
            <w:r>
              <w:rPr>
                <w:rFonts w:hint="eastAsia"/>
                <w:kern w:val="0"/>
                <w:sz w:val="20"/>
              </w:rPr>
              <w:t>9</w:t>
            </w:r>
            <w:r>
              <w:rPr>
                <w:kern w:val="0"/>
                <w:sz w:val="20"/>
              </w:rPr>
              <w:t>0</w:t>
            </w:r>
          </w:p>
        </w:tc>
        <w:tc>
          <w:tcPr>
            <w:tcW w:w="466" w:type="pct"/>
          </w:tcPr>
          <w:p>
            <w:pPr>
              <w:jc w:val="center"/>
              <w:rPr>
                <w:kern w:val="0"/>
                <w:sz w:val="20"/>
              </w:rPr>
            </w:pPr>
            <w:r>
              <w:rPr>
                <w:kern w:val="0"/>
                <w:sz w:val="20"/>
              </w:rPr>
              <w:t>90</w:t>
            </w:r>
          </w:p>
        </w:tc>
        <w:tc>
          <w:tcPr>
            <w:tcW w:w="602" w:type="pct"/>
          </w:tcPr>
          <w:p>
            <w:pPr>
              <w:jc w:val="center"/>
              <w:rPr>
                <w:kern w:val="0"/>
                <w:sz w:val="20"/>
              </w:rPr>
            </w:pPr>
            <w:r>
              <w:rPr>
                <w:rFonts w:hint="eastAsia"/>
                <w:kern w:val="0"/>
                <w:sz w:val="20"/>
              </w:rPr>
              <w:t>0</w:t>
            </w:r>
          </w:p>
        </w:tc>
      </w:tr>
    </w:tbl>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废水处理依托可行性分析</w:t>
      </w:r>
    </w:p>
    <w:p>
      <w:pPr>
        <w:pStyle w:val="62"/>
        <w:numPr>
          <w:ilvl w:val="3"/>
          <w:numId w:val="5"/>
        </w:numPr>
        <w:tabs>
          <w:tab w:val="left" w:pos="851"/>
          <w:tab w:val="clear" w:pos="1021"/>
        </w:tabs>
        <w:spacing w:before="156" w:after="156"/>
        <w:ind w:left="1290" w:hanging="1290" w:hangingChars="459"/>
        <w:outlineLvl w:val="3"/>
        <w:rPr>
          <w:rFonts w:ascii="Times New Roman" w:hAnsi="Times New Roman"/>
        </w:rPr>
      </w:pPr>
      <w:r>
        <w:rPr>
          <w:rFonts w:hint="eastAsia" w:ascii="Times New Roman" w:hAnsi="Times New Roman"/>
        </w:rPr>
        <w:t>处理规模依托可行性</w:t>
      </w:r>
    </w:p>
    <w:p>
      <w:pPr>
        <w:pStyle w:val="87"/>
        <w:adjustRightInd w:val="0"/>
        <w:snapToGrid w:val="0"/>
        <w:rPr>
          <w:kern w:val="10"/>
        </w:rPr>
      </w:pPr>
      <w:r>
        <w:rPr>
          <w:rFonts w:hint="eastAsia" w:ascii="Times New Roman" w:hAnsi="Times New Roman"/>
        </w:rPr>
        <w:t>围场满族蒙古族自治县静脉产业园生活垃圾焚烧发电项目位于本项目南侧1</w:t>
      </w:r>
      <w:r>
        <w:rPr>
          <w:rFonts w:ascii="Times New Roman" w:hAnsi="Times New Roman"/>
        </w:rPr>
        <w:t>00</w:t>
      </w:r>
      <w:r>
        <w:rPr>
          <w:rFonts w:hint="eastAsia" w:ascii="Times New Roman" w:hAnsi="Times New Roman"/>
        </w:rPr>
        <w:t>m处，该项目</w:t>
      </w:r>
      <w:r>
        <w:rPr>
          <w:kern w:val="10"/>
        </w:rPr>
        <w:t>渗滤液处理站采用</w:t>
      </w:r>
      <w:r>
        <w:rPr>
          <w:rFonts w:hint="eastAsia"/>
          <w:kern w:val="10"/>
        </w:rPr>
        <w:t>“</w:t>
      </w:r>
      <w:r>
        <w:rPr>
          <w:kern w:val="10"/>
        </w:rPr>
        <w:t>预处理+ UASB厌氧反应器+MBR生化处理系统+DTRO</w:t>
      </w:r>
      <w:r>
        <w:rPr>
          <w:rFonts w:hint="eastAsia"/>
          <w:kern w:val="10"/>
        </w:rPr>
        <w:t>”</w:t>
      </w:r>
      <w:r>
        <w:rPr>
          <w:kern w:val="10"/>
        </w:rPr>
        <w:t>的处理工艺，</w:t>
      </w:r>
      <w:r>
        <w:rPr>
          <w:rFonts w:hint="eastAsia"/>
        </w:rPr>
        <w:t>设计处理规模120 m</w:t>
      </w:r>
      <w:r>
        <w:rPr>
          <w:vertAlign w:val="superscript"/>
        </w:rPr>
        <w:t>3</w:t>
      </w:r>
      <w:r>
        <w:t>/</w:t>
      </w:r>
      <w:r>
        <w:rPr>
          <w:rFonts w:hint="eastAsia"/>
        </w:rPr>
        <w:t>d，</w:t>
      </w:r>
      <w:r>
        <w:rPr>
          <w:kern w:val="10"/>
        </w:rPr>
        <w:t>处理后出水水质指标满足《城市污水再生利用工业用水水质》(GB/T19923-2005)中敞开式循环冷却系统补充水标准后</w:t>
      </w:r>
      <w:r>
        <w:rPr>
          <w:rFonts w:hint="eastAsia"/>
          <w:kern w:val="10"/>
        </w:rPr>
        <w:t>上清液排入沉淀池，全部回用于生产</w:t>
      </w:r>
      <w:r>
        <w:rPr>
          <w:kern w:val="10"/>
        </w:rPr>
        <w:t>，</w:t>
      </w:r>
      <w:r>
        <w:rPr>
          <w:rFonts w:hint="eastAsia"/>
          <w:kern w:val="10"/>
        </w:rPr>
        <w:t>浓液主要用于石灰浆制备，多余的回喷焚烧炉焚烧，不外排。</w:t>
      </w:r>
    </w:p>
    <w:p>
      <w:pPr>
        <w:pStyle w:val="87"/>
        <w:adjustRightInd w:val="0"/>
        <w:snapToGrid w:val="0"/>
        <w:rPr>
          <w:rFonts w:ascii="Times New Roman" w:hAnsi="Times New Roman" w:cs="Times New Roman"/>
        </w:rPr>
      </w:pPr>
      <w:r>
        <w:rPr>
          <w:rFonts w:ascii="Times New Roman" w:hAnsi="Times New Roman" w:cs="Times New Roman"/>
        </w:rPr>
        <w:t>根据《围场满族蒙古族自治县静脉产业园生活垃圾焚烧发电项目环境影响报告书》，</w:t>
      </w:r>
      <w:r>
        <w:rPr>
          <w:rFonts w:hint="eastAsia" w:ascii="Times New Roman" w:hAnsi="Times New Roman" w:cs="Times New Roman"/>
        </w:rPr>
        <w:t>焚烧厂</w:t>
      </w:r>
      <w:r>
        <w:rPr>
          <w:rFonts w:ascii="Times New Roman" w:hAnsi="Times New Roman" w:cs="Times New Roman"/>
        </w:rPr>
        <w:t>项目进入渗滤液处理站合计处理废水量为97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w:t>
      </w:r>
      <w:bookmarkStart w:id="157" w:name="_Hlk94023850"/>
      <w:r>
        <w:rPr>
          <w:rFonts w:hint="eastAsia" w:ascii="Times New Roman" w:hAnsi="Times New Roman" w:cs="Times New Roman"/>
        </w:rPr>
        <w:t>焚烧厂</w:t>
      </w:r>
      <w:r>
        <w:rPr>
          <w:rFonts w:ascii="Times New Roman" w:hAnsi="Times New Roman" w:cs="Times New Roman"/>
        </w:rPr>
        <w:t>项目</w:t>
      </w:r>
      <w:r>
        <w:rPr>
          <w:rFonts w:hint="eastAsia"/>
          <w:kern w:val="10"/>
        </w:rPr>
        <w:t>渗滤液处理规模</w:t>
      </w:r>
      <w:r>
        <w:rPr>
          <w:rFonts w:hint="eastAsia" w:ascii="Times New Roman" w:hAnsi="Times New Roman" w:cs="Times New Roman"/>
        </w:rPr>
        <w:t>其设计时候已考虑本项目水处理依托情况，因此，该</w:t>
      </w:r>
      <w:r>
        <w:rPr>
          <w:rFonts w:ascii="Times New Roman" w:hAnsi="Times New Roman" w:cs="Times New Roman"/>
        </w:rPr>
        <w:t>项目垃圾渗滤液处理站设计规模为120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，留有约2</w:t>
      </w:r>
      <w:r>
        <w:rPr>
          <w:rFonts w:ascii="Times New Roman" w:hAnsi="Times New Roman" w:cs="Times New Roman"/>
        </w:rPr>
        <w:t>3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的处理规模。</w:t>
      </w:r>
    </w:p>
    <w:bookmarkEnd w:id="157"/>
    <w:p>
      <w:pPr>
        <w:pStyle w:val="87"/>
        <w:adjustRightInd w:val="0"/>
        <w:snapToGrid w:val="0"/>
      </w:pPr>
      <w:r>
        <w:rPr>
          <w:rFonts w:hint="eastAsia" w:ascii="Times New Roman" w:hAnsi="Times New Roman" w:cs="Times New Roman"/>
        </w:rPr>
        <w:t>本项目正常</w:t>
      </w:r>
      <w:r>
        <w:rPr>
          <w:rFonts w:hint="eastAsia"/>
        </w:rPr>
        <w:t>废水产生量为</w:t>
      </w:r>
      <w:r>
        <w:rPr>
          <w:rFonts w:hint="eastAsia"/>
          <w:kern w:val="10"/>
        </w:rPr>
        <w:t>20.73 m</w:t>
      </w:r>
      <w:r>
        <w:rPr>
          <w:kern w:val="10"/>
          <w:vertAlign w:val="superscript"/>
        </w:rPr>
        <w:t>3</w:t>
      </w:r>
      <w:r>
        <w:rPr>
          <w:kern w:val="10"/>
        </w:rPr>
        <w:t>/d</w:t>
      </w:r>
      <w:r>
        <w:rPr>
          <w:rFonts w:hint="eastAsia"/>
          <w:kern w:val="10"/>
        </w:rPr>
        <w:t>，全县</w:t>
      </w:r>
      <w:r>
        <w:rPr>
          <w:kern w:val="10"/>
        </w:rPr>
        <w:t>年降水量为300～560毫米</w:t>
      </w:r>
      <w:r>
        <w:rPr>
          <w:rFonts w:hint="eastAsia"/>
          <w:kern w:val="10"/>
        </w:rPr>
        <w:t>，</w:t>
      </w:r>
      <w:r>
        <w:rPr>
          <w:rFonts w:hint="eastAsia" w:ascii="Times New Roman" w:hAnsi="Times New Roman" w:cs="Times New Roman"/>
        </w:rPr>
        <w:t>建有</w:t>
      </w:r>
      <w:r>
        <w:rPr>
          <w:rFonts w:ascii="Times New Roman" w:hAnsi="Times New Roman" w:cs="Times New Roman"/>
        </w:rPr>
        <w:t>3000</w:t>
      </w:r>
      <w:r>
        <w:rPr>
          <w:rFonts w:hint="eastAsia" w:ascii="Times New Roman" w:hAnsi="Times New Roman" w:cs="Times New Roman"/>
        </w:rPr>
        <w:t>m</w:t>
      </w:r>
      <w:r>
        <w:rPr>
          <w:rFonts w:ascii="Times New Roman" w:hAnsi="Times New Roman" w:cs="Times New Roman"/>
          <w:vertAlign w:val="superscript"/>
        </w:rPr>
        <w:t>3</w:t>
      </w:r>
      <w:r>
        <w:rPr>
          <w:rFonts w:hint="eastAsia" w:ascii="Times New Roman" w:hAnsi="Times New Roman" w:cs="Times New Roman"/>
        </w:rPr>
        <w:t>调节池，可以对本项目1</w:t>
      </w:r>
      <w:r>
        <w:rPr>
          <w:rFonts w:ascii="Times New Roman" w:hAnsi="Times New Roman" w:cs="Times New Roman"/>
        </w:rPr>
        <w:t>40</w:t>
      </w:r>
      <w:r>
        <w:rPr>
          <w:rFonts w:hint="eastAsia" w:ascii="Times New Roman" w:hAnsi="Times New Roman" w:cs="Times New Roman"/>
        </w:rPr>
        <w:t>天产生的废水进行有效的调节和存储。同时，</w:t>
      </w:r>
      <w:r>
        <w:rPr>
          <w:rFonts w:hint="eastAsia"/>
        </w:rPr>
        <w:t>根据焚烧厂</w:t>
      </w:r>
      <w:r>
        <w:rPr>
          <w:rFonts w:ascii="Times New Roman" w:hAnsi="Times New Roman" w:cs="Times New Roman"/>
        </w:rPr>
        <w:t>渗滤液处理站</w:t>
      </w:r>
      <w:r>
        <w:rPr>
          <w:rFonts w:hint="eastAsia" w:ascii="Times New Roman" w:hAnsi="Times New Roman" w:cs="Times New Roman"/>
        </w:rPr>
        <w:t>废水处理站负荷情况，分批预处理后，由</w:t>
      </w:r>
      <w:r>
        <w:t>提升泵</w:t>
      </w:r>
      <w:r>
        <w:rPr>
          <w:rFonts w:hint="eastAsia"/>
        </w:rPr>
        <w:t>调节</w:t>
      </w:r>
      <w:r>
        <w:t>定量输送入</w:t>
      </w:r>
      <w:r>
        <w:rPr>
          <w:rFonts w:hint="eastAsia"/>
        </w:rPr>
        <w:t>焚烧</w:t>
      </w:r>
      <w:r>
        <w:t>厂</w:t>
      </w:r>
      <w:r>
        <w:rPr>
          <w:rFonts w:hint="eastAsia"/>
        </w:rPr>
        <w:t>渗滤液</w:t>
      </w:r>
      <w:r>
        <w:t>污水处理站进行处置。</w:t>
      </w:r>
      <w:r>
        <w:rPr>
          <w:rFonts w:hint="eastAsia"/>
        </w:rPr>
        <w:t>因此，本项目废水处理依托焚烧厂</w:t>
      </w:r>
      <w:r>
        <w:rPr>
          <w:rFonts w:ascii="Times New Roman" w:hAnsi="Times New Roman" w:cs="Times New Roman"/>
        </w:rPr>
        <w:t>渗滤液处理站</w:t>
      </w:r>
      <w:r>
        <w:rPr>
          <w:rFonts w:hint="eastAsia" w:ascii="Times New Roman" w:hAnsi="Times New Roman" w:cs="Times New Roman"/>
        </w:rPr>
        <w:t>在处理规模上可行。</w:t>
      </w:r>
    </w:p>
    <w:p>
      <w:pPr>
        <w:pStyle w:val="62"/>
        <w:numPr>
          <w:ilvl w:val="3"/>
          <w:numId w:val="5"/>
        </w:numPr>
        <w:tabs>
          <w:tab w:val="left" w:pos="851"/>
          <w:tab w:val="clear" w:pos="1021"/>
        </w:tabs>
        <w:spacing w:before="156" w:after="156"/>
        <w:ind w:left="1290" w:hanging="1290" w:hangingChars="459"/>
        <w:outlineLvl w:val="3"/>
        <w:rPr>
          <w:rFonts w:ascii="Times New Roman" w:hAnsi="Times New Roman"/>
        </w:rPr>
      </w:pPr>
      <w:r>
        <w:rPr>
          <w:rFonts w:hint="eastAsia" w:ascii="Times New Roman" w:hAnsi="Times New Roman"/>
        </w:rPr>
        <w:t>进水水质依托可行性</w:t>
      </w:r>
    </w:p>
    <w:p>
      <w:pPr>
        <w:pStyle w:val="20"/>
        <w:adjustRightInd w:val="0"/>
        <w:snapToGrid w:val="0"/>
        <w:spacing w:after="0"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围场生活垃圾焚烧发电项目产生的废水主要有垃圾渗滤液、地面冲洗水及生产废水、车间生活污水以及降雨初期雨水等。本项目产生的废水主要为固化飞灰填埋场渗滤液和车辆、道路冲洗废水等，可见，本项目水质与围场生活垃圾焚烧发电项目产生的废水相类似，但浓度大大低于垃圾渗滤液，因此，可以满足围场生活垃圾焚烧发电项目渗滤液处理站设计进水水质要求。</w:t>
      </w:r>
    </w:p>
    <w:p>
      <w:pPr>
        <w:pStyle w:val="20"/>
        <w:adjustRightInd w:val="0"/>
        <w:snapToGrid w:val="0"/>
        <w:spacing w:after="0"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本项目产生的废水（填埋场渗滤液和冲洗废水）的水质与围场生活垃圾焚烧发电项目垃圾渗滤液水质相类似，可以满足其设计进水水质要求。</w:t>
      </w:r>
    </w:p>
    <w:p>
      <w:pPr>
        <w:pStyle w:val="62"/>
        <w:numPr>
          <w:ilvl w:val="3"/>
          <w:numId w:val="5"/>
        </w:numPr>
        <w:tabs>
          <w:tab w:val="left" w:pos="851"/>
          <w:tab w:val="clear" w:pos="1021"/>
        </w:tabs>
        <w:spacing w:before="156" w:after="156" w:line="240" w:lineRule="auto"/>
        <w:outlineLvl w:val="3"/>
        <w:rPr>
          <w:rFonts w:ascii="Times New Roman" w:hAnsi="Times New Roman"/>
        </w:rPr>
      </w:pPr>
      <w:r>
        <w:rPr>
          <w:rFonts w:hint="eastAsia" w:ascii="Times New Roman" w:hAnsi="Times New Roman"/>
        </w:rPr>
        <w:t>管道输送可行性</w:t>
      </w:r>
    </w:p>
    <w:p>
      <w:pPr>
        <w:pStyle w:val="20"/>
        <w:adjustRightInd w:val="0"/>
        <w:snapToGrid w:val="0"/>
        <w:spacing w:after="0"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本项目生产废水通过渗滤液处理站预处理去除部分重金属和悬浮物后，通过专用污水管道泵运至围场生活垃圾焚烧发电项目渗滤液处理站处理。该项目紧邻本项目南侧，管道建设较短（约2</w:t>
      </w:r>
      <w:r>
        <w:rPr>
          <w:rFonts w:asciiTheme="minorEastAsia" w:hAnsiTheme="minorEastAsia" w:eastAsiaTheme="minorEastAsia"/>
          <w:sz w:val="24"/>
        </w:rPr>
        <w:t>00</w:t>
      </w:r>
      <w:r>
        <w:rPr>
          <w:rFonts w:hint="eastAsia" w:asciiTheme="minorEastAsia" w:hAnsiTheme="minorEastAsia" w:eastAsiaTheme="minorEastAsia"/>
          <w:sz w:val="24"/>
        </w:rPr>
        <w:t>m）。管道沿线全部位于厂区内部，不涉及水源保护区和居民住宅区，环境简单，本项目运营前委托设计单位对输送管道进行专门设计，可以满足污水输送的要求，建设可行。</w:t>
      </w:r>
    </w:p>
    <w:p>
      <w:pPr>
        <w:pStyle w:val="62"/>
        <w:numPr>
          <w:ilvl w:val="3"/>
          <w:numId w:val="5"/>
        </w:numPr>
        <w:tabs>
          <w:tab w:val="left" w:pos="851"/>
          <w:tab w:val="clear" w:pos="1021"/>
        </w:tabs>
        <w:spacing w:before="156" w:after="156"/>
        <w:ind w:left="1290" w:hanging="1290" w:hangingChars="459"/>
        <w:outlineLvl w:val="3"/>
        <w:rPr>
          <w:rFonts w:ascii="Times New Roman" w:hAnsi="Times New Roman"/>
        </w:rPr>
      </w:pPr>
      <w:r>
        <w:rPr>
          <w:rFonts w:hint="eastAsia" w:ascii="Times New Roman" w:hAnsi="Times New Roman"/>
        </w:rPr>
        <w:t>建设时序可行性</w:t>
      </w:r>
    </w:p>
    <w:p>
      <w:pPr>
        <w:pStyle w:val="20"/>
        <w:adjustRightInd w:val="0"/>
        <w:snapToGrid w:val="0"/>
        <w:spacing w:after="0"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本项目属于围场生活垃圾焚烧发电项目配套项目，两个项目均计划于</w:t>
      </w:r>
      <w:r>
        <w:rPr>
          <w:rFonts w:asciiTheme="minorEastAsia" w:hAnsiTheme="minorEastAsia" w:eastAsiaTheme="minorEastAsia"/>
          <w:sz w:val="24"/>
        </w:rPr>
        <w:t>2023</w:t>
      </w:r>
      <w:r>
        <w:rPr>
          <w:rFonts w:hint="eastAsia" w:asciiTheme="minorEastAsia" w:hAnsiTheme="minorEastAsia" w:eastAsiaTheme="minorEastAsia"/>
          <w:sz w:val="24"/>
        </w:rPr>
        <w:t>年</w:t>
      </w:r>
      <w:r>
        <w:rPr>
          <w:rFonts w:asciiTheme="minorEastAsia" w:hAnsiTheme="minorEastAsia" w:eastAsiaTheme="minorEastAsia"/>
          <w:sz w:val="24"/>
        </w:rPr>
        <w:t>12</w:t>
      </w:r>
      <w:r>
        <w:rPr>
          <w:rFonts w:hint="eastAsia" w:asciiTheme="minorEastAsia" w:hAnsiTheme="minorEastAsia" w:eastAsiaTheme="minorEastAsia"/>
          <w:sz w:val="24"/>
        </w:rPr>
        <w:t>月投入运营。因此，围场生活垃圾焚烧发电项目及其配套管网可以满足本项目污水处理的要求。因此，本项目生产废水纳入围场生活垃圾焚烧发电项目渗滤液处理站深度处理的方案是可行的。</w:t>
      </w:r>
    </w:p>
    <w:p>
      <w:pPr>
        <w:pStyle w:val="62"/>
        <w:numPr>
          <w:ilvl w:val="3"/>
          <w:numId w:val="5"/>
        </w:numPr>
        <w:tabs>
          <w:tab w:val="left" w:pos="851"/>
          <w:tab w:val="clear" w:pos="1021"/>
        </w:tabs>
        <w:spacing w:before="156" w:after="156"/>
        <w:ind w:left="1290" w:hanging="1290" w:hangingChars="459"/>
        <w:outlineLvl w:val="3"/>
        <w:rPr>
          <w:rFonts w:ascii="Times New Roman" w:hAnsi="Times New Roman"/>
        </w:rPr>
      </w:pPr>
      <w:r>
        <w:rPr>
          <w:rFonts w:hint="eastAsia" w:ascii="Times New Roman" w:hAnsi="Times New Roman"/>
        </w:rPr>
        <w:t>处理达标可行性分析</w:t>
      </w:r>
    </w:p>
    <w:p>
      <w:pPr>
        <w:pStyle w:val="87"/>
        <w:adjustRightInd w:val="0"/>
        <w:snapToGrid w:val="0"/>
        <w:rPr>
          <w:rFonts w:ascii="Times New Roman" w:hAnsi="Times New Roman"/>
        </w:rPr>
      </w:pPr>
      <w:r>
        <w:rPr>
          <w:rFonts w:hint="eastAsia" w:asciiTheme="minorEastAsia" w:hAnsiTheme="minorEastAsia"/>
        </w:rPr>
        <w:t>围场生活垃圾焚烧发电项目</w:t>
      </w:r>
      <w:r>
        <w:rPr>
          <w:rFonts w:hint="eastAsia" w:ascii="Times New Roman" w:hAnsi="Times New Roman"/>
        </w:rPr>
        <w:t>渗滤液处理</w:t>
      </w:r>
      <w:r>
        <w:rPr>
          <w:rFonts w:ascii="Times New Roman" w:hAnsi="Times New Roman"/>
        </w:rPr>
        <w:t>采用</w:t>
      </w:r>
      <w:r>
        <w:rPr>
          <w:rFonts w:hint="eastAsia" w:ascii="Times New Roman" w:hAnsi="Times New Roman"/>
        </w:rPr>
        <w:t>“</w:t>
      </w:r>
      <w:r>
        <w:rPr>
          <w:rFonts w:ascii="Times New Roman" w:hAnsi="Times New Roman"/>
        </w:rPr>
        <w:t>预处理+ UASB厌氧反应器+MBR生化处理系统+DTRO”的处理工艺</w:t>
      </w:r>
      <w:r>
        <w:rPr>
          <w:rFonts w:hint="eastAsia" w:ascii="Times New Roman" w:hAnsi="Times New Roman"/>
        </w:rPr>
        <w:t>，符合《生活垃圾填埋场渗滤液处理工程技术规范（试行）》（</w:t>
      </w:r>
      <w:r>
        <w:rPr>
          <w:rFonts w:ascii="Times New Roman" w:hAnsi="Times New Roman"/>
        </w:rPr>
        <w:t>HJ/T564-2010</w:t>
      </w:r>
      <w:r>
        <w:rPr>
          <w:rFonts w:hint="eastAsia" w:ascii="Times New Roman" w:hAnsi="Times New Roman"/>
        </w:rPr>
        <w:t>）中渗滤液处理推荐选用</w:t>
      </w:r>
      <w:r>
        <w:rPr>
          <w:rFonts w:ascii="Times New Roman" w:hAnsi="Times New Roman"/>
        </w:rPr>
        <w:t>“</w:t>
      </w:r>
      <w:r>
        <w:rPr>
          <w:rFonts w:hint="eastAsia" w:ascii="Times New Roman" w:hAnsi="Times New Roman"/>
        </w:rPr>
        <w:t>预处理＋生物处理＋深度处理</w:t>
      </w:r>
      <w:r>
        <w:rPr>
          <w:rFonts w:ascii="Times New Roman" w:hAnsi="Times New Roman"/>
        </w:rPr>
        <w:t>”</w:t>
      </w:r>
      <w:r>
        <w:rPr>
          <w:rFonts w:hint="eastAsia" w:ascii="Times New Roman" w:hAnsi="Times New Roman"/>
        </w:rPr>
        <w:t>组合工艺的要求。</w:t>
      </w:r>
      <w:r>
        <w:rPr>
          <w:rFonts w:hint="eastAsia"/>
        </w:rPr>
        <w:t>经处理后清液满足《城市污水再生利用</w:t>
      </w:r>
      <w:r>
        <w:t xml:space="preserve"> </w:t>
      </w:r>
      <w:r>
        <w:rPr>
          <w:rFonts w:hint="eastAsia"/>
        </w:rPr>
        <w:t>工业用水水质》（</w:t>
      </w:r>
      <w:r>
        <w:t>GB/T19923-2005</w:t>
      </w:r>
      <w:r>
        <w:rPr>
          <w:rFonts w:hint="eastAsia"/>
        </w:rPr>
        <w:t>）中敞开式循环冷却水系统补充水、锅炉补给水的水质要求后作为循环冷却水补水，浓水用于</w:t>
      </w:r>
      <w:bookmarkStart w:id="158" w:name="_Hlk78969108"/>
      <w:r>
        <w:rPr>
          <w:rFonts w:hint="eastAsia"/>
        </w:rPr>
        <w:t>石灰浆制备或焚烧</w:t>
      </w:r>
      <w:bookmarkEnd w:id="158"/>
      <w:r>
        <w:rPr>
          <w:rFonts w:hint="eastAsia"/>
        </w:rPr>
        <w:t>。</w:t>
      </w:r>
      <w:r>
        <w:rPr>
          <w:rFonts w:ascii="Times New Roman" w:hAnsi="Times New Roman"/>
        </w:rPr>
        <w:t>工艺流程简述如下：</w:t>
      </w:r>
    </w:p>
    <w:p>
      <w:pPr>
        <w:pStyle w:val="87"/>
        <w:adjustRightInd w:val="0"/>
        <w:snapToGrid w:val="0"/>
      </w:pPr>
      <w:r>
        <w:rPr>
          <w:rFonts w:hint="eastAsia" w:ascii="Times New Roman" w:hAnsi="Times New Roman"/>
        </w:rPr>
        <w:t>1、</w:t>
      </w:r>
      <w:r>
        <w:rPr>
          <w:rFonts w:hint="eastAsia"/>
        </w:rPr>
        <w:t>预处理</w:t>
      </w:r>
      <w:r>
        <w:t xml:space="preserve"> </w:t>
      </w:r>
    </w:p>
    <w:p>
      <w:pPr>
        <w:pStyle w:val="87"/>
        <w:snapToGrid w:val="0"/>
      </w:pPr>
      <w:r>
        <w:rPr>
          <w:rFonts w:hint="eastAsia"/>
        </w:rPr>
        <w:t>预处理工艺采用混凝沉淀法，目的主要是去除无机杂质，改善渗滤液的可生化性。</w:t>
      </w:r>
      <w:r>
        <w:t xml:space="preserve"> </w:t>
      </w:r>
    </w:p>
    <w:p>
      <w:pPr>
        <w:pStyle w:val="87"/>
        <w:snapToGrid w:val="0"/>
      </w:pPr>
      <w:r>
        <w:rPr>
          <w:rFonts w:hint="eastAsia"/>
        </w:rPr>
        <w:t>2、生物处理</w:t>
      </w:r>
      <w:r>
        <w:t xml:space="preserve"> </w:t>
      </w:r>
    </w:p>
    <w:p>
      <w:pPr>
        <w:pStyle w:val="87"/>
        <w:adjustRightInd w:val="0"/>
        <w:snapToGrid w:val="0"/>
        <w:rPr>
          <w:rFonts w:ascii="Times New Roman" w:hAnsi="Times New Roman"/>
        </w:rPr>
      </w:pPr>
      <w:r>
        <w:rPr>
          <w:rFonts w:hint="eastAsia" w:ascii="Times New Roman" w:hAnsi="Times New Roman"/>
        </w:rPr>
        <w:t>生物处理工艺采用厌氧生物处理法和好氧生物处理法，处理对象主要是渗滤液中的有机污染物和氮、磷等。厌氧生物处理工艺采用升流式厌氧污泥床法（</w:t>
      </w:r>
      <w:r>
        <w:rPr>
          <w:rFonts w:ascii="Times New Roman" w:hAnsi="Times New Roman"/>
        </w:rPr>
        <w:t>UASB</w:t>
      </w:r>
      <w:r>
        <w:rPr>
          <w:rFonts w:hint="eastAsia" w:ascii="Times New Roman" w:hAnsi="Times New Roman"/>
        </w:rPr>
        <w:t>），好氧处理工艺采用</w:t>
      </w:r>
      <w:r>
        <w:rPr>
          <w:rFonts w:ascii="Times New Roman" w:hAnsi="Times New Roman"/>
        </w:rPr>
        <w:t>MBR</w:t>
      </w:r>
      <w:r>
        <w:rPr>
          <w:rFonts w:hint="eastAsia" w:ascii="Times New Roman" w:hAnsi="Times New Roman"/>
        </w:rPr>
        <w:t>（两级</w:t>
      </w:r>
      <w:r>
        <w:rPr>
          <w:rFonts w:ascii="Times New Roman" w:hAnsi="Times New Roman"/>
        </w:rPr>
        <w:t>A/O+</w:t>
      </w:r>
      <w:r>
        <w:rPr>
          <w:rFonts w:hint="eastAsia" w:ascii="Times New Roman" w:hAnsi="Times New Roman"/>
        </w:rPr>
        <w:t>超滤）法。</w:t>
      </w:r>
    </w:p>
    <w:p>
      <w:pPr>
        <w:pStyle w:val="87"/>
        <w:adjustRightInd w:val="0"/>
        <w:snapToGrid w:val="0"/>
        <w:rPr>
          <w:rFonts w:ascii="Times New Roman" w:hAnsi="Times New Roman"/>
        </w:rPr>
      </w:pPr>
      <w:r>
        <w:rPr>
          <w:rFonts w:hint="eastAsia" w:ascii="Times New Roman" w:hAnsi="Times New Roman"/>
        </w:rPr>
        <w:t>3、深度处理</w:t>
      </w:r>
    </w:p>
    <w:p>
      <w:pPr>
        <w:pStyle w:val="87"/>
        <w:snapToGrid w:val="0"/>
      </w:pPr>
      <w:r>
        <w:t>MBR出水通过DTRO进水泵泵入</w:t>
      </w:r>
      <w:r>
        <w:rPr>
          <w:rFonts w:hint="eastAsia"/>
        </w:rPr>
        <w:t>，通过</w:t>
      </w:r>
      <w:r>
        <w:t>酸储罐调节pH值</w:t>
      </w:r>
      <w:r>
        <w:rPr>
          <w:rFonts w:hint="eastAsia"/>
        </w:rPr>
        <w:t>（</w:t>
      </w:r>
      <w:r>
        <w:t>6.1～6.5</w:t>
      </w:r>
      <w:r>
        <w:rPr>
          <w:rFonts w:hint="eastAsia"/>
        </w:rPr>
        <w:t>）后</w:t>
      </w:r>
      <w:r>
        <w:t>泵入DTRO膜柱件，</w:t>
      </w:r>
      <w:r>
        <w:rPr>
          <w:rFonts w:hint="eastAsia"/>
        </w:rPr>
        <w:t>经</w:t>
      </w:r>
      <w:r>
        <w:t>保安袋滤器</w:t>
      </w:r>
      <w:r>
        <w:rPr>
          <w:rFonts w:hint="eastAsia"/>
        </w:rPr>
        <w:t>过滤后</w:t>
      </w:r>
      <w:r>
        <w:t>进入高压柱塞泵。经高压泵加压后的出水进入DTRO膜柱，膜出水分为浓缩液和透过液两部分，浓缩液排入浓缩液池，透过液进入清水储罐</w:t>
      </w:r>
      <w:r>
        <w:rPr>
          <w:rFonts w:hint="eastAsia"/>
        </w:rPr>
        <w:t>回用</w:t>
      </w:r>
      <w:r>
        <w:t>。</w:t>
      </w:r>
    </w:p>
    <w:p>
      <w:pPr>
        <w:pStyle w:val="87"/>
        <w:adjustRightInd w:val="0"/>
        <w:snapToGrid w:val="0"/>
        <w:rPr>
          <w:rFonts w:ascii="Times New Roman" w:hAnsi="Times New Roman"/>
        </w:rPr>
      </w:pPr>
      <w:r>
        <w:rPr>
          <w:rFonts w:hint="eastAsia" w:ascii="Times New Roman" w:hAnsi="Times New Roman"/>
        </w:rPr>
        <w:t>具体工艺流程图见图6</w:t>
      </w:r>
      <w:r>
        <w:rPr>
          <w:rFonts w:ascii="Times New Roman" w:hAnsi="Times New Roman"/>
        </w:rPr>
        <w:t>.3-1</w:t>
      </w:r>
      <w:r>
        <w:rPr>
          <w:rFonts w:hint="eastAsia" w:ascii="Times New Roman" w:hAnsi="Times New Roman"/>
        </w:rPr>
        <w:t>。</w:t>
      </w:r>
    </w:p>
    <w:p>
      <w:pPr>
        <w:pStyle w:val="87"/>
        <w:adjustRightInd w:val="0"/>
        <w:snapToGrid w:val="0"/>
      </w:pPr>
      <w:r>
        <w:rPr>
          <w:rFonts w:hint="eastAsia"/>
        </w:rPr>
        <w:t>围场县生活垃圾焚烧发电项目废水处理工艺</w:t>
      </w:r>
      <w:r>
        <w:t>各处理单元去除效率见表6.3-1，由表可见，</w:t>
      </w:r>
      <w:r>
        <w:rPr>
          <w:rFonts w:hint="eastAsia"/>
        </w:rPr>
        <w:t>垃圾渗滤液</w:t>
      </w:r>
      <w:r>
        <w:t>经</w:t>
      </w:r>
      <w:r>
        <w:rPr>
          <w:rFonts w:hint="eastAsia"/>
        </w:rPr>
        <w:t>“</w:t>
      </w:r>
      <w:r>
        <w:t>预处理+ UASB厌氧反应器+MBR生化处理系统+DTRO</w:t>
      </w:r>
      <w:r>
        <w:rPr>
          <w:rFonts w:hint="eastAsia"/>
        </w:rPr>
        <w:t>”</w:t>
      </w:r>
      <w:r>
        <w:t>组合工艺处理后，出水满足</w:t>
      </w:r>
      <w:r>
        <w:rPr>
          <w:rFonts w:hint="eastAsia"/>
        </w:rPr>
        <w:t>《城市污水再生利用</w:t>
      </w:r>
      <w:r>
        <w:t xml:space="preserve"> </w:t>
      </w:r>
      <w:r>
        <w:rPr>
          <w:rFonts w:hint="eastAsia"/>
        </w:rPr>
        <w:t>工业用水水质》（</w:t>
      </w:r>
      <w:r>
        <w:t>GB19923-2005</w:t>
      </w:r>
      <w:r>
        <w:rPr>
          <w:rFonts w:hint="eastAsia"/>
        </w:rPr>
        <w:t>）中敞开式循环冷却水系统补充水、锅炉补给水的水质要求后回用，不外排。</w:t>
      </w:r>
    </w:p>
    <w:p>
      <w:pPr>
        <w:pStyle w:val="87"/>
        <w:adjustRightInd w:val="0"/>
        <w:snapToGrid w:val="0"/>
      </w:pPr>
      <w:r>
        <w:rPr>
          <w:rFonts w:hint="eastAsia"/>
        </w:rPr>
        <w:t>综上所述，本项目依托围场生活垃圾焚烧发电项目渗滤液处理装置，处理达标后全部回用，能够替代垃圾焚烧厂部分新鲜水使用量，技术上是可行的。</w:t>
      </w:r>
    </w:p>
    <w:p>
      <w:pPr>
        <w:widowControl/>
        <w:jc w:val="left"/>
        <w:rPr>
          <w:rFonts w:ascii="宋体" w:hAnsi="宋体" w:cs="宋体"/>
          <w:kern w:val="0"/>
          <w:sz w:val="24"/>
          <w:szCs w:val="24"/>
        </w:rPr>
      </w:pPr>
      <w:r>
        <w:rPr>
          <w:szCs w:val="21"/>
        </w:rPr>
        <w:drawing>
          <wp:inline distT="0" distB="0" distL="0" distR="0">
            <wp:extent cx="5271770" cy="6652895"/>
            <wp:effectExtent l="0" t="0" r="5080" b="0"/>
            <wp:docPr id="235" name="图片 235" descr="d797d13e2ed9dd17ecdcc96166c7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d797d13e2ed9dd17ecdcc96166c76fc"/>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71770" cy="6652895"/>
                    </a:xfrm>
                    <a:prstGeom prst="rect">
                      <a:avLst/>
                    </a:prstGeom>
                  </pic:spPr>
                </pic:pic>
              </a:graphicData>
            </a:graphic>
          </wp:inline>
        </w:drawing>
      </w:r>
    </w:p>
    <w:p>
      <w:pPr>
        <w:jc w:val="center"/>
        <w:rPr>
          <w:sz w:val="24"/>
          <w:szCs w:val="24"/>
        </w:rPr>
      </w:pPr>
      <w:r>
        <w:rPr>
          <w:b/>
          <w:sz w:val="24"/>
          <w:szCs w:val="24"/>
        </w:rPr>
        <w:t xml:space="preserve">图6.3-1  </w:t>
      </w:r>
      <w:r>
        <w:rPr>
          <w:rFonts w:hint="eastAsia"/>
          <w:b/>
          <w:sz w:val="24"/>
          <w:szCs w:val="24"/>
        </w:rPr>
        <w:t>围场垃圾焚烧厂渗滤液</w:t>
      </w:r>
      <w:r>
        <w:rPr>
          <w:b/>
          <w:sz w:val="24"/>
          <w:szCs w:val="24"/>
        </w:rPr>
        <w:t>处理工艺流程图</w:t>
      </w:r>
    </w:p>
    <w:p>
      <w:pPr>
        <w:sectPr>
          <w:headerReference r:id="rId26" w:type="default"/>
          <w:pgSz w:w="11906" w:h="16838"/>
          <w:pgMar w:top="1440" w:right="1800" w:bottom="1440" w:left="1800" w:header="851" w:footer="992" w:gutter="0"/>
          <w:cols w:space="425" w:num="1"/>
          <w:docGrid w:type="lines" w:linePitch="312" w:charSpace="0"/>
        </w:sectPr>
      </w:pPr>
    </w:p>
    <w:p>
      <w:pPr>
        <w:pStyle w:val="20"/>
        <w:adjustRightInd w:val="0"/>
        <w:snapToGrid w:val="0"/>
        <w:spacing w:after="0" w:line="360" w:lineRule="auto"/>
        <w:jc w:val="center"/>
        <w:rPr>
          <w:b/>
          <w:sz w:val="24"/>
          <w:szCs w:val="24"/>
        </w:rPr>
      </w:pPr>
      <w:r>
        <w:rPr>
          <w:b/>
          <w:sz w:val="24"/>
          <w:szCs w:val="24"/>
        </w:rPr>
        <w:t xml:space="preserve">表6.3-1  </w:t>
      </w:r>
      <w:r>
        <w:rPr>
          <w:rFonts w:hint="eastAsia"/>
          <w:b/>
          <w:sz w:val="24"/>
          <w:szCs w:val="24"/>
        </w:rPr>
        <w:t>围场县垃圾焚烧项目</w:t>
      </w:r>
      <w:r>
        <w:rPr>
          <w:b/>
          <w:sz w:val="24"/>
          <w:szCs w:val="24"/>
        </w:rPr>
        <w:t>废水处理各处理单元去除效率表</w:t>
      </w:r>
    </w:p>
    <w:tbl>
      <w:tblPr>
        <w:tblStyle w:val="39"/>
        <w:tblW w:w="504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53"/>
        <w:gridCol w:w="1016"/>
        <w:gridCol w:w="1204"/>
        <w:gridCol w:w="1204"/>
        <w:gridCol w:w="1203"/>
        <w:gridCol w:w="1203"/>
        <w:gridCol w:w="1203"/>
        <w:gridCol w:w="1203"/>
        <w:gridCol w:w="1203"/>
        <w:gridCol w:w="1203"/>
        <w:gridCol w:w="1203"/>
        <w:gridCol w:w="11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tblHeader/>
          <w:jc w:val="center"/>
        </w:trPr>
        <w:tc>
          <w:tcPr>
            <w:tcW w:w="793" w:type="pct"/>
            <w:gridSpan w:val="2"/>
            <w:vAlign w:val="center"/>
          </w:tcPr>
          <w:p>
            <w:pPr>
              <w:widowControl/>
              <w:adjustRightInd w:val="0"/>
              <w:snapToGrid w:val="0"/>
              <w:jc w:val="center"/>
              <w:rPr>
                <w:b/>
                <w:kern w:val="0"/>
                <w:szCs w:val="21"/>
              </w:rPr>
            </w:pPr>
            <w:r>
              <w:rPr>
                <w:b/>
                <w:kern w:val="0"/>
                <w:szCs w:val="21"/>
              </w:rPr>
              <w:t>项目</w:t>
            </w:r>
          </w:p>
        </w:tc>
        <w:tc>
          <w:tcPr>
            <w:tcW w:w="421" w:type="pct"/>
            <w:vAlign w:val="center"/>
          </w:tcPr>
          <w:p>
            <w:pPr>
              <w:widowControl/>
              <w:adjustRightInd w:val="0"/>
              <w:snapToGrid w:val="0"/>
              <w:jc w:val="center"/>
              <w:rPr>
                <w:b/>
                <w:kern w:val="0"/>
                <w:szCs w:val="21"/>
              </w:rPr>
            </w:pPr>
            <w:r>
              <w:rPr>
                <w:b/>
                <w:kern w:val="0"/>
                <w:szCs w:val="21"/>
              </w:rPr>
              <w:t>COD</w:t>
            </w:r>
            <w:r>
              <w:rPr>
                <w:b/>
                <w:kern w:val="0"/>
                <w:szCs w:val="21"/>
                <w:vertAlign w:val="subscript"/>
              </w:rPr>
              <w:t>Cr</w:t>
            </w:r>
            <w:r>
              <w:rPr>
                <w:b/>
                <w:kern w:val="0"/>
                <w:szCs w:val="21"/>
              </w:rPr>
              <w:t>（mg/L）</w:t>
            </w:r>
          </w:p>
        </w:tc>
        <w:tc>
          <w:tcPr>
            <w:tcW w:w="421" w:type="pct"/>
            <w:vAlign w:val="center"/>
          </w:tcPr>
          <w:p>
            <w:pPr>
              <w:widowControl/>
              <w:adjustRightInd w:val="0"/>
              <w:snapToGrid w:val="0"/>
              <w:jc w:val="center"/>
              <w:rPr>
                <w:b/>
                <w:kern w:val="0"/>
                <w:szCs w:val="21"/>
              </w:rPr>
            </w:pPr>
            <w:r>
              <w:rPr>
                <w:b/>
                <w:kern w:val="0"/>
                <w:szCs w:val="21"/>
              </w:rPr>
              <w:t>BOD</w:t>
            </w:r>
            <w:r>
              <w:rPr>
                <w:b/>
                <w:kern w:val="0"/>
                <w:szCs w:val="21"/>
                <w:vertAlign w:val="subscript"/>
              </w:rPr>
              <w:t>5</w:t>
            </w:r>
            <w:r>
              <w:rPr>
                <w:b/>
                <w:kern w:val="0"/>
                <w:szCs w:val="21"/>
              </w:rPr>
              <w:t>（mg/L）</w:t>
            </w:r>
          </w:p>
        </w:tc>
        <w:tc>
          <w:tcPr>
            <w:tcW w:w="421" w:type="pct"/>
            <w:vAlign w:val="center"/>
          </w:tcPr>
          <w:p>
            <w:pPr>
              <w:widowControl/>
              <w:adjustRightInd w:val="0"/>
              <w:snapToGrid w:val="0"/>
              <w:jc w:val="center"/>
              <w:rPr>
                <w:b/>
                <w:kern w:val="0"/>
                <w:szCs w:val="21"/>
              </w:rPr>
            </w:pPr>
            <w:r>
              <w:rPr>
                <w:b/>
                <w:kern w:val="0"/>
                <w:szCs w:val="21"/>
              </w:rPr>
              <w:t>NH</w:t>
            </w:r>
            <w:r>
              <w:rPr>
                <w:b/>
                <w:kern w:val="0"/>
                <w:szCs w:val="21"/>
                <w:vertAlign w:val="subscript"/>
              </w:rPr>
              <w:t>4</w:t>
            </w:r>
            <w:r>
              <w:rPr>
                <w:b/>
                <w:kern w:val="0"/>
                <w:szCs w:val="21"/>
                <w:vertAlign w:val="superscript"/>
              </w:rPr>
              <w:t>+</w:t>
            </w:r>
            <w:r>
              <w:rPr>
                <w:b/>
                <w:kern w:val="0"/>
                <w:szCs w:val="21"/>
              </w:rPr>
              <w:t>-N（mg/L）</w:t>
            </w:r>
          </w:p>
        </w:tc>
        <w:tc>
          <w:tcPr>
            <w:tcW w:w="421" w:type="pct"/>
            <w:vAlign w:val="center"/>
          </w:tcPr>
          <w:p>
            <w:pPr>
              <w:widowControl/>
              <w:adjustRightInd w:val="0"/>
              <w:snapToGrid w:val="0"/>
              <w:jc w:val="center"/>
              <w:rPr>
                <w:b/>
                <w:kern w:val="0"/>
                <w:szCs w:val="21"/>
              </w:rPr>
            </w:pPr>
            <w:r>
              <w:rPr>
                <w:b/>
                <w:kern w:val="0"/>
                <w:szCs w:val="21"/>
              </w:rPr>
              <w:t>SS</w:t>
            </w:r>
          </w:p>
          <w:p>
            <w:pPr>
              <w:widowControl/>
              <w:adjustRightInd w:val="0"/>
              <w:snapToGrid w:val="0"/>
              <w:jc w:val="center"/>
              <w:rPr>
                <w:b/>
                <w:kern w:val="0"/>
                <w:szCs w:val="21"/>
              </w:rPr>
            </w:pPr>
            <w:r>
              <w:rPr>
                <w:b/>
                <w:kern w:val="0"/>
                <w:szCs w:val="21"/>
              </w:rPr>
              <w:t>（mg/L）</w:t>
            </w:r>
          </w:p>
        </w:tc>
        <w:tc>
          <w:tcPr>
            <w:tcW w:w="421" w:type="pct"/>
            <w:vAlign w:val="center"/>
          </w:tcPr>
          <w:p>
            <w:pPr>
              <w:adjustRightInd w:val="0"/>
              <w:snapToGrid w:val="0"/>
              <w:jc w:val="center"/>
              <w:rPr>
                <w:sz w:val="22"/>
                <w:szCs w:val="22"/>
              </w:rPr>
            </w:pPr>
            <w:r>
              <w:rPr>
                <w:sz w:val="22"/>
                <w:szCs w:val="22"/>
              </w:rPr>
              <w:t>Hg （mg/L）</w:t>
            </w:r>
          </w:p>
        </w:tc>
        <w:tc>
          <w:tcPr>
            <w:tcW w:w="421" w:type="pct"/>
            <w:vAlign w:val="center"/>
          </w:tcPr>
          <w:p>
            <w:pPr>
              <w:adjustRightInd w:val="0"/>
              <w:snapToGrid w:val="0"/>
              <w:jc w:val="center"/>
              <w:rPr>
                <w:sz w:val="22"/>
                <w:szCs w:val="22"/>
              </w:rPr>
            </w:pPr>
            <w:r>
              <w:rPr>
                <w:sz w:val="22"/>
                <w:szCs w:val="22"/>
              </w:rPr>
              <w:t>Cd</w:t>
            </w:r>
          </w:p>
          <w:p>
            <w:pPr>
              <w:adjustRightInd w:val="0"/>
              <w:snapToGrid w:val="0"/>
              <w:jc w:val="center"/>
              <w:rPr>
                <w:sz w:val="22"/>
                <w:szCs w:val="22"/>
              </w:rPr>
            </w:pPr>
            <w:r>
              <w:rPr>
                <w:b/>
                <w:sz w:val="22"/>
                <w:szCs w:val="22"/>
              </w:rPr>
              <w:t>（mg/L）</w:t>
            </w:r>
          </w:p>
        </w:tc>
        <w:tc>
          <w:tcPr>
            <w:tcW w:w="421" w:type="pct"/>
            <w:vAlign w:val="center"/>
          </w:tcPr>
          <w:p>
            <w:pPr>
              <w:adjustRightInd w:val="0"/>
              <w:snapToGrid w:val="0"/>
              <w:jc w:val="center"/>
              <w:rPr>
                <w:sz w:val="22"/>
                <w:szCs w:val="22"/>
              </w:rPr>
            </w:pPr>
            <w:r>
              <w:rPr>
                <w:sz w:val="22"/>
                <w:szCs w:val="22"/>
              </w:rPr>
              <w:t xml:space="preserve">Cr </w:t>
            </w:r>
            <w:r>
              <w:rPr>
                <w:b/>
                <w:sz w:val="22"/>
                <w:szCs w:val="22"/>
              </w:rPr>
              <w:t>（mg/L）</w:t>
            </w:r>
          </w:p>
        </w:tc>
        <w:tc>
          <w:tcPr>
            <w:tcW w:w="421" w:type="pct"/>
            <w:vAlign w:val="center"/>
          </w:tcPr>
          <w:p>
            <w:pPr>
              <w:adjustRightInd w:val="0"/>
              <w:snapToGrid w:val="0"/>
              <w:jc w:val="center"/>
              <w:rPr>
                <w:sz w:val="22"/>
                <w:szCs w:val="22"/>
              </w:rPr>
            </w:pPr>
            <w:r>
              <w:rPr>
                <w:sz w:val="22"/>
                <w:szCs w:val="22"/>
              </w:rPr>
              <w:t>Cr</w:t>
            </w:r>
            <w:r>
              <w:rPr>
                <w:sz w:val="22"/>
                <w:szCs w:val="22"/>
                <w:vertAlign w:val="superscript"/>
              </w:rPr>
              <w:t>6+</w:t>
            </w:r>
            <w:r>
              <w:rPr>
                <w:b/>
                <w:sz w:val="22"/>
                <w:szCs w:val="22"/>
              </w:rPr>
              <w:t>（mg/L）</w:t>
            </w:r>
          </w:p>
        </w:tc>
        <w:tc>
          <w:tcPr>
            <w:tcW w:w="421" w:type="pct"/>
            <w:vAlign w:val="center"/>
          </w:tcPr>
          <w:p>
            <w:pPr>
              <w:adjustRightInd w:val="0"/>
              <w:snapToGrid w:val="0"/>
              <w:jc w:val="center"/>
              <w:rPr>
                <w:sz w:val="22"/>
                <w:szCs w:val="22"/>
              </w:rPr>
            </w:pPr>
            <w:r>
              <w:rPr>
                <w:sz w:val="22"/>
                <w:szCs w:val="22"/>
              </w:rPr>
              <w:t>As</w:t>
            </w:r>
          </w:p>
          <w:p>
            <w:pPr>
              <w:adjustRightInd w:val="0"/>
              <w:snapToGrid w:val="0"/>
              <w:jc w:val="center"/>
              <w:rPr>
                <w:sz w:val="22"/>
                <w:szCs w:val="22"/>
              </w:rPr>
            </w:pPr>
            <w:r>
              <w:rPr>
                <w:b/>
                <w:sz w:val="22"/>
                <w:szCs w:val="22"/>
              </w:rPr>
              <w:t>（mg/L）</w:t>
            </w:r>
          </w:p>
        </w:tc>
        <w:tc>
          <w:tcPr>
            <w:tcW w:w="419" w:type="pct"/>
            <w:vAlign w:val="center"/>
          </w:tcPr>
          <w:p>
            <w:pPr>
              <w:adjustRightInd w:val="0"/>
              <w:snapToGrid w:val="0"/>
              <w:jc w:val="center"/>
              <w:rPr>
                <w:sz w:val="22"/>
                <w:szCs w:val="22"/>
              </w:rPr>
            </w:pPr>
            <w:r>
              <w:rPr>
                <w:sz w:val="22"/>
                <w:szCs w:val="22"/>
              </w:rPr>
              <w:t>Pb</w:t>
            </w:r>
          </w:p>
          <w:p>
            <w:pPr>
              <w:adjustRightInd w:val="0"/>
              <w:snapToGrid w:val="0"/>
              <w:jc w:val="center"/>
              <w:rPr>
                <w:sz w:val="22"/>
                <w:szCs w:val="22"/>
              </w:rPr>
            </w:pPr>
            <w:r>
              <w:rPr>
                <w:b/>
                <w:sz w:val="22"/>
                <w:szCs w:val="22"/>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kern w:val="0"/>
                <w:szCs w:val="21"/>
              </w:rPr>
              <w:t>预处理系统</w:t>
            </w:r>
          </w:p>
        </w:tc>
        <w:tc>
          <w:tcPr>
            <w:tcW w:w="354" w:type="pct"/>
            <w:vAlign w:val="center"/>
          </w:tcPr>
          <w:p>
            <w:pPr>
              <w:widowControl/>
              <w:adjustRightInd w:val="0"/>
              <w:snapToGrid w:val="0"/>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60000</w:t>
            </w:r>
          </w:p>
        </w:tc>
        <w:tc>
          <w:tcPr>
            <w:tcW w:w="421" w:type="pct"/>
            <w:vAlign w:val="center"/>
          </w:tcPr>
          <w:p>
            <w:pPr>
              <w:adjustRightInd w:val="0"/>
              <w:snapToGrid w:val="0"/>
              <w:jc w:val="center"/>
              <w:rPr>
                <w:szCs w:val="21"/>
              </w:rPr>
            </w:pPr>
            <w:r>
              <w:rPr>
                <w:szCs w:val="21"/>
              </w:rPr>
              <w:t>30000</w:t>
            </w:r>
          </w:p>
        </w:tc>
        <w:tc>
          <w:tcPr>
            <w:tcW w:w="421" w:type="pct"/>
            <w:vAlign w:val="center"/>
          </w:tcPr>
          <w:p>
            <w:pPr>
              <w:adjustRightInd w:val="0"/>
              <w:snapToGrid w:val="0"/>
              <w:jc w:val="center"/>
              <w:rPr>
                <w:szCs w:val="21"/>
              </w:rPr>
            </w:pPr>
            <w:r>
              <w:rPr>
                <w:szCs w:val="21"/>
              </w:rPr>
              <w:t>2000</w:t>
            </w:r>
          </w:p>
        </w:tc>
        <w:tc>
          <w:tcPr>
            <w:tcW w:w="421" w:type="pct"/>
            <w:vAlign w:val="center"/>
          </w:tcPr>
          <w:p>
            <w:pPr>
              <w:adjustRightInd w:val="0"/>
              <w:snapToGrid w:val="0"/>
              <w:jc w:val="center"/>
              <w:rPr>
                <w:szCs w:val="21"/>
              </w:rPr>
            </w:pPr>
            <w:r>
              <w:rPr>
                <w:szCs w:val="21"/>
              </w:rPr>
              <w:t>4000</w:t>
            </w:r>
          </w:p>
        </w:tc>
        <w:tc>
          <w:tcPr>
            <w:tcW w:w="421" w:type="pct"/>
            <w:vAlign w:val="center"/>
          </w:tcPr>
          <w:p>
            <w:pPr>
              <w:adjustRightInd w:val="0"/>
              <w:snapToGrid w:val="0"/>
              <w:jc w:val="center"/>
              <w:rPr>
                <w:sz w:val="22"/>
                <w:szCs w:val="22"/>
              </w:rPr>
            </w:pPr>
            <w:r>
              <w:rPr>
                <w:sz w:val="22"/>
                <w:szCs w:val="22"/>
              </w:rPr>
              <w:t>0.025</w:t>
            </w:r>
          </w:p>
        </w:tc>
        <w:tc>
          <w:tcPr>
            <w:tcW w:w="421" w:type="pct"/>
            <w:vAlign w:val="center"/>
          </w:tcPr>
          <w:p>
            <w:pPr>
              <w:adjustRightInd w:val="0"/>
              <w:snapToGrid w:val="0"/>
              <w:jc w:val="center"/>
              <w:rPr>
                <w:sz w:val="22"/>
                <w:szCs w:val="22"/>
              </w:rPr>
            </w:pPr>
            <w:r>
              <w:rPr>
                <w:sz w:val="22"/>
                <w:szCs w:val="22"/>
              </w:rPr>
              <w:t>0.15</w:t>
            </w:r>
          </w:p>
        </w:tc>
        <w:tc>
          <w:tcPr>
            <w:tcW w:w="421" w:type="pct"/>
            <w:vAlign w:val="center"/>
          </w:tcPr>
          <w:p>
            <w:pPr>
              <w:adjustRightInd w:val="0"/>
              <w:snapToGrid w:val="0"/>
              <w:jc w:val="center"/>
              <w:rPr>
                <w:sz w:val="22"/>
                <w:szCs w:val="22"/>
              </w:rPr>
            </w:pPr>
            <w:r>
              <w:rPr>
                <w:sz w:val="22"/>
                <w:szCs w:val="22"/>
              </w:rPr>
              <w:t>0.5</w:t>
            </w:r>
          </w:p>
        </w:tc>
        <w:tc>
          <w:tcPr>
            <w:tcW w:w="421" w:type="pct"/>
            <w:vAlign w:val="center"/>
          </w:tcPr>
          <w:p>
            <w:pPr>
              <w:adjustRightInd w:val="0"/>
              <w:snapToGrid w:val="0"/>
              <w:jc w:val="center"/>
              <w:rPr>
                <w:sz w:val="22"/>
                <w:szCs w:val="22"/>
              </w:rPr>
            </w:pPr>
            <w:r>
              <w:rPr>
                <w:sz w:val="22"/>
                <w:szCs w:val="22"/>
              </w:rPr>
              <w:t>0.004</w:t>
            </w:r>
          </w:p>
        </w:tc>
        <w:tc>
          <w:tcPr>
            <w:tcW w:w="421" w:type="pct"/>
            <w:vAlign w:val="center"/>
          </w:tcPr>
          <w:p>
            <w:pPr>
              <w:adjustRightInd w:val="0"/>
              <w:snapToGrid w:val="0"/>
              <w:jc w:val="center"/>
              <w:rPr>
                <w:sz w:val="22"/>
                <w:szCs w:val="22"/>
              </w:rPr>
            </w:pPr>
            <w:r>
              <w:rPr>
                <w:sz w:val="22"/>
                <w:szCs w:val="22"/>
              </w:rPr>
              <w:t>0.25</w:t>
            </w:r>
          </w:p>
        </w:tc>
        <w:tc>
          <w:tcPr>
            <w:tcW w:w="419" w:type="pct"/>
            <w:vAlign w:val="center"/>
          </w:tcPr>
          <w:p>
            <w:pPr>
              <w:adjustRightInd w:val="0"/>
              <w:snapToGrid w:val="0"/>
              <w:jc w:val="center"/>
              <w:rPr>
                <w:sz w:val="22"/>
                <w:szCs w:val="22"/>
              </w:rPr>
            </w:pPr>
            <w:r>
              <w:rPr>
                <w:sz w:val="22"/>
                <w:szCs w:val="22"/>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vAlign w:val="center"/>
          </w:tcPr>
          <w:p>
            <w:pPr>
              <w:adjustRightInd w:val="0"/>
              <w:snapToGrid w:val="0"/>
              <w:jc w:val="center"/>
              <w:rPr>
                <w:szCs w:val="21"/>
              </w:rPr>
            </w:pPr>
            <w:r>
              <w:rPr>
                <w:szCs w:val="21"/>
              </w:rPr>
              <w:t>42000</w:t>
            </w:r>
          </w:p>
        </w:tc>
        <w:tc>
          <w:tcPr>
            <w:tcW w:w="421" w:type="pct"/>
            <w:vAlign w:val="center"/>
          </w:tcPr>
          <w:p>
            <w:pPr>
              <w:adjustRightInd w:val="0"/>
              <w:snapToGrid w:val="0"/>
              <w:jc w:val="center"/>
              <w:rPr>
                <w:szCs w:val="21"/>
              </w:rPr>
            </w:pPr>
            <w:r>
              <w:rPr>
                <w:szCs w:val="21"/>
              </w:rPr>
              <w:t>22500</w:t>
            </w:r>
          </w:p>
        </w:tc>
        <w:tc>
          <w:tcPr>
            <w:tcW w:w="421" w:type="pct"/>
            <w:vAlign w:val="center"/>
          </w:tcPr>
          <w:p>
            <w:pPr>
              <w:adjustRightInd w:val="0"/>
              <w:snapToGrid w:val="0"/>
              <w:jc w:val="center"/>
              <w:rPr>
                <w:szCs w:val="21"/>
              </w:rPr>
            </w:pPr>
            <w:r>
              <w:rPr>
                <w:szCs w:val="21"/>
              </w:rPr>
              <w:t>1500</w:t>
            </w:r>
          </w:p>
        </w:tc>
        <w:tc>
          <w:tcPr>
            <w:tcW w:w="421" w:type="pct"/>
            <w:vAlign w:val="center"/>
          </w:tcPr>
          <w:p>
            <w:pPr>
              <w:adjustRightInd w:val="0"/>
              <w:snapToGrid w:val="0"/>
              <w:jc w:val="center"/>
              <w:rPr>
                <w:szCs w:val="21"/>
              </w:rPr>
            </w:pPr>
            <w:r>
              <w:rPr>
                <w:szCs w:val="21"/>
              </w:rPr>
              <w:t>800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30%</w:t>
            </w:r>
          </w:p>
        </w:tc>
        <w:tc>
          <w:tcPr>
            <w:tcW w:w="421" w:type="pct"/>
            <w:vAlign w:val="center"/>
          </w:tcPr>
          <w:p>
            <w:pPr>
              <w:adjustRightInd w:val="0"/>
              <w:snapToGrid w:val="0"/>
              <w:jc w:val="center"/>
              <w:rPr>
                <w:szCs w:val="21"/>
              </w:rPr>
            </w:pPr>
            <w:r>
              <w:rPr>
                <w:szCs w:val="21"/>
              </w:rPr>
              <w:t>25%</w:t>
            </w:r>
          </w:p>
        </w:tc>
        <w:tc>
          <w:tcPr>
            <w:tcW w:w="421" w:type="pct"/>
            <w:vAlign w:val="center"/>
          </w:tcPr>
          <w:p>
            <w:pPr>
              <w:adjustRightInd w:val="0"/>
              <w:snapToGrid w:val="0"/>
              <w:jc w:val="center"/>
              <w:rPr>
                <w:szCs w:val="21"/>
              </w:rPr>
            </w:pPr>
            <w:r>
              <w:rPr>
                <w:szCs w:val="21"/>
              </w:rPr>
              <w:t>25%</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19" w:type="pct"/>
            <w:vAlign w:val="center"/>
          </w:tcPr>
          <w:p>
            <w:pPr>
              <w:adjustRightInd w:val="0"/>
              <w:snapToGrid w:val="0"/>
              <w:jc w:val="center"/>
              <w:rPr>
                <w:sz w:val="22"/>
                <w:szCs w:val="22"/>
              </w:rPr>
            </w:pPr>
            <w:r>
              <w:rPr>
                <w:sz w:val="22"/>
                <w:szCs w:val="22"/>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kern w:val="0"/>
                <w:szCs w:val="21"/>
              </w:rPr>
              <w:t>UASB系统</w:t>
            </w:r>
          </w:p>
        </w:tc>
        <w:tc>
          <w:tcPr>
            <w:tcW w:w="354" w:type="pct"/>
            <w:vAlign w:val="center"/>
          </w:tcPr>
          <w:p>
            <w:pPr>
              <w:widowControl/>
              <w:adjustRightInd w:val="0"/>
              <w:snapToGrid w:val="0"/>
              <w:ind w:firstLine="6"/>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42000</w:t>
            </w:r>
          </w:p>
        </w:tc>
        <w:tc>
          <w:tcPr>
            <w:tcW w:w="421" w:type="pct"/>
            <w:vAlign w:val="center"/>
          </w:tcPr>
          <w:p>
            <w:pPr>
              <w:adjustRightInd w:val="0"/>
              <w:snapToGrid w:val="0"/>
              <w:jc w:val="center"/>
              <w:rPr>
                <w:szCs w:val="21"/>
              </w:rPr>
            </w:pPr>
            <w:r>
              <w:rPr>
                <w:szCs w:val="21"/>
              </w:rPr>
              <w:t>22500</w:t>
            </w:r>
          </w:p>
        </w:tc>
        <w:tc>
          <w:tcPr>
            <w:tcW w:w="421" w:type="pct"/>
            <w:vAlign w:val="center"/>
          </w:tcPr>
          <w:p>
            <w:pPr>
              <w:adjustRightInd w:val="0"/>
              <w:snapToGrid w:val="0"/>
              <w:jc w:val="center"/>
              <w:rPr>
                <w:szCs w:val="21"/>
              </w:rPr>
            </w:pPr>
            <w:r>
              <w:rPr>
                <w:szCs w:val="21"/>
              </w:rPr>
              <w:t>1500</w:t>
            </w:r>
          </w:p>
        </w:tc>
        <w:tc>
          <w:tcPr>
            <w:tcW w:w="421" w:type="pct"/>
            <w:vAlign w:val="center"/>
          </w:tcPr>
          <w:p>
            <w:pPr>
              <w:adjustRightInd w:val="0"/>
              <w:snapToGrid w:val="0"/>
              <w:jc w:val="center"/>
              <w:rPr>
                <w:szCs w:val="21"/>
              </w:rPr>
            </w:pPr>
            <w:r>
              <w:rPr>
                <w:szCs w:val="21"/>
              </w:rPr>
              <w:t>800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vAlign w:val="center"/>
          </w:tcPr>
          <w:p>
            <w:pPr>
              <w:adjustRightInd w:val="0"/>
              <w:snapToGrid w:val="0"/>
              <w:jc w:val="center"/>
              <w:rPr>
                <w:szCs w:val="21"/>
              </w:rPr>
            </w:pPr>
            <w:r>
              <w:rPr>
                <w:szCs w:val="21"/>
              </w:rPr>
              <w:t>8400</w:t>
            </w:r>
          </w:p>
        </w:tc>
        <w:tc>
          <w:tcPr>
            <w:tcW w:w="421" w:type="pct"/>
            <w:vAlign w:val="center"/>
          </w:tcPr>
          <w:p>
            <w:pPr>
              <w:adjustRightInd w:val="0"/>
              <w:snapToGrid w:val="0"/>
              <w:jc w:val="center"/>
              <w:rPr>
                <w:szCs w:val="21"/>
              </w:rPr>
            </w:pPr>
            <w:r>
              <w:rPr>
                <w:szCs w:val="21"/>
              </w:rPr>
              <w:t>3375</w:t>
            </w:r>
          </w:p>
        </w:tc>
        <w:tc>
          <w:tcPr>
            <w:tcW w:w="421" w:type="pct"/>
            <w:vAlign w:val="center"/>
          </w:tcPr>
          <w:p>
            <w:pPr>
              <w:adjustRightInd w:val="0"/>
              <w:snapToGrid w:val="0"/>
              <w:jc w:val="center"/>
              <w:rPr>
                <w:szCs w:val="21"/>
              </w:rPr>
            </w:pPr>
            <w:r>
              <w:rPr>
                <w:szCs w:val="21"/>
              </w:rPr>
              <w:t>1200</w:t>
            </w:r>
          </w:p>
        </w:tc>
        <w:tc>
          <w:tcPr>
            <w:tcW w:w="421" w:type="pct"/>
            <w:vAlign w:val="center"/>
          </w:tcPr>
          <w:p>
            <w:pPr>
              <w:adjustRightInd w:val="0"/>
              <w:snapToGrid w:val="0"/>
              <w:jc w:val="center"/>
              <w:rPr>
                <w:szCs w:val="21"/>
              </w:rPr>
            </w:pPr>
            <w:r>
              <w:rPr>
                <w:szCs w:val="21"/>
              </w:rPr>
              <w:t>560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Cs w:val="21"/>
              </w:rPr>
            </w:pPr>
            <w:r>
              <w:rPr>
                <w:szCs w:val="21"/>
              </w:rPr>
              <w:t>85%</w:t>
            </w:r>
          </w:p>
        </w:tc>
        <w:tc>
          <w:tcPr>
            <w:tcW w:w="421" w:type="pct"/>
            <w:vAlign w:val="center"/>
          </w:tcPr>
          <w:p>
            <w:pPr>
              <w:adjustRightInd w:val="0"/>
              <w:snapToGrid w:val="0"/>
              <w:jc w:val="center"/>
              <w:rPr>
                <w:szCs w:val="21"/>
              </w:rPr>
            </w:pPr>
            <w:r>
              <w:rPr>
                <w:szCs w:val="21"/>
              </w:rPr>
              <w:t>20%</w:t>
            </w:r>
          </w:p>
        </w:tc>
        <w:tc>
          <w:tcPr>
            <w:tcW w:w="421" w:type="pct"/>
            <w:vAlign w:val="center"/>
          </w:tcPr>
          <w:p>
            <w:pPr>
              <w:adjustRightInd w:val="0"/>
              <w:snapToGrid w:val="0"/>
              <w:jc w:val="center"/>
              <w:rPr>
                <w:szCs w:val="21"/>
              </w:rPr>
            </w:pPr>
            <w:r>
              <w:rPr>
                <w:szCs w:val="21"/>
              </w:rPr>
              <w:t>30%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21" w:type="pct"/>
            <w:vAlign w:val="center"/>
          </w:tcPr>
          <w:p>
            <w:pPr>
              <w:adjustRightInd w:val="0"/>
              <w:snapToGrid w:val="0"/>
              <w:jc w:val="center"/>
              <w:rPr>
                <w:sz w:val="22"/>
                <w:szCs w:val="22"/>
              </w:rPr>
            </w:pPr>
            <w:r>
              <w:rPr>
                <w:sz w:val="22"/>
                <w:szCs w:val="22"/>
              </w:rPr>
              <w:t>0%</w:t>
            </w:r>
          </w:p>
        </w:tc>
        <w:tc>
          <w:tcPr>
            <w:tcW w:w="419" w:type="pct"/>
            <w:vAlign w:val="center"/>
          </w:tcPr>
          <w:p>
            <w:pPr>
              <w:adjustRightInd w:val="0"/>
              <w:snapToGrid w:val="0"/>
              <w:jc w:val="center"/>
              <w:rPr>
                <w:sz w:val="22"/>
                <w:szCs w:val="22"/>
              </w:rPr>
            </w:pPr>
            <w:r>
              <w:rPr>
                <w:sz w:val="22"/>
                <w:szCs w:val="22"/>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kern w:val="0"/>
                <w:szCs w:val="21"/>
              </w:rPr>
              <w:t>MBR系统</w:t>
            </w:r>
          </w:p>
        </w:tc>
        <w:tc>
          <w:tcPr>
            <w:tcW w:w="354" w:type="pct"/>
            <w:vAlign w:val="center"/>
          </w:tcPr>
          <w:p>
            <w:pPr>
              <w:widowControl/>
              <w:adjustRightInd w:val="0"/>
              <w:snapToGrid w:val="0"/>
              <w:ind w:firstLine="6"/>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8400</w:t>
            </w:r>
          </w:p>
        </w:tc>
        <w:tc>
          <w:tcPr>
            <w:tcW w:w="421" w:type="pct"/>
            <w:vAlign w:val="center"/>
          </w:tcPr>
          <w:p>
            <w:pPr>
              <w:adjustRightInd w:val="0"/>
              <w:snapToGrid w:val="0"/>
              <w:jc w:val="center"/>
              <w:rPr>
                <w:szCs w:val="21"/>
              </w:rPr>
            </w:pPr>
            <w:r>
              <w:rPr>
                <w:szCs w:val="21"/>
              </w:rPr>
              <w:t>3375</w:t>
            </w:r>
          </w:p>
        </w:tc>
        <w:tc>
          <w:tcPr>
            <w:tcW w:w="421" w:type="pct"/>
            <w:vAlign w:val="center"/>
          </w:tcPr>
          <w:p>
            <w:pPr>
              <w:adjustRightInd w:val="0"/>
              <w:snapToGrid w:val="0"/>
              <w:jc w:val="center"/>
              <w:rPr>
                <w:szCs w:val="21"/>
              </w:rPr>
            </w:pPr>
            <w:r>
              <w:rPr>
                <w:szCs w:val="21"/>
              </w:rPr>
              <w:t>1200</w:t>
            </w:r>
          </w:p>
        </w:tc>
        <w:tc>
          <w:tcPr>
            <w:tcW w:w="421" w:type="pct"/>
            <w:vAlign w:val="center"/>
          </w:tcPr>
          <w:p>
            <w:pPr>
              <w:adjustRightInd w:val="0"/>
              <w:snapToGrid w:val="0"/>
              <w:jc w:val="center"/>
              <w:rPr>
                <w:szCs w:val="21"/>
              </w:rPr>
            </w:pPr>
            <w:r>
              <w:rPr>
                <w:szCs w:val="21"/>
              </w:rPr>
              <w:t>560</w:t>
            </w:r>
          </w:p>
        </w:tc>
        <w:tc>
          <w:tcPr>
            <w:tcW w:w="421" w:type="pct"/>
            <w:vAlign w:val="center"/>
          </w:tcPr>
          <w:p>
            <w:pPr>
              <w:adjustRightInd w:val="0"/>
              <w:snapToGrid w:val="0"/>
              <w:jc w:val="center"/>
              <w:rPr>
                <w:szCs w:val="21"/>
              </w:rPr>
            </w:pPr>
            <w:r>
              <w:rPr>
                <w:szCs w:val="21"/>
              </w:rPr>
              <w:t>0.025</w:t>
            </w:r>
          </w:p>
        </w:tc>
        <w:tc>
          <w:tcPr>
            <w:tcW w:w="421" w:type="pct"/>
            <w:vAlign w:val="center"/>
          </w:tcPr>
          <w:p>
            <w:pPr>
              <w:adjustRightInd w:val="0"/>
              <w:snapToGrid w:val="0"/>
              <w:jc w:val="center"/>
              <w:rPr>
                <w:szCs w:val="21"/>
              </w:rPr>
            </w:pPr>
            <w:r>
              <w:rPr>
                <w:szCs w:val="21"/>
              </w:rPr>
              <w:t>0.15</w:t>
            </w:r>
          </w:p>
        </w:tc>
        <w:tc>
          <w:tcPr>
            <w:tcW w:w="421" w:type="pct"/>
            <w:vAlign w:val="center"/>
          </w:tcPr>
          <w:p>
            <w:pPr>
              <w:adjustRightInd w:val="0"/>
              <w:snapToGrid w:val="0"/>
              <w:jc w:val="center"/>
              <w:rPr>
                <w:szCs w:val="21"/>
              </w:rPr>
            </w:pPr>
            <w:r>
              <w:rPr>
                <w:szCs w:val="21"/>
              </w:rPr>
              <w:t>0.5</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0.25</w:t>
            </w:r>
          </w:p>
        </w:tc>
        <w:tc>
          <w:tcPr>
            <w:tcW w:w="419" w:type="pct"/>
            <w:vAlign w:val="center"/>
          </w:tcPr>
          <w:p>
            <w:pPr>
              <w:adjustRightInd w:val="0"/>
              <w:snapToGrid w:val="0"/>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vAlign w:val="center"/>
          </w:tcPr>
          <w:p>
            <w:pPr>
              <w:adjustRightInd w:val="0"/>
              <w:snapToGrid w:val="0"/>
              <w:jc w:val="center"/>
              <w:rPr>
                <w:szCs w:val="21"/>
              </w:rPr>
            </w:pPr>
            <w:r>
              <w:rPr>
                <w:szCs w:val="21"/>
              </w:rPr>
              <w:t>420</w:t>
            </w:r>
          </w:p>
        </w:tc>
        <w:tc>
          <w:tcPr>
            <w:tcW w:w="421" w:type="pct"/>
            <w:vAlign w:val="center"/>
          </w:tcPr>
          <w:p>
            <w:pPr>
              <w:adjustRightInd w:val="0"/>
              <w:snapToGrid w:val="0"/>
              <w:jc w:val="center"/>
              <w:rPr>
                <w:szCs w:val="21"/>
              </w:rPr>
            </w:pPr>
            <w:r>
              <w:rPr>
                <w:szCs w:val="21"/>
              </w:rPr>
              <w:t>168.75</w:t>
            </w:r>
          </w:p>
        </w:tc>
        <w:tc>
          <w:tcPr>
            <w:tcW w:w="421" w:type="pct"/>
            <w:vAlign w:val="center"/>
          </w:tcPr>
          <w:p>
            <w:pPr>
              <w:adjustRightInd w:val="0"/>
              <w:snapToGrid w:val="0"/>
              <w:jc w:val="center"/>
              <w:rPr>
                <w:szCs w:val="21"/>
              </w:rPr>
            </w:pPr>
            <w:r>
              <w:rPr>
                <w:szCs w:val="21"/>
              </w:rPr>
              <w:t>13.2</w:t>
            </w:r>
          </w:p>
        </w:tc>
        <w:tc>
          <w:tcPr>
            <w:tcW w:w="421" w:type="pct"/>
            <w:vAlign w:val="center"/>
          </w:tcPr>
          <w:p>
            <w:pPr>
              <w:adjustRightInd w:val="0"/>
              <w:snapToGrid w:val="0"/>
              <w:jc w:val="center"/>
              <w:rPr>
                <w:szCs w:val="21"/>
              </w:rPr>
            </w:pPr>
            <w:r>
              <w:rPr>
                <w:szCs w:val="21"/>
              </w:rPr>
              <w:t>11.2</w:t>
            </w:r>
          </w:p>
        </w:tc>
        <w:tc>
          <w:tcPr>
            <w:tcW w:w="421" w:type="pct"/>
            <w:vAlign w:val="center"/>
          </w:tcPr>
          <w:p>
            <w:pPr>
              <w:adjustRightInd w:val="0"/>
              <w:snapToGrid w:val="0"/>
              <w:jc w:val="center"/>
              <w:rPr>
                <w:szCs w:val="21"/>
              </w:rPr>
            </w:pPr>
            <w:r>
              <w:rPr>
                <w:szCs w:val="21"/>
              </w:rPr>
              <w:t>0.02375</w:t>
            </w:r>
          </w:p>
        </w:tc>
        <w:tc>
          <w:tcPr>
            <w:tcW w:w="421" w:type="pct"/>
            <w:vAlign w:val="center"/>
          </w:tcPr>
          <w:p>
            <w:pPr>
              <w:adjustRightInd w:val="0"/>
              <w:snapToGrid w:val="0"/>
              <w:jc w:val="center"/>
              <w:rPr>
                <w:szCs w:val="21"/>
              </w:rPr>
            </w:pPr>
            <w:r>
              <w:rPr>
                <w:szCs w:val="21"/>
              </w:rPr>
              <w:t>0.1425</w:t>
            </w:r>
          </w:p>
        </w:tc>
        <w:tc>
          <w:tcPr>
            <w:tcW w:w="421" w:type="pct"/>
            <w:vAlign w:val="center"/>
          </w:tcPr>
          <w:p>
            <w:pPr>
              <w:adjustRightInd w:val="0"/>
              <w:snapToGrid w:val="0"/>
              <w:jc w:val="center"/>
              <w:rPr>
                <w:szCs w:val="21"/>
              </w:rPr>
            </w:pPr>
            <w:r>
              <w:rPr>
                <w:szCs w:val="21"/>
              </w:rPr>
              <w:t>0.475</w:t>
            </w:r>
          </w:p>
        </w:tc>
        <w:tc>
          <w:tcPr>
            <w:tcW w:w="421" w:type="pct"/>
            <w:vAlign w:val="center"/>
          </w:tcPr>
          <w:p>
            <w:pPr>
              <w:adjustRightInd w:val="0"/>
              <w:snapToGrid w:val="0"/>
              <w:jc w:val="center"/>
              <w:rPr>
                <w:szCs w:val="21"/>
              </w:rPr>
            </w:pPr>
            <w:r>
              <w:rPr>
                <w:szCs w:val="21"/>
              </w:rPr>
              <w:t>0.0038</w:t>
            </w:r>
          </w:p>
        </w:tc>
        <w:tc>
          <w:tcPr>
            <w:tcW w:w="421" w:type="pct"/>
            <w:vAlign w:val="center"/>
          </w:tcPr>
          <w:p>
            <w:pPr>
              <w:adjustRightInd w:val="0"/>
              <w:snapToGrid w:val="0"/>
              <w:jc w:val="center"/>
              <w:rPr>
                <w:szCs w:val="21"/>
              </w:rPr>
            </w:pPr>
            <w:r>
              <w:rPr>
                <w:szCs w:val="21"/>
              </w:rPr>
              <w:t>0.2375</w:t>
            </w:r>
          </w:p>
        </w:tc>
        <w:tc>
          <w:tcPr>
            <w:tcW w:w="419" w:type="pct"/>
            <w:vAlign w:val="center"/>
          </w:tcPr>
          <w:p>
            <w:pPr>
              <w:adjustRightInd w:val="0"/>
              <w:snapToGrid w:val="0"/>
              <w:jc w:val="center"/>
              <w:rPr>
                <w:szCs w:val="21"/>
              </w:rPr>
            </w:pPr>
            <w:r>
              <w:rPr>
                <w:szCs w:val="21"/>
              </w:rPr>
              <w:t>1.425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95%</w:t>
            </w:r>
          </w:p>
        </w:tc>
        <w:tc>
          <w:tcPr>
            <w:tcW w:w="421" w:type="pct"/>
            <w:vAlign w:val="center"/>
          </w:tcPr>
          <w:p>
            <w:pPr>
              <w:adjustRightInd w:val="0"/>
              <w:snapToGrid w:val="0"/>
              <w:jc w:val="center"/>
              <w:rPr>
                <w:szCs w:val="21"/>
              </w:rPr>
            </w:pPr>
            <w:r>
              <w:rPr>
                <w:szCs w:val="21"/>
              </w:rPr>
              <w:t>95%</w:t>
            </w:r>
          </w:p>
        </w:tc>
        <w:tc>
          <w:tcPr>
            <w:tcW w:w="421" w:type="pct"/>
            <w:vAlign w:val="center"/>
          </w:tcPr>
          <w:p>
            <w:pPr>
              <w:adjustRightInd w:val="0"/>
              <w:snapToGrid w:val="0"/>
              <w:jc w:val="center"/>
              <w:rPr>
                <w:szCs w:val="21"/>
              </w:rPr>
            </w:pPr>
            <w:r>
              <w:rPr>
                <w:szCs w:val="21"/>
              </w:rPr>
              <w:t>98.90%</w:t>
            </w:r>
          </w:p>
        </w:tc>
        <w:tc>
          <w:tcPr>
            <w:tcW w:w="421" w:type="pct"/>
            <w:vAlign w:val="center"/>
          </w:tcPr>
          <w:p>
            <w:pPr>
              <w:adjustRightInd w:val="0"/>
              <w:snapToGrid w:val="0"/>
              <w:jc w:val="center"/>
              <w:rPr>
                <w:szCs w:val="21"/>
              </w:rPr>
            </w:pPr>
            <w:r>
              <w:rPr>
                <w:szCs w:val="21"/>
              </w:rPr>
              <w:t>98%</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21" w:type="pct"/>
            <w:vAlign w:val="center"/>
          </w:tcPr>
          <w:p>
            <w:pPr>
              <w:adjustRightInd w:val="0"/>
              <w:snapToGrid w:val="0"/>
              <w:jc w:val="center"/>
              <w:rPr>
                <w:sz w:val="22"/>
                <w:szCs w:val="22"/>
              </w:rPr>
            </w:pPr>
            <w:r>
              <w:rPr>
                <w:sz w:val="22"/>
                <w:szCs w:val="22"/>
              </w:rPr>
              <w:t>5%</w:t>
            </w:r>
          </w:p>
        </w:tc>
        <w:tc>
          <w:tcPr>
            <w:tcW w:w="419" w:type="pct"/>
            <w:vAlign w:val="center"/>
          </w:tcPr>
          <w:p>
            <w:pPr>
              <w:adjustRightInd w:val="0"/>
              <w:snapToGrid w:val="0"/>
              <w:jc w:val="center"/>
              <w:rPr>
                <w:sz w:val="22"/>
                <w:szCs w:val="22"/>
              </w:rPr>
            </w:pPr>
            <w:r>
              <w:rPr>
                <w:sz w:val="22"/>
                <w:szCs w:val="22"/>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Align w:val="center"/>
          </w:tcPr>
          <w:p>
            <w:pPr>
              <w:widowControl/>
              <w:adjustRightInd w:val="0"/>
              <w:snapToGrid w:val="0"/>
              <w:ind w:firstLine="6"/>
              <w:jc w:val="center"/>
              <w:rPr>
                <w:kern w:val="0"/>
                <w:szCs w:val="21"/>
              </w:rPr>
            </w:pPr>
            <w:r>
              <w:rPr>
                <w:rFonts w:hint="eastAsia"/>
              </w:rPr>
              <w:t>湿法脱酸废水</w:t>
            </w:r>
          </w:p>
        </w:tc>
        <w:tc>
          <w:tcPr>
            <w:tcW w:w="354" w:type="pct"/>
            <w:vAlign w:val="center"/>
          </w:tcPr>
          <w:p>
            <w:pPr>
              <w:widowControl/>
              <w:adjustRightInd w:val="0"/>
              <w:snapToGrid w:val="0"/>
              <w:ind w:firstLine="6"/>
              <w:jc w:val="center"/>
              <w:rPr>
                <w:kern w:val="0"/>
                <w:szCs w:val="21"/>
              </w:rPr>
            </w:pPr>
            <w:r>
              <w:rPr>
                <w:rFonts w:hint="eastAsia"/>
                <w:kern w:val="0"/>
                <w:szCs w:val="21"/>
              </w:rPr>
              <w:t>进水</w:t>
            </w:r>
          </w:p>
        </w:tc>
        <w:tc>
          <w:tcPr>
            <w:tcW w:w="421" w:type="pct"/>
            <w:vAlign w:val="center"/>
          </w:tcPr>
          <w:p>
            <w:pPr>
              <w:adjustRightInd w:val="0"/>
              <w:snapToGrid w:val="0"/>
              <w:jc w:val="center"/>
              <w:rPr>
                <w:szCs w:val="21"/>
              </w:rPr>
            </w:pPr>
            <w:r>
              <w:rPr>
                <w:szCs w:val="21"/>
              </w:rPr>
              <w:t>150</w:t>
            </w:r>
          </w:p>
        </w:tc>
        <w:tc>
          <w:tcPr>
            <w:tcW w:w="421" w:type="pct"/>
            <w:vAlign w:val="center"/>
          </w:tcPr>
          <w:p>
            <w:pPr>
              <w:adjustRightInd w:val="0"/>
              <w:snapToGrid w:val="0"/>
              <w:jc w:val="center"/>
              <w:rPr>
                <w:szCs w:val="21"/>
              </w:rPr>
            </w:pPr>
            <w:r>
              <w:rPr>
                <w:szCs w:val="21"/>
              </w:rPr>
              <w:t>0</w:t>
            </w:r>
          </w:p>
        </w:tc>
        <w:tc>
          <w:tcPr>
            <w:tcW w:w="421" w:type="pct"/>
            <w:vAlign w:val="center"/>
          </w:tcPr>
          <w:p>
            <w:pPr>
              <w:adjustRightInd w:val="0"/>
              <w:snapToGrid w:val="0"/>
              <w:jc w:val="center"/>
              <w:rPr>
                <w:szCs w:val="21"/>
              </w:rPr>
            </w:pPr>
            <w:r>
              <w:rPr>
                <w:szCs w:val="21"/>
              </w:rPr>
              <w:t>138</w:t>
            </w:r>
          </w:p>
        </w:tc>
        <w:tc>
          <w:tcPr>
            <w:tcW w:w="421" w:type="pct"/>
            <w:vAlign w:val="center"/>
          </w:tcPr>
          <w:p>
            <w:pPr>
              <w:adjustRightInd w:val="0"/>
              <w:snapToGrid w:val="0"/>
              <w:jc w:val="center"/>
              <w:rPr>
                <w:szCs w:val="21"/>
              </w:rPr>
            </w:pPr>
            <w:r>
              <w:rPr>
                <w:szCs w:val="21"/>
              </w:rPr>
              <w:t>60</w:t>
            </w:r>
          </w:p>
        </w:tc>
        <w:tc>
          <w:tcPr>
            <w:tcW w:w="421" w:type="pct"/>
            <w:vAlign w:val="center"/>
          </w:tcPr>
          <w:p>
            <w:pPr>
              <w:adjustRightInd w:val="0"/>
              <w:snapToGrid w:val="0"/>
              <w:jc w:val="center"/>
              <w:rPr>
                <w:sz w:val="22"/>
                <w:szCs w:val="22"/>
              </w:rPr>
            </w:pPr>
            <w:r>
              <w:rPr>
                <w:sz w:val="22"/>
                <w:szCs w:val="22"/>
              </w:rPr>
              <w:t>0.001</w:t>
            </w:r>
          </w:p>
        </w:tc>
        <w:tc>
          <w:tcPr>
            <w:tcW w:w="421" w:type="pct"/>
            <w:vAlign w:val="center"/>
          </w:tcPr>
          <w:p>
            <w:pPr>
              <w:adjustRightInd w:val="0"/>
              <w:snapToGrid w:val="0"/>
              <w:jc w:val="center"/>
              <w:rPr>
                <w:sz w:val="22"/>
                <w:szCs w:val="22"/>
              </w:rPr>
            </w:pPr>
            <w:r>
              <w:rPr>
                <w:sz w:val="22"/>
                <w:szCs w:val="22"/>
              </w:rPr>
              <w:t>0.010</w:t>
            </w:r>
          </w:p>
        </w:tc>
        <w:tc>
          <w:tcPr>
            <w:tcW w:w="421" w:type="pct"/>
            <w:vAlign w:val="center"/>
          </w:tcPr>
          <w:p>
            <w:pPr>
              <w:adjustRightInd w:val="0"/>
              <w:snapToGrid w:val="0"/>
              <w:jc w:val="center"/>
              <w:rPr>
                <w:sz w:val="22"/>
                <w:szCs w:val="22"/>
              </w:rPr>
            </w:pPr>
            <w:r>
              <w:rPr>
                <w:sz w:val="22"/>
                <w:szCs w:val="22"/>
              </w:rPr>
              <w:t>0.024</w:t>
            </w:r>
          </w:p>
        </w:tc>
        <w:tc>
          <w:tcPr>
            <w:tcW w:w="421" w:type="pct"/>
            <w:vAlign w:val="center"/>
          </w:tcPr>
          <w:p>
            <w:pPr>
              <w:adjustRightInd w:val="0"/>
              <w:snapToGrid w:val="0"/>
              <w:jc w:val="center"/>
              <w:rPr>
                <w:sz w:val="22"/>
                <w:szCs w:val="22"/>
              </w:rPr>
            </w:pPr>
            <w:r>
              <w:rPr>
                <w:sz w:val="22"/>
                <w:szCs w:val="22"/>
              </w:rPr>
              <w:t>0.000</w:t>
            </w:r>
          </w:p>
        </w:tc>
        <w:tc>
          <w:tcPr>
            <w:tcW w:w="421" w:type="pct"/>
            <w:vAlign w:val="center"/>
          </w:tcPr>
          <w:p>
            <w:pPr>
              <w:adjustRightInd w:val="0"/>
              <w:snapToGrid w:val="0"/>
              <w:jc w:val="center"/>
              <w:rPr>
                <w:sz w:val="22"/>
                <w:szCs w:val="22"/>
              </w:rPr>
            </w:pPr>
            <w:r>
              <w:rPr>
                <w:sz w:val="22"/>
                <w:szCs w:val="22"/>
              </w:rPr>
              <w:t>0.010</w:t>
            </w:r>
          </w:p>
        </w:tc>
        <w:tc>
          <w:tcPr>
            <w:tcW w:w="419" w:type="pct"/>
            <w:vAlign w:val="center"/>
          </w:tcPr>
          <w:p>
            <w:pPr>
              <w:adjustRightInd w:val="0"/>
              <w:snapToGrid w:val="0"/>
              <w:jc w:val="center"/>
              <w:rPr>
                <w:sz w:val="22"/>
                <w:szCs w:val="22"/>
              </w:rPr>
            </w:pPr>
            <w:r>
              <w:rPr>
                <w:sz w:val="22"/>
                <w:szCs w:val="22"/>
              </w:rPr>
              <w:t>0.100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restart"/>
            <w:vAlign w:val="center"/>
          </w:tcPr>
          <w:p>
            <w:pPr>
              <w:widowControl/>
              <w:adjustRightInd w:val="0"/>
              <w:snapToGrid w:val="0"/>
              <w:ind w:firstLine="6"/>
              <w:jc w:val="center"/>
              <w:rPr>
                <w:kern w:val="0"/>
                <w:szCs w:val="21"/>
              </w:rPr>
            </w:pPr>
            <w:r>
              <w:rPr>
                <w:rFonts w:hint="eastAsia"/>
                <w:kern w:val="0"/>
                <w:szCs w:val="21"/>
              </w:rPr>
              <w:t>D</w:t>
            </w:r>
            <w:r>
              <w:rPr>
                <w:kern w:val="0"/>
                <w:szCs w:val="21"/>
              </w:rPr>
              <w:t>TRO</w:t>
            </w:r>
          </w:p>
        </w:tc>
        <w:tc>
          <w:tcPr>
            <w:tcW w:w="354" w:type="pct"/>
            <w:vAlign w:val="center"/>
          </w:tcPr>
          <w:p>
            <w:pPr>
              <w:widowControl/>
              <w:adjustRightInd w:val="0"/>
              <w:snapToGrid w:val="0"/>
              <w:ind w:firstLine="6"/>
              <w:jc w:val="center"/>
              <w:rPr>
                <w:kern w:val="0"/>
                <w:szCs w:val="21"/>
              </w:rPr>
            </w:pPr>
            <w:r>
              <w:rPr>
                <w:kern w:val="0"/>
                <w:szCs w:val="21"/>
              </w:rPr>
              <w:t>进水</w:t>
            </w:r>
          </w:p>
        </w:tc>
        <w:tc>
          <w:tcPr>
            <w:tcW w:w="421" w:type="pct"/>
            <w:vAlign w:val="center"/>
          </w:tcPr>
          <w:p>
            <w:pPr>
              <w:adjustRightInd w:val="0"/>
              <w:snapToGrid w:val="0"/>
              <w:jc w:val="center"/>
              <w:rPr>
                <w:szCs w:val="21"/>
              </w:rPr>
            </w:pPr>
            <w:r>
              <w:rPr>
                <w:szCs w:val="21"/>
              </w:rPr>
              <w:t>401.2</w:t>
            </w:r>
          </w:p>
        </w:tc>
        <w:tc>
          <w:tcPr>
            <w:tcW w:w="421" w:type="pct"/>
            <w:vAlign w:val="center"/>
          </w:tcPr>
          <w:p>
            <w:pPr>
              <w:adjustRightInd w:val="0"/>
              <w:snapToGrid w:val="0"/>
              <w:jc w:val="center"/>
              <w:rPr>
                <w:szCs w:val="21"/>
              </w:rPr>
            </w:pPr>
            <w:r>
              <w:rPr>
                <w:szCs w:val="21"/>
              </w:rPr>
              <w:t>157.0</w:t>
            </w:r>
          </w:p>
        </w:tc>
        <w:tc>
          <w:tcPr>
            <w:tcW w:w="421" w:type="pct"/>
            <w:vAlign w:val="center"/>
          </w:tcPr>
          <w:p>
            <w:pPr>
              <w:adjustRightInd w:val="0"/>
              <w:snapToGrid w:val="0"/>
              <w:jc w:val="center"/>
              <w:rPr>
                <w:szCs w:val="21"/>
              </w:rPr>
            </w:pPr>
            <w:r>
              <w:rPr>
                <w:szCs w:val="21"/>
              </w:rPr>
              <w:t>21.9</w:t>
            </w:r>
          </w:p>
        </w:tc>
        <w:tc>
          <w:tcPr>
            <w:tcW w:w="421" w:type="pct"/>
            <w:vAlign w:val="center"/>
          </w:tcPr>
          <w:p>
            <w:pPr>
              <w:adjustRightInd w:val="0"/>
              <w:snapToGrid w:val="0"/>
              <w:jc w:val="center"/>
              <w:rPr>
                <w:szCs w:val="21"/>
              </w:rPr>
            </w:pPr>
            <w:r>
              <w:rPr>
                <w:szCs w:val="21"/>
              </w:rPr>
              <w:t>14.6</w:t>
            </w:r>
          </w:p>
        </w:tc>
        <w:tc>
          <w:tcPr>
            <w:tcW w:w="421" w:type="pct"/>
            <w:vAlign w:val="center"/>
          </w:tcPr>
          <w:p>
            <w:pPr>
              <w:adjustRightInd w:val="0"/>
              <w:snapToGrid w:val="0"/>
              <w:jc w:val="center"/>
              <w:rPr>
                <w:szCs w:val="21"/>
              </w:rPr>
            </w:pPr>
            <w:r>
              <w:rPr>
                <w:szCs w:val="21"/>
              </w:rPr>
              <w:t>0.022</w:t>
            </w:r>
          </w:p>
        </w:tc>
        <w:tc>
          <w:tcPr>
            <w:tcW w:w="421" w:type="pct"/>
            <w:vAlign w:val="center"/>
          </w:tcPr>
          <w:p>
            <w:pPr>
              <w:adjustRightInd w:val="0"/>
              <w:snapToGrid w:val="0"/>
              <w:jc w:val="center"/>
              <w:rPr>
                <w:szCs w:val="21"/>
              </w:rPr>
            </w:pPr>
            <w:r>
              <w:rPr>
                <w:szCs w:val="21"/>
              </w:rPr>
              <w:t>0.133</w:t>
            </w:r>
          </w:p>
        </w:tc>
        <w:tc>
          <w:tcPr>
            <w:tcW w:w="421" w:type="pct"/>
            <w:vAlign w:val="center"/>
          </w:tcPr>
          <w:p>
            <w:pPr>
              <w:adjustRightInd w:val="0"/>
              <w:snapToGrid w:val="0"/>
              <w:jc w:val="center"/>
              <w:rPr>
                <w:szCs w:val="21"/>
              </w:rPr>
            </w:pPr>
            <w:r>
              <w:rPr>
                <w:szCs w:val="21"/>
              </w:rPr>
              <w:t>0.444</w:t>
            </w:r>
          </w:p>
        </w:tc>
        <w:tc>
          <w:tcPr>
            <w:tcW w:w="421" w:type="pct"/>
            <w:vAlign w:val="center"/>
          </w:tcPr>
          <w:p>
            <w:pPr>
              <w:adjustRightInd w:val="0"/>
              <w:snapToGrid w:val="0"/>
              <w:jc w:val="center"/>
              <w:rPr>
                <w:szCs w:val="21"/>
              </w:rPr>
            </w:pPr>
            <w:r>
              <w:rPr>
                <w:szCs w:val="21"/>
              </w:rPr>
              <w:t>0.004</w:t>
            </w:r>
          </w:p>
        </w:tc>
        <w:tc>
          <w:tcPr>
            <w:tcW w:w="421" w:type="pct"/>
            <w:vAlign w:val="center"/>
          </w:tcPr>
          <w:p>
            <w:pPr>
              <w:adjustRightInd w:val="0"/>
              <w:snapToGrid w:val="0"/>
              <w:jc w:val="center"/>
              <w:rPr>
                <w:szCs w:val="21"/>
              </w:rPr>
            </w:pPr>
            <w:r>
              <w:rPr>
                <w:szCs w:val="21"/>
              </w:rPr>
              <w:t>0.222</w:t>
            </w:r>
          </w:p>
        </w:tc>
        <w:tc>
          <w:tcPr>
            <w:tcW w:w="419" w:type="pct"/>
            <w:vAlign w:val="center"/>
          </w:tcPr>
          <w:p>
            <w:pPr>
              <w:adjustRightInd w:val="0"/>
              <w:snapToGrid w:val="0"/>
              <w:jc w:val="center"/>
              <w:rPr>
                <w:szCs w:val="21"/>
              </w:rPr>
            </w:pPr>
            <w:r>
              <w:rPr>
                <w:szCs w:val="21"/>
              </w:rPr>
              <w:t>1.333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出水</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80.24</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31.4</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10.95</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0.73</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0.0011</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0.0067</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0.022</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0.00020</w:t>
            </w:r>
          </w:p>
        </w:tc>
        <w:tc>
          <w:tcPr>
            <w:tcW w:w="421"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0.0111</w:t>
            </w:r>
          </w:p>
        </w:tc>
        <w:tc>
          <w:tcPr>
            <w:tcW w:w="419" w:type="pct"/>
            <w:tcBorders>
              <w:top w:val="nil"/>
              <w:left w:val="nil"/>
              <w:bottom w:val="single" w:color="auto" w:sz="8" w:space="0"/>
              <w:right w:val="single" w:color="auto" w:sz="8" w:space="0"/>
            </w:tcBorders>
            <w:shd w:val="clear" w:color="auto" w:fill="auto"/>
            <w:vAlign w:val="center"/>
          </w:tcPr>
          <w:p>
            <w:pPr>
              <w:adjustRightInd w:val="0"/>
              <w:snapToGrid w:val="0"/>
              <w:jc w:val="center"/>
              <w:rPr>
                <w:szCs w:val="21"/>
              </w:rPr>
            </w:pPr>
            <w:r>
              <w:rPr>
                <w:rFonts w:eastAsia="等线"/>
                <w:szCs w:val="21"/>
              </w:rPr>
              <w:t>0.067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vMerge w:val="continue"/>
            <w:vAlign w:val="center"/>
          </w:tcPr>
          <w:p>
            <w:pPr>
              <w:widowControl/>
              <w:adjustRightInd w:val="0"/>
              <w:snapToGrid w:val="0"/>
              <w:ind w:firstLine="6"/>
              <w:jc w:val="center"/>
              <w:rPr>
                <w:kern w:val="0"/>
                <w:szCs w:val="21"/>
              </w:rPr>
            </w:pPr>
          </w:p>
        </w:tc>
        <w:tc>
          <w:tcPr>
            <w:tcW w:w="354" w:type="pct"/>
            <w:vAlign w:val="center"/>
          </w:tcPr>
          <w:p>
            <w:pPr>
              <w:widowControl/>
              <w:adjustRightInd w:val="0"/>
              <w:snapToGrid w:val="0"/>
              <w:ind w:firstLine="6"/>
              <w:jc w:val="center"/>
              <w:rPr>
                <w:kern w:val="0"/>
                <w:szCs w:val="21"/>
              </w:rPr>
            </w:pPr>
            <w:r>
              <w:rPr>
                <w:kern w:val="0"/>
                <w:szCs w:val="21"/>
              </w:rPr>
              <w:t>去除率</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Cs w:val="21"/>
              </w:rPr>
            </w:pPr>
            <w:r>
              <w:rPr>
                <w:szCs w:val="21"/>
              </w:rPr>
              <w:t>80%</w:t>
            </w:r>
          </w:p>
        </w:tc>
        <w:tc>
          <w:tcPr>
            <w:tcW w:w="421" w:type="pct"/>
            <w:vAlign w:val="center"/>
          </w:tcPr>
          <w:p>
            <w:pPr>
              <w:adjustRightInd w:val="0"/>
              <w:snapToGrid w:val="0"/>
              <w:jc w:val="center"/>
              <w:rPr>
                <w:szCs w:val="21"/>
              </w:rPr>
            </w:pPr>
            <w:r>
              <w:rPr>
                <w:szCs w:val="21"/>
              </w:rPr>
              <w:t>50%</w:t>
            </w:r>
          </w:p>
        </w:tc>
        <w:tc>
          <w:tcPr>
            <w:tcW w:w="421" w:type="pct"/>
            <w:vAlign w:val="center"/>
          </w:tcPr>
          <w:p>
            <w:pPr>
              <w:adjustRightInd w:val="0"/>
              <w:snapToGrid w:val="0"/>
              <w:jc w:val="center"/>
              <w:rPr>
                <w:szCs w:val="21"/>
              </w:rPr>
            </w:pPr>
            <w:r>
              <w:rPr>
                <w:szCs w:val="21"/>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21" w:type="pct"/>
            <w:vAlign w:val="center"/>
          </w:tcPr>
          <w:p>
            <w:pPr>
              <w:adjustRightInd w:val="0"/>
              <w:snapToGrid w:val="0"/>
              <w:jc w:val="center"/>
              <w:rPr>
                <w:sz w:val="22"/>
                <w:szCs w:val="22"/>
              </w:rPr>
            </w:pPr>
            <w:r>
              <w:rPr>
                <w:sz w:val="22"/>
                <w:szCs w:val="22"/>
              </w:rPr>
              <w:t>95%</w:t>
            </w:r>
          </w:p>
        </w:tc>
        <w:tc>
          <w:tcPr>
            <w:tcW w:w="419" w:type="pct"/>
            <w:vAlign w:val="center"/>
          </w:tcPr>
          <w:p>
            <w:pPr>
              <w:adjustRightInd w:val="0"/>
              <w:snapToGrid w:val="0"/>
              <w:jc w:val="center"/>
              <w:rPr>
                <w:sz w:val="22"/>
                <w:szCs w:val="22"/>
              </w:rPr>
            </w:pPr>
            <w:r>
              <w:rPr>
                <w:sz w:val="22"/>
                <w:szCs w:val="22"/>
              </w:rPr>
              <w:t>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438" w:type="pct"/>
            <w:tcMar>
              <w:top w:w="0" w:type="dxa"/>
              <w:left w:w="57" w:type="dxa"/>
              <w:bottom w:w="0" w:type="dxa"/>
              <w:right w:w="57" w:type="dxa"/>
            </w:tcMar>
            <w:vAlign w:val="center"/>
          </w:tcPr>
          <w:p>
            <w:pPr>
              <w:widowControl/>
              <w:adjustRightInd w:val="0"/>
              <w:snapToGrid w:val="0"/>
              <w:ind w:firstLine="6"/>
              <w:jc w:val="center"/>
              <w:rPr>
                <w:kern w:val="0"/>
                <w:szCs w:val="21"/>
              </w:rPr>
            </w:pPr>
            <w:r>
              <w:rPr>
                <w:kern w:val="0"/>
                <w:szCs w:val="21"/>
              </w:rPr>
              <w:t>设计出水水质标准</w:t>
            </w:r>
          </w:p>
        </w:tc>
        <w:tc>
          <w:tcPr>
            <w:tcW w:w="354" w:type="pct"/>
            <w:vAlign w:val="center"/>
          </w:tcPr>
          <w:p>
            <w:pPr>
              <w:widowControl/>
              <w:adjustRightInd w:val="0"/>
              <w:snapToGrid w:val="0"/>
              <w:ind w:firstLine="6"/>
              <w:jc w:val="center"/>
              <w:rPr>
                <w:kern w:val="0"/>
                <w:szCs w:val="21"/>
              </w:rPr>
            </w:pPr>
            <w:r>
              <w:rPr>
                <w:kern w:val="0"/>
                <w:szCs w:val="21"/>
              </w:rPr>
              <w:t>总出水</w:t>
            </w:r>
          </w:p>
        </w:tc>
        <w:tc>
          <w:tcPr>
            <w:tcW w:w="421" w:type="pct"/>
            <w:vAlign w:val="center"/>
          </w:tcPr>
          <w:p>
            <w:pPr>
              <w:widowControl/>
              <w:adjustRightInd w:val="0"/>
              <w:snapToGrid w:val="0"/>
              <w:ind w:firstLine="6"/>
              <w:jc w:val="center"/>
              <w:rPr>
                <w:kern w:val="0"/>
                <w:szCs w:val="21"/>
              </w:rPr>
            </w:pPr>
            <w:r>
              <w:rPr>
                <w:kern w:val="0"/>
                <w:szCs w:val="21"/>
              </w:rPr>
              <w:t>≤60</w:t>
            </w:r>
          </w:p>
        </w:tc>
        <w:tc>
          <w:tcPr>
            <w:tcW w:w="421" w:type="pct"/>
            <w:vAlign w:val="center"/>
          </w:tcPr>
          <w:p>
            <w:pPr>
              <w:widowControl/>
              <w:adjustRightInd w:val="0"/>
              <w:snapToGrid w:val="0"/>
              <w:ind w:firstLine="6"/>
              <w:jc w:val="center"/>
              <w:rPr>
                <w:kern w:val="0"/>
                <w:szCs w:val="21"/>
              </w:rPr>
            </w:pPr>
            <w:r>
              <w:rPr>
                <w:kern w:val="0"/>
                <w:szCs w:val="21"/>
              </w:rPr>
              <w:t>≤10</w:t>
            </w:r>
          </w:p>
        </w:tc>
        <w:tc>
          <w:tcPr>
            <w:tcW w:w="421" w:type="pct"/>
            <w:vAlign w:val="center"/>
          </w:tcPr>
          <w:p>
            <w:pPr>
              <w:widowControl/>
              <w:adjustRightInd w:val="0"/>
              <w:snapToGrid w:val="0"/>
              <w:ind w:firstLine="6"/>
              <w:jc w:val="center"/>
              <w:rPr>
                <w:kern w:val="0"/>
                <w:szCs w:val="21"/>
              </w:rPr>
            </w:pPr>
            <w:r>
              <w:rPr>
                <w:kern w:val="0"/>
                <w:szCs w:val="21"/>
              </w:rPr>
              <w:t>≤</w:t>
            </w:r>
            <w:r>
              <w:rPr>
                <w:rFonts w:hint="eastAsia"/>
                <w:kern w:val="0"/>
                <w:szCs w:val="21"/>
              </w:rPr>
              <w:t>1</w:t>
            </w:r>
            <w:r>
              <w:rPr>
                <w:kern w:val="0"/>
                <w:szCs w:val="21"/>
              </w:rPr>
              <w:t>0</w:t>
            </w:r>
          </w:p>
        </w:tc>
        <w:tc>
          <w:tcPr>
            <w:tcW w:w="421" w:type="pct"/>
            <w:vAlign w:val="center"/>
          </w:tcPr>
          <w:p>
            <w:pPr>
              <w:widowControl/>
              <w:adjustRightInd w:val="0"/>
              <w:snapToGrid w:val="0"/>
              <w:ind w:firstLine="6"/>
              <w:jc w:val="center"/>
              <w:rPr>
                <w:kern w:val="0"/>
                <w:szCs w:val="21"/>
              </w:rPr>
            </w:pPr>
            <w:r>
              <w:rPr>
                <w:rFonts w:hint="eastAsia"/>
                <w:kern w:val="0"/>
                <w:szCs w:val="21"/>
              </w:rPr>
              <w:t>/</w:t>
            </w:r>
          </w:p>
        </w:tc>
        <w:tc>
          <w:tcPr>
            <w:tcW w:w="421" w:type="pct"/>
            <w:vAlign w:val="center"/>
          </w:tcPr>
          <w:p>
            <w:pPr>
              <w:adjustRightInd w:val="0"/>
              <w:snapToGrid w:val="0"/>
              <w:jc w:val="center"/>
              <w:rPr>
                <w:sz w:val="22"/>
                <w:szCs w:val="22"/>
              </w:rPr>
            </w:pPr>
            <w:r>
              <w:rPr>
                <w:sz w:val="22"/>
                <w:szCs w:val="22"/>
              </w:rPr>
              <w:t>≤0.05</w:t>
            </w:r>
          </w:p>
        </w:tc>
        <w:tc>
          <w:tcPr>
            <w:tcW w:w="421" w:type="pct"/>
            <w:vAlign w:val="center"/>
          </w:tcPr>
          <w:p>
            <w:pPr>
              <w:adjustRightInd w:val="0"/>
              <w:snapToGrid w:val="0"/>
              <w:jc w:val="center"/>
              <w:rPr>
                <w:sz w:val="22"/>
                <w:szCs w:val="22"/>
              </w:rPr>
            </w:pPr>
            <w:r>
              <w:rPr>
                <w:sz w:val="22"/>
                <w:szCs w:val="22"/>
              </w:rPr>
              <w:t>≤0.1</w:t>
            </w:r>
          </w:p>
        </w:tc>
        <w:tc>
          <w:tcPr>
            <w:tcW w:w="421" w:type="pct"/>
            <w:vAlign w:val="center"/>
          </w:tcPr>
          <w:p>
            <w:pPr>
              <w:adjustRightInd w:val="0"/>
              <w:snapToGrid w:val="0"/>
              <w:jc w:val="center"/>
              <w:rPr>
                <w:sz w:val="22"/>
                <w:szCs w:val="22"/>
              </w:rPr>
            </w:pPr>
            <w:r>
              <w:rPr>
                <w:sz w:val="22"/>
                <w:szCs w:val="22"/>
              </w:rPr>
              <w:t>≤1.5</w:t>
            </w:r>
          </w:p>
        </w:tc>
        <w:tc>
          <w:tcPr>
            <w:tcW w:w="421" w:type="pct"/>
            <w:vAlign w:val="center"/>
          </w:tcPr>
          <w:p>
            <w:pPr>
              <w:adjustRightInd w:val="0"/>
              <w:snapToGrid w:val="0"/>
              <w:jc w:val="center"/>
              <w:rPr>
                <w:sz w:val="22"/>
                <w:szCs w:val="22"/>
              </w:rPr>
            </w:pPr>
            <w:r>
              <w:rPr>
                <w:sz w:val="22"/>
                <w:szCs w:val="22"/>
              </w:rPr>
              <w:t>≤0.5</w:t>
            </w:r>
          </w:p>
        </w:tc>
        <w:tc>
          <w:tcPr>
            <w:tcW w:w="421" w:type="pct"/>
            <w:vAlign w:val="center"/>
          </w:tcPr>
          <w:p>
            <w:pPr>
              <w:adjustRightInd w:val="0"/>
              <w:snapToGrid w:val="0"/>
              <w:jc w:val="center"/>
              <w:rPr>
                <w:sz w:val="22"/>
                <w:szCs w:val="22"/>
              </w:rPr>
            </w:pPr>
            <w:r>
              <w:rPr>
                <w:sz w:val="22"/>
                <w:szCs w:val="22"/>
              </w:rPr>
              <w:t>≤0.5</w:t>
            </w:r>
          </w:p>
        </w:tc>
        <w:tc>
          <w:tcPr>
            <w:tcW w:w="419" w:type="pct"/>
            <w:vAlign w:val="center"/>
          </w:tcPr>
          <w:p>
            <w:pPr>
              <w:adjustRightInd w:val="0"/>
              <w:snapToGrid w:val="0"/>
              <w:jc w:val="center"/>
              <w:rPr>
                <w:sz w:val="22"/>
                <w:szCs w:val="22"/>
              </w:rPr>
            </w:pPr>
            <w:r>
              <w:rPr>
                <w:sz w:val="22"/>
                <w:szCs w:val="22"/>
              </w:rPr>
              <w:t>≤1</w:t>
            </w:r>
          </w:p>
        </w:tc>
      </w:tr>
    </w:tbl>
    <w:p>
      <w:pPr>
        <w:pStyle w:val="20"/>
        <w:adjustRightInd w:val="0"/>
        <w:snapToGrid w:val="0"/>
        <w:spacing w:after="0" w:line="360" w:lineRule="auto"/>
        <w:jc w:val="left"/>
      </w:pPr>
      <w:r>
        <w:rPr>
          <w:rFonts w:hint="eastAsia"/>
          <w:b/>
          <w:sz w:val="24"/>
          <w:szCs w:val="24"/>
        </w:rPr>
        <w:t>注：</w:t>
      </w:r>
      <w:r>
        <w:rPr>
          <w:rFonts w:hint="eastAsia"/>
        </w:rPr>
        <w:t>洗烟废水不进行生化处理，直接进入渗滤液处理站膜处理工段。</w:t>
      </w:r>
    </w:p>
    <w:p>
      <w:pPr>
        <w:pStyle w:val="20"/>
        <w:adjustRightInd w:val="0"/>
        <w:snapToGrid w:val="0"/>
        <w:spacing w:after="0" w:line="360" w:lineRule="auto"/>
        <w:jc w:val="left"/>
      </w:pPr>
    </w:p>
    <w:p>
      <w:pPr>
        <w:pStyle w:val="20"/>
        <w:adjustRightInd w:val="0"/>
        <w:snapToGrid w:val="0"/>
        <w:spacing w:after="0" w:line="360" w:lineRule="auto"/>
        <w:jc w:val="left"/>
        <w:rPr>
          <w:b/>
          <w:sz w:val="24"/>
          <w:szCs w:val="24"/>
        </w:rPr>
      </w:pPr>
    </w:p>
    <w:p>
      <w:pPr>
        <w:pStyle w:val="20"/>
        <w:adjustRightInd w:val="0"/>
        <w:snapToGrid w:val="0"/>
        <w:spacing w:after="0" w:line="360" w:lineRule="auto"/>
        <w:jc w:val="center"/>
        <w:rPr>
          <w:b/>
          <w:sz w:val="24"/>
          <w:szCs w:val="24"/>
        </w:rPr>
        <w:sectPr>
          <w:pgSz w:w="16838" w:h="11906" w:orient="landscape"/>
          <w:pgMar w:top="1797" w:right="1440" w:bottom="1797" w:left="1440" w:header="851" w:footer="992" w:gutter="0"/>
          <w:cols w:space="425" w:num="1"/>
          <w:docGrid w:type="linesAndChars" w:linePitch="312" w:charSpace="0"/>
        </w:sectPr>
      </w:pPr>
    </w:p>
    <w:p>
      <w:pPr>
        <w:keepNext/>
        <w:keepLines/>
        <w:numPr>
          <w:ilvl w:val="1"/>
          <w:numId w:val="5"/>
        </w:numPr>
        <w:tabs>
          <w:tab w:val="left" w:pos="432"/>
          <w:tab w:val="left" w:pos="720"/>
          <w:tab w:val="clear" w:pos="862"/>
        </w:tabs>
        <w:adjustRightInd w:val="0"/>
        <w:snapToGrid w:val="0"/>
        <w:spacing w:before="156" w:beforeLines="50" w:after="156" w:afterLines="50" w:line="360" w:lineRule="auto"/>
        <w:ind w:left="397"/>
        <w:outlineLvl w:val="1"/>
        <w:rPr>
          <w:b/>
          <w:bCs/>
          <w:sz w:val="30"/>
          <w:szCs w:val="30"/>
        </w:rPr>
      </w:pPr>
      <w:bookmarkStart w:id="159" w:name="_Toc94101236"/>
      <w:bookmarkStart w:id="160" w:name="_Toc1171367"/>
      <w:r>
        <w:rPr>
          <w:rFonts w:hint="eastAsia"/>
          <w:b/>
          <w:bCs/>
          <w:sz w:val="30"/>
          <w:szCs w:val="30"/>
        </w:rPr>
        <w:t>营运期</w:t>
      </w:r>
      <w:r>
        <w:rPr>
          <w:b/>
          <w:bCs/>
          <w:sz w:val="30"/>
          <w:szCs w:val="30"/>
        </w:rPr>
        <w:t>地下水污染防治措施</w:t>
      </w:r>
      <w:bookmarkEnd w:id="159"/>
      <w:bookmarkEnd w:id="160"/>
    </w:p>
    <w:p>
      <w:pPr>
        <w:widowControl/>
        <w:spacing w:line="360" w:lineRule="auto"/>
        <w:ind w:firstLine="480" w:firstLineChars="200"/>
        <w:jc w:val="left"/>
        <w:rPr>
          <w:rFonts w:eastAsiaTheme="minorEastAsia"/>
          <w:sz w:val="24"/>
          <w:szCs w:val="24"/>
        </w:rPr>
      </w:pPr>
      <w:r>
        <w:rPr>
          <w:rFonts w:eastAsiaTheme="minorEastAsia"/>
          <w:sz w:val="24"/>
          <w:szCs w:val="24"/>
        </w:rPr>
        <w:t>针对可能发生的地下水污染，本项目运行期地下水污染防治措施将按照“源头控制、分区防治、污染监控、应急响应”相结合的原则，从污染物的产生、入渗、扩散、应急响应全方位进行防控。</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1021"/>
        <w:jc w:val="left"/>
        <w:outlineLvl w:val="2"/>
        <w:rPr>
          <w:b/>
          <w:bCs/>
          <w:snapToGrid w:val="0"/>
          <w:sz w:val="28"/>
          <w:szCs w:val="28"/>
        </w:rPr>
      </w:pPr>
      <w:bookmarkStart w:id="161" w:name="_Toc518025939"/>
      <w:r>
        <w:rPr>
          <w:b/>
          <w:bCs/>
          <w:snapToGrid w:val="0"/>
          <w:sz w:val="28"/>
          <w:szCs w:val="28"/>
        </w:rPr>
        <w:t>源头控制措施</w:t>
      </w:r>
      <w:bookmarkEnd w:id="161"/>
    </w:p>
    <w:p>
      <w:pPr>
        <w:widowControl/>
        <w:spacing w:line="360" w:lineRule="auto"/>
        <w:ind w:firstLine="480" w:firstLineChars="200"/>
        <w:jc w:val="left"/>
        <w:rPr>
          <w:rFonts w:eastAsiaTheme="minorEastAsia"/>
          <w:sz w:val="24"/>
          <w:szCs w:val="24"/>
        </w:rPr>
      </w:pPr>
      <w:r>
        <w:rPr>
          <w:rFonts w:eastAsiaTheme="minorEastAsia"/>
          <w:sz w:val="24"/>
          <w:szCs w:val="24"/>
        </w:rPr>
        <w:t>对工艺、管道、设备、污水储存及处理构筑物等严格检查，有质量问题的及时更换，阀门采用优质产品，防止和降低“跑、冒、滴、漏”。</w:t>
      </w:r>
    </w:p>
    <w:p>
      <w:pPr>
        <w:widowControl/>
        <w:spacing w:line="360" w:lineRule="auto"/>
        <w:ind w:firstLine="480" w:firstLineChars="200"/>
        <w:jc w:val="left"/>
        <w:rPr>
          <w:rFonts w:eastAsiaTheme="minorEastAsia"/>
          <w:sz w:val="24"/>
          <w:szCs w:val="24"/>
        </w:rPr>
      </w:pPr>
      <w:r>
        <w:rPr>
          <w:rFonts w:eastAsiaTheme="minorEastAsia"/>
          <w:sz w:val="24"/>
          <w:szCs w:val="24"/>
        </w:rPr>
        <w:t>渗滤液处理站构筑物应做防腐处理。禁止在厂区内任意设置排污水口，防止流入环境中。</w:t>
      </w:r>
    </w:p>
    <w:p>
      <w:pPr>
        <w:widowControl/>
        <w:spacing w:line="360" w:lineRule="auto"/>
        <w:ind w:firstLine="480" w:firstLineChars="200"/>
        <w:jc w:val="left"/>
        <w:rPr>
          <w:rFonts w:eastAsiaTheme="minorEastAsia"/>
          <w:sz w:val="24"/>
          <w:szCs w:val="24"/>
        </w:rPr>
      </w:pPr>
      <w:r>
        <w:rPr>
          <w:rFonts w:eastAsiaTheme="minorEastAsia"/>
          <w:sz w:val="24"/>
          <w:szCs w:val="24"/>
        </w:rPr>
        <w:t>对工艺要求必须地下走管的管道、阀门设专用防渗管沟，管沟上设活动观察顶盖，出现泄漏后及时关闭泄漏点两端阀门，管沟与污水集水井相连，并设计合理的排水坡度，便于废水排至集水井，然后统一排入污水处理站。</w:t>
      </w:r>
    </w:p>
    <w:p>
      <w:pPr>
        <w:widowControl/>
        <w:spacing w:line="360" w:lineRule="auto"/>
        <w:ind w:firstLine="480" w:firstLineChars="200"/>
        <w:jc w:val="left"/>
        <w:rPr>
          <w:rFonts w:eastAsiaTheme="minorEastAsia"/>
          <w:sz w:val="24"/>
          <w:szCs w:val="24"/>
        </w:rPr>
      </w:pPr>
      <w:r>
        <w:rPr>
          <w:rFonts w:eastAsiaTheme="minorEastAsia"/>
          <w:sz w:val="24"/>
          <w:szCs w:val="24"/>
        </w:rPr>
        <w:t>为防止突发事故污染物外泄，造成对环境的污染，厂区设置有专门的事故水池及安全事故报警系统，一旦有事故发生，生产废水直接流入事故水池，待渗滤液处理站运行正常后，事故废水分批次泵入处理站。</w:t>
      </w:r>
    </w:p>
    <w:p>
      <w:pPr>
        <w:widowControl/>
        <w:spacing w:line="360" w:lineRule="auto"/>
        <w:ind w:firstLine="480" w:firstLineChars="200"/>
        <w:jc w:val="left"/>
        <w:rPr>
          <w:rFonts w:eastAsiaTheme="minorEastAsia"/>
          <w:sz w:val="24"/>
          <w:szCs w:val="24"/>
        </w:rPr>
      </w:pPr>
      <w:r>
        <w:rPr>
          <w:rFonts w:eastAsiaTheme="minorEastAsia"/>
          <w:sz w:val="24"/>
          <w:szCs w:val="24"/>
        </w:rPr>
        <w:t>进行质量体系认证，实现“质量、安全、环境”三位一体的全面质量管理目标。设立地下水动态监测小组，负责对地下水环境监测和管理，或者委托专业的机构完成。建立有关规章制度和岗位责任制。制定风险预警方案，设立应急设施减少环境污染影响。</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1021"/>
        <w:jc w:val="left"/>
        <w:outlineLvl w:val="2"/>
        <w:rPr>
          <w:b/>
          <w:bCs/>
          <w:snapToGrid w:val="0"/>
          <w:sz w:val="28"/>
          <w:szCs w:val="28"/>
        </w:rPr>
      </w:pPr>
      <w:bookmarkStart w:id="162" w:name="_Toc518025940"/>
      <w:r>
        <w:rPr>
          <w:b/>
          <w:bCs/>
          <w:snapToGrid w:val="0"/>
          <w:sz w:val="28"/>
          <w:szCs w:val="28"/>
        </w:rPr>
        <w:t>分区防治措施</w:t>
      </w:r>
      <w:bookmarkEnd w:id="162"/>
    </w:p>
    <w:p>
      <w:pPr>
        <w:widowControl/>
        <w:adjustRightInd w:val="0"/>
        <w:snapToGrid w:val="0"/>
        <w:spacing w:line="360" w:lineRule="auto"/>
        <w:ind w:firstLine="480" w:firstLineChars="200"/>
        <w:jc w:val="left"/>
        <w:rPr>
          <w:rFonts w:eastAsiaTheme="minorEastAsia"/>
          <w:sz w:val="24"/>
          <w:szCs w:val="24"/>
        </w:rPr>
      </w:pPr>
      <w:r>
        <w:rPr>
          <w:rFonts w:eastAsiaTheme="minorEastAsia"/>
          <w:sz w:val="24"/>
          <w:szCs w:val="24"/>
        </w:rPr>
        <w:t>防止地下水污染的被动控制措施即为地面防渗工程，包括两方面内容，一是全场污染区参照抗渗标准要求采取防渗措施，以阻止泄漏到地面的污染物进入地下水中，二是全场污染区防渗区域内设置渗漏污染物收集系统，将滞留在地面的污染物收集起来，集中处理。</w:t>
      </w:r>
    </w:p>
    <w:p>
      <w:pPr>
        <w:widowControl/>
        <w:adjustRightInd w:val="0"/>
        <w:snapToGrid w:val="0"/>
        <w:spacing w:line="360" w:lineRule="auto"/>
        <w:ind w:firstLine="480" w:firstLineChars="200"/>
        <w:jc w:val="left"/>
        <w:rPr>
          <w:rFonts w:eastAsiaTheme="minorEastAsia"/>
          <w:sz w:val="24"/>
          <w:szCs w:val="24"/>
        </w:rPr>
      </w:pPr>
      <w:r>
        <w:rPr>
          <w:rFonts w:hint="eastAsia" w:eastAsiaTheme="minorEastAsia"/>
          <w:sz w:val="24"/>
          <w:szCs w:val="24"/>
        </w:rPr>
        <w:t>本项目为固化飞灰填埋场，填埋区及渗滤液调节池防渗要求参照《生活垃圾填埋场污染控制标准》（</w:t>
      </w:r>
      <w:r>
        <w:rPr>
          <w:rFonts w:eastAsiaTheme="minorEastAsia"/>
          <w:sz w:val="24"/>
          <w:szCs w:val="24"/>
        </w:rPr>
        <w:t>GB16889-2008</w:t>
      </w:r>
      <w:r>
        <w:rPr>
          <w:rFonts w:hint="eastAsia" w:eastAsiaTheme="minorEastAsia"/>
          <w:sz w:val="24"/>
          <w:szCs w:val="24"/>
        </w:rPr>
        <w:t>）执行，本项目填埋场选择双层人工合成材料防渗衬层作为填埋区和渗滤液调节池的防渗衬层，具体见表6</w:t>
      </w:r>
      <w:r>
        <w:rPr>
          <w:rFonts w:eastAsiaTheme="minorEastAsia"/>
          <w:sz w:val="24"/>
          <w:szCs w:val="24"/>
        </w:rPr>
        <w:t>.4-1</w:t>
      </w:r>
      <w:r>
        <w:rPr>
          <w:rFonts w:hint="eastAsia" w:eastAsiaTheme="minorEastAsia"/>
          <w:sz w:val="24"/>
          <w:szCs w:val="24"/>
        </w:rPr>
        <w:t>。</w:t>
      </w:r>
    </w:p>
    <w:p>
      <w:pPr>
        <w:widowControl/>
        <w:spacing w:line="360" w:lineRule="auto"/>
        <w:jc w:val="center"/>
        <w:rPr>
          <w:rFonts w:eastAsiaTheme="minorEastAsia"/>
          <w:b/>
          <w:bCs/>
          <w:sz w:val="24"/>
          <w:szCs w:val="24"/>
        </w:rPr>
      </w:pPr>
      <w:r>
        <w:rPr>
          <w:rFonts w:hint="eastAsia" w:eastAsiaTheme="minorEastAsia"/>
          <w:b/>
          <w:bCs/>
          <w:sz w:val="24"/>
          <w:szCs w:val="24"/>
        </w:rPr>
        <w:t>表</w:t>
      </w:r>
      <w:r>
        <w:rPr>
          <w:rFonts w:eastAsiaTheme="minorEastAsia"/>
          <w:b/>
          <w:bCs/>
          <w:sz w:val="24"/>
          <w:szCs w:val="24"/>
        </w:rPr>
        <w:t xml:space="preserve">6.4-1 </w:t>
      </w:r>
      <w:r>
        <w:rPr>
          <w:rFonts w:hint="eastAsia" w:eastAsiaTheme="minorEastAsia"/>
          <w:b/>
          <w:bCs/>
          <w:sz w:val="24"/>
          <w:szCs w:val="24"/>
        </w:rPr>
        <w:t>地下水污染防渗要求一览表</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879"/>
        <w:gridCol w:w="831"/>
        <w:gridCol w:w="663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24" w:hRule="exact"/>
        </w:trPr>
        <w:tc>
          <w:tcPr>
            <w:tcW w:w="0" w:type="auto"/>
            <w:vAlign w:val="center"/>
          </w:tcPr>
          <w:p>
            <w:pPr>
              <w:kinsoku w:val="0"/>
              <w:overflowPunct w:val="0"/>
              <w:autoSpaceDE w:val="0"/>
              <w:autoSpaceDN w:val="0"/>
              <w:adjustRightInd w:val="0"/>
              <w:snapToGrid w:val="0"/>
              <w:jc w:val="left"/>
              <w:rPr>
                <w:rFonts w:eastAsiaTheme="minorEastAsia"/>
                <w:kern w:val="0"/>
                <w:szCs w:val="21"/>
              </w:rPr>
            </w:pPr>
            <w:r>
              <w:rPr>
                <w:rFonts w:eastAsiaTheme="minorEastAsia"/>
                <w:spacing w:val="-1"/>
                <w:kern w:val="0"/>
                <w:szCs w:val="21"/>
              </w:rPr>
              <w:t>防渗区域</w:t>
            </w:r>
          </w:p>
        </w:tc>
        <w:tc>
          <w:tcPr>
            <w:tcW w:w="0" w:type="auto"/>
            <w:vAlign w:val="center"/>
          </w:tcPr>
          <w:p>
            <w:pPr>
              <w:kinsoku w:val="0"/>
              <w:overflowPunct w:val="0"/>
              <w:autoSpaceDE w:val="0"/>
              <w:autoSpaceDN w:val="0"/>
              <w:adjustRightInd w:val="0"/>
              <w:snapToGrid w:val="0"/>
              <w:jc w:val="left"/>
              <w:rPr>
                <w:rFonts w:eastAsiaTheme="minorEastAsia"/>
                <w:kern w:val="0"/>
                <w:szCs w:val="21"/>
              </w:rPr>
            </w:pPr>
            <w:r>
              <w:rPr>
                <w:rFonts w:eastAsiaTheme="minorEastAsia"/>
                <w:spacing w:val="-1"/>
                <w:kern w:val="0"/>
                <w:szCs w:val="21"/>
              </w:rPr>
              <w:t>防渗类型</w:t>
            </w:r>
          </w:p>
        </w:tc>
        <w:tc>
          <w:tcPr>
            <w:tcW w:w="0" w:type="auto"/>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防渗技术要求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37" w:hRule="atLeast"/>
        </w:trPr>
        <w:tc>
          <w:tcPr>
            <w:tcW w:w="0" w:type="auto"/>
            <w:vAlign w:val="center"/>
          </w:tcPr>
          <w:p>
            <w:pPr>
              <w:kinsoku w:val="0"/>
              <w:overflowPunct w:val="0"/>
              <w:autoSpaceDE w:val="0"/>
              <w:autoSpaceDN w:val="0"/>
              <w:adjustRightInd w:val="0"/>
              <w:snapToGrid w:val="0"/>
              <w:jc w:val="left"/>
              <w:rPr>
                <w:rFonts w:eastAsiaTheme="minorEastAsia"/>
                <w:kern w:val="0"/>
                <w:szCs w:val="21"/>
              </w:rPr>
            </w:pPr>
            <w:r>
              <w:rPr>
                <w:rFonts w:eastAsiaTheme="minorEastAsia"/>
                <w:spacing w:val="-1"/>
                <w:kern w:val="0"/>
                <w:szCs w:val="21"/>
              </w:rPr>
              <w:t>填埋区、渗滤液调</w:t>
            </w:r>
            <w:r>
              <w:rPr>
                <w:rFonts w:eastAsiaTheme="minorEastAsia"/>
                <w:kern w:val="0"/>
                <w:szCs w:val="21"/>
              </w:rPr>
              <w:t>节池</w:t>
            </w:r>
          </w:p>
        </w:tc>
        <w:tc>
          <w:tcPr>
            <w:tcW w:w="0" w:type="auto"/>
            <w:vAlign w:val="center"/>
          </w:tcPr>
          <w:p>
            <w:pPr>
              <w:kinsoku w:val="0"/>
              <w:overflowPunct w:val="0"/>
              <w:autoSpaceDE w:val="0"/>
              <w:autoSpaceDN w:val="0"/>
              <w:adjustRightInd w:val="0"/>
              <w:snapToGrid w:val="0"/>
              <w:jc w:val="left"/>
              <w:rPr>
                <w:rFonts w:eastAsiaTheme="minorEastAsia"/>
                <w:kern w:val="0"/>
                <w:szCs w:val="21"/>
              </w:rPr>
            </w:pPr>
            <w:r>
              <w:rPr>
                <w:rFonts w:eastAsiaTheme="minorEastAsia"/>
                <w:spacing w:val="-1"/>
                <w:kern w:val="0"/>
                <w:szCs w:val="21"/>
              </w:rPr>
              <w:t>双层人工合成材料防渗</w:t>
            </w:r>
            <w:r>
              <w:rPr>
                <w:rFonts w:eastAsiaTheme="minorEastAsia"/>
                <w:kern w:val="0"/>
                <w:szCs w:val="21"/>
              </w:rPr>
              <w:t>衬层</w:t>
            </w:r>
          </w:p>
        </w:tc>
        <w:tc>
          <w:tcPr>
            <w:tcW w:w="0" w:type="auto"/>
            <w:vAlign w:val="center"/>
          </w:tcPr>
          <w:p>
            <w:pPr>
              <w:kinsoku w:val="0"/>
              <w:overflowPunct w:val="0"/>
              <w:autoSpaceDE w:val="0"/>
              <w:autoSpaceDN w:val="0"/>
              <w:adjustRightInd w:val="0"/>
              <w:snapToGrid w:val="0"/>
              <w:jc w:val="left"/>
              <w:rPr>
                <w:rFonts w:eastAsiaTheme="minorEastAsia"/>
                <w:kern w:val="0"/>
                <w:szCs w:val="21"/>
              </w:rPr>
            </w:pPr>
            <w:r>
              <w:rPr>
                <w:rFonts w:eastAsiaTheme="minorEastAsia"/>
                <w:kern w:val="0"/>
                <w:szCs w:val="21"/>
              </w:rPr>
              <w:t>（</w:t>
            </w:r>
            <w:r>
              <w:rPr>
                <w:rFonts w:eastAsiaTheme="minorEastAsia"/>
                <w:spacing w:val="-3"/>
                <w:kern w:val="0"/>
                <w:szCs w:val="21"/>
              </w:rPr>
              <w:t>1</w:t>
            </w:r>
            <w:r>
              <w:rPr>
                <w:rFonts w:eastAsiaTheme="minorEastAsia"/>
                <w:spacing w:val="-27"/>
                <w:kern w:val="0"/>
                <w:szCs w:val="21"/>
              </w:rPr>
              <w:t>）</w:t>
            </w:r>
            <w:r>
              <w:rPr>
                <w:rFonts w:eastAsiaTheme="minorEastAsia"/>
                <w:spacing w:val="-3"/>
                <w:kern w:val="0"/>
                <w:szCs w:val="21"/>
              </w:rPr>
              <w:t>人</w:t>
            </w:r>
            <w:r>
              <w:rPr>
                <w:rFonts w:eastAsiaTheme="minorEastAsia"/>
                <w:kern w:val="0"/>
                <w:szCs w:val="21"/>
              </w:rPr>
              <w:t>工</w:t>
            </w:r>
            <w:r>
              <w:rPr>
                <w:rFonts w:eastAsiaTheme="minorEastAsia"/>
                <w:spacing w:val="-3"/>
                <w:kern w:val="0"/>
                <w:szCs w:val="21"/>
              </w:rPr>
              <w:t>合</w:t>
            </w:r>
            <w:r>
              <w:rPr>
                <w:rFonts w:eastAsiaTheme="minorEastAsia"/>
                <w:kern w:val="0"/>
                <w:szCs w:val="21"/>
              </w:rPr>
              <w:t>成</w:t>
            </w:r>
            <w:r>
              <w:rPr>
                <w:rFonts w:eastAsiaTheme="minorEastAsia"/>
                <w:spacing w:val="-3"/>
                <w:kern w:val="0"/>
                <w:szCs w:val="21"/>
              </w:rPr>
              <w:t>材</w:t>
            </w:r>
            <w:r>
              <w:rPr>
                <w:rFonts w:eastAsiaTheme="minorEastAsia"/>
                <w:kern w:val="0"/>
                <w:szCs w:val="21"/>
              </w:rPr>
              <w:t>料</w:t>
            </w:r>
            <w:r>
              <w:rPr>
                <w:rFonts w:eastAsiaTheme="minorEastAsia"/>
                <w:spacing w:val="-3"/>
                <w:kern w:val="0"/>
                <w:szCs w:val="21"/>
              </w:rPr>
              <w:t>防</w:t>
            </w:r>
            <w:r>
              <w:rPr>
                <w:rFonts w:eastAsiaTheme="minorEastAsia"/>
                <w:kern w:val="0"/>
                <w:szCs w:val="21"/>
              </w:rPr>
              <w:t>渗</w:t>
            </w:r>
            <w:r>
              <w:rPr>
                <w:rFonts w:eastAsiaTheme="minorEastAsia"/>
                <w:spacing w:val="-3"/>
                <w:kern w:val="0"/>
                <w:szCs w:val="21"/>
              </w:rPr>
              <w:t>衬</w:t>
            </w:r>
            <w:r>
              <w:rPr>
                <w:rFonts w:eastAsiaTheme="minorEastAsia"/>
                <w:kern w:val="0"/>
                <w:szCs w:val="21"/>
              </w:rPr>
              <w:t>层应</w:t>
            </w:r>
            <w:r>
              <w:rPr>
                <w:rFonts w:eastAsiaTheme="minorEastAsia"/>
                <w:spacing w:val="-3"/>
                <w:kern w:val="0"/>
                <w:szCs w:val="21"/>
              </w:rPr>
              <w:t>采</w:t>
            </w:r>
            <w:r>
              <w:rPr>
                <w:rFonts w:eastAsiaTheme="minorEastAsia"/>
                <w:kern w:val="0"/>
                <w:szCs w:val="21"/>
              </w:rPr>
              <w:t>用</w:t>
            </w:r>
            <w:r>
              <w:rPr>
                <w:rFonts w:eastAsiaTheme="minorEastAsia"/>
                <w:spacing w:val="-3"/>
                <w:kern w:val="0"/>
                <w:szCs w:val="21"/>
              </w:rPr>
              <w:t>满</w:t>
            </w:r>
            <w:r>
              <w:rPr>
                <w:rFonts w:eastAsiaTheme="minorEastAsia"/>
                <w:spacing w:val="-29"/>
                <w:kern w:val="0"/>
                <w:szCs w:val="21"/>
              </w:rPr>
              <w:t>足</w:t>
            </w:r>
            <w:r>
              <w:rPr>
                <w:rFonts w:eastAsiaTheme="minorEastAsia"/>
                <w:kern w:val="0"/>
                <w:szCs w:val="21"/>
              </w:rPr>
              <w:t>《</w:t>
            </w:r>
            <w:r>
              <w:rPr>
                <w:rFonts w:eastAsiaTheme="minorEastAsia"/>
                <w:spacing w:val="-3"/>
                <w:kern w:val="0"/>
                <w:szCs w:val="21"/>
              </w:rPr>
              <w:t>垃</w:t>
            </w:r>
            <w:r>
              <w:rPr>
                <w:rFonts w:eastAsiaTheme="minorEastAsia"/>
                <w:kern w:val="0"/>
                <w:szCs w:val="21"/>
              </w:rPr>
              <w:t>圾</w:t>
            </w:r>
            <w:r>
              <w:rPr>
                <w:rFonts w:eastAsiaTheme="minorEastAsia"/>
                <w:spacing w:val="-3"/>
                <w:kern w:val="0"/>
                <w:szCs w:val="21"/>
              </w:rPr>
              <w:t>填埋</w:t>
            </w:r>
            <w:r>
              <w:rPr>
                <w:rFonts w:eastAsiaTheme="minorEastAsia"/>
                <w:kern w:val="0"/>
                <w:szCs w:val="21"/>
              </w:rPr>
              <w:t>场用</w:t>
            </w:r>
            <w:r>
              <w:rPr>
                <w:rFonts w:eastAsiaTheme="minorEastAsia"/>
                <w:spacing w:val="-3"/>
                <w:kern w:val="0"/>
                <w:szCs w:val="21"/>
              </w:rPr>
              <w:t>高</w:t>
            </w:r>
            <w:r>
              <w:rPr>
                <w:rFonts w:eastAsiaTheme="minorEastAsia"/>
                <w:kern w:val="0"/>
                <w:szCs w:val="21"/>
              </w:rPr>
              <w:t>密</w:t>
            </w:r>
            <w:r>
              <w:rPr>
                <w:rFonts w:eastAsiaTheme="minorEastAsia"/>
                <w:spacing w:val="-3"/>
                <w:kern w:val="0"/>
                <w:szCs w:val="21"/>
              </w:rPr>
              <w:t>度</w:t>
            </w:r>
            <w:r>
              <w:rPr>
                <w:rFonts w:eastAsiaTheme="minorEastAsia"/>
                <w:kern w:val="0"/>
                <w:szCs w:val="21"/>
              </w:rPr>
              <w:t>聚</w:t>
            </w:r>
            <w:r>
              <w:rPr>
                <w:rFonts w:eastAsiaTheme="minorEastAsia"/>
                <w:spacing w:val="-2"/>
                <w:kern w:val="0"/>
                <w:szCs w:val="21"/>
              </w:rPr>
              <w:t>乙烯土工膜》（CJ/T234-2006）要求的高密度聚乙烯或者其他具有同等效力的人工合成材料；</w:t>
            </w:r>
          </w:p>
          <w:p>
            <w:pPr>
              <w:kinsoku w:val="0"/>
              <w:overflowPunct w:val="0"/>
              <w:autoSpaceDE w:val="0"/>
              <w:autoSpaceDN w:val="0"/>
              <w:adjustRightInd w:val="0"/>
              <w:snapToGrid w:val="0"/>
              <w:jc w:val="left"/>
              <w:rPr>
                <w:rFonts w:eastAsiaTheme="minorEastAsia"/>
                <w:kern w:val="0"/>
                <w:szCs w:val="21"/>
              </w:rPr>
            </w:pPr>
            <w:r>
              <w:rPr>
                <w:rFonts w:eastAsiaTheme="minorEastAsia"/>
                <w:spacing w:val="-2"/>
                <w:kern w:val="0"/>
                <w:szCs w:val="21"/>
              </w:rPr>
              <w:t>（2）下层人工合成材料防渗衬层下应具有厚度不小于</w:t>
            </w:r>
            <w:r>
              <w:rPr>
                <w:rFonts w:eastAsiaTheme="minorEastAsia"/>
                <w:spacing w:val="-52"/>
                <w:kern w:val="0"/>
                <w:szCs w:val="21"/>
              </w:rPr>
              <w:t xml:space="preserve"> </w:t>
            </w:r>
            <w:r>
              <w:rPr>
                <w:rFonts w:eastAsiaTheme="minorEastAsia"/>
                <w:spacing w:val="-2"/>
                <w:kern w:val="0"/>
                <w:szCs w:val="21"/>
              </w:rPr>
              <w:t>0.75m，且其被压实后的饱和渗透系数小于</w:t>
            </w:r>
            <w:r>
              <w:rPr>
                <w:rFonts w:eastAsiaTheme="minorEastAsia"/>
                <w:spacing w:val="-54"/>
                <w:kern w:val="0"/>
                <w:szCs w:val="21"/>
              </w:rPr>
              <w:t xml:space="preserve"> </w:t>
            </w:r>
            <w:r>
              <w:rPr>
                <w:rFonts w:eastAsiaTheme="minorEastAsia"/>
                <w:spacing w:val="-1"/>
                <w:kern w:val="0"/>
                <w:szCs w:val="21"/>
              </w:rPr>
              <w:t>1.0×10</w:t>
            </w:r>
            <w:r>
              <w:rPr>
                <w:rFonts w:eastAsiaTheme="minorEastAsia"/>
                <w:spacing w:val="-1"/>
                <w:kern w:val="0"/>
                <w:szCs w:val="21"/>
                <w:vertAlign w:val="superscript"/>
              </w:rPr>
              <w:t>-7</w:t>
            </w:r>
            <w:r>
              <w:rPr>
                <w:rFonts w:eastAsiaTheme="minorEastAsia"/>
                <w:spacing w:val="-1"/>
                <w:kern w:val="0"/>
                <w:szCs w:val="21"/>
              </w:rPr>
              <w:t>cm/s</w:t>
            </w:r>
            <w:r>
              <w:rPr>
                <w:rFonts w:eastAsiaTheme="minorEastAsia"/>
                <w:spacing w:val="-2"/>
                <w:kern w:val="0"/>
                <w:szCs w:val="21"/>
              </w:rPr>
              <w:t xml:space="preserve"> 的天然黏土衬层，或具有同等以上隔水效力的其他材料衬层；两层人工合成材料衬层之间应布设导水层及渗漏检测层。</w:t>
            </w:r>
          </w:p>
        </w:tc>
      </w:tr>
    </w:tbl>
    <w:p>
      <w:pPr>
        <w:widowControl/>
        <w:spacing w:line="360" w:lineRule="auto"/>
        <w:ind w:firstLine="480" w:firstLineChars="200"/>
        <w:jc w:val="left"/>
        <w:rPr>
          <w:rFonts w:eastAsiaTheme="minorEastAsia"/>
          <w:sz w:val="24"/>
          <w:szCs w:val="24"/>
        </w:rPr>
      </w:pPr>
      <w:r>
        <w:rPr>
          <w:rFonts w:hint="eastAsia" w:eastAsiaTheme="minorEastAsia"/>
          <w:sz w:val="24"/>
          <w:szCs w:val="24"/>
        </w:rPr>
        <w:t>根据《环境影响评价技术导则</w:t>
      </w:r>
      <w:r>
        <w:rPr>
          <w:rFonts w:eastAsiaTheme="minorEastAsia"/>
          <w:sz w:val="24"/>
          <w:szCs w:val="24"/>
        </w:rPr>
        <w:t xml:space="preserve"> </w:t>
      </w:r>
      <w:r>
        <w:rPr>
          <w:rFonts w:hint="eastAsia" w:eastAsiaTheme="minorEastAsia"/>
          <w:sz w:val="24"/>
          <w:szCs w:val="24"/>
        </w:rPr>
        <w:t>地下水环境》（</w:t>
      </w:r>
      <w:r>
        <w:rPr>
          <w:rFonts w:eastAsiaTheme="minorEastAsia"/>
          <w:sz w:val="24"/>
          <w:szCs w:val="24"/>
        </w:rPr>
        <w:t>HJ610-2016</w:t>
      </w:r>
      <w:r>
        <w:rPr>
          <w:rFonts w:hint="eastAsia" w:eastAsiaTheme="minorEastAsia"/>
          <w:sz w:val="24"/>
          <w:szCs w:val="24"/>
        </w:rPr>
        <w:t>），地下水污染防渗分区划分为重点防渗区、一般防渗区、简单防渗区，各防渗分区的划分依据以及防渗技术要求见表</w:t>
      </w:r>
      <w:r>
        <w:rPr>
          <w:rFonts w:eastAsiaTheme="minorEastAsia"/>
          <w:sz w:val="24"/>
          <w:szCs w:val="24"/>
        </w:rPr>
        <w:t>6.4-2</w:t>
      </w:r>
      <w:r>
        <w:rPr>
          <w:rFonts w:hint="eastAsia" w:eastAsiaTheme="minorEastAsia"/>
          <w:sz w:val="24"/>
          <w:szCs w:val="24"/>
        </w:rPr>
        <w:t>。本项目污染防治分区划分及措施见表</w:t>
      </w:r>
      <w:r>
        <w:rPr>
          <w:rFonts w:eastAsiaTheme="minorEastAsia"/>
          <w:sz w:val="24"/>
          <w:szCs w:val="24"/>
        </w:rPr>
        <w:t>6.4-3</w:t>
      </w:r>
      <w:r>
        <w:rPr>
          <w:rFonts w:hint="eastAsia" w:eastAsiaTheme="minorEastAsia"/>
          <w:sz w:val="24"/>
          <w:szCs w:val="24"/>
        </w:rPr>
        <w:t>，地下水污染分区防渗图见图</w:t>
      </w:r>
      <w:r>
        <w:rPr>
          <w:rFonts w:eastAsiaTheme="minorEastAsia"/>
          <w:sz w:val="24"/>
          <w:szCs w:val="24"/>
        </w:rPr>
        <w:t>6.4-1</w:t>
      </w:r>
      <w:r>
        <w:rPr>
          <w:rFonts w:hint="eastAsia" w:eastAsiaTheme="minorEastAsia"/>
          <w:sz w:val="24"/>
          <w:szCs w:val="24"/>
        </w:rPr>
        <w:t>。</w:t>
      </w:r>
    </w:p>
    <w:p>
      <w:pPr>
        <w:widowControl/>
        <w:spacing w:line="360" w:lineRule="auto"/>
        <w:jc w:val="center"/>
        <w:rPr>
          <w:rFonts w:eastAsiaTheme="minorEastAsia"/>
          <w:sz w:val="24"/>
          <w:szCs w:val="24"/>
        </w:rPr>
      </w:pPr>
      <w:r>
        <w:rPr>
          <w:rFonts w:eastAsiaTheme="minorEastAsia"/>
          <w:b/>
          <w:sz w:val="24"/>
          <w:szCs w:val="24"/>
        </w:rPr>
        <w:t>表</w:t>
      </w:r>
      <w:r>
        <w:rPr>
          <w:rFonts w:hint="eastAsia" w:eastAsiaTheme="minorEastAsia"/>
          <w:b/>
          <w:sz w:val="24"/>
          <w:szCs w:val="24"/>
        </w:rPr>
        <w:t>6</w:t>
      </w:r>
      <w:r>
        <w:rPr>
          <w:rFonts w:eastAsiaTheme="minorEastAsia"/>
          <w:b/>
          <w:sz w:val="24"/>
          <w:szCs w:val="24"/>
        </w:rPr>
        <w:t>.4-2  本项目污染区划分及防渗等级一览表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235"/>
        <w:gridCol w:w="1673"/>
        <w:gridCol w:w="1927"/>
        <w:gridCol w:w="350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Align w:val="center"/>
          </w:tcPr>
          <w:p>
            <w:pPr>
              <w:jc w:val="center"/>
            </w:pPr>
            <w:r>
              <w:t>防治区分区</w:t>
            </w:r>
          </w:p>
        </w:tc>
        <w:tc>
          <w:tcPr>
            <w:tcW w:w="1003" w:type="pct"/>
            <w:vAlign w:val="center"/>
          </w:tcPr>
          <w:p>
            <w:pPr>
              <w:jc w:val="center"/>
            </w:pPr>
            <w:r>
              <w:t>装置及设施名称</w:t>
            </w:r>
          </w:p>
        </w:tc>
        <w:tc>
          <w:tcPr>
            <w:tcW w:w="1155" w:type="pct"/>
            <w:vAlign w:val="center"/>
          </w:tcPr>
          <w:p>
            <w:pPr>
              <w:jc w:val="center"/>
            </w:pPr>
            <w:r>
              <w:t>防渗区域</w:t>
            </w:r>
          </w:p>
        </w:tc>
        <w:tc>
          <w:tcPr>
            <w:tcW w:w="2102" w:type="pct"/>
            <w:vAlign w:val="center"/>
          </w:tcPr>
          <w:p>
            <w:pPr>
              <w:jc w:val="center"/>
            </w:pPr>
            <w:r>
              <w:t>防渗技术要求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restart"/>
            <w:vAlign w:val="center"/>
          </w:tcPr>
          <w:p>
            <w:pPr>
              <w:jc w:val="center"/>
            </w:pPr>
            <w:r>
              <w:t>重点</w:t>
            </w:r>
            <w:r>
              <w:rPr>
                <w:rFonts w:hint="eastAsia"/>
              </w:rPr>
              <w:t>防渗区</w:t>
            </w:r>
          </w:p>
        </w:tc>
        <w:tc>
          <w:tcPr>
            <w:tcW w:w="1003" w:type="pct"/>
            <w:vAlign w:val="center"/>
          </w:tcPr>
          <w:p>
            <w:pPr>
              <w:jc w:val="center"/>
            </w:pPr>
            <w:r>
              <w:rPr>
                <w:rFonts w:hint="eastAsia"/>
              </w:rPr>
              <w:t>填埋库区</w:t>
            </w:r>
          </w:p>
        </w:tc>
        <w:tc>
          <w:tcPr>
            <w:tcW w:w="1155" w:type="pct"/>
            <w:vAlign w:val="center"/>
          </w:tcPr>
          <w:p>
            <w:pPr>
              <w:jc w:val="center"/>
            </w:pPr>
            <w:r>
              <w:rPr>
                <w:rFonts w:hint="eastAsia"/>
              </w:rPr>
              <w:t>库底及边坡</w:t>
            </w:r>
          </w:p>
        </w:tc>
        <w:tc>
          <w:tcPr>
            <w:tcW w:w="2102" w:type="pct"/>
            <w:vAlign w:val="center"/>
          </w:tcPr>
          <w:p>
            <w:pPr>
              <w:jc w:val="center"/>
            </w:pPr>
            <w:r>
              <w:t>（1）人工合成材料防渗衬层应采用满足《垃圾填埋场用高密度聚乙烯土工膜》（CJ/T234-2006）要求的高密度聚乙烯或者其他具有同等效力的人工合成材料；</w:t>
            </w:r>
          </w:p>
          <w:p>
            <w:pPr>
              <w:jc w:val="center"/>
            </w:pPr>
            <w:r>
              <w:t>（2）下层人工合成材料防渗衬层下应具有厚度不小于 0.75m，且其被压实后的饱和渗透系数小于 1.0×10</w:t>
            </w:r>
            <w:r>
              <w:rPr>
                <w:vertAlign w:val="superscript"/>
              </w:rPr>
              <w:t>-7</w:t>
            </w:r>
            <w:r>
              <w:t>cm/s 的天然黏土衬层，或具有同等以上隔水效力的其他材料衬层；两层人工合成材料衬层之间应布设导水层及渗漏检测层。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continue"/>
            <w:vAlign w:val="center"/>
          </w:tcPr>
          <w:p>
            <w:pPr>
              <w:jc w:val="center"/>
            </w:pPr>
          </w:p>
        </w:tc>
        <w:tc>
          <w:tcPr>
            <w:tcW w:w="1003" w:type="pct"/>
            <w:vAlign w:val="center"/>
          </w:tcPr>
          <w:p>
            <w:pPr>
              <w:jc w:val="center"/>
            </w:pPr>
            <w:r>
              <w:t>渗滤液调节池、渗滤液处理站</w:t>
            </w:r>
          </w:p>
        </w:tc>
        <w:tc>
          <w:tcPr>
            <w:tcW w:w="1155" w:type="pct"/>
            <w:vAlign w:val="center"/>
          </w:tcPr>
          <w:p>
            <w:pPr>
              <w:jc w:val="center"/>
            </w:pPr>
            <w:r>
              <w:t>各池底部及池壁防渗</w:t>
            </w:r>
          </w:p>
        </w:tc>
        <w:tc>
          <w:tcPr>
            <w:tcW w:w="2102" w:type="pct"/>
            <w:vMerge w:val="restart"/>
            <w:vAlign w:val="center"/>
          </w:tcPr>
          <w:p>
            <w:pPr>
              <w:jc w:val="center"/>
            </w:pPr>
            <w:r>
              <w:t>等效黏土防渗层Mb≥6m， K≤1×10</w:t>
            </w:r>
            <w:r>
              <w:rPr>
                <w:vertAlign w:val="superscript"/>
              </w:rPr>
              <w:t>-7</w:t>
            </w:r>
            <w:r>
              <w:t>cm/s；或参照《生活垃圾填埋污染控制标准》</w:t>
            </w:r>
          </w:p>
          <w:p>
            <w:pPr>
              <w:jc w:val="center"/>
            </w:pPr>
            <w:r>
              <w:t>(GB16889-2008)执行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continue"/>
            <w:vAlign w:val="center"/>
          </w:tcPr>
          <w:p>
            <w:pPr>
              <w:jc w:val="center"/>
            </w:pPr>
          </w:p>
        </w:tc>
        <w:tc>
          <w:tcPr>
            <w:tcW w:w="1003" w:type="pct"/>
            <w:vAlign w:val="center"/>
          </w:tcPr>
          <w:p>
            <w:pPr>
              <w:jc w:val="center"/>
            </w:pPr>
            <w:r>
              <w:t>废水输送收集管道、管道、阀门</w:t>
            </w:r>
          </w:p>
        </w:tc>
        <w:tc>
          <w:tcPr>
            <w:tcW w:w="1155" w:type="pct"/>
            <w:vAlign w:val="center"/>
          </w:tcPr>
          <w:p>
            <w:pPr>
              <w:jc w:val="center"/>
            </w:pPr>
            <w:r>
              <w:t>管道、管沟防渗</w:t>
            </w:r>
          </w:p>
        </w:tc>
        <w:tc>
          <w:tcPr>
            <w:tcW w:w="2102" w:type="pct"/>
            <w:vMerge w:val="continue"/>
            <w:vAlign w:val="center"/>
          </w:tcPr>
          <w:p>
            <w:pPr>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continue"/>
            <w:vAlign w:val="center"/>
          </w:tcPr>
          <w:p>
            <w:pPr>
              <w:jc w:val="center"/>
            </w:pPr>
          </w:p>
        </w:tc>
        <w:tc>
          <w:tcPr>
            <w:tcW w:w="1003" w:type="pct"/>
            <w:vAlign w:val="center"/>
          </w:tcPr>
          <w:p>
            <w:pPr>
              <w:jc w:val="center"/>
            </w:pPr>
            <w:r>
              <w:t>地磅</w:t>
            </w:r>
          </w:p>
        </w:tc>
        <w:tc>
          <w:tcPr>
            <w:tcW w:w="1155" w:type="pct"/>
            <w:vAlign w:val="center"/>
          </w:tcPr>
          <w:p>
            <w:pPr>
              <w:jc w:val="center"/>
            </w:pPr>
            <w:r>
              <w:t>地面防渗、围堰</w:t>
            </w:r>
          </w:p>
        </w:tc>
        <w:tc>
          <w:tcPr>
            <w:tcW w:w="2102" w:type="pct"/>
            <w:vAlign w:val="center"/>
          </w:tcPr>
          <w:p>
            <w:pPr>
              <w:jc w:val="center"/>
            </w:pPr>
            <w:r>
              <w:t>等效黏土防渗层Mb≥1.5m，K≤1×10</w:t>
            </w:r>
            <w:r>
              <w:rPr>
                <w:vertAlign w:val="superscript"/>
              </w:rPr>
              <w:t>-7</w:t>
            </w:r>
            <w:r>
              <w:t>cm/s；或参照《生活垃圾填埋污染控制标准》(GB16889-2008)执行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restart"/>
            <w:vAlign w:val="center"/>
          </w:tcPr>
          <w:p>
            <w:pPr>
              <w:jc w:val="center"/>
            </w:pPr>
            <w:r>
              <w:rPr>
                <w:rFonts w:hint="eastAsia"/>
              </w:rPr>
              <w:t>简单防渗区</w:t>
            </w:r>
          </w:p>
        </w:tc>
        <w:tc>
          <w:tcPr>
            <w:tcW w:w="1003" w:type="pct"/>
            <w:vAlign w:val="center"/>
          </w:tcPr>
          <w:p>
            <w:pPr>
              <w:jc w:val="center"/>
            </w:pPr>
            <w:r>
              <w:t>综合机房（不含渗滤液处理站）</w:t>
            </w:r>
          </w:p>
        </w:tc>
        <w:tc>
          <w:tcPr>
            <w:tcW w:w="1155" w:type="pct"/>
            <w:vAlign w:val="center"/>
          </w:tcPr>
          <w:p>
            <w:pPr>
              <w:jc w:val="center"/>
            </w:pPr>
            <w:r>
              <w:t>地面硬化</w:t>
            </w:r>
          </w:p>
        </w:tc>
        <w:tc>
          <w:tcPr>
            <w:tcW w:w="2102" w:type="pct"/>
            <w:vMerge w:val="restart"/>
            <w:vAlign w:val="center"/>
          </w:tcPr>
          <w:p>
            <w:pPr>
              <w:jc w:val="center"/>
            </w:pPr>
            <w:r>
              <w:t>一般地面硬化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continue"/>
            <w:vAlign w:val="center"/>
          </w:tcPr>
          <w:p>
            <w:pPr>
              <w:jc w:val="center"/>
            </w:pPr>
          </w:p>
        </w:tc>
        <w:tc>
          <w:tcPr>
            <w:tcW w:w="1003" w:type="pct"/>
            <w:vAlign w:val="center"/>
          </w:tcPr>
          <w:p>
            <w:pPr>
              <w:jc w:val="center"/>
            </w:pPr>
            <w:r>
              <w:t>值班室</w:t>
            </w:r>
          </w:p>
        </w:tc>
        <w:tc>
          <w:tcPr>
            <w:tcW w:w="1155" w:type="pct"/>
            <w:vAlign w:val="center"/>
          </w:tcPr>
          <w:p>
            <w:pPr>
              <w:jc w:val="center"/>
            </w:pPr>
            <w:r>
              <w:t>地面硬化</w:t>
            </w:r>
          </w:p>
        </w:tc>
        <w:tc>
          <w:tcPr>
            <w:tcW w:w="2102" w:type="pct"/>
            <w:vMerge w:val="continue"/>
            <w:vAlign w:val="center"/>
          </w:tcPr>
          <w:p>
            <w:pPr>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740" w:type="pct"/>
            <w:vMerge w:val="continue"/>
            <w:vAlign w:val="center"/>
          </w:tcPr>
          <w:p>
            <w:pPr>
              <w:jc w:val="center"/>
            </w:pPr>
          </w:p>
        </w:tc>
        <w:tc>
          <w:tcPr>
            <w:tcW w:w="1003" w:type="pct"/>
            <w:vAlign w:val="center"/>
          </w:tcPr>
          <w:p>
            <w:pPr>
              <w:jc w:val="center"/>
            </w:pPr>
            <w:r>
              <w:t>进场道路</w:t>
            </w:r>
            <w:r>
              <w:rPr>
                <w:rFonts w:hint="eastAsia"/>
              </w:rPr>
              <w:t>、休息平台等</w:t>
            </w:r>
          </w:p>
        </w:tc>
        <w:tc>
          <w:tcPr>
            <w:tcW w:w="1155" w:type="pct"/>
            <w:vAlign w:val="center"/>
          </w:tcPr>
          <w:p>
            <w:pPr>
              <w:jc w:val="center"/>
            </w:pPr>
            <w:r>
              <w:t>地面硬化</w:t>
            </w:r>
          </w:p>
        </w:tc>
        <w:tc>
          <w:tcPr>
            <w:tcW w:w="2102" w:type="pct"/>
            <w:vMerge w:val="continue"/>
            <w:vAlign w:val="center"/>
          </w:tcPr>
          <w:p>
            <w:pPr>
              <w:jc w:val="center"/>
            </w:pPr>
          </w:p>
        </w:tc>
      </w:tr>
    </w:tbl>
    <w:p>
      <w:pPr>
        <w:widowControl/>
        <w:adjustRightInd w:val="0"/>
        <w:snapToGrid w:val="0"/>
        <w:spacing w:before="156" w:beforeLines="50" w:line="360" w:lineRule="auto"/>
        <w:jc w:val="left"/>
        <w:rPr>
          <w:rFonts w:asciiTheme="minorHAnsi" w:hAnsiTheme="minorHAnsi" w:eastAsiaTheme="minorEastAsia" w:cstheme="minorBidi"/>
          <w:bCs/>
          <w:sz w:val="24"/>
          <w:szCs w:val="24"/>
        </w:rPr>
      </w:pPr>
      <w:r>
        <w:rPr>
          <w:rFonts w:asciiTheme="minorHAnsi" w:hAnsiTheme="minorHAnsi" w:eastAsiaTheme="minorEastAsia" w:cstheme="minorBidi"/>
          <w:bCs/>
          <w:sz w:val="24"/>
          <w:szCs w:val="24"/>
        </w:rPr>
        <mc:AlternateContent>
          <mc:Choice Requires="wps">
            <w:drawing>
              <wp:anchor distT="0" distB="0" distL="114300" distR="114300" simplePos="0" relativeHeight="251810816" behindDoc="0" locked="0" layoutInCell="1" allowOverlap="1">
                <wp:simplePos x="0" y="0"/>
                <wp:positionH relativeFrom="column">
                  <wp:posOffset>109220</wp:posOffset>
                </wp:positionH>
                <wp:positionV relativeFrom="paragraph">
                  <wp:posOffset>3123565</wp:posOffset>
                </wp:positionV>
                <wp:extent cx="171450" cy="116840"/>
                <wp:effectExtent l="0" t="0" r="19050" b="16510"/>
                <wp:wrapNone/>
                <wp:docPr id="168" name="矩形 168"/>
                <wp:cNvGraphicFramePr/>
                <a:graphic xmlns:a="http://schemas.openxmlformats.org/drawingml/2006/main">
                  <a:graphicData uri="http://schemas.microsoft.com/office/word/2010/wordprocessingShape">
                    <wps:wsp>
                      <wps:cNvSpPr/>
                      <wps:spPr>
                        <a:xfrm>
                          <a:off x="0" y="0"/>
                          <a:ext cx="171730" cy="117044"/>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pt;margin-top:245.95pt;height:9.2pt;width:13.5pt;z-index:251810816;v-text-anchor:middle;mso-width-relative:page;mso-height-relative:page;" fillcolor="#92D050" filled="t" stroked="t" coordsize="21600,21600" o:gfxdata="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M/m2NgAAAAJAQAADwAAAAAAAAABACAAAAAiAAAAZHJzL2Rvd25yZXYueG1sUEsBAhQAFAAA&#10;AAgAh07iQKDsrWdhAgAA4AQAAA4AAAAAAAAAAQAgAAAAJwEAAGRycy9lMm9Eb2MueG1sUEsFBgAA&#10;AAAGAAYAWQEAAPoFAAAAAA==&#10;">
                <v:fill on="t" focussize="0,0"/>
                <v:stroke weight="2pt" color="#92D050 [3204]" joinstyle="round"/>
                <v:imagedata o:title=""/>
                <o:lock v:ext="edit" aspectratio="f"/>
              </v:rect>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11840" behindDoc="0" locked="0" layoutInCell="1" allowOverlap="1">
                <wp:simplePos x="0" y="0"/>
                <wp:positionH relativeFrom="column">
                  <wp:posOffset>210820</wp:posOffset>
                </wp:positionH>
                <wp:positionV relativeFrom="paragraph">
                  <wp:posOffset>753745</wp:posOffset>
                </wp:positionV>
                <wp:extent cx="2232025" cy="885190"/>
                <wp:effectExtent l="0" t="0" r="15875" b="10160"/>
                <wp:wrapNone/>
                <wp:docPr id="169" name="任意多边形: 形状 169"/>
                <wp:cNvGraphicFramePr/>
                <a:graphic xmlns:a="http://schemas.openxmlformats.org/drawingml/2006/main">
                  <a:graphicData uri="http://schemas.microsoft.com/office/word/2010/wordprocessingShape">
                    <wps:wsp>
                      <wps:cNvSpPr/>
                      <wps:spPr>
                        <a:xfrm>
                          <a:off x="0" y="0"/>
                          <a:ext cx="2232228" cy="885229"/>
                        </a:xfrm>
                        <a:custGeom>
                          <a:avLst/>
                          <a:gdLst>
                            <a:gd name="connsiteX0" fmla="*/ 0 w 2232228"/>
                            <a:gd name="connsiteY0" fmla="*/ 0 h 885229"/>
                            <a:gd name="connsiteX1" fmla="*/ 359923 w 2232228"/>
                            <a:gd name="connsiteY1" fmla="*/ 19455 h 885229"/>
                            <a:gd name="connsiteX2" fmla="*/ 520429 w 2232228"/>
                            <a:gd name="connsiteY2" fmla="*/ 102140 h 885229"/>
                            <a:gd name="connsiteX3" fmla="*/ 899808 w 2232228"/>
                            <a:gd name="connsiteY3" fmla="*/ 389106 h 885229"/>
                            <a:gd name="connsiteX4" fmla="*/ 1332689 w 2232228"/>
                            <a:gd name="connsiteY4" fmla="*/ 539885 h 885229"/>
                            <a:gd name="connsiteX5" fmla="*/ 1809344 w 2232228"/>
                            <a:gd name="connsiteY5" fmla="*/ 646889 h 885229"/>
                            <a:gd name="connsiteX6" fmla="*/ 2076855 w 2232228"/>
                            <a:gd name="connsiteY6" fmla="*/ 700391 h 885229"/>
                            <a:gd name="connsiteX7" fmla="*/ 2231890 w 2232228"/>
                            <a:gd name="connsiteY7" fmla="*/ 719878 h 885229"/>
                            <a:gd name="connsiteX8" fmla="*/ 2232228 w 2232228"/>
                            <a:gd name="connsiteY8" fmla="*/ 885229 h 885229"/>
                            <a:gd name="connsiteX9" fmla="*/ 1707204 w 2232228"/>
                            <a:gd name="connsiteY9" fmla="*/ 768485 h 885229"/>
                            <a:gd name="connsiteX10" fmla="*/ 1177046 w 2232228"/>
                            <a:gd name="connsiteY10" fmla="*/ 661480 h 885229"/>
                            <a:gd name="connsiteX11" fmla="*/ 802532 w 2232228"/>
                            <a:gd name="connsiteY11" fmla="*/ 569068 h 885229"/>
                            <a:gd name="connsiteX12" fmla="*/ 505838 w 2232228"/>
                            <a:gd name="connsiteY12" fmla="*/ 355059 h 885229"/>
                            <a:gd name="connsiteX13" fmla="*/ 0 w 2232228"/>
                            <a:gd name="connsiteY13" fmla="*/ 0 h 8852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32228" h="885229">
                              <a:moveTo>
                                <a:pt x="0" y="0"/>
                              </a:moveTo>
                              <a:lnTo>
                                <a:pt x="359923" y="19455"/>
                              </a:lnTo>
                              <a:lnTo>
                                <a:pt x="520429" y="102140"/>
                              </a:lnTo>
                              <a:lnTo>
                                <a:pt x="899808" y="389106"/>
                              </a:lnTo>
                              <a:lnTo>
                                <a:pt x="1332689" y="539885"/>
                              </a:lnTo>
                              <a:lnTo>
                                <a:pt x="1809344" y="646889"/>
                              </a:lnTo>
                              <a:lnTo>
                                <a:pt x="2076855" y="700391"/>
                              </a:lnTo>
                              <a:lnTo>
                                <a:pt x="2231890" y="719878"/>
                              </a:lnTo>
                              <a:cubicBezTo>
                                <a:pt x="2232003" y="774995"/>
                                <a:pt x="2232115" y="830112"/>
                                <a:pt x="2232228" y="885229"/>
                              </a:cubicBezTo>
                              <a:lnTo>
                                <a:pt x="1707204" y="768485"/>
                              </a:lnTo>
                              <a:cubicBezTo>
                                <a:pt x="1531340" y="731193"/>
                                <a:pt x="1353765" y="697148"/>
                                <a:pt x="1177046" y="661480"/>
                              </a:cubicBezTo>
                              <a:lnTo>
                                <a:pt x="802532" y="569068"/>
                              </a:lnTo>
                              <a:lnTo>
                                <a:pt x="505838" y="355059"/>
                              </a:lnTo>
                              <a:lnTo>
                                <a:pt x="0" y="0"/>
                              </a:lnTo>
                              <a:close/>
                            </a:path>
                          </a:pathLst>
                        </a:cu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69" o:spid="_x0000_s1026" o:spt="100" style="position:absolute;left:0pt;margin-left:16.6pt;margin-top:59.35pt;height:69.7pt;width:175.75pt;z-index:251811840;v-text-anchor:middle;mso-width-relative:page;mso-height-relative:page;" fillcolor="#92D050" filled="t" stroked="t" coordsize="2232228,885229" o:gfxdata="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" path="m0,0l359923,19455,520429,102140,899808,389106,1332689,539885,1809344,646889,2076855,700391,2231890,719878c2232003,774995,2232115,830112,2232228,885229l1707204,768485c1531340,731193,1353765,697148,1177046,661480l802532,569068,505838,355059,0,0xe">
                <v:path o:connectlocs="0,0;359923,19455;520429,102140;899808,389106;1332689,539885;1809344,646889;2076855,700391;2231890,719878;2232228,885229;1707204,768485;1177046,661480;802532,569068;505838,355059;0,0" o:connectangles="0,0,0,0,0,0,0,0,0,0,0,0,0,0"/>
                <v:fill on="t" focussize="0,0"/>
                <v:stroke weight="2pt" color="#92D050 [3204]" joinstyle="round"/>
                <v:imagedata o:title=""/>
                <o:lock v:ext="edit" aspectratio="f"/>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09792" behindDoc="0" locked="0" layoutInCell="1" allowOverlap="1">
                <wp:simplePos x="0" y="0"/>
                <wp:positionH relativeFrom="column">
                  <wp:posOffset>1280795</wp:posOffset>
                </wp:positionH>
                <wp:positionV relativeFrom="paragraph">
                  <wp:posOffset>1474470</wp:posOffset>
                </wp:positionV>
                <wp:extent cx="1103630" cy="873125"/>
                <wp:effectExtent l="0" t="0" r="20320" b="22225"/>
                <wp:wrapNone/>
                <wp:docPr id="167" name="任意多边形: 形状 167"/>
                <wp:cNvGraphicFramePr/>
                <a:graphic xmlns:a="http://schemas.openxmlformats.org/drawingml/2006/main">
                  <a:graphicData uri="http://schemas.microsoft.com/office/word/2010/wordprocessingShape">
                    <wps:wsp>
                      <wps:cNvSpPr/>
                      <wps:spPr>
                        <a:xfrm>
                          <a:off x="0" y="0"/>
                          <a:ext cx="1103871" cy="873211"/>
                        </a:xfrm>
                        <a:custGeom>
                          <a:avLst/>
                          <a:gdLst>
                            <a:gd name="connsiteX0" fmla="*/ 82379 w 1103871"/>
                            <a:gd name="connsiteY0" fmla="*/ 0 h 873211"/>
                            <a:gd name="connsiteX1" fmla="*/ 0 w 1103871"/>
                            <a:gd name="connsiteY1" fmla="*/ 107092 h 873211"/>
                            <a:gd name="connsiteX2" fmla="*/ 1005017 w 1103871"/>
                            <a:gd name="connsiteY2" fmla="*/ 873211 h 873211"/>
                            <a:gd name="connsiteX3" fmla="*/ 1103871 w 1103871"/>
                            <a:gd name="connsiteY3" fmla="*/ 774357 h 873211"/>
                            <a:gd name="connsiteX4" fmla="*/ 1070919 w 1103871"/>
                            <a:gd name="connsiteY4" fmla="*/ 181232 h 873211"/>
                            <a:gd name="connsiteX5" fmla="*/ 82379 w 1103871"/>
                            <a:gd name="connsiteY5" fmla="*/ 0 h 8732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3871" h="873211">
                              <a:moveTo>
                                <a:pt x="82379" y="0"/>
                              </a:moveTo>
                              <a:lnTo>
                                <a:pt x="0" y="107092"/>
                              </a:lnTo>
                              <a:lnTo>
                                <a:pt x="1005017" y="873211"/>
                              </a:lnTo>
                              <a:lnTo>
                                <a:pt x="1103871" y="774357"/>
                              </a:lnTo>
                              <a:lnTo>
                                <a:pt x="1070919" y="181232"/>
                              </a:lnTo>
                              <a:lnTo>
                                <a:pt x="82379" y="0"/>
                              </a:lnTo>
                              <a:close/>
                            </a:path>
                          </a:pathLst>
                        </a:custGeom>
                        <a:solidFill>
                          <a:srgbClr val="FF0000">
                            <a:alpha val="7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67" o:spid="_x0000_s1026" o:spt="100" style="position:absolute;left:0pt;margin-left:100.85pt;margin-top:116.1pt;height:68.75pt;width:86.9pt;z-index:251809792;v-text-anchor:middle;mso-width-relative:page;mso-height-relative:page;" fillcolor="#FF0000" filled="t" stroked="t" coordsize="1103871,873211" o:gfxdata="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" path="m82379,0l0,107092,1005017,873211,1103871,774357,1070919,181232,82379,0xe">
                <v:path o:connectlocs="82379,0;0,107092;1005017,873211;1103871,774357;1070919,181232;82379,0" o:connectangles="0,0,0,0,0,0"/>
                <v:fill on="t" opacity="45875f" focussize="0,0"/>
                <v:stroke weight="2pt" color="#FF0000 [3204]" joinstyle="round"/>
                <v:imagedata o:title=""/>
                <o:lock v:ext="edit" aspectratio="f"/>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08768" behindDoc="0" locked="0" layoutInCell="1" allowOverlap="1">
                <wp:simplePos x="0" y="0"/>
                <wp:positionH relativeFrom="column">
                  <wp:posOffset>2442210</wp:posOffset>
                </wp:positionH>
                <wp:positionV relativeFrom="paragraph">
                  <wp:posOffset>708025</wp:posOffset>
                </wp:positionV>
                <wp:extent cx="2249170" cy="2463165"/>
                <wp:effectExtent l="38100" t="38100" r="37465" b="33020"/>
                <wp:wrapNone/>
                <wp:docPr id="166" name="任意多边形: 形状 166"/>
                <wp:cNvGraphicFramePr/>
                <a:graphic xmlns:a="http://schemas.openxmlformats.org/drawingml/2006/main">
                  <a:graphicData uri="http://schemas.microsoft.com/office/word/2010/wordprocessingShape">
                    <wps:wsp>
                      <wps:cNvSpPr/>
                      <wps:spPr>
                        <a:xfrm>
                          <a:off x="0" y="0"/>
                          <a:ext cx="2248930" cy="2463114"/>
                        </a:xfrm>
                        <a:custGeom>
                          <a:avLst/>
                          <a:gdLst>
                            <a:gd name="connsiteX0" fmla="*/ 107092 w 2248930"/>
                            <a:gd name="connsiteY0" fmla="*/ 0 h 2463114"/>
                            <a:gd name="connsiteX1" fmla="*/ 0 w 2248930"/>
                            <a:gd name="connsiteY1" fmla="*/ 313038 h 2463114"/>
                            <a:gd name="connsiteX2" fmla="*/ 32952 w 2248930"/>
                            <a:gd name="connsiteY2" fmla="*/ 1491049 h 2463114"/>
                            <a:gd name="connsiteX3" fmla="*/ 1260390 w 2248930"/>
                            <a:gd name="connsiteY3" fmla="*/ 2463114 h 2463114"/>
                            <a:gd name="connsiteX4" fmla="*/ 1812325 w 2248930"/>
                            <a:gd name="connsiteY4" fmla="*/ 2018270 h 2463114"/>
                            <a:gd name="connsiteX5" fmla="*/ 2248930 w 2248930"/>
                            <a:gd name="connsiteY5" fmla="*/ 741405 h 2463114"/>
                            <a:gd name="connsiteX6" fmla="*/ 2166552 w 2248930"/>
                            <a:gd name="connsiteY6" fmla="*/ 131805 h 2463114"/>
                            <a:gd name="connsiteX7" fmla="*/ 1911179 w 2248930"/>
                            <a:gd name="connsiteY7" fmla="*/ 0 h 2463114"/>
                            <a:gd name="connsiteX8" fmla="*/ 107092 w 2248930"/>
                            <a:gd name="connsiteY8" fmla="*/ 0 h 24631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248930" h="2463114">
                              <a:moveTo>
                                <a:pt x="107092" y="0"/>
                              </a:moveTo>
                              <a:lnTo>
                                <a:pt x="0" y="313038"/>
                              </a:lnTo>
                              <a:lnTo>
                                <a:pt x="32952" y="1491049"/>
                              </a:lnTo>
                              <a:lnTo>
                                <a:pt x="1260390" y="2463114"/>
                              </a:lnTo>
                              <a:lnTo>
                                <a:pt x="1812325" y="2018270"/>
                              </a:lnTo>
                              <a:lnTo>
                                <a:pt x="2248930" y="741405"/>
                              </a:lnTo>
                              <a:lnTo>
                                <a:pt x="2166552" y="131805"/>
                              </a:lnTo>
                              <a:lnTo>
                                <a:pt x="1911179" y="0"/>
                              </a:lnTo>
                              <a:lnTo>
                                <a:pt x="107092" y="0"/>
                              </a:lnTo>
                              <a:close/>
                            </a:path>
                          </a:pathLst>
                        </a:custGeom>
                        <a:solidFill>
                          <a:srgbClr val="FF0000">
                            <a:alpha val="70000"/>
                          </a:srgbClr>
                        </a:solidFill>
                        <a:ln w="762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66" o:spid="_x0000_s1026" o:spt="100" style="position:absolute;left:0pt;margin-left:192.3pt;margin-top:55.75pt;height:193.95pt;width:177.1pt;z-index:251808768;v-text-anchor:middle;mso-width-relative:page;mso-height-relative:page;" fillcolor="#FF0000" filled="t" stroked="t" coordsize="2248930,2463114" o:gfxdata="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" path="m107092,0l0,313038,32952,1491049,1260390,2463114,1812325,2018270,2248930,741405,2166552,131805,1911179,0,107092,0xe">
                <v:path o:connectlocs="107092,0;0,313038;32952,1491049;1260390,2463114;1812325,2018270;2248930,741405;2166552,131805;1911179,0;107092,0" o:connectangles="0,0,0,0,0,0,0,0,0"/>
                <v:fill on="t" opacity="45875f" focussize="0,0"/>
                <v:stroke weight="6pt" color="#92D050 [3204]" joinstyle="round"/>
                <v:imagedata o:title=""/>
                <o:lock v:ext="edit" aspectratio="f"/>
              </v:shape>
            </w:pict>
          </mc:Fallback>
        </mc:AlternateContent>
      </w:r>
      <w:r>
        <w:rPr>
          <w:rFonts w:asciiTheme="minorHAnsi" w:hAnsiTheme="minorHAnsi" w:eastAsiaTheme="minorEastAsia" w:cstheme="minorBidi"/>
          <w:bCs/>
          <w:sz w:val="24"/>
          <w:szCs w:val="24"/>
        </w:rPr>
        <w:drawing>
          <wp:anchor distT="0" distB="0" distL="114300" distR="114300" simplePos="0" relativeHeight="251807744" behindDoc="0" locked="0" layoutInCell="1" allowOverlap="1">
            <wp:simplePos x="0" y="0"/>
            <wp:positionH relativeFrom="column">
              <wp:posOffset>3810</wp:posOffset>
            </wp:positionH>
            <wp:positionV relativeFrom="paragraph">
              <wp:posOffset>2668905</wp:posOffset>
            </wp:positionV>
            <wp:extent cx="1276985" cy="765810"/>
            <wp:effectExtent l="0" t="0" r="0" b="0"/>
            <wp:wrapNone/>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1276985" cy="765810"/>
                    </a:xfrm>
                    <a:prstGeom prst="rect">
                      <a:avLst/>
                    </a:prstGeom>
                    <a:noFill/>
                    <a:ln>
                      <a:noFill/>
                    </a:ln>
                  </pic:spPr>
                </pic:pic>
              </a:graphicData>
            </a:graphic>
          </wp:anchor>
        </w:drawing>
      </w:r>
      <w:r>
        <w:rPr>
          <w:rFonts w:asciiTheme="minorHAnsi" w:hAnsiTheme="minorHAnsi" w:eastAsiaTheme="minorEastAsia" w:cstheme="minorBidi"/>
          <w:bCs/>
          <w:sz w:val="24"/>
          <w:szCs w:val="24"/>
        </w:rPr>
        <w:drawing>
          <wp:inline distT="0" distB="0" distL="0" distR="0">
            <wp:extent cx="5278120" cy="3611245"/>
            <wp:effectExtent l="0" t="0" r="0" b="825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5278120" cy="3611245"/>
                    </a:xfrm>
                    <a:prstGeom prst="rect">
                      <a:avLst/>
                    </a:prstGeom>
                    <a:noFill/>
                    <a:ln>
                      <a:noFill/>
                    </a:ln>
                  </pic:spPr>
                </pic:pic>
              </a:graphicData>
            </a:graphic>
          </wp:inline>
        </w:drawing>
      </w:r>
    </w:p>
    <w:p>
      <w:pPr>
        <w:widowControl/>
        <w:adjustRightInd w:val="0"/>
        <w:snapToGrid w:val="0"/>
        <w:spacing w:line="360" w:lineRule="auto"/>
        <w:jc w:val="center"/>
        <w:rPr>
          <w:rFonts w:eastAsiaTheme="minorEastAsia"/>
          <w:b/>
          <w:sz w:val="24"/>
          <w:szCs w:val="24"/>
        </w:rPr>
      </w:pPr>
      <w:r>
        <w:rPr>
          <w:rFonts w:eastAsiaTheme="minorEastAsia"/>
          <w:b/>
          <w:sz w:val="24"/>
          <w:szCs w:val="24"/>
        </w:rPr>
        <w:t xml:space="preserve">图6.4-1 </w:t>
      </w:r>
      <w:r>
        <w:rPr>
          <w:rFonts w:hint="eastAsia" w:eastAsiaTheme="minorEastAsia"/>
          <w:b/>
          <w:sz w:val="24"/>
          <w:szCs w:val="24"/>
        </w:rPr>
        <w:t>本项目</w:t>
      </w:r>
      <w:r>
        <w:rPr>
          <w:rFonts w:eastAsiaTheme="minorEastAsia"/>
          <w:b/>
          <w:sz w:val="24"/>
          <w:szCs w:val="24"/>
        </w:rPr>
        <w:t>防渗分区图</w:t>
      </w:r>
    </w:p>
    <w:p>
      <w:pPr>
        <w:widowControl/>
        <w:adjustRightInd w:val="0"/>
        <w:snapToGrid w:val="0"/>
        <w:spacing w:line="360" w:lineRule="auto"/>
        <w:ind w:firstLine="480" w:firstLineChars="200"/>
        <w:jc w:val="left"/>
        <w:rPr>
          <w:rFonts w:eastAsiaTheme="minorEastAsia"/>
          <w:bCs/>
          <w:sz w:val="24"/>
          <w:szCs w:val="24"/>
        </w:rPr>
      </w:pPr>
      <w:r>
        <w:rPr>
          <w:rFonts w:hint="eastAsia" w:eastAsiaTheme="minorEastAsia"/>
          <w:bCs/>
          <w:sz w:val="24"/>
          <w:szCs w:val="24"/>
        </w:rPr>
        <w:t>1、重点防渗分区</w:t>
      </w:r>
    </w:p>
    <w:p>
      <w:pPr>
        <w:widowControl/>
        <w:adjustRightInd w:val="0"/>
        <w:snapToGrid w:val="0"/>
        <w:spacing w:line="360" w:lineRule="auto"/>
        <w:ind w:firstLine="480" w:firstLineChars="200"/>
        <w:jc w:val="left"/>
        <w:rPr>
          <w:rFonts w:eastAsiaTheme="minorEastAsia"/>
          <w:bCs/>
          <w:sz w:val="24"/>
          <w:szCs w:val="24"/>
        </w:rPr>
      </w:pPr>
      <w:r>
        <w:rPr>
          <w:rFonts w:hint="eastAsia" w:asciiTheme="minorHAnsi" w:hAnsiTheme="minorHAnsi" w:eastAsiaTheme="minorEastAsia" w:cstheme="minorBidi"/>
          <w:bCs/>
          <w:sz w:val="24"/>
          <w:szCs w:val="24"/>
        </w:rPr>
        <w:t>本次评</w:t>
      </w:r>
      <w:r>
        <w:rPr>
          <w:rFonts w:eastAsiaTheme="minorEastAsia"/>
          <w:bCs/>
          <w:sz w:val="24"/>
          <w:szCs w:val="24"/>
        </w:rPr>
        <w:t>价建议</w:t>
      </w:r>
      <w:r>
        <w:rPr>
          <w:rFonts w:hint="eastAsia" w:eastAsiaTheme="minorEastAsia"/>
          <w:bCs/>
          <w:sz w:val="24"/>
          <w:szCs w:val="24"/>
        </w:rPr>
        <w:t>重点防渗分区的</w:t>
      </w:r>
      <w:r>
        <w:rPr>
          <w:rFonts w:eastAsiaTheme="minorEastAsia"/>
          <w:bCs/>
          <w:sz w:val="24"/>
          <w:szCs w:val="24"/>
        </w:rPr>
        <w:t>主要建筑物防渗结构采用“刚性+柔性防渗结构”，在填埋场</w:t>
      </w:r>
      <w:r>
        <w:rPr>
          <w:rFonts w:hint="eastAsia" w:eastAsiaTheme="minorEastAsia"/>
          <w:bCs/>
          <w:sz w:val="24"/>
          <w:szCs w:val="24"/>
        </w:rPr>
        <w:t>区</w:t>
      </w:r>
      <w:r>
        <w:rPr>
          <w:rFonts w:eastAsiaTheme="minorEastAsia"/>
          <w:bCs/>
          <w:sz w:val="24"/>
          <w:szCs w:val="24"/>
        </w:rPr>
        <w:t>采用柔性防渗措施，并在具体设计中应根据实际情况，在满足标准的前提下做必要的调整。</w:t>
      </w:r>
    </w:p>
    <w:p>
      <w:pPr>
        <w:adjustRightInd w:val="0"/>
        <w:snapToGrid w:val="0"/>
        <w:spacing w:line="360" w:lineRule="auto"/>
        <w:ind w:firstLine="482"/>
        <w:rPr>
          <w:sz w:val="24"/>
          <w:szCs w:val="24"/>
        </w:rPr>
      </w:pPr>
      <w:r>
        <w:rPr>
          <w:rFonts w:hint="eastAsia"/>
          <w:sz w:val="24"/>
          <w:szCs w:val="24"/>
        </w:rPr>
        <w:t>（</w:t>
      </w:r>
      <w:r>
        <w:rPr>
          <w:sz w:val="24"/>
          <w:szCs w:val="24"/>
        </w:rPr>
        <w:t>1）</w:t>
      </w:r>
      <w:r>
        <w:rPr>
          <w:rFonts w:hint="eastAsia"/>
          <w:sz w:val="24"/>
          <w:szCs w:val="24"/>
        </w:rPr>
        <w:t>渗滤液处理车间、</w:t>
      </w:r>
      <w:r>
        <w:rPr>
          <w:sz w:val="24"/>
          <w:szCs w:val="24"/>
        </w:rPr>
        <w:t>调节池</w:t>
      </w:r>
    </w:p>
    <w:p>
      <w:pPr>
        <w:adjustRightInd w:val="0"/>
        <w:snapToGrid w:val="0"/>
        <w:spacing w:line="360" w:lineRule="auto"/>
        <w:ind w:firstLine="482"/>
        <w:rPr>
          <w:sz w:val="24"/>
          <w:szCs w:val="24"/>
        </w:rPr>
      </w:pPr>
      <w:r>
        <w:rPr>
          <w:rFonts w:hint="eastAsia"/>
          <w:sz w:val="24"/>
          <w:szCs w:val="24"/>
        </w:rPr>
        <w:t>渗滤液处理车间、</w:t>
      </w:r>
      <w:r>
        <w:rPr>
          <w:sz w:val="24"/>
          <w:szCs w:val="24"/>
        </w:rPr>
        <w:t>调节池均采用刚性防渗结构+柔性防渗结构。防渗结构（图6.1-2）层次自上而下为水泥基渗透结晶型防渗涂层（≥1.0mm）+</w:t>
      </w:r>
      <w:r>
        <w:rPr>
          <w:rFonts w:hint="eastAsia"/>
          <w:sz w:val="24"/>
          <w:szCs w:val="24"/>
        </w:rPr>
        <w:t>P8等级的</w:t>
      </w:r>
      <w:r>
        <w:rPr>
          <w:sz w:val="24"/>
          <w:szCs w:val="24"/>
        </w:rPr>
        <w:t>抗渗钢筋混凝土面层（≥300mm，渗透系数≤1.0×10</w:t>
      </w:r>
      <w:r>
        <w:rPr>
          <w:sz w:val="24"/>
          <w:szCs w:val="24"/>
          <w:vertAlign w:val="superscript"/>
        </w:rPr>
        <w:t>-12</w:t>
      </w:r>
      <w:r>
        <w:rPr>
          <w:sz w:val="24"/>
          <w:szCs w:val="24"/>
        </w:rPr>
        <w:t>cm/s）+结构层+高密度聚乙烯（HDPE）膜防渗层（≥1.50mm，膜上、膜下保护层采用长丝无纺土工布）+原土压（夯）实。</w:t>
      </w:r>
    </w:p>
    <w:p>
      <w:pPr>
        <w:adjustRightInd w:val="0"/>
        <w:snapToGrid w:val="0"/>
        <w:spacing w:line="360" w:lineRule="auto"/>
        <w:ind w:firstLine="480"/>
        <w:rPr>
          <w:sz w:val="24"/>
          <w:szCs w:val="24"/>
        </w:rPr>
      </w:pPr>
      <w:r>
        <w:rPr>
          <w:sz w:val="24"/>
          <w:szCs w:val="24"/>
        </w:rPr>
        <w:t>对于有特殊要求的水池设计壁厚应适当加厚，并采用最高级别的外防腐层；对于穿过水池（井、沟）壁的管道和预埋件，应预先设置，不得打洞；水池（井、沟）所有缝均应设止水带，止水带宜采用橡胶止水带或塑料止水带。</w:t>
      </w:r>
    </w:p>
    <w:p>
      <w:pPr>
        <w:adjustRightInd w:val="0"/>
        <w:snapToGrid w:val="0"/>
        <w:spacing w:line="360" w:lineRule="auto"/>
        <w:ind w:firstLine="480"/>
        <w:rPr>
          <w:sz w:val="24"/>
          <w:szCs w:val="24"/>
        </w:rPr>
      </w:pPr>
      <w:r>
        <w:rPr>
          <w:sz w:val="24"/>
          <w:szCs w:val="24"/>
        </w:rPr>
        <w:t>在池四周回填土和涂刷防水涂料之前，应进行水压试验。</w:t>
      </w:r>
    </w:p>
    <w:p>
      <w:pPr>
        <w:adjustRightInd w:val="0"/>
        <w:snapToGrid w:val="0"/>
        <w:spacing w:line="360" w:lineRule="auto"/>
        <w:jc w:val="center"/>
        <w:rPr>
          <w:sz w:val="24"/>
          <w:szCs w:val="24"/>
        </w:rPr>
      </w:pPr>
      <w:r>
        <w:rPr>
          <w:sz w:val="24"/>
          <w:szCs w:val="24"/>
        </w:rPr>
        <w:drawing>
          <wp:inline distT="0" distB="0" distL="0" distR="0">
            <wp:extent cx="3759200" cy="246443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165">
                      <a:extLst>
                        <a:ext uri="{28A0092B-C50C-407E-A947-70E740481C1C}">
                          <a14:useLocalDpi xmlns:a14="http://schemas.microsoft.com/office/drawing/2010/main" val="0"/>
                        </a:ext>
                      </a:extLst>
                    </a:blip>
                    <a:srcRect t="2997"/>
                    <a:stretch>
                      <a:fillRect/>
                    </a:stretch>
                  </pic:blipFill>
                  <pic:spPr>
                    <a:xfrm>
                      <a:off x="0" y="0"/>
                      <a:ext cx="3769934" cy="2471903"/>
                    </a:xfrm>
                    <a:prstGeom prst="rect">
                      <a:avLst/>
                    </a:prstGeom>
                    <a:noFill/>
                    <a:ln>
                      <a:noFill/>
                    </a:ln>
                  </pic:spPr>
                </pic:pic>
              </a:graphicData>
            </a:graphic>
          </wp:inline>
        </w:drawing>
      </w:r>
    </w:p>
    <w:p>
      <w:pPr>
        <w:adjustRightInd w:val="0"/>
        <w:snapToGrid w:val="0"/>
        <w:spacing w:line="360" w:lineRule="auto"/>
        <w:jc w:val="center"/>
        <w:rPr>
          <w:rFonts w:eastAsia="黑体"/>
          <w:sz w:val="24"/>
          <w:szCs w:val="24"/>
        </w:rPr>
      </w:pPr>
      <w:r>
        <w:rPr>
          <w:rFonts w:eastAsia="黑体"/>
          <w:sz w:val="24"/>
          <w:szCs w:val="24"/>
        </w:rPr>
        <w:t xml:space="preserve">图6.1-2 </w:t>
      </w:r>
      <w:r>
        <w:rPr>
          <w:rFonts w:hint="eastAsia" w:eastAsia="黑体"/>
          <w:sz w:val="24"/>
          <w:szCs w:val="24"/>
        </w:rPr>
        <w:t>渗滤液处理车间、调节池</w:t>
      </w:r>
      <w:r>
        <w:rPr>
          <w:rFonts w:eastAsia="黑体"/>
          <w:sz w:val="24"/>
          <w:szCs w:val="24"/>
        </w:rPr>
        <w:t>防渗结构示意图</w:t>
      </w:r>
    </w:p>
    <w:p>
      <w:pPr>
        <w:adjustRightInd w:val="0"/>
        <w:snapToGrid w:val="0"/>
        <w:spacing w:line="360" w:lineRule="auto"/>
        <w:ind w:firstLine="482"/>
        <w:rPr>
          <w:sz w:val="24"/>
          <w:szCs w:val="24"/>
        </w:rPr>
      </w:pPr>
      <w:r>
        <w:rPr>
          <w:rFonts w:hint="eastAsia"/>
          <w:sz w:val="24"/>
          <w:szCs w:val="24"/>
        </w:rPr>
        <w:t>（2）渗滤液</w:t>
      </w:r>
      <w:r>
        <w:rPr>
          <w:sz w:val="24"/>
          <w:szCs w:val="24"/>
        </w:rPr>
        <w:t>收集输送管线</w:t>
      </w:r>
    </w:p>
    <w:p>
      <w:pPr>
        <w:adjustRightInd w:val="0"/>
        <w:snapToGrid w:val="0"/>
        <w:spacing w:line="360" w:lineRule="auto"/>
        <w:ind w:firstLine="482"/>
        <w:rPr>
          <w:sz w:val="24"/>
          <w:szCs w:val="24"/>
        </w:rPr>
      </w:pPr>
      <w:r>
        <w:rPr>
          <w:sz w:val="24"/>
          <w:szCs w:val="24"/>
        </w:rPr>
        <w:t>对于地下管道、阀门设专用抗渗钢筋混凝土管沟，防渗管沟沟底、沟壁和顶板的混凝土强度等级不宜低于C30，抗渗等级不应低于P8，混凝土垫层的强度等级不宜低于C15，沟底、沟壁的厚度不宜小于200mm，沟底、沟面的内表面和顶板顶面应抹聚合物水泥防水砂浆，厚度不应小于10mm，抗渗钢筋混凝土管沟应设变形缝，变形缝间距不宜大于30m，管沟上设活动观察顶盖，以便出现渗漏问题及时观察、解决</w:t>
      </w:r>
      <w:r>
        <w:rPr>
          <w:rFonts w:hint="eastAsia"/>
          <w:sz w:val="24"/>
          <w:szCs w:val="24"/>
        </w:rPr>
        <w:t>。</w:t>
      </w:r>
    </w:p>
    <w:p>
      <w:pPr>
        <w:adjustRightInd w:val="0"/>
        <w:snapToGrid w:val="0"/>
        <w:spacing w:line="360" w:lineRule="auto"/>
        <w:ind w:firstLine="482"/>
        <w:rPr>
          <w:sz w:val="24"/>
          <w:szCs w:val="24"/>
        </w:rPr>
      </w:pPr>
      <w:r>
        <w:rPr>
          <w:rFonts w:hint="eastAsia"/>
          <w:sz w:val="24"/>
          <w:szCs w:val="24"/>
        </w:rPr>
        <w:t>渗滤液收集输送</w:t>
      </w:r>
      <w:r>
        <w:rPr>
          <w:sz w:val="24"/>
          <w:szCs w:val="24"/>
        </w:rPr>
        <w:t>管线防渗设计见</w:t>
      </w:r>
      <w:r>
        <w:rPr>
          <w:rFonts w:hint="eastAsia"/>
          <w:sz w:val="24"/>
          <w:szCs w:val="24"/>
        </w:rPr>
        <w:t>图6</w:t>
      </w:r>
      <w:r>
        <w:rPr>
          <w:sz w:val="24"/>
          <w:szCs w:val="24"/>
        </w:rPr>
        <w:t>.1-3。</w:t>
      </w:r>
    </w:p>
    <w:p>
      <w:pPr>
        <w:jc w:val="center"/>
      </w:pPr>
      <w:r>
        <w:drawing>
          <wp:inline distT="0" distB="0" distL="0" distR="0">
            <wp:extent cx="2641600" cy="1825625"/>
            <wp:effectExtent l="0" t="0" r="6350" b="3175"/>
            <wp:docPr id="266" name="图片 266" descr="管沟防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管沟防渗.jpg"/>
                    <pic:cNvPicPr>
                      <a:picLocks noChangeAspect="1" noChangeArrowheads="1"/>
                    </pic:cNvPicPr>
                  </pic:nvPicPr>
                  <pic:blipFill>
                    <a:blip r:embed="rId166">
                      <a:extLst>
                        <a:ext uri="{28A0092B-C50C-407E-A947-70E740481C1C}">
                          <a14:useLocalDpi xmlns:a14="http://schemas.microsoft.com/office/drawing/2010/main" val="0"/>
                        </a:ext>
                      </a:extLst>
                    </a:blip>
                    <a:srcRect b="21826"/>
                    <a:stretch>
                      <a:fillRect/>
                    </a:stretch>
                  </pic:blipFill>
                  <pic:spPr>
                    <a:xfrm>
                      <a:off x="0" y="0"/>
                      <a:ext cx="2653021" cy="1833706"/>
                    </a:xfrm>
                    <a:prstGeom prst="rect">
                      <a:avLst/>
                    </a:prstGeom>
                    <a:noFill/>
                    <a:ln>
                      <a:noFill/>
                    </a:ln>
                  </pic:spPr>
                </pic:pic>
              </a:graphicData>
            </a:graphic>
          </wp:inline>
        </w:drawing>
      </w:r>
    </w:p>
    <w:p>
      <w:pPr>
        <w:adjustRightInd w:val="0"/>
        <w:snapToGrid w:val="0"/>
        <w:spacing w:line="360" w:lineRule="auto"/>
        <w:jc w:val="center"/>
        <w:rPr>
          <w:szCs w:val="21"/>
        </w:rPr>
      </w:pPr>
      <w:bookmarkStart w:id="163" w:name="_Ref36434578"/>
      <w:r>
        <w:rPr>
          <w:szCs w:val="21"/>
        </w:rPr>
        <w:t>图</w:t>
      </w:r>
      <w:bookmarkEnd w:id="163"/>
      <w:r>
        <w:rPr>
          <w:rFonts w:hint="eastAsia"/>
          <w:szCs w:val="21"/>
        </w:rPr>
        <w:t>6</w:t>
      </w:r>
      <w:r>
        <w:rPr>
          <w:szCs w:val="21"/>
        </w:rPr>
        <w:t xml:space="preserve">.1-3  </w:t>
      </w:r>
      <w:r>
        <w:rPr>
          <w:rFonts w:hint="eastAsia"/>
          <w:szCs w:val="21"/>
        </w:rPr>
        <w:t>渗滤液收集输送</w:t>
      </w:r>
      <w:r>
        <w:rPr>
          <w:szCs w:val="21"/>
        </w:rPr>
        <w:t>管线防渗示意图</w:t>
      </w:r>
    </w:p>
    <w:p>
      <w:pPr>
        <w:adjustRightInd w:val="0"/>
        <w:snapToGrid w:val="0"/>
        <w:spacing w:line="360" w:lineRule="auto"/>
        <w:jc w:val="center"/>
        <w:rPr>
          <w:szCs w:val="21"/>
        </w:rPr>
      </w:pPr>
      <w:r>
        <w:rPr>
          <w:rFonts w:hint="eastAsia"/>
          <w:szCs w:val="21"/>
        </w:rPr>
        <w:t>（1--混凝土垫层；2--管沟；</w:t>
      </w:r>
      <w:r>
        <w:rPr>
          <w:szCs w:val="21"/>
        </w:rPr>
        <w:t>3--</w:t>
      </w:r>
      <w:r>
        <w:rPr>
          <w:rFonts w:hint="eastAsia"/>
          <w:szCs w:val="21"/>
        </w:rPr>
        <w:t>砂石垫层；4--中粗砂；5--管沟顶板；6--防水砂浆）</w:t>
      </w:r>
    </w:p>
    <w:p>
      <w:pPr>
        <w:adjustRightInd w:val="0"/>
        <w:snapToGrid w:val="0"/>
        <w:spacing w:line="360" w:lineRule="auto"/>
        <w:ind w:firstLine="482"/>
        <w:rPr>
          <w:sz w:val="24"/>
          <w:szCs w:val="24"/>
        </w:rPr>
      </w:pPr>
      <w:r>
        <w:rPr>
          <w:sz w:val="24"/>
          <w:szCs w:val="24"/>
        </w:rPr>
        <w:t>加强监测管理，一旦出现泄漏处，则对被污染的土壤进行换土。</w:t>
      </w:r>
    </w:p>
    <w:p>
      <w:pPr>
        <w:widowControl/>
        <w:adjustRightInd w:val="0"/>
        <w:snapToGrid w:val="0"/>
        <w:spacing w:line="360" w:lineRule="auto"/>
        <w:ind w:firstLine="480" w:firstLineChars="200"/>
        <w:jc w:val="left"/>
        <w:rPr>
          <w:rFonts w:eastAsiaTheme="minorEastAsia"/>
          <w:bCs/>
          <w:sz w:val="24"/>
          <w:szCs w:val="24"/>
        </w:rPr>
      </w:pPr>
      <w:r>
        <w:rPr>
          <w:rFonts w:hint="eastAsia" w:eastAsiaTheme="minorEastAsia"/>
          <w:bCs/>
          <w:sz w:val="24"/>
          <w:szCs w:val="24"/>
        </w:rPr>
        <w:t>（3）填埋库区</w:t>
      </w:r>
    </w:p>
    <w:p>
      <w:pPr>
        <w:widowControl/>
        <w:adjustRightInd w:val="0"/>
        <w:snapToGrid w:val="0"/>
        <w:spacing w:line="360" w:lineRule="auto"/>
        <w:ind w:firstLine="480" w:firstLineChars="200"/>
        <w:jc w:val="left"/>
        <w:rPr>
          <w:rFonts w:eastAsiaTheme="minorEastAsia"/>
          <w:bCs/>
          <w:sz w:val="24"/>
          <w:szCs w:val="24"/>
        </w:rPr>
      </w:pPr>
      <w:r>
        <w:rPr>
          <w:rFonts w:eastAsiaTheme="minorEastAsia"/>
          <w:sz w:val="24"/>
          <w:szCs w:val="21"/>
        </w:rPr>
        <w:t>填埋</w:t>
      </w:r>
      <w:r>
        <w:rPr>
          <w:rFonts w:hint="eastAsia" w:eastAsiaTheme="minorEastAsia"/>
          <w:sz w:val="24"/>
          <w:szCs w:val="21"/>
        </w:rPr>
        <w:t>库区</w:t>
      </w:r>
      <w:r>
        <w:rPr>
          <w:rFonts w:eastAsiaTheme="minorEastAsia"/>
          <w:sz w:val="24"/>
          <w:szCs w:val="21"/>
        </w:rPr>
        <w:t>采用双层人工合成材料防渗衬层，防渗结构主要</w:t>
      </w:r>
      <w:r>
        <w:rPr>
          <w:rFonts w:hint="eastAsia" w:eastAsiaTheme="minorEastAsia"/>
          <w:sz w:val="24"/>
          <w:szCs w:val="21"/>
        </w:rPr>
        <w:t>由</w:t>
      </w:r>
      <w:r>
        <w:rPr>
          <w:rFonts w:eastAsiaTheme="minorEastAsia"/>
          <w:bCs/>
          <w:sz w:val="24"/>
          <w:szCs w:val="21"/>
        </w:rPr>
        <w:t>基础层、膜下保护层、</w:t>
      </w:r>
      <w:r>
        <w:rPr>
          <w:rFonts w:hint="eastAsia" w:eastAsiaTheme="minorEastAsia"/>
          <w:bCs/>
          <w:sz w:val="24"/>
          <w:szCs w:val="21"/>
        </w:rPr>
        <w:t>防渗</w:t>
      </w:r>
      <w:r>
        <w:rPr>
          <w:rFonts w:eastAsiaTheme="minorEastAsia"/>
          <w:bCs/>
          <w:sz w:val="24"/>
          <w:szCs w:val="21"/>
        </w:rPr>
        <w:t>膜、</w:t>
      </w:r>
      <w:r>
        <w:rPr>
          <w:rFonts w:hint="eastAsia" w:eastAsiaTheme="minorEastAsia"/>
          <w:bCs/>
          <w:sz w:val="24"/>
          <w:szCs w:val="21"/>
        </w:rPr>
        <w:t>渗漏检测层、</w:t>
      </w:r>
      <w:r>
        <w:rPr>
          <w:rFonts w:eastAsiaTheme="minorEastAsia"/>
          <w:bCs/>
          <w:sz w:val="24"/>
          <w:szCs w:val="21"/>
        </w:rPr>
        <w:t>膜上保护层、</w:t>
      </w:r>
      <w:r>
        <w:rPr>
          <w:rFonts w:hint="eastAsia" w:eastAsiaTheme="minorEastAsia"/>
          <w:bCs/>
          <w:sz w:val="24"/>
          <w:szCs w:val="21"/>
        </w:rPr>
        <w:t>渗滤液</w:t>
      </w:r>
      <w:r>
        <w:rPr>
          <w:rFonts w:eastAsiaTheme="minorEastAsia"/>
          <w:bCs/>
          <w:sz w:val="24"/>
          <w:szCs w:val="21"/>
        </w:rPr>
        <w:t>导流层、土工织物层等组成</w:t>
      </w:r>
      <w:r>
        <w:rPr>
          <w:rFonts w:hint="eastAsia" w:eastAsiaTheme="minorEastAsia"/>
          <w:bCs/>
          <w:sz w:val="24"/>
          <w:szCs w:val="21"/>
        </w:rPr>
        <w:t>，具体见本报告3</w:t>
      </w:r>
      <w:r>
        <w:rPr>
          <w:rFonts w:eastAsiaTheme="minorEastAsia"/>
          <w:bCs/>
          <w:sz w:val="24"/>
          <w:szCs w:val="21"/>
        </w:rPr>
        <w:t>.7.3</w:t>
      </w:r>
      <w:r>
        <w:rPr>
          <w:rFonts w:hint="eastAsia" w:eastAsiaTheme="minorEastAsia"/>
          <w:bCs/>
          <w:sz w:val="24"/>
          <w:szCs w:val="21"/>
        </w:rPr>
        <w:t>章节。</w:t>
      </w:r>
    </w:p>
    <w:p>
      <w:pPr>
        <w:widowControl/>
        <w:adjustRightInd w:val="0"/>
        <w:snapToGrid w:val="0"/>
        <w:spacing w:line="360" w:lineRule="auto"/>
        <w:ind w:firstLine="480" w:firstLineChars="200"/>
        <w:jc w:val="left"/>
        <w:rPr>
          <w:rFonts w:eastAsiaTheme="minorEastAsia"/>
          <w:bCs/>
          <w:sz w:val="24"/>
          <w:szCs w:val="24"/>
        </w:rPr>
      </w:pPr>
      <w:r>
        <w:rPr>
          <w:rFonts w:eastAsiaTheme="minorEastAsia"/>
          <w:bCs/>
          <w:sz w:val="24"/>
          <w:szCs w:val="24"/>
        </w:rPr>
        <w:t>2</w:t>
      </w:r>
      <w:r>
        <w:rPr>
          <w:rFonts w:hint="eastAsia" w:eastAsiaTheme="minorEastAsia"/>
          <w:bCs/>
          <w:sz w:val="24"/>
          <w:szCs w:val="24"/>
        </w:rPr>
        <w:t>、简单防渗分区</w:t>
      </w:r>
    </w:p>
    <w:p>
      <w:pPr>
        <w:widowControl/>
        <w:adjustRightInd w:val="0"/>
        <w:snapToGrid w:val="0"/>
        <w:spacing w:line="360" w:lineRule="auto"/>
        <w:ind w:firstLine="480" w:firstLineChars="200"/>
        <w:jc w:val="left"/>
        <w:rPr>
          <w:rFonts w:eastAsiaTheme="minorEastAsia"/>
          <w:bCs/>
          <w:sz w:val="24"/>
          <w:szCs w:val="24"/>
        </w:rPr>
      </w:pPr>
      <w:r>
        <w:rPr>
          <w:rFonts w:hint="eastAsia" w:eastAsiaTheme="minorEastAsia"/>
          <w:bCs/>
          <w:sz w:val="24"/>
          <w:szCs w:val="24"/>
        </w:rPr>
        <w:t>主要为厂区道路、门卫室、休息平台渗滤液处理区地面等。简单防渗区采取一般混凝土硬化的措施。</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1021"/>
        <w:jc w:val="left"/>
        <w:outlineLvl w:val="2"/>
        <w:rPr>
          <w:b/>
          <w:bCs/>
          <w:snapToGrid w:val="0"/>
          <w:sz w:val="28"/>
          <w:szCs w:val="28"/>
        </w:rPr>
      </w:pPr>
      <w:r>
        <w:rPr>
          <w:b/>
          <w:bCs/>
          <w:snapToGrid w:val="0"/>
          <w:sz w:val="28"/>
          <w:szCs w:val="28"/>
        </w:rPr>
        <w:t>地下水污染</w:t>
      </w:r>
      <w:r>
        <w:rPr>
          <w:rFonts w:hint="eastAsia"/>
          <w:b/>
          <w:bCs/>
          <w:snapToGrid w:val="0"/>
          <w:sz w:val="28"/>
          <w:szCs w:val="28"/>
        </w:rPr>
        <w:t>监控计划</w:t>
      </w:r>
    </w:p>
    <w:p>
      <w:pPr>
        <w:widowControl/>
        <w:spacing w:line="360" w:lineRule="auto"/>
        <w:ind w:firstLine="480" w:firstLineChars="200"/>
        <w:jc w:val="left"/>
        <w:rPr>
          <w:rFonts w:eastAsiaTheme="minorEastAsia"/>
          <w:sz w:val="24"/>
          <w:szCs w:val="24"/>
        </w:rPr>
      </w:pPr>
      <w:r>
        <w:rPr>
          <w:rFonts w:hint="eastAsia" w:eastAsiaTheme="minorEastAsia"/>
          <w:sz w:val="24"/>
          <w:szCs w:val="24"/>
        </w:rPr>
        <w:t>为了及时准确地掌握项目场地及下游地区地下水环境质量状况和地下水体中污染物的动态变化，本项目建立地下水长期监控系统，包括科学、合理地设置地下水污染监控井，建立完善的监测制度，配备先进的检测仪器和设备，以便及时发现并及时控制。</w:t>
      </w:r>
    </w:p>
    <w:p>
      <w:pPr>
        <w:widowControl/>
        <w:spacing w:line="360" w:lineRule="auto"/>
        <w:ind w:firstLine="480" w:firstLineChars="200"/>
        <w:jc w:val="left"/>
        <w:rPr>
          <w:rFonts w:eastAsiaTheme="minorEastAsia"/>
          <w:sz w:val="24"/>
          <w:szCs w:val="24"/>
        </w:rPr>
      </w:pPr>
      <w:r>
        <w:rPr>
          <w:rFonts w:hint="eastAsia" w:eastAsiaTheme="minorEastAsia"/>
          <w:sz w:val="24"/>
          <w:szCs w:val="24"/>
        </w:rPr>
        <w:t>依据地下水监测原则，参照《地下水环境监测技术规范》</w:t>
      </w:r>
      <w:r>
        <w:rPr>
          <w:rFonts w:eastAsiaTheme="minorEastAsia"/>
          <w:sz w:val="24"/>
          <w:szCs w:val="24"/>
        </w:rPr>
        <w:t>(HJ/T164-2020)</w:t>
      </w:r>
      <w:r>
        <w:rPr>
          <w:rFonts w:hint="eastAsia" w:eastAsiaTheme="minorEastAsia"/>
          <w:sz w:val="24"/>
          <w:szCs w:val="24"/>
        </w:rPr>
        <w:t>相关要求，结合工程总平面布置，在本项目场地共布置</w:t>
      </w:r>
      <w:r>
        <w:rPr>
          <w:rFonts w:eastAsiaTheme="minorEastAsia"/>
          <w:sz w:val="24"/>
          <w:szCs w:val="24"/>
        </w:rPr>
        <w:t>4</w:t>
      </w:r>
      <w:r>
        <w:rPr>
          <w:rFonts w:hint="eastAsia" w:eastAsiaTheme="minorEastAsia"/>
          <w:sz w:val="24"/>
          <w:szCs w:val="24"/>
        </w:rPr>
        <w:t>眼地下水监测井。地下水监控计划详见</w:t>
      </w:r>
      <w:r>
        <w:rPr>
          <w:rFonts w:eastAsiaTheme="minorEastAsia"/>
          <w:sz w:val="24"/>
          <w:szCs w:val="24"/>
        </w:rPr>
        <w:t>表6.1-2</w:t>
      </w:r>
      <w:r>
        <w:rPr>
          <w:rFonts w:hint="eastAsia" w:eastAsiaTheme="minorEastAsia"/>
          <w:sz w:val="24"/>
          <w:szCs w:val="24"/>
        </w:rPr>
        <w:t>。地下水跟踪监测井位分布图见图6.</w:t>
      </w:r>
      <w:r>
        <w:rPr>
          <w:rFonts w:eastAsiaTheme="minorEastAsia"/>
          <w:sz w:val="24"/>
          <w:szCs w:val="24"/>
        </w:rPr>
        <w:t>1</w:t>
      </w:r>
      <w:r>
        <w:rPr>
          <w:rFonts w:hint="eastAsia" w:eastAsiaTheme="minorEastAsia"/>
          <w:sz w:val="24"/>
          <w:szCs w:val="24"/>
        </w:rPr>
        <w:t>-</w:t>
      </w:r>
      <w:r>
        <w:rPr>
          <w:rFonts w:eastAsiaTheme="minorEastAsia"/>
          <w:sz w:val="24"/>
          <w:szCs w:val="24"/>
        </w:rPr>
        <w:t>4</w:t>
      </w:r>
      <w:r>
        <w:rPr>
          <w:rFonts w:hint="eastAsia" w:eastAsiaTheme="minorEastAsia"/>
          <w:sz w:val="24"/>
          <w:szCs w:val="24"/>
        </w:rPr>
        <w:t>。</w:t>
      </w:r>
    </w:p>
    <w:p>
      <w:pPr>
        <w:spacing w:line="480" w:lineRule="exact"/>
        <w:jc w:val="center"/>
        <w:rPr>
          <w:rFonts w:eastAsia="黑体"/>
          <w:sz w:val="24"/>
          <w:szCs w:val="21"/>
        </w:rPr>
      </w:pPr>
      <w:r>
        <w:rPr>
          <w:rFonts w:eastAsia="黑体"/>
          <w:sz w:val="24"/>
          <w:szCs w:val="21"/>
        </w:rPr>
        <w:t>表6.1-2    地下水监控</w:t>
      </w:r>
      <w:r>
        <w:rPr>
          <w:rFonts w:hint="eastAsia" w:eastAsia="黑体"/>
          <w:sz w:val="24"/>
          <w:szCs w:val="21"/>
        </w:rPr>
        <w:t>计划</w:t>
      </w:r>
      <w:r>
        <w:rPr>
          <w:rFonts w:eastAsia="黑体"/>
          <w:sz w:val="24"/>
          <w:szCs w:val="21"/>
        </w:rPr>
        <w:t>表</w:t>
      </w:r>
    </w:p>
    <w:tbl>
      <w:tblPr>
        <w:tblStyle w:val="39"/>
        <w:tblW w:w="525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6"/>
        <w:gridCol w:w="570"/>
        <w:gridCol w:w="1277"/>
        <w:gridCol w:w="2410"/>
        <w:gridCol w:w="1135"/>
        <w:gridCol w:w="1271"/>
        <w:gridCol w:w="553"/>
        <w:gridCol w:w="11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338" w:type="pct"/>
            <w:vAlign w:val="center"/>
          </w:tcPr>
          <w:p>
            <w:pPr>
              <w:adjustRightInd w:val="0"/>
              <w:snapToGrid w:val="0"/>
              <w:jc w:val="center"/>
              <w:rPr>
                <w:kern w:val="0"/>
                <w:sz w:val="20"/>
              </w:rPr>
            </w:pPr>
            <w:r>
              <w:rPr>
                <w:kern w:val="0"/>
                <w:sz w:val="20"/>
              </w:rPr>
              <w:t>监测项目</w:t>
            </w:r>
          </w:p>
        </w:tc>
        <w:tc>
          <w:tcPr>
            <w:tcW w:w="318" w:type="pct"/>
            <w:vAlign w:val="center"/>
          </w:tcPr>
          <w:p>
            <w:pPr>
              <w:adjustRightInd w:val="0"/>
              <w:snapToGrid w:val="0"/>
              <w:rPr>
                <w:kern w:val="0"/>
                <w:sz w:val="20"/>
              </w:rPr>
            </w:pPr>
            <w:r>
              <w:rPr>
                <w:kern w:val="0"/>
                <w:sz w:val="20"/>
              </w:rPr>
              <w:t>监测</w:t>
            </w:r>
          </w:p>
          <w:p>
            <w:pPr>
              <w:adjustRightInd w:val="0"/>
              <w:snapToGrid w:val="0"/>
              <w:rPr>
                <w:kern w:val="0"/>
                <w:sz w:val="20"/>
              </w:rPr>
            </w:pPr>
            <w:r>
              <w:rPr>
                <w:kern w:val="0"/>
                <w:sz w:val="20"/>
              </w:rPr>
              <w:t>点位</w:t>
            </w:r>
          </w:p>
        </w:tc>
        <w:tc>
          <w:tcPr>
            <w:tcW w:w="713" w:type="pct"/>
            <w:vAlign w:val="center"/>
          </w:tcPr>
          <w:p>
            <w:pPr>
              <w:adjustRightInd w:val="0"/>
              <w:snapToGrid w:val="0"/>
              <w:jc w:val="center"/>
              <w:rPr>
                <w:kern w:val="0"/>
                <w:sz w:val="20"/>
              </w:rPr>
            </w:pPr>
            <w:r>
              <w:rPr>
                <w:kern w:val="0"/>
                <w:sz w:val="20"/>
              </w:rPr>
              <w:t>方位</w:t>
            </w:r>
          </w:p>
        </w:tc>
        <w:tc>
          <w:tcPr>
            <w:tcW w:w="1346" w:type="pct"/>
            <w:vAlign w:val="center"/>
          </w:tcPr>
          <w:p>
            <w:pPr>
              <w:adjustRightInd w:val="0"/>
              <w:snapToGrid w:val="0"/>
              <w:jc w:val="center"/>
              <w:rPr>
                <w:kern w:val="0"/>
                <w:sz w:val="20"/>
              </w:rPr>
            </w:pPr>
            <w:r>
              <w:rPr>
                <w:kern w:val="0"/>
                <w:sz w:val="20"/>
              </w:rPr>
              <w:t>监测项目</w:t>
            </w:r>
          </w:p>
        </w:tc>
        <w:tc>
          <w:tcPr>
            <w:tcW w:w="634" w:type="pct"/>
            <w:vAlign w:val="center"/>
          </w:tcPr>
          <w:p>
            <w:pPr>
              <w:adjustRightInd w:val="0"/>
              <w:snapToGrid w:val="0"/>
              <w:jc w:val="center"/>
              <w:rPr>
                <w:kern w:val="0"/>
                <w:sz w:val="20"/>
              </w:rPr>
            </w:pPr>
            <w:r>
              <w:rPr>
                <w:kern w:val="0"/>
                <w:sz w:val="20"/>
              </w:rPr>
              <w:t>井深及取样深度</w:t>
            </w:r>
          </w:p>
        </w:tc>
        <w:tc>
          <w:tcPr>
            <w:tcW w:w="710" w:type="pct"/>
            <w:vAlign w:val="center"/>
          </w:tcPr>
          <w:p>
            <w:pPr>
              <w:adjustRightInd w:val="0"/>
              <w:snapToGrid w:val="0"/>
              <w:jc w:val="center"/>
              <w:rPr>
                <w:kern w:val="0"/>
                <w:sz w:val="20"/>
              </w:rPr>
            </w:pPr>
            <w:r>
              <w:rPr>
                <w:kern w:val="0"/>
                <w:sz w:val="20"/>
              </w:rPr>
              <w:t>监测</w:t>
            </w:r>
          </w:p>
          <w:p>
            <w:pPr>
              <w:adjustRightInd w:val="0"/>
              <w:snapToGrid w:val="0"/>
              <w:jc w:val="center"/>
              <w:rPr>
                <w:kern w:val="0"/>
                <w:sz w:val="20"/>
              </w:rPr>
            </w:pPr>
            <w:r>
              <w:rPr>
                <w:kern w:val="0"/>
                <w:sz w:val="20"/>
              </w:rPr>
              <w:t>频率</w:t>
            </w:r>
          </w:p>
        </w:tc>
        <w:tc>
          <w:tcPr>
            <w:tcW w:w="309" w:type="pct"/>
            <w:vAlign w:val="center"/>
          </w:tcPr>
          <w:p>
            <w:pPr>
              <w:adjustRightInd w:val="0"/>
              <w:snapToGrid w:val="0"/>
              <w:jc w:val="center"/>
              <w:rPr>
                <w:kern w:val="0"/>
                <w:sz w:val="20"/>
              </w:rPr>
            </w:pPr>
            <w:r>
              <w:rPr>
                <w:kern w:val="0"/>
                <w:sz w:val="20"/>
              </w:rPr>
              <w:t>监测</w:t>
            </w:r>
          </w:p>
          <w:p>
            <w:pPr>
              <w:adjustRightInd w:val="0"/>
              <w:snapToGrid w:val="0"/>
              <w:jc w:val="center"/>
              <w:rPr>
                <w:kern w:val="0"/>
                <w:sz w:val="20"/>
              </w:rPr>
            </w:pPr>
            <w:r>
              <w:rPr>
                <w:kern w:val="0"/>
                <w:sz w:val="20"/>
              </w:rPr>
              <w:t>主体</w:t>
            </w:r>
          </w:p>
        </w:tc>
        <w:tc>
          <w:tcPr>
            <w:tcW w:w="632" w:type="pct"/>
            <w:vAlign w:val="center"/>
          </w:tcPr>
          <w:p>
            <w:pPr>
              <w:adjustRightInd w:val="0"/>
              <w:snapToGrid w:val="0"/>
              <w:jc w:val="center"/>
              <w:rPr>
                <w:kern w:val="0"/>
                <w:sz w:val="20"/>
              </w:rPr>
            </w:pPr>
            <w:r>
              <w:rPr>
                <w:kern w:val="0"/>
                <w:sz w:val="20"/>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338" w:type="pct"/>
            <w:vMerge w:val="restart"/>
            <w:vAlign w:val="center"/>
          </w:tcPr>
          <w:p>
            <w:pPr>
              <w:adjustRightInd w:val="0"/>
              <w:snapToGrid w:val="0"/>
              <w:jc w:val="center"/>
              <w:rPr>
                <w:kern w:val="0"/>
                <w:sz w:val="20"/>
              </w:rPr>
            </w:pPr>
            <w:r>
              <w:rPr>
                <w:kern w:val="0"/>
                <w:sz w:val="20"/>
              </w:rPr>
              <w:t>地下水</w:t>
            </w:r>
          </w:p>
          <w:p>
            <w:pPr>
              <w:adjustRightInd w:val="0"/>
              <w:snapToGrid w:val="0"/>
              <w:jc w:val="center"/>
              <w:rPr>
                <w:kern w:val="0"/>
                <w:sz w:val="20"/>
              </w:rPr>
            </w:pPr>
            <w:r>
              <w:rPr>
                <w:kern w:val="0"/>
                <w:sz w:val="20"/>
              </w:rPr>
              <w:t>环境</w:t>
            </w:r>
          </w:p>
        </w:tc>
        <w:tc>
          <w:tcPr>
            <w:tcW w:w="318" w:type="pct"/>
            <w:vAlign w:val="center"/>
          </w:tcPr>
          <w:p>
            <w:pPr>
              <w:adjustRightInd w:val="0"/>
              <w:snapToGrid w:val="0"/>
              <w:jc w:val="center"/>
              <w:rPr>
                <w:kern w:val="0"/>
                <w:sz w:val="20"/>
              </w:rPr>
            </w:pPr>
            <w:r>
              <w:rPr>
                <w:kern w:val="0"/>
                <w:sz w:val="20"/>
              </w:rPr>
              <w:t>A1</w:t>
            </w:r>
          </w:p>
        </w:tc>
        <w:tc>
          <w:tcPr>
            <w:tcW w:w="713" w:type="pct"/>
            <w:vAlign w:val="center"/>
          </w:tcPr>
          <w:p>
            <w:pPr>
              <w:adjustRightInd w:val="0"/>
              <w:snapToGrid w:val="0"/>
              <w:jc w:val="center"/>
              <w:rPr>
                <w:kern w:val="0"/>
                <w:sz w:val="20"/>
              </w:rPr>
            </w:pPr>
            <w:r>
              <w:rPr>
                <w:kern w:val="0"/>
                <w:sz w:val="20"/>
              </w:rPr>
              <w:t>上游背景点</w:t>
            </w:r>
          </w:p>
        </w:tc>
        <w:tc>
          <w:tcPr>
            <w:tcW w:w="1346" w:type="pct"/>
            <w:vMerge w:val="restart"/>
            <w:vAlign w:val="center"/>
          </w:tcPr>
          <w:p>
            <w:pPr>
              <w:adjustRightInd w:val="0"/>
              <w:snapToGrid w:val="0"/>
              <w:spacing w:line="320" w:lineRule="exact"/>
              <w:jc w:val="center"/>
              <w:rPr>
                <w:kern w:val="0"/>
                <w:sz w:val="20"/>
              </w:rPr>
            </w:pPr>
            <w:r>
              <w:rPr>
                <w:rFonts w:cs="宋体" w:eastAsiaTheme="minorEastAsia"/>
                <w:kern w:val="0"/>
                <w:sz w:val="20"/>
              </w:rPr>
              <w:t>K</w:t>
            </w:r>
            <w:r>
              <w:rPr>
                <w:rFonts w:cs="宋体" w:eastAsiaTheme="minorEastAsia"/>
                <w:kern w:val="0"/>
                <w:sz w:val="20"/>
                <w:vertAlign w:val="superscript"/>
              </w:rPr>
              <w:t>+</w:t>
            </w:r>
            <w:r>
              <w:rPr>
                <w:rFonts w:cs="宋体" w:eastAsiaTheme="minorEastAsia"/>
                <w:kern w:val="0"/>
                <w:sz w:val="20"/>
              </w:rPr>
              <w:t>、Na</w:t>
            </w:r>
            <w:r>
              <w:rPr>
                <w:rFonts w:cs="宋体" w:eastAsiaTheme="minorEastAsia"/>
                <w:kern w:val="0"/>
                <w:sz w:val="20"/>
                <w:vertAlign w:val="superscript"/>
              </w:rPr>
              <w:t>+</w:t>
            </w:r>
            <w:r>
              <w:rPr>
                <w:rFonts w:cs="宋体" w:eastAsiaTheme="minorEastAsia"/>
                <w:kern w:val="0"/>
                <w:sz w:val="20"/>
              </w:rPr>
              <w:t>、Ca</w:t>
            </w:r>
            <w:r>
              <w:rPr>
                <w:rFonts w:cs="宋体" w:eastAsiaTheme="minorEastAsia"/>
                <w:kern w:val="0"/>
                <w:sz w:val="20"/>
                <w:vertAlign w:val="superscript"/>
              </w:rPr>
              <w:t>2+</w:t>
            </w:r>
            <w:r>
              <w:rPr>
                <w:rFonts w:cs="宋体" w:eastAsiaTheme="minorEastAsia"/>
                <w:kern w:val="0"/>
                <w:sz w:val="20"/>
              </w:rPr>
              <w:t>、Mg</w:t>
            </w:r>
            <w:r>
              <w:rPr>
                <w:rFonts w:cs="宋体" w:eastAsiaTheme="minorEastAsia"/>
                <w:kern w:val="0"/>
                <w:sz w:val="20"/>
                <w:vertAlign w:val="superscript"/>
              </w:rPr>
              <w:t>2+</w:t>
            </w:r>
            <w:r>
              <w:rPr>
                <w:rFonts w:cs="宋体" w:eastAsiaTheme="minorEastAsia"/>
                <w:kern w:val="0"/>
                <w:sz w:val="20"/>
              </w:rPr>
              <w:t>、CO</w:t>
            </w:r>
            <w:r>
              <w:rPr>
                <w:rFonts w:cs="宋体" w:eastAsiaTheme="minorEastAsia"/>
                <w:kern w:val="0"/>
                <w:sz w:val="20"/>
                <w:vertAlign w:val="subscript"/>
              </w:rPr>
              <w:t>3</w:t>
            </w:r>
            <w:r>
              <w:rPr>
                <w:rFonts w:cs="宋体" w:eastAsiaTheme="minorEastAsia"/>
                <w:kern w:val="0"/>
                <w:sz w:val="20"/>
                <w:vertAlign w:val="superscript"/>
              </w:rPr>
              <w:t>2-</w:t>
            </w:r>
            <w:r>
              <w:rPr>
                <w:rFonts w:cs="宋体" w:eastAsiaTheme="minorEastAsia"/>
                <w:kern w:val="0"/>
                <w:sz w:val="20"/>
              </w:rPr>
              <w:t>、HCO</w:t>
            </w:r>
            <w:r>
              <w:rPr>
                <w:rFonts w:cs="宋体" w:eastAsiaTheme="minorEastAsia"/>
                <w:kern w:val="0"/>
                <w:sz w:val="20"/>
                <w:vertAlign w:val="superscript"/>
              </w:rPr>
              <w:t>3-</w:t>
            </w:r>
            <w:r>
              <w:rPr>
                <w:rFonts w:cs="宋体" w:eastAsiaTheme="minorEastAsia"/>
                <w:kern w:val="0"/>
                <w:sz w:val="20"/>
              </w:rPr>
              <w:t>、pH、总硬度、溶解性总固体、</w:t>
            </w:r>
            <w:r>
              <w:rPr>
                <w:rFonts w:hint="eastAsia" w:cs="宋体" w:eastAsiaTheme="minorEastAsia"/>
                <w:kern w:val="0"/>
                <w:sz w:val="20"/>
              </w:rPr>
              <w:t>耗氧量、硝酸盐氮、亚硝酸盐氮、氨氮、氟化物、总大肠菌群、菌落总数、氰化物、汞、砷、镉、六价铬、铅、铜、锌、铍、钡、镍、硒</w:t>
            </w:r>
          </w:p>
        </w:tc>
        <w:tc>
          <w:tcPr>
            <w:tcW w:w="634" w:type="pct"/>
            <w:vMerge w:val="restart"/>
            <w:vAlign w:val="center"/>
          </w:tcPr>
          <w:p>
            <w:pPr>
              <w:adjustRightInd w:val="0"/>
              <w:snapToGrid w:val="0"/>
              <w:jc w:val="center"/>
              <w:rPr>
                <w:kern w:val="0"/>
                <w:sz w:val="20"/>
              </w:rPr>
            </w:pPr>
            <w:r>
              <w:rPr>
                <w:kern w:val="0"/>
                <w:sz w:val="20"/>
              </w:rPr>
              <w:t>井深</w:t>
            </w:r>
            <w:r>
              <w:rPr>
                <w:rFonts w:hint="eastAsia"/>
                <w:kern w:val="0"/>
                <w:sz w:val="20"/>
              </w:rPr>
              <w:t>：</w:t>
            </w:r>
            <w:r>
              <w:rPr>
                <w:kern w:val="0"/>
                <w:sz w:val="20"/>
              </w:rPr>
              <w:t>潜水位以下</w:t>
            </w:r>
            <w:r>
              <w:rPr>
                <w:rFonts w:hint="eastAsia"/>
                <w:kern w:val="0"/>
                <w:sz w:val="20"/>
              </w:rPr>
              <w:t>2-</w:t>
            </w:r>
            <w:r>
              <w:rPr>
                <w:kern w:val="0"/>
                <w:sz w:val="20"/>
              </w:rPr>
              <w:t>3m</w:t>
            </w:r>
            <w:r>
              <w:rPr>
                <w:rFonts w:hint="eastAsia"/>
                <w:kern w:val="0"/>
                <w:sz w:val="20"/>
              </w:rPr>
              <w:t>；</w:t>
            </w:r>
          </w:p>
          <w:p>
            <w:pPr>
              <w:adjustRightInd w:val="0"/>
              <w:snapToGrid w:val="0"/>
              <w:jc w:val="center"/>
              <w:rPr>
                <w:kern w:val="0"/>
                <w:sz w:val="20"/>
              </w:rPr>
            </w:pPr>
          </w:p>
          <w:p>
            <w:pPr>
              <w:adjustRightInd w:val="0"/>
              <w:snapToGrid w:val="0"/>
              <w:jc w:val="center"/>
              <w:rPr>
                <w:kern w:val="0"/>
                <w:sz w:val="20"/>
              </w:rPr>
            </w:pPr>
            <w:r>
              <w:rPr>
                <w:kern w:val="0"/>
                <w:sz w:val="20"/>
              </w:rPr>
              <w:t>采样深度</w:t>
            </w:r>
            <w:r>
              <w:rPr>
                <w:rFonts w:hint="eastAsia"/>
                <w:kern w:val="0"/>
                <w:sz w:val="20"/>
              </w:rPr>
              <w:t>：</w:t>
            </w:r>
            <w:r>
              <w:rPr>
                <w:kern w:val="0"/>
                <w:sz w:val="20"/>
              </w:rPr>
              <w:t>潜水位以下</w:t>
            </w:r>
            <w:r>
              <w:rPr>
                <w:rFonts w:hint="eastAsia"/>
                <w:kern w:val="0"/>
                <w:sz w:val="20"/>
              </w:rPr>
              <w:t>1m</w:t>
            </w:r>
          </w:p>
        </w:tc>
        <w:tc>
          <w:tcPr>
            <w:tcW w:w="710" w:type="pct"/>
            <w:vMerge w:val="restart"/>
            <w:vAlign w:val="center"/>
          </w:tcPr>
          <w:p>
            <w:pPr>
              <w:spacing w:line="320" w:lineRule="exact"/>
              <w:jc w:val="center"/>
              <w:rPr>
                <w:kern w:val="0"/>
                <w:sz w:val="20"/>
              </w:rPr>
            </w:pPr>
            <w:r>
              <w:rPr>
                <w:rFonts w:hint="eastAsia"/>
                <w:kern w:val="0"/>
                <w:sz w:val="20"/>
              </w:rPr>
              <w:t>背景值监测井每年枯水期采样一次。</w:t>
            </w:r>
          </w:p>
          <w:p>
            <w:pPr>
              <w:spacing w:line="320" w:lineRule="exact"/>
              <w:jc w:val="center"/>
              <w:rPr>
                <w:kern w:val="0"/>
                <w:sz w:val="20"/>
              </w:rPr>
            </w:pPr>
            <w:r>
              <w:rPr>
                <w:rFonts w:hint="eastAsia"/>
                <w:kern w:val="0"/>
                <w:sz w:val="20"/>
              </w:rPr>
              <w:t>污染控制监测井逢每月采样一次。</w:t>
            </w:r>
          </w:p>
        </w:tc>
        <w:tc>
          <w:tcPr>
            <w:tcW w:w="309" w:type="pct"/>
            <w:vMerge w:val="restart"/>
            <w:vAlign w:val="center"/>
          </w:tcPr>
          <w:p>
            <w:pPr>
              <w:adjustRightInd w:val="0"/>
              <w:snapToGrid w:val="0"/>
              <w:jc w:val="center"/>
              <w:rPr>
                <w:kern w:val="0"/>
                <w:sz w:val="20"/>
              </w:rPr>
            </w:pPr>
            <w:r>
              <w:rPr>
                <w:kern w:val="0"/>
                <w:sz w:val="20"/>
              </w:rPr>
              <w:t>第三方检测</w:t>
            </w:r>
          </w:p>
        </w:tc>
        <w:tc>
          <w:tcPr>
            <w:tcW w:w="632" w:type="pct"/>
            <w:vMerge w:val="restart"/>
            <w:vAlign w:val="center"/>
          </w:tcPr>
          <w:p>
            <w:pPr>
              <w:adjustRightInd w:val="0"/>
              <w:snapToGrid w:val="0"/>
              <w:jc w:val="center"/>
              <w:rPr>
                <w:kern w:val="0"/>
                <w:sz w:val="20"/>
              </w:rPr>
            </w:pPr>
            <w:r>
              <w:rPr>
                <w:kern w:val="0"/>
                <w:sz w:val="20"/>
              </w:rPr>
              <w:t>采用井径为170~210mm的PVC管材；监测井下部添加滤料、孔口加盖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338" w:type="pct"/>
            <w:vMerge w:val="continue"/>
            <w:vAlign w:val="center"/>
          </w:tcPr>
          <w:p>
            <w:pPr>
              <w:adjustRightInd w:val="0"/>
              <w:snapToGrid w:val="0"/>
              <w:jc w:val="center"/>
              <w:rPr>
                <w:kern w:val="0"/>
                <w:sz w:val="20"/>
              </w:rPr>
            </w:pPr>
          </w:p>
        </w:tc>
        <w:tc>
          <w:tcPr>
            <w:tcW w:w="318" w:type="pct"/>
            <w:vAlign w:val="center"/>
          </w:tcPr>
          <w:p>
            <w:pPr>
              <w:adjustRightInd w:val="0"/>
              <w:snapToGrid w:val="0"/>
              <w:jc w:val="center"/>
              <w:rPr>
                <w:kern w:val="0"/>
                <w:sz w:val="20"/>
              </w:rPr>
            </w:pPr>
            <w:r>
              <w:rPr>
                <w:kern w:val="0"/>
                <w:sz w:val="20"/>
              </w:rPr>
              <w:t>A2</w:t>
            </w:r>
          </w:p>
        </w:tc>
        <w:tc>
          <w:tcPr>
            <w:tcW w:w="713" w:type="pct"/>
            <w:vAlign w:val="center"/>
          </w:tcPr>
          <w:p>
            <w:pPr>
              <w:adjustRightInd w:val="0"/>
              <w:snapToGrid w:val="0"/>
              <w:jc w:val="center"/>
              <w:rPr>
                <w:kern w:val="0"/>
                <w:sz w:val="20"/>
              </w:rPr>
            </w:pPr>
            <w:r>
              <w:rPr>
                <w:kern w:val="0"/>
                <w:sz w:val="20"/>
              </w:rPr>
              <w:t>调节池下游2m</w:t>
            </w:r>
          </w:p>
        </w:tc>
        <w:tc>
          <w:tcPr>
            <w:tcW w:w="1346" w:type="pct"/>
            <w:vMerge w:val="continue"/>
            <w:vAlign w:val="center"/>
          </w:tcPr>
          <w:p>
            <w:pPr>
              <w:adjustRightInd w:val="0"/>
              <w:snapToGrid w:val="0"/>
              <w:jc w:val="center"/>
              <w:rPr>
                <w:kern w:val="0"/>
                <w:sz w:val="20"/>
              </w:rPr>
            </w:pPr>
          </w:p>
        </w:tc>
        <w:tc>
          <w:tcPr>
            <w:tcW w:w="634" w:type="pct"/>
            <w:vMerge w:val="continue"/>
            <w:vAlign w:val="center"/>
          </w:tcPr>
          <w:p>
            <w:pPr>
              <w:adjustRightInd w:val="0"/>
              <w:snapToGrid w:val="0"/>
              <w:jc w:val="center"/>
              <w:rPr>
                <w:kern w:val="0"/>
                <w:sz w:val="20"/>
              </w:rPr>
            </w:pPr>
          </w:p>
        </w:tc>
        <w:tc>
          <w:tcPr>
            <w:tcW w:w="710" w:type="pct"/>
            <w:vMerge w:val="continue"/>
            <w:vAlign w:val="center"/>
          </w:tcPr>
          <w:p>
            <w:pPr>
              <w:adjustRightInd w:val="0"/>
              <w:snapToGrid w:val="0"/>
              <w:jc w:val="center"/>
              <w:rPr>
                <w:kern w:val="0"/>
                <w:sz w:val="20"/>
              </w:rPr>
            </w:pPr>
          </w:p>
        </w:tc>
        <w:tc>
          <w:tcPr>
            <w:tcW w:w="309" w:type="pct"/>
            <w:vMerge w:val="continue"/>
            <w:vAlign w:val="center"/>
          </w:tcPr>
          <w:p>
            <w:pPr>
              <w:adjustRightInd w:val="0"/>
              <w:snapToGrid w:val="0"/>
              <w:jc w:val="center"/>
              <w:rPr>
                <w:kern w:val="0"/>
                <w:sz w:val="20"/>
              </w:rPr>
            </w:pPr>
          </w:p>
        </w:tc>
        <w:tc>
          <w:tcPr>
            <w:tcW w:w="632" w:type="pct"/>
            <w:vMerge w:val="continue"/>
            <w:vAlign w:val="center"/>
          </w:tcPr>
          <w:p>
            <w:pPr>
              <w:adjustRightInd w:val="0"/>
              <w:snapToGrid w:val="0"/>
              <w:jc w:val="center"/>
              <w:rPr>
                <w:kern w:val="0"/>
                <w:sz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338" w:type="pct"/>
            <w:vMerge w:val="continue"/>
            <w:vAlign w:val="center"/>
          </w:tcPr>
          <w:p>
            <w:pPr>
              <w:adjustRightInd w:val="0"/>
              <w:snapToGrid w:val="0"/>
              <w:jc w:val="center"/>
              <w:rPr>
                <w:kern w:val="0"/>
                <w:sz w:val="20"/>
              </w:rPr>
            </w:pPr>
          </w:p>
        </w:tc>
        <w:tc>
          <w:tcPr>
            <w:tcW w:w="318" w:type="pct"/>
            <w:vAlign w:val="center"/>
          </w:tcPr>
          <w:p>
            <w:pPr>
              <w:adjustRightInd w:val="0"/>
              <w:snapToGrid w:val="0"/>
              <w:jc w:val="center"/>
              <w:rPr>
                <w:kern w:val="0"/>
                <w:sz w:val="20"/>
              </w:rPr>
            </w:pPr>
            <w:r>
              <w:rPr>
                <w:kern w:val="0"/>
                <w:sz w:val="20"/>
              </w:rPr>
              <w:t>A3</w:t>
            </w:r>
          </w:p>
        </w:tc>
        <w:tc>
          <w:tcPr>
            <w:tcW w:w="713" w:type="pct"/>
            <w:vAlign w:val="center"/>
          </w:tcPr>
          <w:p>
            <w:pPr>
              <w:adjustRightInd w:val="0"/>
              <w:snapToGrid w:val="0"/>
              <w:jc w:val="center"/>
              <w:rPr>
                <w:kern w:val="0"/>
                <w:sz w:val="20"/>
              </w:rPr>
            </w:pPr>
            <w:r>
              <w:rPr>
                <w:rFonts w:hint="eastAsia"/>
                <w:kern w:val="0"/>
                <w:sz w:val="20"/>
              </w:rPr>
              <w:t>飞灰填埋场下游2m</w:t>
            </w:r>
          </w:p>
        </w:tc>
        <w:tc>
          <w:tcPr>
            <w:tcW w:w="1346" w:type="pct"/>
            <w:vMerge w:val="continue"/>
            <w:vAlign w:val="center"/>
          </w:tcPr>
          <w:p>
            <w:pPr>
              <w:adjustRightInd w:val="0"/>
              <w:snapToGrid w:val="0"/>
              <w:jc w:val="center"/>
              <w:rPr>
                <w:kern w:val="0"/>
                <w:sz w:val="20"/>
              </w:rPr>
            </w:pPr>
          </w:p>
        </w:tc>
        <w:tc>
          <w:tcPr>
            <w:tcW w:w="634" w:type="pct"/>
            <w:vMerge w:val="continue"/>
            <w:vAlign w:val="center"/>
          </w:tcPr>
          <w:p>
            <w:pPr>
              <w:adjustRightInd w:val="0"/>
              <w:snapToGrid w:val="0"/>
              <w:jc w:val="center"/>
              <w:rPr>
                <w:kern w:val="0"/>
                <w:sz w:val="20"/>
              </w:rPr>
            </w:pPr>
          </w:p>
        </w:tc>
        <w:tc>
          <w:tcPr>
            <w:tcW w:w="710" w:type="pct"/>
            <w:vMerge w:val="continue"/>
            <w:vAlign w:val="center"/>
          </w:tcPr>
          <w:p>
            <w:pPr>
              <w:adjustRightInd w:val="0"/>
              <w:snapToGrid w:val="0"/>
              <w:jc w:val="center"/>
              <w:rPr>
                <w:kern w:val="0"/>
                <w:sz w:val="20"/>
              </w:rPr>
            </w:pPr>
          </w:p>
        </w:tc>
        <w:tc>
          <w:tcPr>
            <w:tcW w:w="309" w:type="pct"/>
            <w:vMerge w:val="continue"/>
            <w:vAlign w:val="center"/>
          </w:tcPr>
          <w:p>
            <w:pPr>
              <w:adjustRightInd w:val="0"/>
              <w:snapToGrid w:val="0"/>
              <w:jc w:val="center"/>
              <w:rPr>
                <w:kern w:val="0"/>
                <w:sz w:val="20"/>
              </w:rPr>
            </w:pPr>
          </w:p>
        </w:tc>
        <w:tc>
          <w:tcPr>
            <w:tcW w:w="632" w:type="pct"/>
            <w:vMerge w:val="continue"/>
            <w:vAlign w:val="center"/>
          </w:tcPr>
          <w:p>
            <w:pPr>
              <w:adjustRightInd w:val="0"/>
              <w:snapToGrid w:val="0"/>
              <w:jc w:val="center"/>
              <w:rPr>
                <w:kern w:val="0"/>
                <w:sz w:val="20"/>
              </w:rPr>
            </w:pPr>
          </w:p>
        </w:tc>
      </w:tr>
    </w:tbl>
    <w:p>
      <w:pPr>
        <w:widowControl/>
        <w:adjustRightInd w:val="0"/>
        <w:snapToGrid w:val="0"/>
        <w:spacing w:before="156" w:beforeLines="50" w:line="360" w:lineRule="auto"/>
        <w:jc w:val="left"/>
        <w:rPr>
          <w:rFonts w:asciiTheme="minorHAnsi" w:hAnsiTheme="minorHAnsi" w:eastAsiaTheme="minorEastAsia" w:cstheme="minorBidi"/>
          <w:bCs/>
          <w:sz w:val="24"/>
          <w:szCs w:val="24"/>
        </w:rPr>
      </w:pPr>
      <w:r>
        <w:rPr>
          <w:rFonts w:asciiTheme="minorHAnsi" w:hAnsiTheme="minorHAnsi" w:eastAsiaTheme="minorEastAsia" w:cstheme="minorBidi"/>
          <w:bCs/>
          <w:sz w:val="24"/>
          <w:szCs w:val="24"/>
        </w:rPr>
        <mc:AlternateContent>
          <mc:Choice Requires="wps">
            <w:drawing>
              <wp:anchor distT="0" distB="0" distL="114300" distR="114300" simplePos="0" relativeHeight="251817984" behindDoc="0" locked="0" layoutInCell="1" allowOverlap="1">
                <wp:simplePos x="0" y="0"/>
                <wp:positionH relativeFrom="column">
                  <wp:posOffset>3002915</wp:posOffset>
                </wp:positionH>
                <wp:positionV relativeFrom="paragraph">
                  <wp:posOffset>3047365</wp:posOffset>
                </wp:positionV>
                <wp:extent cx="648970" cy="514985"/>
                <wp:effectExtent l="0" t="0" r="0" b="0"/>
                <wp:wrapNone/>
                <wp:docPr id="183" name="对话气泡: 矩形 183"/>
                <wp:cNvGraphicFramePr/>
                <a:graphic xmlns:a="http://schemas.openxmlformats.org/drawingml/2006/main">
                  <a:graphicData uri="http://schemas.microsoft.com/office/word/2010/wordprocessingShape">
                    <wps:wsp>
                      <wps:cNvSpPr/>
                      <wps:spPr>
                        <a:xfrm>
                          <a:off x="0" y="0"/>
                          <a:ext cx="649029" cy="514691"/>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sz w:val="28"/>
                                <w:szCs w:val="28"/>
                              </w:rPr>
                            </w:pPr>
                            <w:r>
                              <w:rPr>
                                <w:rFonts w:hint="eastAsia"/>
                                <w:color w:val="FF0000"/>
                                <w:sz w:val="28"/>
                                <w:szCs w:val="28"/>
                              </w:rPr>
                              <w:t>A</w:t>
                            </w:r>
                            <w:r>
                              <w:rPr>
                                <w:color w:val="FF0000"/>
                                <w:sz w:val="28"/>
                                <w:szCs w:val="28"/>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83" o:spid="_x0000_s1026" o:spt="61" type="#_x0000_t61" style="position:absolute;left:0pt;margin-left:236.45pt;margin-top:239.95pt;height:40.55pt;width:51.1pt;z-index:251817984;v-text-anchor:middle;mso-width-relative:page;mso-height-relative:page;" filled="f" stroked="f" coordsize="21600,21600" o:gfxdata="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4EX9B1wAAAAsBAAAPAAAAAAAAAAEAIAAAACIAAABkcnMvZG93&#10;bnJldi54bWxQSwECFAAUAAAACACHTuJAAH4vzHMCAACzBAAADgAAAAAAAAABACAAAAAmAQAAZHJz&#10;L2Uyb0RvYy54bWxQSwUGAAAAAAYABgBZAQAACwYAAAAA&#10;" adj="6300,24300">
                <v:fill on="f" focussize="0,0"/>
                <v:stroke on="f" weight="2pt"/>
                <v:imagedata o:title=""/>
                <o:lock v:ext="edit" aspectratio="f"/>
                <v:textbox>
                  <w:txbxContent>
                    <w:p>
                      <w:pPr>
                        <w:jc w:val="center"/>
                        <w:rPr>
                          <w:color w:val="FF0000"/>
                          <w:sz w:val="28"/>
                          <w:szCs w:val="28"/>
                        </w:rPr>
                      </w:pPr>
                      <w:r>
                        <w:rPr>
                          <w:rFonts w:hint="eastAsia"/>
                          <w:color w:val="FF0000"/>
                          <w:sz w:val="28"/>
                          <w:szCs w:val="28"/>
                        </w:rPr>
                        <w:t>A</w:t>
                      </w:r>
                      <w:r>
                        <w:rPr>
                          <w:color w:val="FF0000"/>
                          <w:sz w:val="28"/>
                          <w:szCs w:val="28"/>
                        </w:rPr>
                        <w:t>3</w:t>
                      </w:r>
                    </w:p>
                  </w:txbxContent>
                </v:textbox>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16960" behindDoc="0" locked="0" layoutInCell="1" allowOverlap="1">
                <wp:simplePos x="0" y="0"/>
                <wp:positionH relativeFrom="column">
                  <wp:posOffset>1508760</wp:posOffset>
                </wp:positionH>
                <wp:positionV relativeFrom="paragraph">
                  <wp:posOffset>2149475</wp:posOffset>
                </wp:positionV>
                <wp:extent cx="648970" cy="514985"/>
                <wp:effectExtent l="0" t="0" r="0" b="0"/>
                <wp:wrapNone/>
                <wp:docPr id="182" name="对话气泡: 矩形 182"/>
                <wp:cNvGraphicFramePr/>
                <a:graphic xmlns:a="http://schemas.openxmlformats.org/drawingml/2006/main">
                  <a:graphicData uri="http://schemas.microsoft.com/office/word/2010/wordprocessingShape">
                    <wps:wsp>
                      <wps:cNvSpPr/>
                      <wps:spPr>
                        <a:xfrm>
                          <a:off x="0" y="0"/>
                          <a:ext cx="649029" cy="514691"/>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sz w:val="28"/>
                                <w:szCs w:val="28"/>
                              </w:rPr>
                            </w:pPr>
                            <w:r>
                              <w:rPr>
                                <w:rFonts w:hint="eastAsia"/>
                                <w:color w:val="FF0000"/>
                                <w:sz w:val="28"/>
                                <w:szCs w:val="28"/>
                              </w:rPr>
                              <w:t>A</w:t>
                            </w:r>
                            <w:r>
                              <w:rPr>
                                <w:color w:val="FF0000"/>
                                <w:sz w:val="28"/>
                                <w:szCs w:val="28"/>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82" o:spid="_x0000_s1026" o:spt="61" type="#_x0000_t61" style="position:absolute;left:0pt;margin-left:118.8pt;margin-top:169.25pt;height:40.55pt;width:51.1pt;z-index:251816960;v-text-anchor:middle;mso-width-relative:page;mso-height-relative:page;" filled="f" stroked="f" coordsize="21600,21600" o:gfxdata="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rWY6HZAAAACwEAAA8AAAAAAAAAAQAgAAAAIgAAAGRycy9k&#10;b3ducmV2LnhtbFBLAQIUABQAAAAIAIdO4kAvh2zXcwIAALMEAAAOAAAAAAAAAAEAIAAAACgBAABk&#10;cnMvZTJvRG9jLnhtbFBLBQYAAAAABgAGAFkBAAANBgAAAAA=&#10;" adj="6300,24300">
                <v:fill on="f" focussize="0,0"/>
                <v:stroke on="f" weight="2pt"/>
                <v:imagedata o:title=""/>
                <o:lock v:ext="edit" aspectratio="f"/>
                <v:textbox>
                  <w:txbxContent>
                    <w:p>
                      <w:pPr>
                        <w:jc w:val="center"/>
                        <w:rPr>
                          <w:color w:val="FF0000"/>
                          <w:sz w:val="28"/>
                          <w:szCs w:val="28"/>
                        </w:rPr>
                      </w:pPr>
                      <w:r>
                        <w:rPr>
                          <w:rFonts w:hint="eastAsia"/>
                          <w:color w:val="FF0000"/>
                          <w:sz w:val="28"/>
                          <w:szCs w:val="28"/>
                        </w:rPr>
                        <w:t>A</w:t>
                      </w:r>
                      <w:r>
                        <w:rPr>
                          <w:color w:val="FF0000"/>
                          <w:sz w:val="28"/>
                          <w:szCs w:val="28"/>
                        </w:rPr>
                        <w:t>2</w:t>
                      </w:r>
                    </w:p>
                  </w:txbxContent>
                </v:textbox>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15936" behindDoc="0" locked="0" layoutInCell="1" allowOverlap="1">
                <wp:simplePos x="0" y="0"/>
                <wp:positionH relativeFrom="column">
                  <wp:posOffset>3545840</wp:posOffset>
                </wp:positionH>
                <wp:positionV relativeFrom="paragraph">
                  <wp:posOffset>137795</wp:posOffset>
                </wp:positionV>
                <wp:extent cx="648970" cy="514985"/>
                <wp:effectExtent l="0" t="0" r="0" b="0"/>
                <wp:wrapNone/>
                <wp:docPr id="181" name="对话气泡: 矩形 181"/>
                <wp:cNvGraphicFramePr/>
                <a:graphic xmlns:a="http://schemas.openxmlformats.org/drawingml/2006/main">
                  <a:graphicData uri="http://schemas.microsoft.com/office/word/2010/wordprocessingShape">
                    <wps:wsp>
                      <wps:cNvSpPr/>
                      <wps:spPr>
                        <a:xfrm>
                          <a:off x="0" y="0"/>
                          <a:ext cx="649029" cy="514691"/>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sz w:val="28"/>
                                <w:szCs w:val="28"/>
                              </w:rPr>
                            </w:pPr>
                            <w:r>
                              <w:rPr>
                                <w:rFonts w:hint="eastAsia"/>
                                <w:color w:val="FF0000"/>
                                <w:sz w:val="28"/>
                                <w:szCs w:val="28"/>
                              </w:rPr>
                              <w:t>A1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81" o:spid="_x0000_s1026" o:spt="61" type="#_x0000_t61" style="position:absolute;left:0pt;margin-left:279.2pt;margin-top:10.85pt;height:40.55pt;width:51.1pt;z-index:251815936;v-text-anchor:middle;mso-width-relative:page;mso-height-relative:page;" filled="f" stroked="f" coordsize="21600,21600" o:gfxdata="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Wxsr2tcAAAAKAQAADwAAAAAAAAABACAAAAAiAAAAZHJzL2Rv&#10;d25yZXYueG1sUEsBAhQAFAAAAAgAh07iQF6MqPp0AgAAswQAAA4AAAAAAAAAAQAgAAAAJgEAAGRy&#10;cy9lMm9Eb2MueG1sUEsFBgAAAAAGAAYAWQEAAAwGAAAAAA==&#10;" adj="6300,24300">
                <v:fill on="f" focussize="0,0"/>
                <v:stroke on="f" weight="2pt"/>
                <v:imagedata o:title=""/>
                <o:lock v:ext="edit" aspectratio="f"/>
                <v:textbox>
                  <w:txbxContent>
                    <w:p>
                      <w:pPr>
                        <w:jc w:val="center"/>
                        <w:rPr>
                          <w:color w:val="FF0000"/>
                          <w:sz w:val="28"/>
                          <w:szCs w:val="28"/>
                        </w:rPr>
                      </w:pPr>
                      <w:r>
                        <w:rPr>
                          <w:rFonts w:hint="eastAsia"/>
                          <w:color w:val="FF0000"/>
                          <w:sz w:val="28"/>
                          <w:szCs w:val="28"/>
                        </w:rPr>
                        <w:t>A1</w:t>
                      </w:r>
                    </w:p>
                  </w:txbxContent>
                </v:textbox>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14912" behindDoc="0" locked="0" layoutInCell="1" allowOverlap="1">
                <wp:simplePos x="0" y="0"/>
                <wp:positionH relativeFrom="column">
                  <wp:posOffset>3168650</wp:posOffset>
                </wp:positionH>
                <wp:positionV relativeFrom="paragraph">
                  <wp:posOffset>2964180</wp:posOffset>
                </wp:positionV>
                <wp:extent cx="196850" cy="168910"/>
                <wp:effectExtent l="0" t="0" r="13335" b="21590"/>
                <wp:wrapNone/>
                <wp:docPr id="180" name="椭圆 180"/>
                <wp:cNvGraphicFramePr/>
                <a:graphic xmlns:a="http://schemas.openxmlformats.org/drawingml/2006/main">
                  <a:graphicData uri="http://schemas.microsoft.com/office/word/2010/wordprocessingShape">
                    <wps:wsp>
                      <wps:cNvSpPr/>
                      <wps:spPr>
                        <a:xfrm>
                          <a:off x="0" y="0"/>
                          <a:ext cx="196577" cy="16904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9.5pt;margin-top:233.4pt;height:13.3pt;width:15.5pt;z-index:251814912;v-text-anchor:middle;mso-width-relative:page;mso-height-relative:page;" fillcolor="#FF0000" filled="t" stroked="t" coordsize="21600,21600" o:gfxdata="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AmhztcAAAALAQAADwAAAAAAAAABACAAAAAiAAAAZHJzL2Rvd25yZXYueG1sUEsBAhQAFAAA&#10;AAgAh07iQGabcrFiAgAA4wQAAA4AAAAAAAAAAQAgAAAAJgEAAGRycy9lMm9Eb2MueG1sUEsFBgAA&#10;AAAGAAYAWQEAAPoFAAAAAA==&#10;">
                <v:fill on="t" focussize="0,0"/>
                <v:stroke weight="2pt" color="#FF0000 [3204]" joinstyle="round"/>
                <v:imagedata o:title=""/>
                <o:lock v:ext="edit" aspectratio="f"/>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13888" behindDoc="0" locked="0" layoutInCell="1" allowOverlap="1">
                <wp:simplePos x="0" y="0"/>
                <wp:positionH relativeFrom="column">
                  <wp:posOffset>1809115</wp:posOffset>
                </wp:positionH>
                <wp:positionV relativeFrom="paragraph">
                  <wp:posOffset>2035175</wp:posOffset>
                </wp:positionV>
                <wp:extent cx="196850" cy="168910"/>
                <wp:effectExtent l="0" t="0" r="13335" b="21590"/>
                <wp:wrapNone/>
                <wp:docPr id="179" name="椭圆 179"/>
                <wp:cNvGraphicFramePr/>
                <a:graphic xmlns:a="http://schemas.openxmlformats.org/drawingml/2006/main">
                  <a:graphicData uri="http://schemas.microsoft.com/office/word/2010/wordprocessingShape">
                    <wps:wsp>
                      <wps:cNvSpPr/>
                      <wps:spPr>
                        <a:xfrm>
                          <a:off x="0" y="0"/>
                          <a:ext cx="196577" cy="16904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2.45pt;margin-top:160.25pt;height:13.3pt;width:15.5pt;z-index:251813888;v-text-anchor:middle;mso-width-relative:page;mso-height-relative:page;" fillcolor="#FF0000" filled="t" stroked="t" coordsize="21600,21600" o:gfxdata="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8yz0tgAAAALAQAADwAAAAAAAAABACAAAAAiAAAAZHJzL2Rvd25yZXYueG1sUEsBAhQA&#10;FAAAAAgAh07iQJw1lgRkAgAA4wQAAA4AAAAAAAAAAQAgAAAAJwEAAGRycy9lMm9Eb2MueG1sUEsF&#10;BgAAAAAGAAYAWQEAAP0FAAAAAA==&#10;">
                <v:fill on="t" focussize="0,0"/>
                <v:stroke weight="2pt" color="#FF0000 [3204]" joinstyle="round"/>
                <v:imagedata o:title=""/>
                <o:lock v:ext="edit" aspectratio="f"/>
              </v:shape>
            </w:pict>
          </mc:Fallback>
        </mc:AlternateContent>
      </w:r>
      <w:r>
        <w:rPr>
          <w:rFonts w:asciiTheme="minorHAnsi" w:hAnsiTheme="minorHAnsi" w:eastAsiaTheme="minorEastAsia" w:cstheme="minorBidi"/>
          <w:bCs/>
          <w:sz w:val="24"/>
          <w:szCs w:val="24"/>
        </w:rPr>
        <mc:AlternateContent>
          <mc:Choice Requires="wps">
            <w:drawing>
              <wp:anchor distT="0" distB="0" distL="114300" distR="114300" simplePos="0" relativeHeight="251812864" behindDoc="0" locked="0" layoutInCell="1" allowOverlap="1">
                <wp:simplePos x="0" y="0"/>
                <wp:positionH relativeFrom="column">
                  <wp:posOffset>3653155</wp:posOffset>
                </wp:positionH>
                <wp:positionV relativeFrom="paragraph">
                  <wp:posOffset>483870</wp:posOffset>
                </wp:positionV>
                <wp:extent cx="196850" cy="168910"/>
                <wp:effectExtent l="0" t="0" r="13335" b="21590"/>
                <wp:wrapNone/>
                <wp:docPr id="177" name="椭圆 177"/>
                <wp:cNvGraphicFramePr/>
                <a:graphic xmlns:a="http://schemas.openxmlformats.org/drawingml/2006/main">
                  <a:graphicData uri="http://schemas.microsoft.com/office/word/2010/wordprocessingShape">
                    <wps:wsp>
                      <wps:cNvSpPr/>
                      <wps:spPr>
                        <a:xfrm>
                          <a:off x="0" y="0"/>
                          <a:ext cx="196577" cy="16904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7.65pt;margin-top:38.1pt;height:13.3pt;width:15.5pt;z-index:251812864;v-text-anchor:middle;mso-width-relative:page;mso-height-relative:page;" fillcolor="#FF0000" filled="t" stroked="t" coordsize="21600,21600" o:gfxdata="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nQdUDWAAAACgEAAA8AAAAAAAAAAQAgAAAAIgAAAGRycy9kb3ducmV2LnhtbFBLAQIUABQAAAAI&#10;AIdO4kC+zDWSYQIAAOMEAAAOAAAAAAAAAAEAIAAAACUBAABkcnMvZTJvRG9jLnhtbFBLBQYAAAAA&#10;BgAGAFkBAAD4BQAAAAA=&#10;">
                <v:fill on="t" focussize="0,0"/>
                <v:stroke weight="2pt" color="#FF0000 [3204]" joinstyle="round"/>
                <v:imagedata o:title=""/>
                <o:lock v:ext="edit" aspectratio="f"/>
              </v:shape>
            </w:pict>
          </mc:Fallback>
        </mc:AlternateContent>
      </w:r>
      <w:r>
        <w:rPr>
          <w:rFonts w:asciiTheme="minorHAnsi" w:hAnsiTheme="minorHAnsi" w:eastAsiaTheme="minorEastAsia" w:cstheme="minorBidi"/>
          <w:bCs/>
          <w:sz w:val="24"/>
          <w:szCs w:val="24"/>
        </w:rPr>
        <w:drawing>
          <wp:anchor distT="0" distB="0" distL="114300" distR="114300" simplePos="0" relativeHeight="251785216" behindDoc="0" locked="0" layoutInCell="1" allowOverlap="1">
            <wp:simplePos x="0" y="0"/>
            <wp:positionH relativeFrom="column">
              <wp:posOffset>2540</wp:posOffset>
            </wp:positionH>
            <wp:positionV relativeFrom="paragraph">
              <wp:posOffset>2980690</wp:posOffset>
            </wp:positionV>
            <wp:extent cx="1805940" cy="629920"/>
            <wp:effectExtent l="0" t="0" r="3810" b="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1805940" cy="629920"/>
                    </a:xfrm>
                    <a:prstGeom prst="rect">
                      <a:avLst/>
                    </a:prstGeom>
                    <a:noFill/>
                    <a:ln>
                      <a:noFill/>
                    </a:ln>
                  </pic:spPr>
                </pic:pic>
              </a:graphicData>
            </a:graphic>
          </wp:anchor>
        </w:drawing>
      </w:r>
      <w:r>
        <w:rPr>
          <w:rFonts w:asciiTheme="minorHAnsi" w:hAnsiTheme="minorHAnsi" w:eastAsiaTheme="minorEastAsia" w:cstheme="minorBidi"/>
          <w:bCs/>
          <w:sz w:val="24"/>
          <w:szCs w:val="24"/>
        </w:rPr>
        <mc:AlternateContent>
          <mc:Choice Requires="wps">
            <w:drawing>
              <wp:anchor distT="0" distB="0" distL="114300" distR="114300" simplePos="0" relativeHeight="251780096" behindDoc="0" locked="0" layoutInCell="1" allowOverlap="1">
                <wp:simplePos x="0" y="0"/>
                <wp:positionH relativeFrom="column">
                  <wp:posOffset>210820</wp:posOffset>
                </wp:positionH>
                <wp:positionV relativeFrom="paragraph">
                  <wp:posOffset>753745</wp:posOffset>
                </wp:positionV>
                <wp:extent cx="2232025" cy="885190"/>
                <wp:effectExtent l="0" t="0" r="15875" b="10160"/>
                <wp:wrapNone/>
                <wp:docPr id="171" name="任意多边形: 形状 171"/>
                <wp:cNvGraphicFramePr/>
                <a:graphic xmlns:a="http://schemas.openxmlformats.org/drawingml/2006/main">
                  <a:graphicData uri="http://schemas.microsoft.com/office/word/2010/wordprocessingShape">
                    <wps:wsp>
                      <wps:cNvSpPr/>
                      <wps:spPr>
                        <a:xfrm>
                          <a:off x="0" y="0"/>
                          <a:ext cx="2232228" cy="885229"/>
                        </a:xfrm>
                        <a:custGeom>
                          <a:avLst/>
                          <a:gdLst>
                            <a:gd name="connsiteX0" fmla="*/ 0 w 2232228"/>
                            <a:gd name="connsiteY0" fmla="*/ 0 h 885229"/>
                            <a:gd name="connsiteX1" fmla="*/ 359923 w 2232228"/>
                            <a:gd name="connsiteY1" fmla="*/ 19455 h 885229"/>
                            <a:gd name="connsiteX2" fmla="*/ 520429 w 2232228"/>
                            <a:gd name="connsiteY2" fmla="*/ 102140 h 885229"/>
                            <a:gd name="connsiteX3" fmla="*/ 899808 w 2232228"/>
                            <a:gd name="connsiteY3" fmla="*/ 389106 h 885229"/>
                            <a:gd name="connsiteX4" fmla="*/ 1332689 w 2232228"/>
                            <a:gd name="connsiteY4" fmla="*/ 539885 h 885229"/>
                            <a:gd name="connsiteX5" fmla="*/ 1809344 w 2232228"/>
                            <a:gd name="connsiteY5" fmla="*/ 646889 h 885229"/>
                            <a:gd name="connsiteX6" fmla="*/ 2076855 w 2232228"/>
                            <a:gd name="connsiteY6" fmla="*/ 700391 h 885229"/>
                            <a:gd name="connsiteX7" fmla="*/ 2231890 w 2232228"/>
                            <a:gd name="connsiteY7" fmla="*/ 719878 h 885229"/>
                            <a:gd name="connsiteX8" fmla="*/ 2232228 w 2232228"/>
                            <a:gd name="connsiteY8" fmla="*/ 885229 h 885229"/>
                            <a:gd name="connsiteX9" fmla="*/ 1707204 w 2232228"/>
                            <a:gd name="connsiteY9" fmla="*/ 768485 h 885229"/>
                            <a:gd name="connsiteX10" fmla="*/ 1177046 w 2232228"/>
                            <a:gd name="connsiteY10" fmla="*/ 661480 h 885229"/>
                            <a:gd name="connsiteX11" fmla="*/ 802532 w 2232228"/>
                            <a:gd name="connsiteY11" fmla="*/ 569068 h 885229"/>
                            <a:gd name="connsiteX12" fmla="*/ 505838 w 2232228"/>
                            <a:gd name="connsiteY12" fmla="*/ 355059 h 885229"/>
                            <a:gd name="connsiteX13" fmla="*/ 0 w 2232228"/>
                            <a:gd name="connsiteY13" fmla="*/ 0 h 8852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32228" h="885229">
                              <a:moveTo>
                                <a:pt x="0" y="0"/>
                              </a:moveTo>
                              <a:lnTo>
                                <a:pt x="359923" y="19455"/>
                              </a:lnTo>
                              <a:lnTo>
                                <a:pt x="520429" y="102140"/>
                              </a:lnTo>
                              <a:lnTo>
                                <a:pt x="899808" y="389106"/>
                              </a:lnTo>
                              <a:lnTo>
                                <a:pt x="1332689" y="539885"/>
                              </a:lnTo>
                              <a:lnTo>
                                <a:pt x="1809344" y="646889"/>
                              </a:lnTo>
                              <a:lnTo>
                                <a:pt x="2076855" y="700391"/>
                              </a:lnTo>
                              <a:lnTo>
                                <a:pt x="2231890" y="719878"/>
                              </a:lnTo>
                              <a:cubicBezTo>
                                <a:pt x="2232003" y="774995"/>
                                <a:pt x="2232115" y="830112"/>
                                <a:pt x="2232228" y="885229"/>
                              </a:cubicBezTo>
                              <a:lnTo>
                                <a:pt x="1707204" y="768485"/>
                              </a:lnTo>
                              <a:cubicBezTo>
                                <a:pt x="1531340" y="731193"/>
                                <a:pt x="1353765" y="697148"/>
                                <a:pt x="1177046" y="661480"/>
                              </a:cubicBezTo>
                              <a:lnTo>
                                <a:pt x="802532" y="569068"/>
                              </a:lnTo>
                              <a:lnTo>
                                <a:pt x="505838" y="355059"/>
                              </a:lnTo>
                              <a:lnTo>
                                <a:pt x="0" y="0"/>
                              </a:lnTo>
                              <a:close/>
                            </a:path>
                          </a:pathLst>
                        </a:custGeom>
                        <a:solidFill>
                          <a:srgbClr val="92D050"/>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71" o:spid="_x0000_s1026" o:spt="100" style="position:absolute;left:0pt;margin-left:16.6pt;margin-top:59.35pt;height:69.7pt;width:175.75pt;z-index:251780096;v-text-anchor:middle;mso-width-relative:page;mso-height-relative:page;" fillcolor="#92D050" filled="t" stroked="t" coordsize="2232228,885229" o:gfxdata="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" path="m0,0l359923,19455,520429,102140,899808,389106,1332689,539885,1809344,646889,2076855,700391,2231890,719878c2232003,774995,2232115,830112,2232228,885229l1707204,768485c1531340,731193,1353765,697148,1177046,661480l802532,569068,505838,355059,0,0xe">
                <v:path o:connectlocs="0,0;359923,19455;520429,102140;899808,389106;1332689,539885;1809344,646889;2076855,700391;2231890,719878;2232228,885229;1707204,768485;1177046,661480;802532,569068;505838,355059;0,0" o:connectangles="0,0,0,0,0,0,0,0,0,0,0,0,0,0"/>
                <v:fill on="t" focussize="0,0"/>
                <v:stroke weight="2pt" color="#92D050" joinstyle="round"/>
                <v:imagedata o:title=""/>
                <o:lock v:ext="edit" aspectratio="f"/>
              </v:shape>
            </w:pict>
          </mc:Fallback>
        </mc:AlternateContent>
      </w:r>
      <w:r>
        <w:rPr>
          <w:rFonts w:asciiTheme="minorHAnsi" w:hAnsiTheme="minorHAnsi" w:eastAsiaTheme="minorEastAsia" w:cstheme="minorBidi"/>
          <w:bCs/>
          <w:sz w:val="24"/>
          <w:szCs w:val="24"/>
        </w:rPr>
        <w:drawing>
          <wp:inline distT="0" distB="0" distL="0" distR="0">
            <wp:extent cx="5278120" cy="3611245"/>
            <wp:effectExtent l="0" t="0" r="0" b="825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5278120" cy="3611245"/>
                    </a:xfrm>
                    <a:prstGeom prst="rect">
                      <a:avLst/>
                    </a:prstGeom>
                    <a:noFill/>
                    <a:ln>
                      <a:noFill/>
                    </a:ln>
                  </pic:spPr>
                </pic:pic>
              </a:graphicData>
            </a:graphic>
          </wp:inline>
        </w:drawing>
      </w:r>
    </w:p>
    <w:p>
      <w:pPr>
        <w:jc w:val="center"/>
        <w:rPr>
          <w:sz w:val="24"/>
          <w:szCs w:val="24"/>
        </w:rPr>
      </w:pPr>
      <w:r>
        <w:rPr>
          <w:sz w:val="24"/>
          <w:szCs w:val="24"/>
        </w:rPr>
        <w:t>图6.1-4   地下水跟踪监测井位分布图</w:t>
      </w:r>
    </w:p>
    <w:p>
      <w:pPr>
        <w:keepNext/>
        <w:keepLines/>
        <w:numPr>
          <w:ilvl w:val="2"/>
          <w:numId w:val="5"/>
        </w:numPr>
        <w:tabs>
          <w:tab w:val="left" w:pos="432"/>
          <w:tab w:val="left" w:pos="567"/>
          <w:tab w:val="left" w:pos="1021"/>
          <w:tab w:val="clear" w:pos="1163"/>
        </w:tabs>
        <w:adjustRightInd w:val="0"/>
        <w:snapToGrid w:val="0"/>
        <w:spacing w:before="156" w:beforeLines="50" w:after="156" w:afterLines="50" w:line="360" w:lineRule="auto"/>
        <w:ind w:left="1021"/>
        <w:jc w:val="left"/>
        <w:outlineLvl w:val="2"/>
        <w:rPr>
          <w:b/>
          <w:bCs/>
          <w:snapToGrid w:val="0"/>
          <w:sz w:val="28"/>
          <w:szCs w:val="28"/>
        </w:rPr>
      </w:pPr>
      <w:bookmarkStart w:id="164" w:name="_Toc518025943"/>
      <w:r>
        <w:rPr>
          <w:b/>
          <w:bCs/>
          <w:snapToGrid w:val="0"/>
          <w:sz w:val="28"/>
          <w:szCs w:val="28"/>
        </w:rPr>
        <w:t>地下水污染应急措施</w:t>
      </w:r>
      <w:bookmarkEnd w:id="164"/>
    </w:p>
    <w:p>
      <w:pPr>
        <w:widowControl/>
        <w:adjustRightInd w:val="0"/>
        <w:snapToGrid w:val="0"/>
        <w:spacing w:line="360" w:lineRule="auto"/>
        <w:ind w:firstLine="480" w:firstLineChars="200"/>
        <w:jc w:val="left"/>
        <w:rPr>
          <w:rFonts w:eastAsiaTheme="minorEastAsia" w:cstheme="minorBidi"/>
          <w:bCs/>
          <w:sz w:val="24"/>
          <w:szCs w:val="24"/>
        </w:rPr>
      </w:pPr>
      <w:r>
        <w:rPr>
          <w:rFonts w:eastAsiaTheme="minorEastAsia" w:cstheme="minorBidi"/>
          <w:bCs/>
          <w:sz w:val="24"/>
          <w:szCs w:val="24"/>
        </w:rPr>
        <w:t>本项目地下水污染应急措施如下：</w:t>
      </w:r>
    </w:p>
    <w:p>
      <w:pPr>
        <w:widowControl/>
        <w:adjustRightInd w:val="0"/>
        <w:snapToGrid w:val="0"/>
        <w:spacing w:line="360" w:lineRule="auto"/>
        <w:ind w:firstLine="480" w:firstLineChars="200"/>
        <w:jc w:val="left"/>
        <w:rPr>
          <w:rFonts w:eastAsiaTheme="minorEastAsia" w:cstheme="minorBidi"/>
          <w:b/>
          <w:sz w:val="24"/>
          <w:szCs w:val="24"/>
        </w:rPr>
      </w:pPr>
      <w:r>
        <w:rPr>
          <w:rFonts w:eastAsiaTheme="minorEastAsia" w:cstheme="minorBidi"/>
          <w:b/>
          <w:sz w:val="24"/>
          <w:szCs w:val="24"/>
        </w:rPr>
        <w:t>（1）污染应急预案</w:t>
      </w:r>
    </w:p>
    <w:p>
      <w:pPr>
        <w:widowControl/>
        <w:adjustRightInd w:val="0"/>
        <w:snapToGrid w:val="0"/>
        <w:spacing w:line="360" w:lineRule="auto"/>
        <w:ind w:firstLine="480" w:firstLineChars="200"/>
        <w:jc w:val="left"/>
        <w:rPr>
          <w:rFonts w:eastAsiaTheme="minorEastAsia" w:cstheme="minorBidi"/>
          <w:sz w:val="24"/>
          <w:szCs w:val="24"/>
        </w:rPr>
      </w:pPr>
      <w:r>
        <w:rPr>
          <w:rFonts w:hint="eastAsia" w:ascii="宋体" w:hAnsi="宋体" w:cs="宋体" w:eastAsiaTheme="minorEastAsia"/>
          <w:sz w:val="24"/>
          <w:szCs w:val="24"/>
        </w:rPr>
        <w:t>①</w:t>
      </w:r>
      <w:r>
        <w:rPr>
          <w:rFonts w:eastAsiaTheme="minorEastAsia" w:cstheme="minorBidi"/>
          <w:sz w:val="24"/>
          <w:szCs w:val="24"/>
        </w:rPr>
        <w:t>如发现地下水污染事故，应立即向公司环保部门及行政管理部门报告，调查并确认污染源位置；</w:t>
      </w:r>
    </w:p>
    <w:p>
      <w:pPr>
        <w:widowControl/>
        <w:adjustRightInd w:val="0"/>
        <w:snapToGrid w:val="0"/>
        <w:spacing w:line="360" w:lineRule="auto"/>
        <w:ind w:firstLine="480" w:firstLineChars="200"/>
        <w:jc w:val="left"/>
        <w:rPr>
          <w:rFonts w:eastAsiaTheme="minorEastAsia" w:cstheme="minorBidi"/>
          <w:sz w:val="24"/>
          <w:szCs w:val="24"/>
        </w:rPr>
      </w:pPr>
      <w:r>
        <w:rPr>
          <w:rFonts w:hint="eastAsia" w:ascii="宋体" w:hAnsi="宋体" w:cs="宋体" w:eastAsiaTheme="minorEastAsia"/>
          <w:sz w:val="24"/>
          <w:szCs w:val="24"/>
        </w:rPr>
        <w:t>②</w:t>
      </w:r>
      <w:r>
        <w:rPr>
          <w:rFonts w:eastAsiaTheme="minorEastAsia" w:cstheme="minorBidi"/>
          <w:sz w:val="24"/>
          <w:szCs w:val="24"/>
        </w:rPr>
        <w:t>采取有效措施及时阻断确认的污染源，防止污染物继续渗漏到地下，导致土壤和地下水污染范围扩大；</w:t>
      </w:r>
    </w:p>
    <w:p>
      <w:pPr>
        <w:widowControl/>
        <w:adjustRightInd w:val="0"/>
        <w:snapToGrid w:val="0"/>
        <w:spacing w:line="360" w:lineRule="auto"/>
        <w:ind w:firstLine="480" w:firstLineChars="200"/>
        <w:jc w:val="left"/>
        <w:rPr>
          <w:rFonts w:eastAsiaTheme="minorEastAsia" w:cstheme="minorBidi"/>
          <w:sz w:val="24"/>
          <w:szCs w:val="24"/>
        </w:rPr>
      </w:pPr>
      <w:r>
        <w:rPr>
          <w:rFonts w:hint="eastAsia" w:ascii="宋体" w:hAnsi="宋体" w:cs="宋体" w:eastAsiaTheme="minorEastAsia"/>
          <w:sz w:val="24"/>
          <w:szCs w:val="24"/>
        </w:rPr>
        <w:t>③</w:t>
      </w:r>
      <w:r>
        <w:rPr>
          <w:rFonts w:eastAsiaTheme="minorEastAsia" w:cstheme="minorBidi"/>
          <w:sz w:val="24"/>
          <w:szCs w:val="24"/>
        </w:rPr>
        <w:t>立即对重污染区域采取有效的修复措施，包括开挖并移走重污染土壤作危险废物处置，对重污染区的地下水抽出并送到事故应急池中，防止污染物在地下继续扩散；</w:t>
      </w:r>
    </w:p>
    <w:p>
      <w:pPr>
        <w:widowControl/>
        <w:adjustRightInd w:val="0"/>
        <w:snapToGrid w:val="0"/>
        <w:spacing w:line="360" w:lineRule="auto"/>
        <w:ind w:firstLine="480" w:firstLineChars="200"/>
        <w:jc w:val="left"/>
        <w:rPr>
          <w:rFonts w:eastAsiaTheme="minorEastAsia" w:cstheme="minorBidi"/>
          <w:sz w:val="24"/>
          <w:szCs w:val="24"/>
        </w:rPr>
      </w:pPr>
      <w:r>
        <w:rPr>
          <w:rFonts w:hint="eastAsia" w:ascii="宋体" w:hAnsi="宋体" w:cs="宋体" w:eastAsiaTheme="minorEastAsia"/>
          <w:sz w:val="24"/>
          <w:szCs w:val="24"/>
        </w:rPr>
        <w:t>④</w:t>
      </w:r>
      <w:r>
        <w:rPr>
          <w:rFonts w:eastAsiaTheme="minorEastAsia" w:cstheme="minorBidi"/>
          <w:sz w:val="24"/>
          <w:szCs w:val="24"/>
        </w:rPr>
        <w:t>对厂区及周边区域的地下水敏感点进行取样监测，确定水质是否受到影响。如果水质受到影响，应及时通知相关方并立即停用受影响的地下水。</w:t>
      </w:r>
    </w:p>
    <w:p>
      <w:pPr>
        <w:widowControl/>
        <w:adjustRightInd w:val="0"/>
        <w:snapToGrid w:val="0"/>
        <w:spacing w:line="360" w:lineRule="auto"/>
        <w:ind w:firstLine="480" w:firstLineChars="200"/>
        <w:jc w:val="left"/>
        <w:rPr>
          <w:rFonts w:eastAsiaTheme="minorEastAsia" w:cstheme="minorBidi"/>
          <w:b/>
          <w:sz w:val="24"/>
          <w:szCs w:val="24"/>
        </w:rPr>
      </w:pPr>
      <w:r>
        <w:rPr>
          <w:rFonts w:eastAsiaTheme="minorEastAsia" w:cstheme="minorBidi"/>
          <w:b/>
          <w:sz w:val="24"/>
          <w:szCs w:val="24"/>
        </w:rPr>
        <w:t>（2）污染应急措施</w:t>
      </w:r>
    </w:p>
    <w:p>
      <w:pPr>
        <w:widowControl/>
        <w:adjustRightInd w:val="0"/>
        <w:snapToGrid w:val="0"/>
        <w:spacing w:line="360" w:lineRule="auto"/>
        <w:ind w:firstLine="480" w:firstLineChars="200"/>
        <w:jc w:val="left"/>
        <w:rPr>
          <w:rFonts w:eastAsiaTheme="minorEastAsia" w:cstheme="minorBidi"/>
          <w:sz w:val="24"/>
          <w:szCs w:val="24"/>
        </w:rPr>
      </w:pPr>
      <w:r>
        <w:rPr>
          <w:rFonts w:eastAsiaTheme="minorEastAsia" w:cstheme="minorBidi"/>
          <w:sz w:val="24"/>
          <w:szCs w:val="24"/>
        </w:rPr>
        <w:t>一旦发现地下水发生异常情况，必须按照应急预案立即采取如下紧急措施：</w:t>
      </w:r>
    </w:p>
    <w:p>
      <w:pPr>
        <w:adjustRightInd w:val="0"/>
        <w:snapToGrid w:val="0"/>
        <w:spacing w:line="360" w:lineRule="auto"/>
        <w:ind w:firstLine="480" w:firstLineChars="200"/>
        <w:rPr>
          <w:sz w:val="24"/>
          <w:szCs w:val="24"/>
        </w:rPr>
      </w:pPr>
      <w:r>
        <w:rPr>
          <w:sz w:val="24"/>
          <w:szCs w:val="24"/>
        </w:rPr>
        <w:t>1）当确定发生地下水异常情况时，按照制订的地下水应急预案，在第一时间内尽快上报公司主管领导，通知当地环保局、附近居民等地下水用户，密切关注地下水水质变化情况。</w:t>
      </w:r>
    </w:p>
    <w:p>
      <w:pPr>
        <w:adjustRightInd w:val="0"/>
        <w:snapToGrid w:val="0"/>
        <w:spacing w:line="360" w:lineRule="auto"/>
        <w:ind w:firstLine="480" w:firstLineChars="200"/>
        <w:rPr>
          <w:sz w:val="24"/>
          <w:szCs w:val="24"/>
        </w:rPr>
      </w:pPr>
      <w:r>
        <w:rPr>
          <w:sz w:val="24"/>
          <w:szCs w:val="24"/>
        </w:rPr>
        <w:t>2）组织专业队伍对事故现场进行调查、监测，查找环境事故发生地点、分析事故原因，尽量将紧急事件局部化，如可能应予以消除，采取包括切断生产装置或设施等措施，防止事故的扩散、蔓延及连锁反应，尽量缩小地下水污染事故对人和财产的影响。</w:t>
      </w:r>
    </w:p>
    <w:p>
      <w:pPr>
        <w:adjustRightInd w:val="0"/>
        <w:snapToGrid w:val="0"/>
        <w:spacing w:line="360" w:lineRule="auto"/>
        <w:ind w:firstLine="480" w:firstLineChars="200"/>
        <w:rPr>
          <w:sz w:val="24"/>
          <w:szCs w:val="24"/>
        </w:rPr>
      </w:pPr>
      <w:r>
        <w:rPr>
          <w:sz w:val="24"/>
          <w:szCs w:val="24"/>
        </w:rPr>
        <w:t>3）发生污染物泄漏后，应即时对于浅层污染土壤进行处理，开挖污染土壤</w:t>
      </w:r>
    </w:p>
    <w:p>
      <w:pPr>
        <w:adjustRightInd w:val="0"/>
        <w:snapToGrid w:val="0"/>
        <w:spacing w:line="360" w:lineRule="auto"/>
        <w:rPr>
          <w:sz w:val="24"/>
          <w:szCs w:val="24"/>
        </w:rPr>
      </w:pPr>
      <w:r>
        <w:rPr>
          <w:sz w:val="24"/>
          <w:szCs w:val="24"/>
        </w:rPr>
        <w:t>送至污染处理厂进行处理，切断污染物源；当通过监测发现对周围地下水造成污染时，及时采取应对措施，防止污染物扩散。</w:t>
      </w:r>
    </w:p>
    <w:p>
      <w:pPr>
        <w:adjustRightInd w:val="0"/>
        <w:snapToGrid w:val="0"/>
        <w:spacing w:line="360" w:lineRule="auto"/>
        <w:ind w:firstLine="480" w:firstLineChars="200"/>
        <w:rPr>
          <w:sz w:val="24"/>
          <w:szCs w:val="24"/>
        </w:rPr>
      </w:pPr>
      <w:r>
        <w:rPr>
          <w:sz w:val="24"/>
          <w:szCs w:val="24"/>
        </w:rPr>
        <w:t>4）对被破坏的区域设置紧急隔离围堤，防止物料及消防水进一步渗入地下；</w:t>
      </w:r>
    </w:p>
    <w:p>
      <w:pPr>
        <w:adjustRightInd w:val="0"/>
        <w:snapToGrid w:val="0"/>
        <w:spacing w:line="360" w:lineRule="auto"/>
        <w:ind w:firstLine="480" w:firstLineChars="200"/>
        <w:rPr>
          <w:sz w:val="24"/>
          <w:szCs w:val="24"/>
        </w:rPr>
      </w:pPr>
      <w:r>
        <w:rPr>
          <w:sz w:val="24"/>
          <w:szCs w:val="24"/>
        </w:rPr>
        <w:t>5）对事故后果进行评估，并制定防止类似事件发生的措施。</w:t>
      </w:r>
    </w:p>
    <w:p>
      <w:pPr>
        <w:adjustRightInd w:val="0"/>
        <w:snapToGrid w:val="0"/>
        <w:spacing w:line="360" w:lineRule="auto"/>
        <w:ind w:firstLine="480" w:firstLineChars="200"/>
        <w:rPr>
          <w:sz w:val="24"/>
          <w:szCs w:val="24"/>
        </w:rPr>
      </w:pPr>
      <w:r>
        <w:rPr>
          <w:sz w:val="24"/>
          <w:szCs w:val="24"/>
        </w:rPr>
        <w:t>6）如果</w:t>
      </w:r>
      <w:r>
        <w:rPr>
          <w:rFonts w:hint="eastAsia"/>
          <w:sz w:val="24"/>
          <w:szCs w:val="24"/>
        </w:rPr>
        <w:t>场区</w:t>
      </w:r>
      <w:r>
        <w:rPr>
          <w:sz w:val="24"/>
          <w:szCs w:val="24"/>
        </w:rPr>
        <w:t>力量无法应对污染事故，应立即请求社会应急力量协助处理。</w:t>
      </w:r>
    </w:p>
    <w:p>
      <w:pPr>
        <w:widowControl/>
        <w:adjustRightInd w:val="0"/>
        <w:snapToGrid w:val="0"/>
        <w:spacing w:line="360" w:lineRule="auto"/>
        <w:ind w:firstLine="480" w:firstLineChars="200"/>
        <w:jc w:val="left"/>
        <w:rPr>
          <w:rFonts w:eastAsiaTheme="minorEastAsia" w:cstheme="minorBidi"/>
          <w:sz w:val="24"/>
          <w:szCs w:val="24"/>
        </w:rPr>
      </w:pPr>
      <w:r>
        <w:rPr>
          <w:rFonts w:eastAsiaTheme="minorEastAsia" w:cstheme="minorBidi"/>
          <w:sz w:val="24"/>
          <w:szCs w:val="24"/>
        </w:rPr>
        <w:t>地下水污染的治理相对于地表水来说更加复杂，在进行具体的治理时还需要考虑以下因素：</w:t>
      </w:r>
    </w:p>
    <w:p>
      <w:pPr>
        <w:widowControl/>
        <w:adjustRightInd w:val="0"/>
        <w:snapToGrid w:val="0"/>
        <w:spacing w:line="360" w:lineRule="auto"/>
        <w:ind w:firstLine="480" w:firstLineChars="200"/>
        <w:jc w:val="left"/>
        <w:rPr>
          <w:rFonts w:eastAsiaTheme="minorEastAsia" w:cstheme="minorBidi"/>
          <w:sz w:val="24"/>
          <w:szCs w:val="24"/>
        </w:rPr>
      </w:pPr>
      <w:r>
        <w:rPr>
          <w:rFonts w:hint="eastAsia" w:ascii="宋体" w:hAnsi="宋体" w:cs="宋体" w:eastAsiaTheme="minorEastAsia"/>
          <w:sz w:val="24"/>
          <w:szCs w:val="24"/>
        </w:rPr>
        <w:t>①</w:t>
      </w:r>
      <w:r>
        <w:rPr>
          <w:rFonts w:eastAsiaTheme="minorEastAsia" w:cstheme="minorBidi"/>
          <w:sz w:val="24"/>
          <w:szCs w:val="24"/>
        </w:rPr>
        <w:t>在具体的地下水污染治理中，往往要多种技术结合使用。一般在治理初期，先使用物理法或水动力控制法将污染区封闭，然后尽量收集纯污染物，最后再使用抽出处理法或原位法进行治理。</w:t>
      </w:r>
    </w:p>
    <w:p>
      <w:pPr>
        <w:widowControl/>
        <w:adjustRightInd w:val="0"/>
        <w:snapToGrid w:val="0"/>
        <w:spacing w:line="360" w:lineRule="auto"/>
        <w:ind w:firstLine="480" w:firstLineChars="200"/>
        <w:jc w:val="left"/>
        <w:rPr>
          <w:rFonts w:eastAsiaTheme="minorEastAsia" w:cstheme="minorBidi"/>
          <w:sz w:val="24"/>
          <w:szCs w:val="24"/>
        </w:rPr>
      </w:pPr>
      <w:r>
        <w:rPr>
          <w:rFonts w:hint="eastAsia" w:ascii="宋体" w:hAnsi="宋体" w:cs="宋体" w:eastAsiaTheme="minorEastAsia"/>
          <w:sz w:val="24"/>
          <w:szCs w:val="24"/>
        </w:rPr>
        <w:t>②</w:t>
      </w:r>
      <w:r>
        <w:rPr>
          <w:rFonts w:eastAsiaTheme="minorEastAsia" w:cstheme="minorBidi"/>
          <w:sz w:val="24"/>
          <w:szCs w:val="24"/>
        </w:rPr>
        <w:t>因为污染区域的水文地质条件和地球化学特性都会影响到地下水污染的治理，因此地下水污染的治理通常要以水文地质工作为前提。</w:t>
      </w:r>
    </w:p>
    <w:p>
      <w:pPr>
        <w:widowControl/>
        <w:adjustRightInd w:val="0"/>
        <w:snapToGrid w:val="0"/>
        <w:spacing w:line="360" w:lineRule="auto"/>
        <w:ind w:firstLine="480" w:firstLineChars="200"/>
        <w:jc w:val="left"/>
        <w:rPr>
          <w:rFonts w:asciiTheme="minorHAnsi" w:hAnsiTheme="minorHAnsi" w:eastAsiaTheme="minorEastAsia" w:cstheme="minorBidi"/>
          <w:sz w:val="24"/>
          <w:szCs w:val="24"/>
        </w:rPr>
      </w:pPr>
      <w:r>
        <w:rPr>
          <w:rFonts w:hint="eastAsia" w:ascii="宋体" w:hAnsi="宋体" w:cs="宋体" w:eastAsiaTheme="minorEastAsia"/>
          <w:sz w:val="24"/>
          <w:szCs w:val="24"/>
        </w:rPr>
        <w:t>③</w:t>
      </w:r>
      <w:r>
        <w:rPr>
          <w:rFonts w:eastAsiaTheme="minorEastAsia" w:cstheme="minorBidi"/>
          <w:sz w:val="24"/>
          <w:szCs w:val="24"/>
        </w:rPr>
        <w:t>受污染的地下水的修复往往还要包括土壤的修复。</w:t>
      </w:r>
    </w:p>
    <w:p>
      <w:pPr>
        <w:pStyle w:val="61"/>
        <w:numPr>
          <w:ilvl w:val="1"/>
          <w:numId w:val="5"/>
        </w:numPr>
        <w:spacing w:before="156" w:after="156"/>
        <w:rPr>
          <w:rFonts w:ascii="Times New Roman" w:hAnsi="Times New Roman"/>
        </w:rPr>
      </w:pPr>
      <w:bookmarkStart w:id="165" w:name="_Toc94101237"/>
      <w:bookmarkStart w:id="166" w:name="_Toc518025944"/>
      <w:r>
        <w:rPr>
          <w:rFonts w:hint="eastAsia" w:ascii="Times New Roman" w:hAnsi="Times New Roman"/>
        </w:rPr>
        <w:t>营运期</w:t>
      </w:r>
      <w:r>
        <w:rPr>
          <w:rFonts w:ascii="Times New Roman" w:hAnsi="Times New Roman"/>
        </w:rPr>
        <w:t>噪声污染防治措施</w:t>
      </w:r>
      <w:bookmarkEnd w:id="165"/>
      <w:bookmarkEnd w:id="166"/>
    </w:p>
    <w:p>
      <w:pPr>
        <w:tabs>
          <w:tab w:val="left" w:pos="851"/>
        </w:tabs>
        <w:adjustRightInd w:val="0"/>
        <w:snapToGrid w:val="0"/>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(1)</w:t>
      </w:r>
      <w:r>
        <w:rPr>
          <w:rFonts w:hint="eastAsia" w:asciiTheme="minorEastAsia" w:hAnsiTheme="minorEastAsia" w:eastAsiaTheme="minorEastAsia"/>
          <w:sz w:val="24"/>
        </w:rPr>
        <w:t>合理安排运输路线，在经过居民区、学校、医院等噪声敏感目标时严禁鸣笛，并减缓车速。</w:t>
      </w:r>
    </w:p>
    <w:p>
      <w:pPr>
        <w:tabs>
          <w:tab w:val="left" w:pos="851"/>
        </w:tabs>
        <w:adjustRightInd w:val="0"/>
        <w:snapToGrid w:val="0"/>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(2)</w:t>
      </w:r>
      <w:r>
        <w:rPr>
          <w:rFonts w:hint="eastAsia" w:asciiTheme="minorEastAsia" w:hAnsiTheme="minorEastAsia" w:eastAsiaTheme="minorEastAsia"/>
          <w:sz w:val="24"/>
        </w:rPr>
        <w:t>风机、水泵、作业机械、垃圾运输车辆等选用低噪声设备。</w:t>
      </w:r>
    </w:p>
    <w:p>
      <w:pPr>
        <w:tabs>
          <w:tab w:val="left" w:pos="851"/>
        </w:tabs>
        <w:adjustRightInd w:val="0"/>
        <w:snapToGrid w:val="0"/>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(3)</w:t>
      </w:r>
      <w:r>
        <w:rPr>
          <w:rFonts w:hint="eastAsia" w:asciiTheme="minorEastAsia" w:hAnsiTheme="minorEastAsia" w:eastAsiaTheme="minorEastAsia"/>
          <w:sz w:val="24"/>
        </w:rPr>
        <w:t>采用潜污泵或者潜水泵。对风机、水泵等产噪设备应采取基础隔振处理，进出口应安装可曲挠半软性接头，以满足隔振、减振以及作为各向位移补偿的要求，泵体安装高阻尼粘弹性垫圈。</w:t>
      </w:r>
    </w:p>
    <w:p>
      <w:pPr>
        <w:tabs>
          <w:tab w:val="left" w:pos="851"/>
        </w:tabs>
        <w:adjustRightInd w:val="0"/>
        <w:snapToGrid w:val="0"/>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(4)</w:t>
      </w:r>
      <w:r>
        <w:rPr>
          <w:rFonts w:hint="eastAsia" w:asciiTheme="minorEastAsia" w:hAnsiTheme="minorEastAsia" w:eastAsiaTheme="minorEastAsia"/>
          <w:sz w:val="24"/>
        </w:rPr>
        <w:t>加强设备的安装、调试、使用和维护管理。建立设备使用档案，做好日常维护保养，使其处于良好的工况下运行。正确的安装、调试、使用，良好的润滑和合理有效的检修，积极应用各种设备状态监测和故障诊断技术，对运行的设备进行及时、合理而有效的维护保养，能有效防止零部件的松动、磨损和设备运转状态的劣化，从而减小摩擦和撞击振动所产生的噪声。</w:t>
      </w:r>
    </w:p>
    <w:p>
      <w:pPr>
        <w:pStyle w:val="61"/>
        <w:numPr>
          <w:ilvl w:val="1"/>
          <w:numId w:val="5"/>
        </w:numPr>
        <w:spacing w:before="156" w:after="156"/>
        <w:rPr>
          <w:rFonts w:ascii="Times New Roman" w:hAnsi="Times New Roman"/>
        </w:rPr>
      </w:pPr>
      <w:bookmarkStart w:id="167" w:name="_Toc518025947"/>
      <w:bookmarkStart w:id="168" w:name="_Toc94101238"/>
      <w:r>
        <w:rPr>
          <w:rFonts w:hint="eastAsia" w:ascii="Times New Roman" w:hAnsi="Times New Roman"/>
        </w:rPr>
        <w:t>营运期</w:t>
      </w:r>
      <w:r>
        <w:rPr>
          <w:rFonts w:ascii="Times New Roman" w:hAnsi="Times New Roman"/>
        </w:rPr>
        <w:t>固废污染治理措施</w:t>
      </w:r>
      <w:bookmarkEnd w:id="167"/>
      <w:bookmarkEnd w:id="168"/>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固废处理措施</w:t>
      </w:r>
    </w:p>
    <w:p>
      <w:pPr>
        <w:pStyle w:val="87"/>
        <w:adjustRightInd w:val="0"/>
        <w:snapToGrid w:val="0"/>
        <w:jc w:val="both"/>
        <w:rPr>
          <w:rFonts w:ascii="Times New Roman" w:hAnsi="Times New Roman"/>
        </w:rPr>
      </w:pPr>
      <w:r>
        <w:rPr>
          <w:rFonts w:ascii="Times New Roman" w:hAnsi="Times New Roman"/>
        </w:rPr>
        <w:t>本项目</w:t>
      </w:r>
      <w:r>
        <w:rPr>
          <w:rFonts w:hint="eastAsia" w:ascii="Times New Roman" w:hAnsi="Times New Roman"/>
        </w:rPr>
        <w:t>采取的</w:t>
      </w:r>
      <w:r>
        <w:rPr>
          <w:rFonts w:ascii="Times New Roman" w:hAnsi="Times New Roman"/>
        </w:rPr>
        <w:t>固废治理措施如下：</w:t>
      </w:r>
    </w:p>
    <w:p>
      <w:pPr>
        <w:pStyle w:val="87"/>
        <w:adjustRightInd w:val="0"/>
        <w:snapToGrid w:val="0"/>
        <w:jc w:val="both"/>
      </w:pPr>
      <w:r>
        <w:rPr>
          <w:rFonts w:hint="eastAsia"/>
        </w:rPr>
        <w:t>（</w:t>
      </w:r>
      <w:r>
        <w:t>1</w:t>
      </w:r>
      <w:r>
        <w:rPr>
          <w:rFonts w:hint="eastAsia"/>
        </w:rPr>
        <w:t>）本项目产生的固废主要是工作人员的生活垃圾和化粪池污泥。生活垃圾委托环卫部门日产日清后送紧邻的生活垃圾焚烧发电项目焚烧处理；化粪池污泥委托环卫部门定期清掏。</w:t>
      </w:r>
    </w:p>
    <w:p>
      <w:pPr>
        <w:pStyle w:val="87"/>
        <w:adjustRightInd w:val="0"/>
        <w:snapToGrid w:val="0"/>
        <w:jc w:val="both"/>
      </w:pPr>
      <w:r>
        <w:rPr>
          <w:rFonts w:hint="eastAsia"/>
        </w:rPr>
        <w:t>（</w:t>
      </w:r>
      <w:r>
        <w:t>2</w:t>
      </w:r>
      <w:r>
        <w:rPr>
          <w:rFonts w:hint="eastAsia"/>
        </w:rPr>
        <w:t>）渗滤液处理站污泥脱水后送紧邻的生活垃圾焚烧发电项目焚烧处理。</w:t>
      </w:r>
    </w:p>
    <w:p>
      <w:pPr>
        <w:pStyle w:val="87"/>
        <w:adjustRightInd w:val="0"/>
        <w:snapToGrid w:val="0"/>
        <w:jc w:val="both"/>
        <w:rPr>
          <w:rFonts w:ascii="Times New Roman" w:hAnsi="Times New Roman"/>
        </w:rPr>
      </w:pPr>
      <w:r>
        <w:rPr>
          <w:rFonts w:hint="eastAsia"/>
        </w:rPr>
        <w:t>（</w:t>
      </w:r>
      <w:r>
        <w:t>3</w:t>
      </w:r>
      <w:r>
        <w:rPr>
          <w:rFonts w:hint="eastAsia"/>
        </w:rPr>
        <w:t>）本项目填埋场不得入场填埋除固化飞灰以外的</w:t>
      </w:r>
      <w:r>
        <w:rPr>
          <w:rFonts w:hint="eastAsia" w:ascii="Times New Roman" w:hAnsi="Times New Roman"/>
        </w:rPr>
        <w:t>其他固体废物，</w:t>
      </w:r>
      <w:r>
        <w:rPr>
          <w:rFonts w:hint="eastAsia"/>
        </w:rPr>
        <w:t>建设单位应按要求分类建立固体填埋处置台账，记录并保存入场固废的种类、数量、贮存、填埋、处置等相关资料，同时将统计资料报当地生态</w:t>
      </w:r>
      <w:r>
        <w:rPr>
          <w:rFonts w:hint="eastAsia" w:ascii="Times New Roman" w:hAnsi="Times New Roman"/>
        </w:rPr>
        <w:t>环境部门备存。</w:t>
      </w:r>
    </w:p>
    <w:p>
      <w:pPr>
        <w:pStyle w:val="87"/>
        <w:adjustRightInd w:val="0"/>
        <w:snapToGrid w:val="0"/>
        <w:jc w:val="both"/>
      </w:pPr>
      <w:r>
        <w:rPr>
          <w:rFonts w:hint="eastAsia"/>
        </w:rPr>
        <w:t>（</w:t>
      </w:r>
      <w:r>
        <w:t>4</w:t>
      </w:r>
      <w:r>
        <w:rPr>
          <w:rFonts w:hint="eastAsia"/>
        </w:rPr>
        <w:t>）机械设备定期保养产生的废润滑油、废机油等危险废物暂存于紧邻的生活垃圾焚烧发电项目危险废物暂存间，与其危废一并交由有资质的单位处置，不得随意堆放或处置。</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固废处理依托可行性分析</w:t>
      </w:r>
    </w:p>
    <w:p>
      <w:pPr>
        <w:pStyle w:val="87"/>
        <w:jc w:val="both"/>
      </w:pPr>
      <w:r>
        <w:rPr>
          <w:rFonts w:hint="eastAsia"/>
        </w:rPr>
        <w:t>生活垃圾焚烧发电项目</w:t>
      </w:r>
      <w:r>
        <w:rPr>
          <w:rFonts w:hint="eastAsia" w:ascii="Times New Roman" w:hAnsi="Times New Roman"/>
        </w:rPr>
        <w:t>按照《危险废物贮存污染控制标准》（GB1859</w:t>
      </w:r>
      <w:r>
        <w:rPr>
          <w:rFonts w:ascii="Times New Roman" w:hAnsi="Times New Roman"/>
        </w:rPr>
        <w:t>7</w:t>
      </w:r>
      <w:r>
        <w:rPr>
          <w:rFonts w:hint="eastAsia" w:ascii="Times New Roman" w:hAnsi="Times New Roman"/>
        </w:rPr>
        <w:t>-2001）及修改单（2013年第36号）等标准要求，</w:t>
      </w:r>
      <w:r>
        <w:rPr>
          <w:rFonts w:hint="eastAsia"/>
        </w:rPr>
        <w:t>在</w:t>
      </w:r>
      <w:r>
        <w:t>飞灰暂存库</w:t>
      </w:r>
      <w:r>
        <w:rPr>
          <w:rFonts w:hint="eastAsia"/>
        </w:rPr>
        <w:t>内</w:t>
      </w:r>
      <w:r>
        <w:t>新建一座12m</w:t>
      </w:r>
      <w:r>
        <w:rPr>
          <w:vertAlign w:val="superscript"/>
        </w:rPr>
        <w:t>2</w:t>
      </w:r>
      <w:r>
        <w:t>的危废暂存间，采用封闭建筑结构形式，配套必要的通风、除尘和废水收集设施。</w:t>
      </w:r>
      <w:r>
        <w:rPr>
          <w:rFonts w:hint="eastAsia"/>
        </w:rPr>
        <w:t>其产生</w:t>
      </w:r>
      <w:r>
        <w:t>废机油</w:t>
      </w:r>
      <w:r>
        <w:rPr>
          <w:rFonts w:hint="eastAsia"/>
        </w:rPr>
        <w:t>、废润滑油定期交由</w:t>
      </w:r>
      <w:r>
        <w:t>承德金隅水泥有限责任公司</w:t>
      </w:r>
      <w:r>
        <w:rPr>
          <w:rFonts w:hint="eastAsia"/>
        </w:rPr>
        <w:t>处理。</w:t>
      </w:r>
    </w:p>
    <w:p>
      <w:pPr>
        <w:pStyle w:val="87"/>
      </w:pPr>
      <w:r>
        <w:t>承德金隅水泥有限责任公司位于承德鹰手营子矿区北马圈子镇南马圈子村，距离本项目160km。承德金隅水泥有限责任公司是隶属于北京金隅股份有限公司的二级子公司，主要从事水泥熟料、矿粉、干混砂浆、煤、石膏、脱硫石膏、水渣、粉煤灰、机电设备销售；危险废物的收集、贮存、处置。根据企业危废经营许可证显示，企业的危废经营范围包括HW08</w:t>
      </w:r>
      <w:r>
        <w:rPr>
          <w:rFonts w:hint="eastAsia"/>
        </w:rPr>
        <w:t>处置。</w:t>
      </w:r>
    </w:p>
    <w:p>
      <w:pPr>
        <w:pStyle w:val="87"/>
        <w:adjustRightInd w:val="0"/>
        <w:snapToGrid w:val="0"/>
        <w:jc w:val="both"/>
      </w:pPr>
      <w:r>
        <w:rPr>
          <w:rFonts w:hint="eastAsia"/>
        </w:rPr>
        <w:t>（1）废润滑油、废机油</w:t>
      </w:r>
    </w:p>
    <w:p>
      <w:pPr>
        <w:pStyle w:val="87"/>
        <w:adjustRightInd w:val="0"/>
        <w:snapToGrid w:val="0"/>
        <w:jc w:val="both"/>
      </w:pPr>
      <w:r>
        <w:rPr>
          <w:rFonts w:hint="eastAsia"/>
        </w:rPr>
        <w:t>本项目产生的废润滑油、废机油等约0</w:t>
      </w:r>
      <w:r>
        <w:t>.15</w:t>
      </w:r>
      <w:r>
        <w:rPr>
          <w:rFonts w:hint="eastAsia"/>
        </w:rPr>
        <w:t>t，数量较少，可依托其</w:t>
      </w:r>
      <w:r>
        <w:t>危废暂存间</w:t>
      </w:r>
      <w:r>
        <w:rPr>
          <w:rFonts w:hint="eastAsia"/>
        </w:rPr>
        <w:t>暂存后一并交由有资质的单位处置。</w:t>
      </w:r>
      <w:r>
        <w:t>本项目危废处置单位可依托性见表6.6-1</w:t>
      </w:r>
      <w:r>
        <w:rPr>
          <w:rFonts w:hint="eastAsia"/>
        </w:rPr>
        <w:t>。</w:t>
      </w:r>
      <w:r>
        <w:t>综上所述，本项目产生的危险废物</w:t>
      </w:r>
      <w:r>
        <w:rPr>
          <w:rFonts w:hint="eastAsia"/>
        </w:rPr>
        <w:t>厂内暂存与</w:t>
      </w:r>
      <w:r>
        <w:t>委托处置</w:t>
      </w:r>
      <w:r>
        <w:rPr>
          <w:rFonts w:hint="eastAsia"/>
        </w:rPr>
        <w:t>措施</w:t>
      </w:r>
      <w:r>
        <w:t>可行。</w:t>
      </w:r>
    </w:p>
    <w:p>
      <w:pPr>
        <w:pStyle w:val="2"/>
        <w:spacing w:after="0" w:line="480" w:lineRule="exact"/>
        <w:ind w:left="0" w:leftChars="0" w:firstLine="0" w:firstLineChars="0"/>
        <w:jc w:val="center"/>
        <w:rPr>
          <w:rFonts w:eastAsia="黑体"/>
          <w:sz w:val="24"/>
          <w:szCs w:val="24"/>
        </w:rPr>
      </w:pPr>
      <w:r>
        <w:rPr>
          <w:rFonts w:eastAsia="黑体"/>
          <w:sz w:val="24"/>
          <w:szCs w:val="24"/>
        </w:rPr>
        <w:t xml:space="preserve">表6.6-1    </w:t>
      </w:r>
      <w:r>
        <w:rPr>
          <w:rFonts w:hint="eastAsia" w:eastAsia="黑体"/>
          <w:sz w:val="24"/>
          <w:szCs w:val="24"/>
        </w:rPr>
        <w:t>本项目</w:t>
      </w:r>
      <w:r>
        <w:rPr>
          <w:rFonts w:eastAsia="黑体"/>
          <w:sz w:val="24"/>
          <w:szCs w:val="24"/>
        </w:rPr>
        <w:t>危险废物处置单位依托表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851"/>
        <w:gridCol w:w="1550"/>
        <w:gridCol w:w="1196"/>
        <w:gridCol w:w="940"/>
        <w:gridCol w:w="31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9" w:type="pct"/>
            <w:vAlign w:val="center"/>
          </w:tcPr>
          <w:p>
            <w:pPr>
              <w:adjustRightInd w:val="0"/>
              <w:snapToGrid w:val="0"/>
              <w:jc w:val="center"/>
              <w:textAlignment w:val="baseline"/>
              <w:rPr>
                <w:snapToGrid w:val="0"/>
              </w:rPr>
            </w:pPr>
            <w:r>
              <w:rPr>
                <w:snapToGrid w:val="0"/>
              </w:rPr>
              <w:t>序号</w:t>
            </w:r>
          </w:p>
        </w:tc>
        <w:tc>
          <w:tcPr>
            <w:tcW w:w="499" w:type="pct"/>
            <w:vAlign w:val="center"/>
          </w:tcPr>
          <w:p>
            <w:pPr>
              <w:adjustRightInd w:val="0"/>
              <w:snapToGrid w:val="0"/>
              <w:jc w:val="center"/>
              <w:textAlignment w:val="baseline"/>
              <w:rPr>
                <w:snapToGrid w:val="0"/>
              </w:rPr>
            </w:pPr>
            <w:r>
              <w:rPr>
                <w:snapToGrid w:val="0"/>
              </w:rPr>
              <w:t>污染物</w:t>
            </w:r>
          </w:p>
        </w:tc>
        <w:tc>
          <w:tcPr>
            <w:tcW w:w="909" w:type="pct"/>
            <w:vAlign w:val="center"/>
          </w:tcPr>
          <w:p>
            <w:pPr>
              <w:adjustRightInd w:val="0"/>
              <w:snapToGrid w:val="0"/>
              <w:jc w:val="center"/>
              <w:textAlignment w:val="baseline"/>
              <w:rPr>
                <w:snapToGrid w:val="0"/>
              </w:rPr>
            </w:pPr>
            <w:r>
              <w:rPr>
                <w:snapToGrid w:val="0"/>
              </w:rPr>
              <w:t>类别</w:t>
            </w:r>
          </w:p>
        </w:tc>
        <w:tc>
          <w:tcPr>
            <w:tcW w:w="701" w:type="pct"/>
            <w:vAlign w:val="center"/>
          </w:tcPr>
          <w:p>
            <w:pPr>
              <w:adjustRightInd w:val="0"/>
              <w:snapToGrid w:val="0"/>
              <w:jc w:val="center"/>
              <w:textAlignment w:val="baseline"/>
              <w:rPr>
                <w:snapToGrid w:val="0"/>
              </w:rPr>
            </w:pPr>
            <w:r>
              <w:rPr>
                <w:snapToGrid w:val="0"/>
              </w:rPr>
              <w:t>废物代码</w:t>
            </w:r>
          </w:p>
        </w:tc>
        <w:tc>
          <w:tcPr>
            <w:tcW w:w="551" w:type="pct"/>
            <w:vAlign w:val="center"/>
          </w:tcPr>
          <w:p>
            <w:pPr>
              <w:adjustRightInd w:val="0"/>
              <w:snapToGrid w:val="0"/>
              <w:jc w:val="center"/>
              <w:textAlignment w:val="baseline"/>
              <w:rPr>
                <w:snapToGrid w:val="0"/>
              </w:rPr>
            </w:pPr>
            <w:r>
              <w:rPr>
                <w:snapToGrid w:val="0"/>
              </w:rPr>
              <w:t>产生量</w:t>
            </w:r>
          </w:p>
        </w:tc>
        <w:tc>
          <w:tcPr>
            <w:tcW w:w="1862" w:type="pct"/>
            <w:vAlign w:val="center"/>
          </w:tcPr>
          <w:p>
            <w:pPr>
              <w:adjustRightInd w:val="0"/>
              <w:snapToGrid w:val="0"/>
              <w:jc w:val="center"/>
              <w:textAlignment w:val="baseline"/>
              <w:rPr>
                <w:snapToGrid w:val="0"/>
              </w:rPr>
            </w:pPr>
            <w:r>
              <w:rPr>
                <w:snapToGrid w:val="0"/>
              </w:rPr>
              <w:t>计划依托的处置单位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9" w:type="pct"/>
            <w:vAlign w:val="center"/>
          </w:tcPr>
          <w:p>
            <w:pPr>
              <w:jc w:val="center"/>
              <w:rPr>
                <w:snapToGrid w:val="0"/>
              </w:rPr>
            </w:pPr>
            <w:r>
              <w:rPr>
                <w:snapToGrid w:val="0"/>
              </w:rPr>
              <w:t>1</w:t>
            </w:r>
          </w:p>
        </w:tc>
        <w:tc>
          <w:tcPr>
            <w:tcW w:w="499" w:type="pct"/>
            <w:vAlign w:val="center"/>
          </w:tcPr>
          <w:p>
            <w:pPr>
              <w:jc w:val="center"/>
            </w:pPr>
            <w:r>
              <w:t>废机油</w:t>
            </w:r>
            <w:r>
              <w:rPr>
                <w:rFonts w:hint="eastAsia"/>
              </w:rPr>
              <w:t>废润滑油</w:t>
            </w:r>
          </w:p>
        </w:tc>
        <w:tc>
          <w:tcPr>
            <w:tcW w:w="909" w:type="pct"/>
            <w:vAlign w:val="center"/>
          </w:tcPr>
          <w:p>
            <w:pPr>
              <w:adjustRightInd w:val="0"/>
              <w:snapToGrid w:val="0"/>
              <w:jc w:val="center"/>
              <w:textAlignment w:val="baseline"/>
              <w:rPr>
                <w:snapToGrid w:val="0"/>
              </w:rPr>
            </w:pPr>
            <w:r>
              <w:rPr>
                <w:snapToGrid w:val="0"/>
              </w:rPr>
              <w:t>HW08废矿物油与含矿物油废物</w:t>
            </w:r>
          </w:p>
        </w:tc>
        <w:tc>
          <w:tcPr>
            <w:tcW w:w="701" w:type="pct"/>
            <w:vAlign w:val="center"/>
          </w:tcPr>
          <w:p>
            <w:pPr>
              <w:jc w:val="center"/>
            </w:pPr>
            <w:r>
              <w:t>900-217-08</w:t>
            </w:r>
          </w:p>
        </w:tc>
        <w:tc>
          <w:tcPr>
            <w:tcW w:w="551" w:type="pct"/>
            <w:vAlign w:val="center"/>
          </w:tcPr>
          <w:p>
            <w:pPr>
              <w:jc w:val="center"/>
            </w:pPr>
            <w:r>
              <w:t>0.15t/a</w:t>
            </w:r>
          </w:p>
        </w:tc>
        <w:tc>
          <w:tcPr>
            <w:tcW w:w="1862" w:type="pct"/>
            <w:vAlign w:val="center"/>
          </w:tcPr>
          <w:p>
            <w:pPr>
              <w:adjustRightInd w:val="0"/>
              <w:snapToGrid w:val="0"/>
              <w:jc w:val="center"/>
              <w:textAlignment w:val="baseline"/>
              <w:rPr>
                <w:snapToGrid w:val="0"/>
              </w:rPr>
            </w:pPr>
            <w:r>
              <w:rPr>
                <w:rFonts w:hint="eastAsia"/>
              </w:rPr>
              <w:t>依托生活垃圾焚烧发电项目危废暂存间，定期交</w:t>
            </w:r>
            <w:r>
              <w:t>承德金隅水泥有限责任公司</w:t>
            </w:r>
          </w:p>
        </w:tc>
      </w:tr>
    </w:tbl>
    <w:p>
      <w:pPr>
        <w:pStyle w:val="87"/>
        <w:adjustRightInd w:val="0"/>
        <w:snapToGrid w:val="0"/>
        <w:jc w:val="both"/>
      </w:pPr>
      <w:r>
        <w:rPr>
          <w:rFonts w:hint="eastAsia"/>
        </w:rPr>
        <w:t>（2）渗滤液处理站污泥</w:t>
      </w:r>
    </w:p>
    <w:p>
      <w:pPr>
        <w:pStyle w:val="87"/>
        <w:adjustRightInd w:val="0"/>
        <w:snapToGrid w:val="0"/>
        <w:jc w:val="both"/>
      </w:pPr>
      <w:r>
        <w:rPr>
          <w:rFonts w:hint="eastAsia"/>
        </w:rPr>
        <w:t>本项目渗滤液处理产生的污泥与生活垃圾焚烧发电项目渗滤液处理产生的污泥成分基本一致，生活垃圾焚烧发电项目产生污泥3</w:t>
      </w:r>
      <w:r>
        <w:t>65</w:t>
      </w:r>
      <w:r>
        <w:rPr>
          <w:rFonts w:hint="eastAsia"/>
        </w:rPr>
        <w:t>t/a，全部送入焚烧炉焚烧，本项目产生的污泥</w:t>
      </w:r>
      <w:r>
        <w:t>27.38t/a</w:t>
      </w:r>
      <w:r>
        <w:rPr>
          <w:rFonts w:hint="eastAsia"/>
        </w:rPr>
        <w:t>，占比较小，与其一并焚烧处置，切实可行。</w:t>
      </w:r>
    </w:p>
    <w:p>
      <w:pPr>
        <w:pStyle w:val="61"/>
        <w:numPr>
          <w:ilvl w:val="1"/>
          <w:numId w:val="5"/>
        </w:numPr>
        <w:spacing w:before="156" w:after="156"/>
        <w:rPr>
          <w:rFonts w:ascii="Times New Roman" w:hAnsi="Times New Roman"/>
        </w:rPr>
      </w:pPr>
      <w:bookmarkStart w:id="169" w:name="_Toc94101239"/>
      <w:r>
        <w:rPr>
          <w:rFonts w:hint="eastAsia" w:ascii="Times New Roman" w:hAnsi="Times New Roman"/>
        </w:rPr>
        <w:t>填埋场封场后污染防治措施</w:t>
      </w:r>
      <w:bookmarkEnd w:id="169"/>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填埋场封场的环境保护要求</w:t>
      </w:r>
    </w:p>
    <w:p>
      <w:pPr>
        <w:pStyle w:val="87"/>
        <w:adjustRightInd w:val="0"/>
        <w:snapToGrid w:val="0"/>
        <w:rPr>
          <w:rFonts w:asciiTheme="minorEastAsia" w:hAnsiTheme="minorEastAsia"/>
        </w:rPr>
      </w:pPr>
      <w:r>
        <w:rPr>
          <w:rFonts w:hint="eastAsia" w:asciiTheme="minorEastAsia" w:hAnsiTheme="minorEastAsia"/>
        </w:rPr>
        <w:t>根据《生活垃圾填埋污染控制标准》</w:t>
      </w:r>
      <w:r>
        <w:rPr>
          <w:rFonts w:asciiTheme="minorEastAsia" w:hAnsiTheme="minorEastAsia"/>
        </w:rPr>
        <w:t>(GB16889-2008)</w:t>
      </w:r>
      <w:r>
        <w:rPr>
          <w:rFonts w:hint="eastAsia" w:asciiTheme="minorEastAsia" w:hAnsiTheme="minorEastAsia"/>
        </w:rPr>
        <w:t>，当填埋场处置的废物数量达到填埋场设计容量时，应实行填埋封场。</w:t>
      </w:r>
    </w:p>
    <w:p>
      <w:pPr>
        <w:pStyle w:val="87"/>
        <w:adjustRightInd w:val="0"/>
        <w:snapToGrid w:val="0"/>
        <w:rPr>
          <w:rFonts w:asciiTheme="minorEastAsia" w:hAnsiTheme="minorEastAsia"/>
        </w:rPr>
      </w:pPr>
      <w:r>
        <w:rPr>
          <w:rFonts w:hint="eastAsia" w:asciiTheme="minorEastAsia" w:hAnsiTheme="minorEastAsia"/>
        </w:rPr>
        <w:t>填埋场的最终覆盖层应为多层结构，应包括下列部分：</w:t>
      </w:r>
    </w:p>
    <w:p>
      <w:pPr>
        <w:pStyle w:val="87"/>
        <w:adjustRightInd w:val="0"/>
        <w:snapToGrid w:val="0"/>
        <w:rPr>
          <w:rFonts w:asciiTheme="minorEastAsia" w:hAnsiTheme="minorEastAsia"/>
        </w:rPr>
      </w:pPr>
      <w:r>
        <w:rPr>
          <w:rFonts w:asciiTheme="minorEastAsia" w:hAnsiTheme="minorEastAsia"/>
        </w:rPr>
        <w:t>(1)</w:t>
      </w:r>
      <w:r>
        <w:rPr>
          <w:rFonts w:hint="eastAsia" w:asciiTheme="minorEastAsia" w:hAnsiTheme="minorEastAsia"/>
        </w:rPr>
        <w:t>底层：厚度不应小于</w:t>
      </w:r>
      <w:r>
        <w:rPr>
          <w:rFonts w:asciiTheme="minorEastAsia" w:hAnsiTheme="minorEastAsia"/>
        </w:rPr>
        <w:t>20cm</w:t>
      </w:r>
      <w:r>
        <w:rPr>
          <w:rFonts w:hint="eastAsia" w:asciiTheme="minorEastAsia" w:hAnsiTheme="minorEastAsia"/>
        </w:rPr>
        <w:t>，倾斜度不小于</w:t>
      </w:r>
      <w:r>
        <w:rPr>
          <w:rFonts w:asciiTheme="minorEastAsia" w:hAnsiTheme="minorEastAsia"/>
        </w:rPr>
        <w:t>2%</w:t>
      </w:r>
      <w:r>
        <w:rPr>
          <w:rFonts w:hint="eastAsia" w:asciiTheme="minorEastAsia" w:hAnsiTheme="minorEastAsia"/>
        </w:rPr>
        <w:t>，由透气性好的颗粒物质组成；</w:t>
      </w:r>
    </w:p>
    <w:p>
      <w:pPr>
        <w:pStyle w:val="87"/>
        <w:adjustRightInd w:val="0"/>
        <w:snapToGrid w:val="0"/>
        <w:rPr>
          <w:rFonts w:asciiTheme="minorEastAsia" w:hAnsiTheme="minorEastAsia"/>
        </w:rPr>
      </w:pPr>
      <w:r>
        <w:rPr>
          <w:rFonts w:asciiTheme="minorEastAsia" w:hAnsiTheme="minorEastAsia"/>
        </w:rPr>
        <w:t>(2)</w:t>
      </w:r>
      <w:r>
        <w:rPr>
          <w:rFonts w:hint="eastAsia" w:asciiTheme="minorEastAsia" w:hAnsiTheme="minorEastAsia"/>
        </w:rPr>
        <w:t>防渗层：天然材料防渗层厚度不应小于</w:t>
      </w:r>
      <w:r>
        <w:rPr>
          <w:rFonts w:asciiTheme="minorEastAsia" w:hAnsiTheme="minorEastAsia"/>
        </w:rPr>
        <w:t>50cm</w:t>
      </w:r>
      <w:r>
        <w:rPr>
          <w:rFonts w:hint="eastAsia" w:asciiTheme="minorEastAsia" w:hAnsiTheme="minorEastAsia"/>
        </w:rPr>
        <w:t>，渗透系数不大于</w:t>
      </w:r>
      <w:r>
        <w:rPr>
          <w:rFonts w:asciiTheme="minorEastAsia" w:hAnsiTheme="minorEastAsia"/>
        </w:rPr>
        <w:t>10-7cm/s</w:t>
      </w:r>
      <w:r>
        <w:rPr>
          <w:rFonts w:hint="eastAsia" w:asciiTheme="minorEastAsia" w:hAnsiTheme="minorEastAsia"/>
        </w:rPr>
        <w:t>；若采用复合防渗层，人工合成材料层厚度不应小于</w:t>
      </w:r>
      <w:r>
        <w:rPr>
          <w:rFonts w:asciiTheme="minorEastAsia" w:hAnsiTheme="minorEastAsia"/>
        </w:rPr>
        <w:t>1.0mm</w:t>
      </w:r>
      <w:r>
        <w:rPr>
          <w:rFonts w:hint="eastAsia" w:asciiTheme="minorEastAsia" w:hAnsiTheme="minorEastAsia"/>
        </w:rPr>
        <w:t>，天然材料层厚度不应小于</w:t>
      </w:r>
      <w:r>
        <w:rPr>
          <w:rFonts w:asciiTheme="minorEastAsia" w:hAnsiTheme="minorEastAsia"/>
        </w:rPr>
        <w:t>30cm</w:t>
      </w:r>
      <w:r>
        <w:rPr>
          <w:rFonts w:hint="eastAsia" w:asciiTheme="minorEastAsia" w:hAnsiTheme="minorEastAsia"/>
        </w:rPr>
        <w:t>。其它设计要求同衬层相同；</w:t>
      </w:r>
    </w:p>
    <w:p>
      <w:pPr>
        <w:pStyle w:val="87"/>
        <w:adjustRightInd w:val="0"/>
        <w:snapToGrid w:val="0"/>
        <w:rPr>
          <w:rFonts w:asciiTheme="minorEastAsia" w:hAnsiTheme="minorEastAsia"/>
        </w:rPr>
      </w:pPr>
      <w:r>
        <w:rPr>
          <w:rFonts w:asciiTheme="minorEastAsia" w:hAnsiTheme="minorEastAsia"/>
        </w:rPr>
        <w:t>(3)</w:t>
      </w:r>
      <w:r>
        <w:rPr>
          <w:rFonts w:hint="eastAsia" w:asciiTheme="minorEastAsia" w:hAnsiTheme="minorEastAsia"/>
        </w:rPr>
        <w:t>排水层及排水管网：排水层和排水系统的要求同底部渗滤液集排水系统相同，设计时采用的暴雨强度不应小于</w:t>
      </w:r>
      <w:r>
        <w:rPr>
          <w:rFonts w:asciiTheme="minorEastAsia" w:hAnsiTheme="minorEastAsia"/>
        </w:rPr>
        <w:t xml:space="preserve">50 </w:t>
      </w:r>
      <w:r>
        <w:rPr>
          <w:rFonts w:hint="eastAsia" w:asciiTheme="minorEastAsia" w:hAnsiTheme="minorEastAsia"/>
        </w:rPr>
        <w:t>年；</w:t>
      </w:r>
    </w:p>
    <w:p>
      <w:pPr>
        <w:pStyle w:val="87"/>
        <w:adjustRightInd w:val="0"/>
        <w:snapToGrid w:val="0"/>
        <w:rPr>
          <w:rFonts w:asciiTheme="minorEastAsia" w:hAnsiTheme="minorEastAsia"/>
        </w:rPr>
      </w:pPr>
      <w:r>
        <w:rPr>
          <w:rFonts w:asciiTheme="minorEastAsia" w:hAnsiTheme="minorEastAsia"/>
        </w:rPr>
        <w:t>(4)</w:t>
      </w:r>
      <w:r>
        <w:rPr>
          <w:rFonts w:hint="eastAsia" w:asciiTheme="minorEastAsia" w:hAnsiTheme="minorEastAsia"/>
        </w:rPr>
        <w:t>保护层：保护层厚度不应小于</w:t>
      </w:r>
      <w:r>
        <w:rPr>
          <w:rFonts w:asciiTheme="minorEastAsia" w:hAnsiTheme="minorEastAsia"/>
        </w:rPr>
        <w:t>20cm</w:t>
      </w:r>
      <w:r>
        <w:rPr>
          <w:rFonts w:hint="eastAsia" w:asciiTheme="minorEastAsia" w:hAnsiTheme="minorEastAsia"/>
        </w:rPr>
        <w:t>，由粗砥性坚硬鹅卵石组成；</w:t>
      </w:r>
    </w:p>
    <w:p>
      <w:pPr>
        <w:pStyle w:val="87"/>
        <w:adjustRightInd w:val="0"/>
        <w:snapToGrid w:val="0"/>
        <w:rPr>
          <w:rFonts w:asciiTheme="minorEastAsia" w:hAnsiTheme="minorEastAsia"/>
        </w:rPr>
      </w:pPr>
      <w:r>
        <w:rPr>
          <w:rFonts w:asciiTheme="minorEastAsia" w:hAnsiTheme="minorEastAsia"/>
        </w:rPr>
        <w:t>(5)</w:t>
      </w:r>
      <w:r>
        <w:rPr>
          <w:rFonts w:hint="eastAsia" w:asciiTheme="minorEastAsia" w:hAnsiTheme="minorEastAsia"/>
        </w:rPr>
        <w:t>植被恢复层：植被层厚度一般不应小于</w:t>
      </w:r>
      <w:r>
        <w:rPr>
          <w:rFonts w:asciiTheme="minorEastAsia" w:hAnsiTheme="minorEastAsia"/>
        </w:rPr>
        <w:t>60cm</w:t>
      </w:r>
      <w:r>
        <w:rPr>
          <w:rFonts w:hint="eastAsia" w:asciiTheme="minorEastAsia" w:hAnsiTheme="minorEastAsia"/>
        </w:rPr>
        <w:t>，其土质应有利于植物生长和场地恢复；同时植被层的坡度不应超过</w:t>
      </w:r>
      <w:r>
        <w:rPr>
          <w:rFonts w:asciiTheme="minorEastAsia" w:hAnsiTheme="minorEastAsia"/>
        </w:rPr>
        <w:t>33%</w:t>
      </w:r>
      <w:r>
        <w:rPr>
          <w:rFonts w:hint="eastAsia" w:asciiTheme="minorEastAsia" w:hAnsiTheme="minorEastAsia"/>
        </w:rPr>
        <w:t>。在坡度超过</w:t>
      </w:r>
      <w:r>
        <w:rPr>
          <w:rFonts w:asciiTheme="minorEastAsia" w:hAnsiTheme="minorEastAsia"/>
        </w:rPr>
        <w:t>10%</w:t>
      </w:r>
      <w:r>
        <w:rPr>
          <w:rFonts w:hint="eastAsia" w:asciiTheme="minorEastAsia" w:hAnsiTheme="minorEastAsia"/>
        </w:rPr>
        <w:t>的地方，须建造水平台阶；坡度小于</w:t>
      </w:r>
      <w:r>
        <w:rPr>
          <w:rFonts w:asciiTheme="minorEastAsia" w:hAnsiTheme="minorEastAsia"/>
        </w:rPr>
        <w:t>20%</w:t>
      </w:r>
      <w:r>
        <w:rPr>
          <w:rFonts w:hint="eastAsia" w:asciiTheme="minorEastAsia" w:hAnsiTheme="minorEastAsia"/>
        </w:rPr>
        <w:t>时，标高每升高</w:t>
      </w:r>
      <w:r>
        <w:rPr>
          <w:rFonts w:asciiTheme="minorEastAsia" w:hAnsiTheme="minorEastAsia"/>
        </w:rPr>
        <w:t>3m</w:t>
      </w:r>
      <w:r>
        <w:rPr>
          <w:rFonts w:hint="eastAsia" w:asciiTheme="minorEastAsia" w:hAnsiTheme="minorEastAsia"/>
        </w:rPr>
        <w:t>，建造一个台阶；坡度大于</w:t>
      </w:r>
      <w:r>
        <w:rPr>
          <w:rFonts w:asciiTheme="minorEastAsia" w:hAnsiTheme="minorEastAsia"/>
        </w:rPr>
        <w:t>20%</w:t>
      </w:r>
      <w:r>
        <w:rPr>
          <w:rFonts w:hint="eastAsia" w:asciiTheme="minorEastAsia" w:hAnsiTheme="minorEastAsia"/>
        </w:rPr>
        <w:t>时，标高每升高</w:t>
      </w:r>
      <w:r>
        <w:rPr>
          <w:rFonts w:asciiTheme="minorEastAsia" w:hAnsiTheme="minorEastAsia"/>
        </w:rPr>
        <w:t>2m</w:t>
      </w:r>
      <w:r>
        <w:rPr>
          <w:rFonts w:hint="eastAsia" w:asciiTheme="minorEastAsia" w:hAnsiTheme="minorEastAsia"/>
        </w:rPr>
        <w:t>，建造一个台阶。台阶应有足够的宽度和坡度，要能经受暴雨的冲刷。</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封场及后期维护与管理要求</w:t>
      </w:r>
    </w:p>
    <w:p>
      <w:pPr>
        <w:pStyle w:val="87"/>
        <w:adjustRightInd w:val="0"/>
        <w:snapToGrid w:val="0"/>
      </w:pPr>
      <w:r>
        <w:rPr>
          <w:rFonts w:hint="eastAsia"/>
        </w:rPr>
        <w:t>参照《生活垃圾填埋污染控制标准》</w:t>
      </w:r>
      <w:r>
        <w:t>(GB16889-2008)</w:t>
      </w:r>
      <w:r>
        <w:rPr>
          <w:rFonts w:hint="eastAsia"/>
        </w:rPr>
        <w:t>，填埋场封场及后期维护与管理要求如下：</w:t>
      </w:r>
    </w:p>
    <w:p>
      <w:pPr>
        <w:pStyle w:val="87"/>
        <w:adjustRightInd w:val="0"/>
        <w:snapToGrid w:val="0"/>
      </w:pPr>
      <w:r>
        <w:t>(1)</w:t>
      </w:r>
      <w:r>
        <w:rPr>
          <w:rFonts w:hint="eastAsia"/>
        </w:rPr>
        <w:t>维护最终覆盖层的完整性和有效性。</w:t>
      </w:r>
    </w:p>
    <w:p>
      <w:pPr>
        <w:pStyle w:val="87"/>
        <w:adjustRightInd w:val="0"/>
        <w:snapToGrid w:val="0"/>
      </w:pPr>
      <w:r>
        <w:t>(2)</w:t>
      </w:r>
      <w:r>
        <w:rPr>
          <w:rFonts w:hint="eastAsia"/>
        </w:rPr>
        <w:t>维护和监测检漏系统。</w:t>
      </w:r>
    </w:p>
    <w:p>
      <w:pPr>
        <w:pStyle w:val="87"/>
        <w:adjustRightInd w:val="0"/>
        <w:snapToGrid w:val="0"/>
      </w:pPr>
      <w:r>
        <w:t>(3)</w:t>
      </w:r>
      <w:r>
        <w:rPr>
          <w:rFonts w:hint="eastAsia"/>
        </w:rPr>
        <w:t>继续监测地下水水质的变化。</w:t>
      </w:r>
    </w:p>
    <w:p>
      <w:pPr>
        <w:pStyle w:val="87"/>
        <w:adjustRightInd w:val="0"/>
        <w:snapToGrid w:val="0"/>
      </w:pPr>
      <w:r>
        <w:rPr>
          <w:rFonts w:hint="eastAsia"/>
        </w:rPr>
        <w:t>封场后进入后期维护与管理阶段的填埋场固废渗滤液产生量较少，通过渗滤液处理站预处理后泵送至福建绿洲固体废物处置有限公司渗滤液处理站处理。</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封场后污染防治措施</w:t>
      </w:r>
    </w:p>
    <w:p>
      <w:pPr>
        <w:pStyle w:val="87"/>
        <w:adjustRightInd w:val="0"/>
        <w:snapToGrid w:val="0"/>
      </w:pPr>
      <w:r>
        <w:rPr>
          <w:rFonts w:hint="eastAsia"/>
        </w:rPr>
        <w:t>当填埋场服务期满后，为美化场区景观和为后续利用创造条件，本项目拟作如下封场处理：</w:t>
      </w:r>
    </w:p>
    <w:p>
      <w:pPr>
        <w:pStyle w:val="87"/>
        <w:adjustRightInd w:val="0"/>
        <w:snapToGrid w:val="0"/>
        <w:ind w:firstLine="482"/>
        <w:rPr>
          <w:b/>
          <w:bCs/>
        </w:rPr>
      </w:pPr>
      <w:r>
        <w:rPr>
          <w:b/>
          <w:bCs/>
        </w:rPr>
        <w:t>(1)</w:t>
      </w:r>
      <w:r>
        <w:rPr>
          <w:rFonts w:hint="eastAsia"/>
          <w:b/>
          <w:bCs/>
        </w:rPr>
        <w:t>封场覆盖</w:t>
      </w:r>
    </w:p>
    <w:p>
      <w:pPr>
        <w:pStyle w:val="87"/>
        <w:adjustRightInd w:val="0"/>
        <w:snapToGrid w:val="0"/>
      </w:pPr>
      <w:r>
        <w:rPr>
          <w:rFonts w:hint="eastAsia"/>
        </w:rPr>
        <w:t>首先，在填埋作业过程中，做好临时封场工程。再次，当填埋场服务期满后，为美化场区景观和为后续利用创造条件，本项目拟作如下封场处理：</w:t>
      </w:r>
    </w:p>
    <w:p>
      <w:pPr>
        <w:pStyle w:val="87"/>
        <w:adjustRightInd w:val="0"/>
        <w:snapToGrid w:val="0"/>
      </w:pPr>
      <w:r>
        <w:rPr>
          <w:rFonts w:hint="eastAsia"/>
        </w:rPr>
        <w:t>①在最终的垃圾填埋表面进行封场覆盖；</w:t>
      </w:r>
    </w:p>
    <w:p>
      <w:pPr>
        <w:pStyle w:val="87"/>
        <w:adjustRightInd w:val="0"/>
        <w:snapToGrid w:val="0"/>
      </w:pPr>
      <w:r>
        <w:rPr>
          <w:rFonts w:hint="eastAsia"/>
        </w:rPr>
        <w:t>②对封场后垃圾堆体出现的因局部沉降引起的陷落、裂隙等作及时处理；</w:t>
      </w:r>
    </w:p>
    <w:p>
      <w:pPr>
        <w:pStyle w:val="87"/>
        <w:adjustRightInd w:val="0"/>
        <w:snapToGrid w:val="0"/>
      </w:pPr>
      <w:r>
        <w:rPr>
          <w:rFonts w:hint="eastAsia"/>
        </w:rPr>
        <w:t>③保留污水导排及其处理设施，待确定达到安全期为止；</w:t>
      </w:r>
    </w:p>
    <w:p>
      <w:pPr>
        <w:pStyle w:val="87"/>
        <w:adjustRightInd w:val="0"/>
        <w:snapToGrid w:val="0"/>
      </w:pPr>
      <w:r>
        <w:rPr>
          <w:rFonts w:hint="eastAsia"/>
        </w:rPr>
        <w:t>④达到安全期的填埋场可作绿化、旱地农作、人造景观以及一些无机物资堆放场等用地。本项目初步考虑采取以恢复场区生态为主的植被恢复措施，即在最终覆盖的耕植土上，就近选择适宜的植物种类，合理进行乔木、灌木和草本植物等的种植。本项目填埋区终场覆盖层自下而上依次为：固化飞灰层→粒径</w:t>
      </w:r>
      <w:r>
        <w:t xml:space="preserve">25-50mm </w:t>
      </w:r>
      <w:r>
        <w:rPr>
          <w:rFonts w:hint="eastAsia"/>
        </w:rPr>
        <w:t>碎石→</w:t>
      </w:r>
      <w:r>
        <w:t xml:space="preserve">300mm </w:t>
      </w:r>
      <w:r>
        <w:rPr>
          <w:rFonts w:hint="eastAsia"/>
        </w:rPr>
        <w:t>厚压实粘土层→</w:t>
      </w:r>
      <w:r>
        <w:t xml:space="preserve">1.0mmHDPE </w:t>
      </w:r>
      <w:r>
        <w:rPr>
          <w:rFonts w:hint="eastAsia"/>
        </w:rPr>
        <w:t>膜→</w:t>
      </w:r>
      <w:r>
        <w:t xml:space="preserve">600g/m2 </w:t>
      </w:r>
      <w:r>
        <w:rPr>
          <w:rFonts w:hint="eastAsia"/>
        </w:rPr>
        <w:t>土工布→粗砂层→耕植土→草坪、植物。</w:t>
      </w:r>
    </w:p>
    <w:p>
      <w:pPr>
        <w:pStyle w:val="87"/>
        <w:adjustRightInd w:val="0"/>
        <w:snapToGrid w:val="0"/>
        <w:ind w:firstLine="482"/>
        <w:rPr>
          <w:b/>
          <w:bCs/>
        </w:rPr>
      </w:pPr>
      <w:r>
        <w:rPr>
          <w:b/>
          <w:bCs/>
        </w:rPr>
        <w:t>(2)</w:t>
      </w:r>
      <w:r>
        <w:rPr>
          <w:rFonts w:hint="eastAsia"/>
          <w:b/>
          <w:bCs/>
        </w:rPr>
        <w:t>封场后维护计划</w:t>
      </w:r>
    </w:p>
    <w:p>
      <w:pPr>
        <w:pStyle w:val="87"/>
        <w:adjustRightInd w:val="0"/>
        <w:snapToGrid w:val="0"/>
      </w:pPr>
      <w:r>
        <w:rPr>
          <w:rFonts w:hint="eastAsia"/>
        </w:rPr>
        <w:t>封场后维护计划包括场地维护和污染治理的继续运行和监测。</w:t>
      </w:r>
    </w:p>
    <w:p>
      <w:pPr>
        <w:pStyle w:val="87"/>
        <w:adjustRightInd w:val="0"/>
        <w:snapToGrid w:val="0"/>
      </w:pPr>
      <w:r>
        <w:rPr>
          <w:rFonts w:hint="eastAsia"/>
        </w:rPr>
        <w:t>①封场后，污水按照要求继续监测。</w:t>
      </w:r>
    </w:p>
    <w:p>
      <w:pPr>
        <w:pStyle w:val="87"/>
        <w:adjustRightInd w:val="0"/>
        <w:snapToGrid w:val="0"/>
      </w:pPr>
      <w:r>
        <w:rPr>
          <w:rFonts w:hint="eastAsia"/>
        </w:rPr>
        <w:t>②封场后，将继续按要求对所在地地下水监测井内的地下水进行监测。当停止场内污水收集和外排系统的运行时，可取消对地下水的监测。</w:t>
      </w:r>
    </w:p>
    <w:p>
      <w:pPr>
        <w:pStyle w:val="87"/>
        <w:adjustRightInd w:val="0"/>
        <w:snapToGrid w:val="0"/>
      </w:pPr>
      <w:r>
        <w:rPr>
          <w:rFonts w:hint="eastAsia"/>
        </w:rPr>
        <w:t>③封场后，将继续按要求对下游地表水进行监测。当停止场内污水收集和外排系统的运行时，可取消对地表水的监测。</w:t>
      </w:r>
    </w:p>
    <w:p>
      <w:pPr>
        <w:pStyle w:val="87"/>
        <w:adjustRightInd w:val="0"/>
        <w:snapToGrid w:val="0"/>
      </w:pPr>
      <w:r>
        <w:rPr>
          <w:rFonts w:hint="eastAsia"/>
        </w:rPr>
        <w:t>④封场后，每年监测一次地面沉降。沉降测试点为：在堆体的平台上设置</w:t>
      </w:r>
      <w:r>
        <w:t xml:space="preserve">2 </w:t>
      </w:r>
      <w:r>
        <w:rPr>
          <w:rFonts w:hint="eastAsia"/>
        </w:rPr>
        <w:t>点，顶面设置</w:t>
      </w:r>
      <w:r>
        <w:t xml:space="preserve">4 </w:t>
      </w:r>
      <w:r>
        <w:rPr>
          <w:rFonts w:hint="eastAsia"/>
        </w:rPr>
        <w:t>点。监测地面沉降直至封场管理结束。</w:t>
      </w:r>
    </w:p>
    <w:p>
      <w:pPr>
        <w:pStyle w:val="87"/>
        <w:adjustRightInd w:val="0"/>
        <w:snapToGrid w:val="0"/>
        <w:ind w:firstLineChars="0"/>
      </w:pPr>
      <w:r>
        <w:rPr>
          <w:rFonts w:hint="eastAsia"/>
        </w:rPr>
        <w:t>⑤场地维护包括围堤、隔堤、道路、排水明沟等填埋场基础设施的维护。</w:t>
      </w:r>
      <w:bookmarkStart w:id="170" w:name="_Toc518025950"/>
    </w:p>
    <w:p>
      <w:pPr>
        <w:adjustRightInd w:val="0"/>
        <w:snapToGrid w:val="0"/>
        <w:spacing w:line="360" w:lineRule="auto"/>
        <w:ind w:firstLine="480" w:firstLineChars="200"/>
        <w:rPr>
          <w:sz w:val="24"/>
          <w:szCs w:val="24"/>
        </w:rPr>
        <w:sectPr>
          <w:headerReference r:id="rId27" w:type="default"/>
          <w:pgSz w:w="11906" w:h="16838"/>
          <w:pgMar w:top="1440" w:right="1797" w:bottom="1440" w:left="1797" w:header="851" w:footer="992" w:gutter="0"/>
          <w:cols w:space="425" w:num="1"/>
          <w:docGrid w:type="linesAndChars" w:linePitch="312" w:charSpace="0"/>
        </w:sectPr>
      </w:pPr>
    </w:p>
    <w:bookmarkEnd w:id="170"/>
    <w:p>
      <w:pPr>
        <w:keepNext/>
        <w:keepLines/>
        <w:numPr>
          <w:ilvl w:val="0"/>
          <w:numId w:val="5"/>
        </w:numPr>
        <w:snapToGrid w:val="0"/>
        <w:spacing w:before="50" w:after="50" w:line="360" w:lineRule="auto"/>
        <w:jc w:val="center"/>
        <w:outlineLvl w:val="0"/>
        <w:rPr>
          <w:b/>
          <w:bCs/>
          <w:kern w:val="44"/>
          <w:sz w:val="32"/>
          <w:szCs w:val="32"/>
        </w:rPr>
      </w:pPr>
      <w:bookmarkStart w:id="171" w:name="_Toc94101240"/>
      <w:bookmarkStart w:id="172" w:name="_Toc518025981"/>
      <w:r>
        <w:rPr>
          <w:b/>
          <w:bCs/>
          <w:kern w:val="44"/>
          <w:sz w:val="32"/>
          <w:szCs w:val="32"/>
        </w:rPr>
        <w:t>环境影响经济损益分析</w:t>
      </w:r>
      <w:bookmarkEnd w:id="171"/>
    </w:p>
    <w:p>
      <w:pPr>
        <w:pStyle w:val="61"/>
        <w:numPr>
          <w:ilvl w:val="1"/>
          <w:numId w:val="5"/>
        </w:numPr>
        <w:spacing w:beforeLines="0" w:after="156"/>
        <w:ind w:left="569" w:hanging="569" w:hangingChars="189"/>
        <w:rPr>
          <w:rFonts w:ascii="Times New Roman" w:hAnsi="Times New Roman"/>
        </w:rPr>
      </w:pPr>
      <w:bookmarkStart w:id="173" w:name="_Toc94101241"/>
      <w:r>
        <w:rPr>
          <w:rFonts w:ascii="Times New Roman" w:hAnsi="Times New Roman"/>
        </w:rPr>
        <w:t>经济效益分析</w:t>
      </w:r>
      <w:bookmarkEnd w:id="173"/>
    </w:p>
    <w:p>
      <w:pPr>
        <w:pStyle w:val="20"/>
        <w:snapToGrid w:val="0"/>
        <w:spacing w:line="360" w:lineRule="auto"/>
        <w:ind w:firstLine="480" w:firstLineChars="200"/>
        <w:rPr>
          <w:sz w:val="24"/>
          <w:szCs w:val="24"/>
        </w:rPr>
      </w:pPr>
      <w:r>
        <w:rPr>
          <w:rFonts w:hint="eastAsia"/>
          <w:sz w:val="24"/>
          <w:szCs w:val="24"/>
        </w:rPr>
        <w:t>本项目为生活垃圾焚烧的固化飞灰的固废处置项目，项目的建设将有助于保证围场县生活垃圾焚烧焚烧厂的正常运行，是一个以保护环境为主要目的的治理工程，对当地国民经济的贡献主要体现在环境效益。</w:t>
      </w:r>
    </w:p>
    <w:p>
      <w:pPr>
        <w:pStyle w:val="61"/>
        <w:numPr>
          <w:ilvl w:val="1"/>
          <w:numId w:val="5"/>
        </w:numPr>
        <w:spacing w:beforeLines="0" w:after="156"/>
        <w:ind w:left="569" w:hanging="569" w:hangingChars="189"/>
        <w:rPr>
          <w:rFonts w:ascii="Times New Roman" w:hAnsi="Times New Roman"/>
        </w:rPr>
      </w:pPr>
      <w:bookmarkStart w:id="174" w:name="_Toc94101242"/>
      <w:r>
        <w:rPr>
          <w:rFonts w:ascii="Times New Roman" w:hAnsi="Times New Roman"/>
        </w:rPr>
        <w:t>社会效益分析</w:t>
      </w:r>
      <w:bookmarkEnd w:id="174"/>
    </w:p>
    <w:p>
      <w:pPr>
        <w:adjustRightInd w:val="0"/>
        <w:snapToGrid w:val="0"/>
        <w:spacing w:line="360" w:lineRule="auto"/>
        <w:ind w:firstLine="480" w:firstLineChars="200"/>
        <w:rPr>
          <w:sz w:val="24"/>
          <w:szCs w:val="24"/>
        </w:rPr>
      </w:pPr>
      <w:r>
        <w:rPr>
          <w:rFonts w:hint="eastAsia"/>
          <w:sz w:val="24"/>
          <w:szCs w:val="24"/>
        </w:rPr>
        <w:t>（</w:t>
      </w:r>
      <w:r>
        <w:rPr>
          <w:sz w:val="24"/>
          <w:szCs w:val="24"/>
        </w:rPr>
        <w:t>1</w:t>
      </w:r>
      <w:r>
        <w:rPr>
          <w:rFonts w:hint="eastAsia"/>
          <w:sz w:val="24"/>
          <w:szCs w:val="24"/>
        </w:rPr>
        <w:t>）本项目是一项保护环境、造福子孙后代的公用事业工程，属于社会公益设施，是社会效益、环境效益大于经济效益的建设项目，又是改善区域环境的必要条件。</w:t>
      </w:r>
    </w:p>
    <w:p>
      <w:pPr>
        <w:adjustRightInd w:val="0"/>
        <w:snapToGrid w:val="0"/>
        <w:spacing w:line="360" w:lineRule="auto"/>
        <w:ind w:firstLine="480" w:firstLineChars="200"/>
        <w:rPr>
          <w:sz w:val="24"/>
          <w:szCs w:val="24"/>
        </w:rPr>
      </w:pPr>
      <w:r>
        <w:rPr>
          <w:rFonts w:hint="eastAsia"/>
          <w:sz w:val="24"/>
          <w:szCs w:val="24"/>
        </w:rPr>
        <w:t>（</w:t>
      </w:r>
      <w:r>
        <w:rPr>
          <w:sz w:val="24"/>
          <w:szCs w:val="24"/>
        </w:rPr>
        <w:t>2</w:t>
      </w:r>
      <w:r>
        <w:rPr>
          <w:rFonts w:hint="eastAsia"/>
          <w:sz w:val="24"/>
          <w:szCs w:val="24"/>
        </w:rPr>
        <w:t>）本项目是围场县配套的固废处置项目，项目建成后有利于围场县经济效益、社会效益、环境效益同步发展，对城市的可持续发展有着重要意义。</w:t>
      </w:r>
    </w:p>
    <w:p>
      <w:pPr>
        <w:adjustRightInd w:val="0"/>
        <w:snapToGrid w:val="0"/>
        <w:spacing w:line="360" w:lineRule="auto"/>
        <w:ind w:firstLine="480" w:firstLineChars="200"/>
        <w:rPr>
          <w:sz w:val="24"/>
          <w:szCs w:val="24"/>
        </w:rPr>
      </w:pPr>
      <w:r>
        <w:rPr>
          <w:rFonts w:hint="eastAsia"/>
          <w:sz w:val="24"/>
          <w:szCs w:val="24"/>
        </w:rPr>
        <w:t>（</w:t>
      </w:r>
      <w:r>
        <w:rPr>
          <w:sz w:val="24"/>
          <w:szCs w:val="24"/>
        </w:rPr>
        <w:t>3</w:t>
      </w:r>
      <w:r>
        <w:rPr>
          <w:rFonts w:hint="eastAsia"/>
          <w:sz w:val="24"/>
          <w:szCs w:val="24"/>
        </w:rPr>
        <w:t>）本项目建成后能提供一些工作岗位，将解决部分社会人员的就业问题。</w:t>
      </w:r>
    </w:p>
    <w:p>
      <w:pPr>
        <w:adjustRightInd w:val="0"/>
        <w:snapToGrid w:val="0"/>
        <w:spacing w:line="360" w:lineRule="auto"/>
        <w:ind w:firstLine="480" w:firstLineChars="200"/>
        <w:rPr>
          <w:sz w:val="24"/>
          <w:szCs w:val="24"/>
        </w:rPr>
      </w:pPr>
      <w:r>
        <w:rPr>
          <w:rFonts w:hint="eastAsia"/>
          <w:sz w:val="24"/>
          <w:szCs w:val="24"/>
        </w:rPr>
        <w:t>综上所述，本项目的建设可以改善围场县的环境质量，促进区域环境水平提高，从而进一步改善区域生态环境，保障社会经济的可持续发展。因此，本项目的建设将产生良好的环境效益、社会效益和经济效益。</w:t>
      </w:r>
    </w:p>
    <w:p>
      <w:pPr>
        <w:adjustRightInd w:val="0"/>
        <w:snapToGrid w:val="0"/>
        <w:spacing w:line="360" w:lineRule="auto"/>
        <w:ind w:firstLine="480" w:firstLineChars="200"/>
        <w:rPr>
          <w:sz w:val="24"/>
          <w:szCs w:val="24"/>
        </w:rPr>
      </w:pPr>
      <w:r>
        <w:rPr>
          <w:sz w:val="24"/>
          <w:szCs w:val="24"/>
        </w:rPr>
        <w:t>综合以上分析，本项目具有较好的社会效益。</w:t>
      </w:r>
    </w:p>
    <w:p>
      <w:pPr>
        <w:pStyle w:val="61"/>
        <w:numPr>
          <w:ilvl w:val="1"/>
          <w:numId w:val="5"/>
        </w:numPr>
        <w:spacing w:beforeLines="0" w:after="156"/>
        <w:ind w:left="569" w:hanging="569" w:hangingChars="189"/>
        <w:rPr>
          <w:rFonts w:ascii="Times New Roman" w:hAnsi="Times New Roman"/>
        </w:rPr>
      </w:pPr>
      <w:bookmarkStart w:id="175" w:name="_Toc94101243"/>
      <w:r>
        <w:rPr>
          <w:rFonts w:ascii="Times New Roman" w:hAnsi="Times New Roman"/>
        </w:rPr>
        <w:t>环境效益分析</w:t>
      </w:r>
      <w:bookmarkEnd w:id="175"/>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环保投资估算</w:t>
      </w:r>
    </w:p>
    <w:p>
      <w:pPr>
        <w:pStyle w:val="20"/>
        <w:snapToGrid w:val="0"/>
        <w:spacing w:line="360" w:lineRule="auto"/>
        <w:ind w:firstLine="480" w:firstLineChars="200"/>
        <w:rPr>
          <w:sz w:val="24"/>
          <w:szCs w:val="24"/>
        </w:rPr>
      </w:pPr>
      <w:r>
        <w:rPr>
          <w:rFonts w:hint="eastAsia"/>
          <w:sz w:val="24"/>
          <w:szCs w:val="24"/>
        </w:rPr>
        <w:t>项目主要环保设施有废气处理设施、废水处理设施和噪声治理设施等，环保投资约</w:t>
      </w:r>
      <w:r>
        <w:rPr>
          <w:sz w:val="24"/>
          <w:szCs w:val="24"/>
        </w:rPr>
        <w:t>1378.5</w:t>
      </w:r>
      <w:r>
        <w:rPr>
          <w:rFonts w:hint="eastAsia"/>
          <w:sz w:val="24"/>
          <w:szCs w:val="24"/>
        </w:rPr>
        <w:t>万元，约占项目总投资3825.45万元的36</w:t>
      </w:r>
      <w:r>
        <w:rPr>
          <w:sz w:val="24"/>
          <w:szCs w:val="24"/>
        </w:rPr>
        <w:t>%</w:t>
      </w:r>
      <w:r>
        <w:rPr>
          <w:rFonts w:hint="eastAsia"/>
          <w:sz w:val="24"/>
          <w:szCs w:val="24"/>
        </w:rPr>
        <w:t>。建设项目环保设施投资及处理效果见</w:t>
      </w:r>
      <w:r>
        <w:rPr>
          <w:sz w:val="24"/>
          <w:szCs w:val="24"/>
        </w:rPr>
        <w:t>表</w:t>
      </w:r>
      <w:r>
        <w:rPr>
          <w:rFonts w:hint="eastAsia"/>
          <w:sz w:val="24"/>
          <w:szCs w:val="24"/>
        </w:rPr>
        <w:t>7</w:t>
      </w:r>
      <w:r>
        <w:rPr>
          <w:sz w:val="24"/>
          <w:szCs w:val="24"/>
        </w:rPr>
        <w:t>.3-1。</w:t>
      </w:r>
    </w:p>
    <w:p>
      <w:pPr>
        <w:pStyle w:val="20"/>
        <w:adjustRightInd w:val="0"/>
        <w:snapToGrid w:val="0"/>
        <w:spacing w:after="0"/>
        <w:ind w:firstLine="482" w:firstLineChars="200"/>
        <w:jc w:val="center"/>
        <w:rPr>
          <w:b/>
          <w:sz w:val="24"/>
          <w:szCs w:val="24"/>
        </w:rPr>
      </w:pPr>
      <w:r>
        <w:rPr>
          <w:b/>
          <w:sz w:val="24"/>
          <w:szCs w:val="24"/>
        </w:rPr>
        <w:t>表</w:t>
      </w:r>
      <w:r>
        <w:rPr>
          <w:rFonts w:hint="eastAsia"/>
          <w:b/>
          <w:sz w:val="24"/>
          <w:szCs w:val="24"/>
        </w:rPr>
        <w:t>7</w:t>
      </w:r>
      <w:r>
        <w:rPr>
          <w:b/>
          <w:sz w:val="24"/>
          <w:szCs w:val="24"/>
        </w:rPr>
        <w:t xml:space="preserve">.3-1  </w:t>
      </w:r>
      <w:r>
        <w:rPr>
          <w:rFonts w:hint="eastAsia"/>
          <w:b/>
          <w:sz w:val="24"/>
          <w:szCs w:val="24"/>
        </w:rPr>
        <w:t>本项目</w:t>
      </w:r>
      <w:r>
        <w:rPr>
          <w:b/>
          <w:sz w:val="24"/>
          <w:szCs w:val="24"/>
        </w:rPr>
        <w:t>环保投资估算一览表</w:t>
      </w:r>
    </w:p>
    <w:tbl>
      <w:tblPr>
        <w:tblStyle w:val="29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97"/>
        <w:gridCol w:w="1863"/>
        <w:gridCol w:w="4677"/>
        <w:gridCol w:w="11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adjustRightInd w:val="0"/>
              <w:snapToGrid w:val="0"/>
              <w:jc w:val="center"/>
              <w:rPr>
                <w:rFonts w:eastAsiaTheme="minorEastAsia"/>
                <w:szCs w:val="21"/>
              </w:rPr>
            </w:pPr>
            <w:r>
              <w:rPr>
                <w:rFonts w:eastAsiaTheme="minorEastAsia"/>
                <w:szCs w:val="21"/>
              </w:rPr>
              <w:t>类别</w:t>
            </w:r>
          </w:p>
        </w:tc>
        <w:tc>
          <w:tcPr>
            <w:tcW w:w="1093" w:type="pct"/>
            <w:vAlign w:val="center"/>
          </w:tcPr>
          <w:p>
            <w:pPr>
              <w:adjustRightInd w:val="0"/>
              <w:snapToGrid w:val="0"/>
              <w:jc w:val="center"/>
              <w:rPr>
                <w:rFonts w:eastAsiaTheme="minorEastAsia"/>
                <w:szCs w:val="21"/>
              </w:rPr>
            </w:pPr>
            <w:r>
              <w:rPr>
                <w:rFonts w:eastAsiaTheme="minorEastAsia"/>
                <w:szCs w:val="21"/>
              </w:rPr>
              <w:t>污染源</w:t>
            </w:r>
          </w:p>
        </w:tc>
        <w:tc>
          <w:tcPr>
            <w:tcW w:w="2744" w:type="pct"/>
            <w:vAlign w:val="center"/>
          </w:tcPr>
          <w:p>
            <w:pPr>
              <w:adjustRightInd w:val="0"/>
              <w:snapToGrid w:val="0"/>
              <w:jc w:val="center"/>
              <w:rPr>
                <w:rFonts w:eastAsiaTheme="minorEastAsia"/>
                <w:szCs w:val="21"/>
              </w:rPr>
            </w:pPr>
            <w:r>
              <w:rPr>
                <w:rFonts w:eastAsiaTheme="minorEastAsia"/>
                <w:szCs w:val="21"/>
              </w:rPr>
              <w:t>环保设施名称</w:t>
            </w:r>
          </w:p>
        </w:tc>
        <w:tc>
          <w:tcPr>
            <w:tcW w:w="695" w:type="pct"/>
            <w:vAlign w:val="center"/>
          </w:tcPr>
          <w:p>
            <w:pPr>
              <w:adjustRightInd w:val="0"/>
              <w:snapToGrid w:val="0"/>
              <w:jc w:val="center"/>
              <w:rPr>
                <w:rFonts w:eastAsiaTheme="minorEastAsia"/>
                <w:szCs w:val="21"/>
              </w:rPr>
            </w:pPr>
            <w:r>
              <w:rPr>
                <w:rFonts w:eastAsiaTheme="minorEastAsia"/>
                <w:szCs w:val="21"/>
              </w:rPr>
              <w:t>环保投资（万元）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pPr>
              <w:adjustRightInd w:val="0"/>
              <w:snapToGrid w:val="0"/>
              <w:jc w:val="center"/>
              <w:rPr>
                <w:rFonts w:eastAsiaTheme="minorEastAsia"/>
                <w:szCs w:val="21"/>
              </w:rPr>
            </w:pPr>
            <w:r>
              <w:rPr>
                <w:rFonts w:eastAsiaTheme="minorEastAsia"/>
                <w:szCs w:val="21"/>
              </w:rPr>
              <w:t>废气</w:t>
            </w:r>
          </w:p>
        </w:tc>
        <w:tc>
          <w:tcPr>
            <w:tcW w:w="1093" w:type="pct"/>
            <w:vAlign w:val="center"/>
          </w:tcPr>
          <w:p>
            <w:pPr>
              <w:adjustRightInd w:val="0"/>
              <w:snapToGrid w:val="0"/>
              <w:jc w:val="center"/>
              <w:rPr>
                <w:rFonts w:eastAsiaTheme="minorEastAsia"/>
                <w:szCs w:val="21"/>
              </w:rPr>
            </w:pPr>
            <w:r>
              <w:rPr>
                <w:rFonts w:eastAsiaTheme="minorEastAsia"/>
                <w:spacing w:val="-2"/>
                <w:kern w:val="0"/>
                <w:szCs w:val="21"/>
              </w:rPr>
              <w:t>运输扬尘</w:t>
            </w:r>
          </w:p>
        </w:tc>
        <w:tc>
          <w:tcPr>
            <w:tcW w:w="2744" w:type="pct"/>
            <w:vAlign w:val="center"/>
          </w:tcPr>
          <w:p>
            <w:pPr>
              <w:adjustRightInd w:val="0"/>
              <w:snapToGrid w:val="0"/>
              <w:jc w:val="center"/>
              <w:rPr>
                <w:rFonts w:eastAsiaTheme="minorEastAsia"/>
                <w:szCs w:val="21"/>
              </w:rPr>
            </w:pPr>
            <w:r>
              <w:rPr>
                <w:rFonts w:eastAsiaTheme="minorEastAsia"/>
                <w:spacing w:val="-2"/>
                <w:kern w:val="0"/>
                <w:szCs w:val="21"/>
              </w:rPr>
              <w:t>定期对运输道路洒水降尘，填埋场库区周边设置</w:t>
            </w:r>
            <w:r>
              <w:rPr>
                <w:rFonts w:eastAsiaTheme="minorEastAsia"/>
                <w:spacing w:val="-53"/>
                <w:kern w:val="0"/>
                <w:szCs w:val="21"/>
              </w:rPr>
              <w:t xml:space="preserve"> </w:t>
            </w:r>
            <w:r>
              <w:rPr>
                <w:rFonts w:eastAsiaTheme="minorEastAsia"/>
                <w:spacing w:val="-2"/>
                <w:kern w:val="0"/>
                <w:szCs w:val="21"/>
              </w:rPr>
              <w:t>10m</w:t>
            </w:r>
            <w:r>
              <w:rPr>
                <w:rFonts w:eastAsiaTheme="minorEastAsia"/>
                <w:spacing w:val="-1"/>
                <w:kern w:val="0"/>
                <w:szCs w:val="21"/>
              </w:rPr>
              <w:t xml:space="preserve"> </w:t>
            </w:r>
            <w:r>
              <w:rPr>
                <w:rFonts w:eastAsiaTheme="minorEastAsia"/>
                <w:spacing w:val="-2"/>
                <w:kern w:val="0"/>
                <w:szCs w:val="21"/>
              </w:rPr>
              <w:t>宽的绿化隔</w:t>
            </w:r>
            <w:r>
              <w:rPr>
                <w:rFonts w:eastAsiaTheme="minorEastAsia"/>
                <w:kern w:val="0"/>
                <w:szCs w:val="21"/>
              </w:rPr>
              <w:t>离带。</w:t>
            </w:r>
          </w:p>
        </w:tc>
        <w:tc>
          <w:tcPr>
            <w:tcW w:w="695" w:type="pct"/>
            <w:vAlign w:val="center"/>
          </w:tcPr>
          <w:p>
            <w:pPr>
              <w:adjustRightInd w:val="0"/>
              <w:snapToGrid w:val="0"/>
              <w:jc w:val="center"/>
              <w:rPr>
                <w:rFonts w:eastAsiaTheme="minorEastAsia"/>
                <w:szCs w:val="21"/>
              </w:rPr>
            </w:pPr>
            <w:r>
              <w:rPr>
                <w:rFonts w:eastAsiaTheme="minorEastAsia"/>
                <w:kern w:val="0"/>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rFonts w:eastAsiaTheme="minorEastAsia"/>
                <w:szCs w:val="21"/>
              </w:rPr>
            </w:pP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调节池恶臭</w:t>
            </w:r>
            <w:r>
              <w:rPr>
                <w:rFonts w:eastAsiaTheme="minorEastAsia"/>
                <w:kern w:val="0"/>
                <w:szCs w:val="21"/>
              </w:rPr>
              <w:t>气体</w:t>
            </w:r>
          </w:p>
        </w:tc>
        <w:tc>
          <w:tcPr>
            <w:tcW w:w="2744" w:type="pct"/>
            <w:vAlign w:val="center"/>
          </w:tcPr>
          <w:p>
            <w:pPr>
              <w:adjustRightInd w:val="0"/>
              <w:snapToGrid w:val="0"/>
              <w:jc w:val="center"/>
              <w:rPr>
                <w:rFonts w:eastAsiaTheme="minorEastAsia"/>
                <w:szCs w:val="21"/>
              </w:rPr>
            </w:pPr>
            <w:r>
              <w:rPr>
                <w:rFonts w:eastAsiaTheme="minorEastAsia"/>
                <w:spacing w:val="-2"/>
                <w:kern w:val="0"/>
                <w:szCs w:val="21"/>
              </w:rPr>
              <w:t>调节池主要恶臭产生源采取加盖措施。</w:t>
            </w:r>
          </w:p>
        </w:tc>
        <w:tc>
          <w:tcPr>
            <w:tcW w:w="695" w:type="pct"/>
            <w:vAlign w:val="center"/>
          </w:tcPr>
          <w:p>
            <w:pPr>
              <w:adjustRightInd w:val="0"/>
              <w:snapToGrid w:val="0"/>
              <w:jc w:val="center"/>
              <w:rPr>
                <w:rFonts w:eastAsiaTheme="minorEastAsia"/>
                <w:szCs w:val="21"/>
              </w:rPr>
            </w:pPr>
            <w:r>
              <w:rPr>
                <w:rFonts w:eastAsiaTheme="minorEastAsia"/>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rFonts w:eastAsiaTheme="minorEastAsia"/>
                <w:szCs w:val="21"/>
              </w:rPr>
            </w:pP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填埋扬尘</w:t>
            </w:r>
          </w:p>
        </w:tc>
        <w:tc>
          <w:tcPr>
            <w:tcW w:w="2744" w:type="pct"/>
            <w:vAlign w:val="center"/>
          </w:tcPr>
          <w:p>
            <w:pPr>
              <w:adjustRightInd w:val="0"/>
              <w:snapToGrid w:val="0"/>
              <w:jc w:val="center"/>
              <w:rPr>
                <w:rFonts w:eastAsiaTheme="minorEastAsia"/>
                <w:szCs w:val="21"/>
              </w:rPr>
            </w:pPr>
            <w:r>
              <w:rPr>
                <w:rFonts w:eastAsiaTheme="minorEastAsia"/>
                <w:kern w:val="0"/>
                <w:szCs w:val="21"/>
              </w:rPr>
              <w:t>2</w:t>
            </w:r>
            <w:r>
              <w:rPr>
                <w:rFonts w:eastAsiaTheme="minorEastAsia"/>
                <w:spacing w:val="-2"/>
                <w:kern w:val="0"/>
                <w:szCs w:val="21"/>
              </w:rPr>
              <w:t>套洒水</w:t>
            </w:r>
            <w:r>
              <w:rPr>
                <w:rFonts w:hint="eastAsia" w:eastAsiaTheme="minorEastAsia"/>
                <w:spacing w:val="-2"/>
                <w:kern w:val="0"/>
                <w:szCs w:val="21"/>
              </w:rPr>
              <w:t>抑尘设施、洒水多用车</w:t>
            </w:r>
          </w:p>
        </w:tc>
        <w:tc>
          <w:tcPr>
            <w:tcW w:w="695" w:type="pct"/>
            <w:vAlign w:val="center"/>
          </w:tcPr>
          <w:p>
            <w:pPr>
              <w:adjustRightInd w:val="0"/>
              <w:snapToGrid w:val="0"/>
              <w:jc w:val="center"/>
              <w:rPr>
                <w:rFonts w:eastAsiaTheme="minorEastAsia"/>
                <w:szCs w:val="21"/>
              </w:rPr>
            </w:pPr>
            <w:r>
              <w:rPr>
                <w:rFonts w:eastAsiaTheme="minorEastAsia"/>
                <w:kern w:val="0"/>
                <w:szCs w:val="21"/>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pPr>
              <w:adjustRightInd w:val="0"/>
              <w:snapToGrid w:val="0"/>
              <w:jc w:val="center"/>
              <w:rPr>
                <w:rFonts w:eastAsiaTheme="minorEastAsia"/>
                <w:szCs w:val="21"/>
              </w:rPr>
            </w:pPr>
            <w:r>
              <w:rPr>
                <w:rFonts w:eastAsiaTheme="minorEastAsia"/>
                <w:szCs w:val="21"/>
              </w:rPr>
              <w:t>废水</w:t>
            </w: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生活污水</w:t>
            </w:r>
          </w:p>
        </w:tc>
        <w:tc>
          <w:tcPr>
            <w:tcW w:w="2744" w:type="pct"/>
            <w:vAlign w:val="center"/>
          </w:tcPr>
          <w:p>
            <w:pPr>
              <w:adjustRightInd w:val="0"/>
              <w:snapToGrid w:val="0"/>
              <w:jc w:val="center"/>
              <w:rPr>
                <w:rFonts w:eastAsiaTheme="minorEastAsia"/>
                <w:szCs w:val="21"/>
              </w:rPr>
            </w:pPr>
            <w:r>
              <w:rPr>
                <w:rFonts w:eastAsiaTheme="minorEastAsia"/>
                <w:kern w:val="0"/>
                <w:szCs w:val="21"/>
              </w:rPr>
              <w:t>1</w:t>
            </w:r>
            <w:r>
              <w:rPr>
                <w:rFonts w:eastAsiaTheme="minorEastAsia"/>
                <w:spacing w:val="-1"/>
                <w:kern w:val="0"/>
                <w:szCs w:val="21"/>
              </w:rPr>
              <w:t xml:space="preserve"> </w:t>
            </w:r>
            <w:r>
              <w:rPr>
                <w:rFonts w:eastAsiaTheme="minorEastAsia"/>
                <w:kern w:val="0"/>
                <w:szCs w:val="21"/>
              </w:rPr>
              <w:t>座</w:t>
            </w:r>
            <w:r>
              <w:rPr>
                <w:rFonts w:eastAsiaTheme="minorEastAsia"/>
                <w:spacing w:val="-53"/>
                <w:kern w:val="0"/>
                <w:szCs w:val="21"/>
              </w:rPr>
              <w:t xml:space="preserve"> </w:t>
            </w:r>
            <w:r>
              <w:rPr>
                <w:rFonts w:eastAsiaTheme="minorEastAsia"/>
                <w:spacing w:val="-1"/>
                <w:kern w:val="0"/>
                <w:szCs w:val="21"/>
              </w:rPr>
              <w:t>1.5m</w:t>
            </w:r>
            <w:r>
              <w:rPr>
                <w:rFonts w:eastAsiaTheme="minorEastAsia"/>
                <w:spacing w:val="-1"/>
                <w:kern w:val="0"/>
                <w:szCs w:val="21"/>
                <w:vertAlign w:val="superscript"/>
              </w:rPr>
              <w:t>3</w:t>
            </w:r>
            <w:r>
              <w:rPr>
                <w:rFonts w:eastAsiaTheme="minorEastAsia"/>
                <w:spacing w:val="1"/>
                <w:kern w:val="0"/>
                <w:position w:val="7"/>
                <w:szCs w:val="21"/>
              </w:rPr>
              <w:t xml:space="preserve"> </w:t>
            </w:r>
            <w:r>
              <w:rPr>
                <w:rFonts w:eastAsiaTheme="minorEastAsia"/>
                <w:spacing w:val="-2"/>
                <w:kern w:val="0"/>
                <w:szCs w:val="21"/>
              </w:rPr>
              <w:t>化粪池。</w:t>
            </w:r>
          </w:p>
        </w:tc>
        <w:tc>
          <w:tcPr>
            <w:tcW w:w="695" w:type="pct"/>
            <w:vAlign w:val="center"/>
          </w:tcPr>
          <w:p>
            <w:pPr>
              <w:adjustRightInd w:val="0"/>
              <w:snapToGrid w:val="0"/>
              <w:jc w:val="center"/>
              <w:rPr>
                <w:rFonts w:eastAsiaTheme="minorEastAsia"/>
                <w:szCs w:val="21"/>
              </w:rPr>
            </w:pPr>
            <w:r>
              <w:rPr>
                <w:rFonts w:eastAsiaTheme="minorEastAsia"/>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rFonts w:eastAsiaTheme="minorEastAsia"/>
                <w:szCs w:val="21"/>
              </w:rPr>
            </w:pP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渗滤液、初期雨水、冲洗废水等</w:t>
            </w:r>
          </w:p>
        </w:tc>
        <w:tc>
          <w:tcPr>
            <w:tcW w:w="2744" w:type="pct"/>
            <w:vAlign w:val="center"/>
          </w:tcPr>
          <w:p>
            <w:pPr>
              <w:adjustRightInd w:val="0"/>
              <w:snapToGrid w:val="0"/>
              <w:jc w:val="center"/>
              <w:rPr>
                <w:rFonts w:eastAsiaTheme="minorEastAsia"/>
                <w:szCs w:val="21"/>
              </w:rPr>
            </w:pPr>
            <w:r>
              <w:rPr>
                <w:rFonts w:eastAsiaTheme="minorEastAsia"/>
                <w:kern w:val="0"/>
                <w:szCs w:val="21"/>
              </w:rPr>
              <w:t>渗滤</w:t>
            </w:r>
            <w:r>
              <w:rPr>
                <w:rFonts w:eastAsiaTheme="minorEastAsia"/>
                <w:spacing w:val="-3"/>
                <w:kern w:val="0"/>
                <w:szCs w:val="21"/>
              </w:rPr>
              <w:t>液</w:t>
            </w:r>
            <w:r>
              <w:rPr>
                <w:rFonts w:eastAsiaTheme="minorEastAsia"/>
                <w:spacing w:val="-36"/>
                <w:kern w:val="0"/>
                <w:szCs w:val="21"/>
              </w:rPr>
              <w:t>、</w:t>
            </w:r>
            <w:r>
              <w:rPr>
                <w:rFonts w:eastAsiaTheme="minorEastAsia"/>
                <w:spacing w:val="-3"/>
                <w:kern w:val="0"/>
                <w:szCs w:val="21"/>
              </w:rPr>
              <w:t>初</w:t>
            </w:r>
            <w:r>
              <w:rPr>
                <w:rFonts w:eastAsiaTheme="minorEastAsia"/>
                <w:kern w:val="0"/>
                <w:szCs w:val="21"/>
              </w:rPr>
              <w:t>期</w:t>
            </w:r>
            <w:r>
              <w:rPr>
                <w:rFonts w:eastAsiaTheme="minorEastAsia"/>
                <w:spacing w:val="-3"/>
                <w:kern w:val="0"/>
                <w:szCs w:val="21"/>
              </w:rPr>
              <w:t>雨</w:t>
            </w:r>
            <w:r>
              <w:rPr>
                <w:rFonts w:eastAsiaTheme="minorEastAsia"/>
                <w:kern w:val="0"/>
                <w:szCs w:val="21"/>
              </w:rPr>
              <w:t>水</w:t>
            </w:r>
            <w:r>
              <w:rPr>
                <w:rFonts w:eastAsiaTheme="minorEastAsia"/>
                <w:spacing w:val="-39"/>
                <w:kern w:val="0"/>
                <w:szCs w:val="21"/>
              </w:rPr>
              <w:t>、</w:t>
            </w:r>
            <w:r>
              <w:rPr>
                <w:rFonts w:eastAsiaTheme="minorEastAsia"/>
                <w:kern w:val="0"/>
                <w:szCs w:val="21"/>
              </w:rPr>
              <w:t>冲</w:t>
            </w:r>
            <w:r>
              <w:rPr>
                <w:rFonts w:eastAsiaTheme="minorEastAsia"/>
                <w:spacing w:val="-3"/>
                <w:kern w:val="0"/>
                <w:szCs w:val="21"/>
              </w:rPr>
              <w:t>洗废</w:t>
            </w:r>
            <w:r>
              <w:rPr>
                <w:rFonts w:eastAsiaTheme="minorEastAsia"/>
                <w:kern w:val="0"/>
                <w:szCs w:val="21"/>
              </w:rPr>
              <w:t>水等</w:t>
            </w:r>
            <w:r>
              <w:rPr>
                <w:rFonts w:eastAsiaTheme="minorEastAsia"/>
                <w:spacing w:val="-3"/>
                <w:kern w:val="0"/>
                <w:szCs w:val="21"/>
              </w:rPr>
              <w:t>经</w:t>
            </w:r>
            <w:r>
              <w:rPr>
                <w:rFonts w:eastAsiaTheme="minorEastAsia"/>
                <w:spacing w:val="-1"/>
                <w:kern w:val="0"/>
                <w:szCs w:val="21"/>
              </w:rPr>
              <w:t>过</w:t>
            </w:r>
            <w:r>
              <w:rPr>
                <w:rFonts w:eastAsiaTheme="minorEastAsia"/>
                <w:spacing w:val="-3"/>
                <w:kern w:val="0"/>
                <w:szCs w:val="21"/>
              </w:rPr>
              <w:t>渗</w:t>
            </w:r>
            <w:r>
              <w:rPr>
                <w:rFonts w:eastAsiaTheme="minorEastAsia"/>
                <w:kern w:val="0"/>
                <w:szCs w:val="21"/>
              </w:rPr>
              <w:t>滤</w:t>
            </w:r>
            <w:r>
              <w:rPr>
                <w:rFonts w:eastAsiaTheme="minorEastAsia"/>
                <w:spacing w:val="-3"/>
                <w:kern w:val="0"/>
                <w:szCs w:val="21"/>
              </w:rPr>
              <w:t>液</w:t>
            </w:r>
            <w:r>
              <w:rPr>
                <w:rFonts w:eastAsiaTheme="minorEastAsia"/>
                <w:kern w:val="0"/>
                <w:szCs w:val="21"/>
              </w:rPr>
              <w:t>处</w:t>
            </w:r>
            <w:r>
              <w:rPr>
                <w:rFonts w:eastAsiaTheme="minorEastAsia"/>
                <w:spacing w:val="-3"/>
                <w:kern w:val="0"/>
                <w:szCs w:val="21"/>
              </w:rPr>
              <w:t>理</w:t>
            </w:r>
            <w:r>
              <w:rPr>
                <w:rFonts w:eastAsiaTheme="minorEastAsia"/>
                <w:spacing w:val="-1"/>
                <w:kern w:val="0"/>
                <w:szCs w:val="21"/>
              </w:rPr>
              <w:t>站</w:t>
            </w:r>
            <w:r>
              <w:rPr>
                <w:rFonts w:eastAsiaTheme="minorEastAsia"/>
                <w:spacing w:val="-3"/>
                <w:kern w:val="0"/>
                <w:szCs w:val="21"/>
              </w:rPr>
              <w:t>预</w:t>
            </w:r>
            <w:r>
              <w:rPr>
                <w:rFonts w:eastAsiaTheme="minorEastAsia"/>
                <w:kern w:val="0"/>
                <w:szCs w:val="21"/>
              </w:rPr>
              <w:t>处理</w:t>
            </w:r>
            <w:r>
              <w:rPr>
                <w:rFonts w:eastAsiaTheme="minorEastAsia"/>
                <w:spacing w:val="-3"/>
                <w:kern w:val="0"/>
                <w:szCs w:val="21"/>
              </w:rPr>
              <w:t>后</w:t>
            </w:r>
            <w:r>
              <w:rPr>
                <w:rFonts w:hint="eastAsia" w:eastAsiaTheme="minorEastAsia"/>
                <w:kern w:val="0"/>
                <w:szCs w:val="21"/>
              </w:rPr>
              <w:t>通过</w:t>
            </w:r>
            <w:r>
              <w:rPr>
                <w:rFonts w:eastAsiaTheme="minorEastAsia"/>
                <w:kern w:val="0"/>
                <w:szCs w:val="21"/>
              </w:rPr>
              <w:t>管</w:t>
            </w:r>
            <w:r>
              <w:rPr>
                <w:rFonts w:eastAsiaTheme="minorEastAsia"/>
                <w:spacing w:val="-3"/>
                <w:kern w:val="0"/>
                <w:szCs w:val="21"/>
              </w:rPr>
              <w:t>道</w:t>
            </w:r>
            <w:r>
              <w:rPr>
                <w:rFonts w:eastAsiaTheme="minorEastAsia"/>
                <w:kern w:val="0"/>
                <w:szCs w:val="21"/>
              </w:rPr>
              <w:t>泵</w:t>
            </w:r>
            <w:r>
              <w:rPr>
                <w:rFonts w:eastAsiaTheme="minorEastAsia"/>
                <w:spacing w:val="-3"/>
                <w:kern w:val="0"/>
                <w:szCs w:val="21"/>
              </w:rPr>
              <w:t>送</w:t>
            </w:r>
            <w:r>
              <w:rPr>
                <w:rFonts w:eastAsiaTheme="minorEastAsia"/>
                <w:kern w:val="0"/>
                <w:szCs w:val="21"/>
              </w:rPr>
              <w:t>至</w:t>
            </w:r>
            <w:r>
              <w:rPr>
                <w:rFonts w:hint="eastAsia" w:eastAsiaTheme="minorEastAsia"/>
                <w:spacing w:val="-3"/>
                <w:kern w:val="0"/>
                <w:szCs w:val="21"/>
              </w:rPr>
              <w:t>围场生活垃圾焚烧发电项目</w:t>
            </w:r>
            <w:r>
              <w:rPr>
                <w:rFonts w:eastAsiaTheme="minorEastAsia"/>
                <w:spacing w:val="-2"/>
                <w:kern w:val="0"/>
                <w:szCs w:val="21"/>
              </w:rPr>
              <w:t>渗滤液处理站处理。</w:t>
            </w:r>
          </w:p>
        </w:tc>
        <w:tc>
          <w:tcPr>
            <w:tcW w:w="695" w:type="pct"/>
            <w:vAlign w:val="center"/>
          </w:tcPr>
          <w:p>
            <w:pPr>
              <w:adjustRightInd w:val="0"/>
              <w:snapToGrid w:val="0"/>
              <w:jc w:val="center"/>
              <w:rPr>
                <w:rFonts w:eastAsiaTheme="minorEastAsia"/>
                <w:szCs w:val="21"/>
              </w:rPr>
            </w:pPr>
            <w:r>
              <w:rPr>
                <w:rFonts w:eastAsiaTheme="minorEastAsia"/>
                <w:kern w:val="0"/>
                <w:szCs w:val="21"/>
              </w:rPr>
              <w:t>203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rFonts w:eastAsiaTheme="minorEastAsia"/>
                <w:szCs w:val="21"/>
              </w:rPr>
            </w:pP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防洪工程</w:t>
            </w:r>
          </w:p>
        </w:tc>
        <w:tc>
          <w:tcPr>
            <w:tcW w:w="2744" w:type="pct"/>
            <w:vAlign w:val="center"/>
          </w:tcPr>
          <w:p>
            <w:pPr>
              <w:adjustRightInd w:val="0"/>
              <w:snapToGrid w:val="0"/>
              <w:jc w:val="center"/>
              <w:rPr>
                <w:rFonts w:eastAsiaTheme="minorEastAsia"/>
                <w:szCs w:val="21"/>
              </w:rPr>
            </w:pPr>
            <w:r>
              <w:rPr>
                <w:rFonts w:eastAsiaTheme="minorEastAsia"/>
                <w:spacing w:val="-2"/>
                <w:kern w:val="0"/>
                <w:szCs w:val="21"/>
              </w:rPr>
              <w:t>永久截洪沟、临时截洪沟和堆体表面排水沟。</w:t>
            </w:r>
          </w:p>
        </w:tc>
        <w:tc>
          <w:tcPr>
            <w:tcW w:w="695" w:type="pct"/>
            <w:vAlign w:val="center"/>
          </w:tcPr>
          <w:p>
            <w:pPr>
              <w:adjustRightInd w:val="0"/>
              <w:snapToGrid w:val="0"/>
              <w:jc w:val="center"/>
              <w:rPr>
                <w:rFonts w:eastAsiaTheme="minorEastAsia"/>
                <w:szCs w:val="21"/>
              </w:rPr>
            </w:pPr>
            <w:r>
              <w:rPr>
                <w:rFonts w:eastAsiaTheme="minorEastAsia"/>
                <w:kern w:val="0"/>
                <w:szCs w:val="21"/>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rFonts w:eastAsiaTheme="minorEastAsia"/>
                <w:szCs w:val="21"/>
              </w:rPr>
            </w:pPr>
          </w:p>
        </w:tc>
        <w:tc>
          <w:tcPr>
            <w:tcW w:w="1093" w:type="pct"/>
            <w:vAlign w:val="center"/>
          </w:tcPr>
          <w:p>
            <w:pPr>
              <w:adjustRightInd w:val="0"/>
              <w:snapToGrid w:val="0"/>
              <w:jc w:val="center"/>
              <w:rPr>
                <w:rFonts w:eastAsiaTheme="minorEastAsia"/>
                <w:szCs w:val="21"/>
              </w:rPr>
            </w:pPr>
            <w:r>
              <w:rPr>
                <w:rFonts w:eastAsiaTheme="minorEastAsia"/>
                <w:szCs w:val="21"/>
              </w:rPr>
              <w:t>防渗系统</w:t>
            </w:r>
          </w:p>
        </w:tc>
        <w:tc>
          <w:tcPr>
            <w:tcW w:w="2744" w:type="pct"/>
            <w:vAlign w:val="center"/>
          </w:tcPr>
          <w:p>
            <w:pPr>
              <w:adjustRightInd w:val="0"/>
              <w:snapToGrid w:val="0"/>
              <w:jc w:val="center"/>
              <w:rPr>
                <w:rFonts w:eastAsiaTheme="minorEastAsia"/>
                <w:szCs w:val="21"/>
              </w:rPr>
            </w:pPr>
            <w:r>
              <w:rPr>
                <w:rFonts w:eastAsiaTheme="minorEastAsia"/>
                <w:szCs w:val="21"/>
              </w:rPr>
              <w:t>填埋库区、滤液调节池防渗采用“双层HDPE 膜”复合防渗结构；</w:t>
            </w:r>
          </w:p>
        </w:tc>
        <w:tc>
          <w:tcPr>
            <w:tcW w:w="695" w:type="pct"/>
            <w:vAlign w:val="center"/>
          </w:tcPr>
          <w:p>
            <w:pPr>
              <w:adjustRightInd w:val="0"/>
              <w:snapToGrid w:val="0"/>
              <w:jc w:val="center"/>
              <w:rPr>
                <w:rFonts w:eastAsiaTheme="minorEastAsia"/>
                <w:szCs w:val="21"/>
              </w:rPr>
            </w:pPr>
            <w:r>
              <w:rPr>
                <w:rFonts w:eastAsiaTheme="minorEastAsia"/>
                <w:szCs w:val="21"/>
              </w:rPr>
              <w:t>1065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rFonts w:eastAsiaTheme="minorEastAsia"/>
                <w:szCs w:val="21"/>
              </w:rPr>
            </w:pPr>
          </w:p>
        </w:tc>
        <w:tc>
          <w:tcPr>
            <w:tcW w:w="1093" w:type="pct"/>
            <w:vAlign w:val="center"/>
          </w:tcPr>
          <w:p>
            <w:pPr>
              <w:adjustRightInd w:val="0"/>
              <w:snapToGrid w:val="0"/>
              <w:jc w:val="center"/>
              <w:rPr>
                <w:rFonts w:eastAsiaTheme="minorEastAsia"/>
                <w:szCs w:val="21"/>
              </w:rPr>
            </w:pPr>
            <w:r>
              <w:rPr>
                <w:rFonts w:eastAsiaTheme="minorEastAsia"/>
                <w:szCs w:val="21"/>
              </w:rPr>
              <w:t>环境监测</w:t>
            </w:r>
          </w:p>
        </w:tc>
        <w:tc>
          <w:tcPr>
            <w:tcW w:w="2744" w:type="pct"/>
            <w:vAlign w:val="center"/>
          </w:tcPr>
          <w:p>
            <w:pPr>
              <w:adjustRightInd w:val="0"/>
              <w:snapToGrid w:val="0"/>
              <w:jc w:val="center"/>
              <w:rPr>
                <w:rFonts w:eastAsiaTheme="minorEastAsia"/>
                <w:szCs w:val="21"/>
              </w:rPr>
            </w:pPr>
            <w:r>
              <w:rPr>
                <w:rFonts w:eastAsiaTheme="minorEastAsia"/>
                <w:szCs w:val="21"/>
              </w:rPr>
              <w:t>地下水监测井</w:t>
            </w:r>
          </w:p>
        </w:tc>
        <w:tc>
          <w:tcPr>
            <w:tcW w:w="695" w:type="pct"/>
            <w:vAlign w:val="center"/>
          </w:tcPr>
          <w:p>
            <w:pPr>
              <w:adjustRightInd w:val="0"/>
              <w:snapToGrid w:val="0"/>
              <w:jc w:val="center"/>
              <w:rPr>
                <w:rFonts w:eastAsiaTheme="minorEastAsia"/>
                <w:szCs w:val="21"/>
              </w:rPr>
            </w:pPr>
            <w:r>
              <w:rPr>
                <w:rFonts w:eastAsiaTheme="minorEastAsia"/>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adjustRightInd w:val="0"/>
              <w:snapToGrid w:val="0"/>
              <w:jc w:val="center"/>
              <w:rPr>
                <w:rFonts w:eastAsiaTheme="minorEastAsia"/>
                <w:szCs w:val="21"/>
              </w:rPr>
            </w:pPr>
            <w:r>
              <w:rPr>
                <w:rFonts w:eastAsiaTheme="minorEastAsia"/>
                <w:szCs w:val="21"/>
              </w:rPr>
              <w:t>固废</w:t>
            </w:r>
          </w:p>
        </w:tc>
        <w:tc>
          <w:tcPr>
            <w:tcW w:w="1093" w:type="pct"/>
            <w:vAlign w:val="center"/>
          </w:tcPr>
          <w:p>
            <w:pPr>
              <w:adjustRightInd w:val="0"/>
              <w:snapToGrid w:val="0"/>
              <w:jc w:val="center"/>
              <w:rPr>
                <w:rFonts w:eastAsiaTheme="minorEastAsia"/>
                <w:szCs w:val="21"/>
              </w:rPr>
            </w:pPr>
            <w:r>
              <w:rPr>
                <w:rFonts w:eastAsiaTheme="minorEastAsia"/>
                <w:szCs w:val="21"/>
              </w:rPr>
              <w:t>生活垃圾</w:t>
            </w:r>
          </w:p>
        </w:tc>
        <w:tc>
          <w:tcPr>
            <w:tcW w:w="2744" w:type="pct"/>
            <w:vAlign w:val="center"/>
          </w:tcPr>
          <w:p>
            <w:pPr>
              <w:adjustRightInd w:val="0"/>
              <w:snapToGrid w:val="0"/>
              <w:jc w:val="center"/>
              <w:rPr>
                <w:rFonts w:eastAsiaTheme="minorEastAsia"/>
                <w:szCs w:val="21"/>
              </w:rPr>
            </w:pPr>
            <w:r>
              <w:rPr>
                <w:rFonts w:eastAsiaTheme="minorEastAsia"/>
                <w:szCs w:val="21"/>
              </w:rPr>
              <w:t>设置若干垃圾桶，委托环卫部门日产日清</w:t>
            </w:r>
          </w:p>
        </w:tc>
        <w:tc>
          <w:tcPr>
            <w:tcW w:w="695" w:type="pct"/>
            <w:vAlign w:val="center"/>
          </w:tcPr>
          <w:p>
            <w:pPr>
              <w:adjustRightInd w:val="0"/>
              <w:snapToGrid w:val="0"/>
              <w:jc w:val="center"/>
              <w:rPr>
                <w:rFonts w:eastAsiaTheme="minorEastAsia"/>
                <w:szCs w:val="21"/>
              </w:rPr>
            </w:pPr>
            <w:r>
              <w:rPr>
                <w:rFonts w:eastAsiaTheme="minorEastAsia"/>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adjustRightInd w:val="0"/>
              <w:snapToGrid w:val="0"/>
              <w:jc w:val="center"/>
              <w:rPr>
                <w:rFonts w:eastAsiaTheme="minorEastAsia"/>
                <w:szCs w:val="21"/>
              </w:rPr>
            </w:pPr>
            <w:r>
              <w:rPr>
                <w:rFonts w:eastAsiaTheme="minorEastAsia"/>
                <w:szCs w:val="21"/>
              </w:rPr>
              <w:t>噪声</w:t>
            </w: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产噪设备</w:t>
            </w:r>
          </w:p>
        </w:tc>
        <w:tc>
          <w:tcPr>
            <w:tcW w:w="2744" w:type="pct"/>
            <w:vAlign w:val="center"/>
          </w:tcPr>
          <w:p>
            <w:pPr>
              <w:adjustRightInd w:val="0"/>
              <w:snapToGrid w:val="0"/>
              <w:jc w:val="center"/>
              <w:rPr>
                <w:rFonts w:eastAsiaTheme="minorEastAsia"/>
                <w:szCs w:val="21"/>
              </w:rPr>
            </w:pPr>
            <w:r>
              <w:rPr>
                <w:rFonts w:eastAsiaTheme="minorEastAsia"/>
                <w:spacing w:val="-2"/>
                <w:kern w:val="0"/>
                <w:szCs w:val="21"/>
              </w:rPr>
              <w:t>选用低噪声设备，采取吸隔声、消声、减振等综合降噪措施。</w:t>
            </w:r>
          </w:p>
        </w:tc>
        <w:tc>
          <w:tcPr>
            <w:tcW w:w="695" w:type="pct"/>
            <w:vAlign w:val="center"/>
          </w:tcPr>
          <w:p>
            <w:pPr>
              <w:adjustRightInd w:val="0"/>
              <w:snapToGrid w:val="0"/>
              <w:jc w:val="center"/>
              <w:rPr>
                <w:rFonts w:eastAsiaTheme="minorEastAsia"/>
                <w:szCs w:val="21"/>
              </w:rPr>
            </w:pPr>
            <w:r>
              <w:rPr>
                <w:rFonts w:eastAsiaTheme="minorEastAsia"/>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adjustRightInd w:val="0"/>
              <w:snapToGrid w:val="0"/>
              <w:jc w:val="center"/>
              <w:rPr>
                <w:rFonts w:eastAsiaTheme="minorEastAsia"/>
                <w:szCs w:val="21"/>
              </w:rPr>
            </w:pPr>
            <w:r>
              <w:rPr>
                <w:rFonts w:eastAsiaTheme="minorEastAsia"/>
                <w:kern w:val="0"/>
                <w:szCs w:val="21"/>
              </w:rPr>
              <w:t>环境风险</w:t>
            </w:r>
          </w:p>
        </w:tc>
        <w:tc>
          <w:tcPr>
            <w:tcW w:w="1093" w:type="pct"/>
            <w:vAlign w:val="center"/>
          </w:tcPr>
          <w:p>
            <w:pPr>
              <w:adjustRightInd w:val="0"/>
              <w:snapToGrid w:val="0"/>
              <w:jc w:val="center"/>
              <w:rPr>
                <w:rFonts w:eastAsiaTheme="minorEastAsia"/>
                <w:szCs w:val="21"/>
              </w:rPr>
            </w:pPr>
            <w:r>
              <w:rPr>
                <w:rFonts w:eastAsiaTheme="minorEastAsia"/>
                <w:spacing w:val="-1"/>
                <w:kern w:val="0"/>
                <w:szCs w:val="21"/>
              </w:rPr>
              <w:t>风险事故</w:t>
            </w:r>
          </w:p>
        </w:tc>
        <w:tc>
          <w:tcPr>
            <w:tcW w:w="2744" w:type="pct"/>
            <w:vAlign w:val="center"/>
          </w:tcPr>
          <w:p>
            <w:pPr>
              <w:adjustRightInd w:val="0"/>
              <w:snapToGrid w:val="0"/>
              <w:jc w:val="center"/>
              <w:rPr>
                <w:rFonts w:eastAsiaTheme="minorEastAsia"/>
                <w:szCs w:val="21"/>
              </w:rPr>
            </w:pPr>
            <w:r>
              <w:rPr>
                <w:rFonts w:eastAsiaTheme="minorEastAsia"/>
                <w:spacing w:val="-2"/>
                <w:kern w:val="0"/>
                <w:szCs w:val="21"/>
              </w:rPr>
              <w:t>应急设施。</w:t>
            </w:r>
          </w:p>
        </w:tc>
        <w:tc>
          <w:tcPr>
            <w:tcW w:w="695" w:type="pct"/>
            <w:vAlign w:val="center"/>
          </w:tcPr>
          <w:p>
            <w:pPr>
              <w:adjustRightInd w:val="0"/>
              <w:snapToGrid w:val="0"/>
              <w:jc w:val="center"/>
              <w:rPr>
                <w:rFonts w:eastAsiaTheme="minorEastAsia"/>
                <w:szCs w:val="21"/>
              </w:rPr>
            </w:pPr>
            <w:r>
              <w:rPr>
                <w:rFonts w:eastAsiaTheme="minor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adjustRightInd w:val="0"/>
              <w:snapToGrid w:val="0"/>
              <w:jc w:val="center"/>
              <w:rPr>
                <w:rFonts w:eastAsiaTheme="minorEastAsia"/>
                <w:szCs w:val="21"/>
              </w:rPr>
            </w:pPr>
            <w:r>
              <w:rPr>
                <w:rFonts w:eastAsiaTheme="minorEastAsia"/>
                <w:kern w:val="0"/>
                <w:szCs w:val="21"/>
              </w:rPr>
              <w:t>绿化</w:t>
            </w:r>
          </w:p>
        </w:tc>
        <w:tc>
          <w:tcPr>
            <w:tcW w:w="1093" w:type="pct"/>
            <w:vAlign w:val="center"/>
          </w:tcPr>
          <w:p>
            <w:pPr>
              <w:adjustRightInd w:val="0"/>
              <w:snapToGrid w:val="0"/>
              <w:jc w:val="center"/>
              <w:rPr>
                <w:rFonts w:eastAsiaTheme="minorEastAsia"/>
                <w:szCs w:val="21"/>
              </w:rPr>
            </w:pPr>
            <w:r>
              <w:rPr>
                <w:rFonts w:eastAsiaTheme="minorEastAsia"/>
                <w:kern w:val="0"/>
                <w:szCs w:val="21"/>
              </w:rPr>
              <w:t>/</w:t>
            </w:r>
          </w:p>
        </w:tc>
        <w:tc>
          <w:tcPr>
            <w:tcW w:w="2744" w:type="pct"/>
            <w:vAlign w:val="center"/>
          </w:tcPr>
          <w:p>
            <w:pPr>
              <w:kinsoku w:val="0"/>
              <w:overflowPunct w:val="0"/>
              <w:autoSpaceDE w:val="0"/>
              <w:autoSpaceDN w:val="0"/>
              <w:adjustRightInd w:val="0"/>
              <w:snapToGrid w:val="0"/>
              <w:jc w:val="center"/>
              <w:rPr>
                <w:rFonts w:eastAsiaTheme="minorEastAsia"/>
                <w:szCs w:val="21"/>
              </w:rPr>
            </w:pPr>
            <w:r>
              <w:rPr>
                <w:rFonts w:eastAsiaTheme="minorEastAsia"/>
                <w:spacing w:val="-4"/>
                <w:kern w:val="0"/>
                <w:szCs w:val="21"/>
              </w:rPr>
              <w:t>按照适树植树、适草种草的原则，采取树、藤、草相结合对场区进</w:t>
            </w:r>
            <w:r>
              <w:rPr>
                <w:rFonts w:eastAsiaTheme="minorEastAsia"/>
                <w:spacing w:val="-1"/>
                <w:kern w:val="0"/>
                <w:szCs w:val="21"/>
              </w:rPr>
              <w:t>行绿化。</w:t>
            </w:r>
          </w:p>
        </w:tc>
        <w:tc>
          <w:tcPr>
            <w:tcW w:w="695" w:type="pct"/>
            <w:vAlign w:val="center"/>
          </w:tcPr>
          <w:p>
            <w:pPr>
              <w:adjustRightInd w:val="0"/>
              <w:snapToGrid w:val="0"/>
              <w:jc w:val="center"/>
              <w:rPr>
                <w:rFonts w:eastAsiaTheme="minorEastAsia"/>
                <w:szCs w:val="21"/>
              </w:rPr>
            </w:pPr>
            <w:r>
              <w:rPr>
                <w:rFonts w:eastAsiaTheme="minor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305" w:type="pct"/>
            <w:gridSpan w:val="3"/>
            <w:vAlign w:val="center"/>
          </w:tcPr>
          <w:p>
            <w:pPr>
              <w:kinsoku w:val="0"/>
              <w:overflowPunct w:val="0"/>
              <w:autoSpaceDE w:val="0"/>
              <w:autoSpaceDN w:val="0"/>
              <w:adjustRightInd w:val="0"/>
              <w:snapToGrid w:val="0"/>
              <w:jc w:val="center"/>
              <w:rPr>
                <w:rFonts w:eastAsiaTheme="minorEastAsia"/>
                <w:spacing w:val="-4"/>
                <w:kern w:val="0"/>
                <w:szCs w:val="21"/>
              </w:rPr>
            </w:pPr>
            <w:r>
              <w:rPr>
                <w:rFonts w:hint="eastAsia" w:eastAsiaTheme="minorEastAsia"/>
                <w:spacing w:val="-4"/>
                <w:kern w:val="0"/>
                <w:szCs w:val="21"/>
              </w:rPr>
              <w:t>合计</w:t>
            </w:r>
          </w:p>
        </w:tc>
        <w:tc>
          <w:tcPr>
            <w:tcW w:w="695" w:type="pct"/>
            <w:vAlign w:val="center"/>
          </w:tcPr>
          <w:p>
            <w:pPr>
              <w:adjustRightInd w:val="0"/>
              <w:snapToGrid w:val="0"/>
              <w:jc w:val="center"/>
              <w:rPr>
                <w:rFonts w:eastAsiaTheme="minorEastAsia"/>
                <w:szCs w:val="21"/>
              </w:rPr>
            </w:pPr>
            <w:r>
              <w:rPr>
                <w:rFonts w:eastAsiaTheme="minorEastAsia"/>
                <w:szCs w:val="21"/>
              </w:rPr>
              <w:t>1378.5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305" w:type="pct"/>
            <w:gridSpan w:val="3"/>
            <w:vAlign w:val="center"/>
          </w:tcPr>
          <w:p>
            <w:pPr>
              <w:kinsoku w:val="0"/>
              <w:overflowPunct w:val="0"/>
              <w:autoSpaceDE w:val="0"/>
              <w:autoSpaceDN w:val="0"/>
              <w:adjustRightInd w:val="0"/>
              <w:snapToGrid w:val="0"/>
              <w:jc w:val="center"/>
              <w:rPr>
                <w:rFonts w:eastAsiaTheme="minorEastAsia"/>
                <w:spacing w:val="-4"/>
                <w:kern w:val="0"/>
                <w:szCs w:val="21"/>
              </w:rPr>
            </w:pPr>
            <w:r>
              <w:rPr>
                <w:rFonts w:hint="eastAsia" w:eastAsiaTheme="minorEastAsia"/>
                <w:spacing w:val="-4"/>
                <w:kern w:val="0"/>
                <w:szCs w:val="21"/>
              </w:rPr>
              <w:t>总投资</w:t>
            </w:r>
          </w:p>
        </w:tc>
        <w:tc>
          <w:tcPr>
            <w:tcW w:w="695" w:type="pct"/>
            <w:vAlign w:val="center"/>
          </w:tcPr>
          <w:p>
            <w:pPr>
              <w:adjustRightInd w:val="0"/>
              <w:snapToGrid w:val="0"/>
              <w:jc w:val="center"/>
              <w:rPr>
                <w:rFonts w:eastAsiaTheme="minorEastAsia"/>
                <w:szCs w:val="21"/>
              </w:rPr>
            </w:pPr>
            <w:r>
              <w:rPr>
                <w:rFonts w:hint="eastAsia" w:eastAsiaTheme="minorEastAsia"/>
                <w:szCs w:val="21"/>
              </w:rPr>
              <w:t>3825.45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305" w:type="pct"/>
            <w:gridSpan w:val="3"/>
            <w:vAlign w:val="center"/>
          </w:tcPr>
          <w:p>
            <w:pPr>
              <w:kinsoku w:val="0"/>
              <w:overflowPunct w:val="0"/>
              <w:autoSpaceDE w:val="0"/>
              <w:autoSpaceDN w:val="0"/>
              <w:adjustRightInd w:val="0"/>
              <w:snapToGrid w:val="0"/>
              <w:jc w:val="center"/>
              <w:rPr>
                <w:rFonts w:eastAsiaTheme="minorEastAsia"/>
                <w:spacing w:val="-4"/>
                <w:kern w:val="0"/>
                <w:szCs w:val="21"/>
              </w:rPr>
            </w:pPr>
            <w:r>
              <w:rPr>
                <w:rFonts w:hint="eastAsia" w:eastAsiaTheme="minorEastAsia"/>
                <w:spacing w:val="-4"/>
                <w:kern w:val="0"/>
                <w:szCs w:val="21"/>
              </w:rPr>
              <w:t>环保投资占比 %</w:t>
            </w:r>
          </w:p>
        </w:tc>
        <w:tc>
          <w:tcPr>
            <w:tcW w:w="695" w:type="pct"/>
            <w:vAlign w:val="center"/>
          </w:tcPr>
          <w:p>
            <w:pPr>
              <w:adjustRightInd w:val="0"/>
              <w:snapToGrid w:val="0"/>
              <w:jc w:val="center"/>
              <w:rPr>
                <w:rFonts w:eastAsiaTheme="minorEastAsia"/>
                <w:szCs w:val="21"/>
              </w:rPr>
            </w:pPr>
            <w:r>
              <w:rPr>
                <w:rFonts w:hint="eastAsia" w:eastAsiaTheme="minorEastAsia"/>
                <w:szCs w:val="21"/>
              </w:rPr>
              <w:t>36</w:t>
            </w:r>
          </w:p>
        </w:tc>
      </w:tr>
    </w:tbl>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环境效益分析</w:t>
      </w:r>
    </w:p>
    <w:p>
      <w:pPr>
        <w:pStyle w:val="20"/>
        <w:adjustRightInd w:val="0"/>
        <w:snapToGrid w:val="0"/>
        <w:spacing w:after="0" w:line="360" w:lineRule="auto"/>
        <w:ind w:firstLine="480" w:firstLineChars="200"/>
        <w:rPr>
          <w:sz w:val="24"/>
          <w:szCs w:val="24"/>
        </w:rPr>
      </w:pPr>
      <w:r>
        <w:rPr>
          <w:rFonts w:hint="eastAsia"/>
          <w:sz w:val="24"/>
          <w:szCs w:val="24"/>
        </w:rPr>
        <w:t>随着围场县城市化建设进程，生活垃圾污染问题日益突出，已成为人们关注的焦点，是实现经济可持续发展战略规划中亟待解决的重要环境问题。为此，有必要对城区的生活垃圾进行无害化、减量化、资源化处理，围场县生活垃圾焚烧发电项目，对生活垃圾进行焚烧处置。为保证围场县焚烧项目生活垃圾焚烧发电固化飞灰物无害化处置，本项目建设是十分必要的。</w:t>
      </w:r>
    </w:p>
    <w:p>
      <w:pPr>
        <w:pStyle w:val="20"/>
        <w:adjustRightInd w:val="0"/>
        <w:snapToGrid w:val="0"/>
        <w:spacing w:after="0" w:line="360" w:lineRule="auto"/>
        <w:ind w:firstLine="480" w:firstLineChars="200"/>
        <w:rPr>
          <w:sz w:val="24"/>
          <w:szCs w:val="24"/>
        </w:rPr>
      </w:pPr>
      <w:r>
        <w:rPr>
          <w:rFonts w:hint="eastAsia"/>
          <w:sz w:val="24"/>
          <w:szCs w:val="24"/>
        </w:rPr>
        <w:t>本项目采取严格的污染防治措施，项目产生的污染物可做到达标排放。同时项目本身就是一项环境保护基础设施建设工程。它产生的主要效益即为环境效益。综上所述，本项目具有较好的环境效益。</w:t>
      </w:r>
    </w:p>
    <w:p>
      <w:pPr>
        <w:pStyle w:val="61"/>
        <w:numPr>
          <w:ilvl w:val="1"/>
          <w:numId w:val="5"/>
        </w:numPr>
        <w:spacing w:beforeLines="0" w:after="156"/>
        <w:ind w:left="569" w:hanging="569" w:hangingChars="189"/>
        <w:rPr>
          <w:rFonts w:ascii="Times New Roman" w:hAnsi="Times New Roman"/>
        </w:rPr>
      </w:pPr>
      <w:bookmarkStart w:id="176" w:name="_Toc94101244"/>
      <w:r>
        <w:rPr>
          <w:rFonts w:ascii="Times New Roman" w:hAnsi="Times New Roman"/>
        </w:rPr>
        <w:t>小结</w:t>
      </w:r>
      <w:bookmarkEnd w:id="176"/>
    </w:p>
    <w:p>
      <w:pPr>
        <w:pStyle w:val="20"/>
        <w:adjustRightInd w:val="0"/>
        <w:snapToGrid w:val="0"/>
        <w:spacing w:after="0" w:line="360" w:lineRule="auto"/>
        <w:ind w:firstLine="480" w:firstLineChars="200"/>
        <w:rPr>
          <w:sz w:val="24"/>
          <w:szCs w:val="24"/>
        </w:rPr>
      </w:pPr>
      <w:r>
        <w:rPr>
          <w:sz w:val="24"/>
          <w:szCs w:val="24"/>
        </w:rPr>
        <w:t>综上所述，</w:t>
      </w:r>
      <w:r>
        <w:rPr>
          <w:rFonts w:hint="eastAsia"/>
          <w:sz w:val="24"/>
          <w:szCs w:val="24"/>
        </w:rPr>
        <w:t>固废安全处置工程本身就是一项环境保护基础设施建设工程，也是消纳围场县生活垃圾焚烧发电厂固化飞灰的配套工程，项目的建设将有助于围场县生活垃圾焚烧焚烧企业的正常运行，项目的建设具有显著的环境效益。</w:t>
      </w:r>
      <w:r>
        <w:rPr>
          <w:sz w:val="24"/>
          <w:szCs w:val="24"/>
        </w:rPr>
        <w:t>因此，本项目的实施对支持</w:t>
      </w:r>
      <w:r>
        <w:rPr>
          <w:rFonts w:hint="eastAsia"/>
          <w:sz w:val="24"/>
          <w:szCs w:val="24"/>
        </w:rPr>
        <w:t>当地</w:t>
      </w:r>
      <w:r>
        <w:rPr>
          <w:sz w:val="24"/>
          <w:szCs w:val="24"/>
        </w:rPr>
        <w:t>的经济、社会可持续发展具有明显效益。</w:t>
      </w:r>
      <w:bookmarkEnd w:id="172"/>
    </w:p>
    <w:p>
      <w:pPr>
        <w:pStyle w:val="20"/>
        <w:adjustRightInd w:val="0"/>
        <w:snapToGrid w:val="0"/>
        <w:spacing w:after="0" w:line="360" w:lineRule="auto"/>
        <w:ind w:firstLine="480" w:firstLineChars="200"/>
        <w:rPr>
          <w:sz w:val="24"/>
          <w:szCs w:val="24"/>
        </w:rPr>
        <w:sectPr>
          <w:headerReference r:id="rId28" w:type="default"/>
          <w:pgSz w:w="11906" w:h="16838"/>
          <w:pgMar w:top="1440" w:right="1800" w:bottom="1440" w:left="1800" w:header="851" w:footer="992" w:gutter="0"/>
          <w:cols w:space="425" w:num="1"/>
          <w:docGrid w:type="lines" w:linePitch="312" w:charSpace="0"/>
        </w:sectPr>
      </w:pPr>
    </w:p>
    <w:p>
      <w:pPr>
        <w:keepNext/>
        <w:keepLines/>
        <w:numPr>
          <w:ilvl w:val="0"/>
          <w:numId w:val="5"/>
        </w:numPr>
        <w:snapToGrid w:val="0"/>
        <w:spacing w:before="50" w:after="50" w:line="360" w:lineRule="auto"/>
        <w:jc w:val="center"/>
        <w:outlineLvl w:val="0"/>
        <w:rPr>
          <w:b/>
          <w:bCs/>
          <w:kern w:val="44"/>
          <w:sz w:val="32"/>
          <w:szCs w:val="32"/>
        </w:rPr>
      </w:pPr>
      <w:bookmarkStart w:id="177" w:name="_Toc94101245"/>
      <w:bookmarkStart w:id="178" w:name="_Toc518025988"/>
      <w:r>
        <w:rPr>
          <w:b/>
          <w:bCs/>
          <w:kern w:val="44"/>
          <w:sz w:val="32"/>
          <w:szCs w:val="32"/>
        </w:rPr>
        <w:t>环境管理与监测计划</w:t>
      </w:r>
      <w:bookmarkEnd w:id="177"/>
    </w:p>
    <w:p>
      <w:pPr>
        <w:pStyle w:val="61"/>
        <w:numPr>
          <w:ilvl w:val="1"/>
          <w:numId w:val="5"/>
        </w:numPr>
        <w:spacing w:beforeLines="0" w:after="156"/>
        <w:ind w:left="569" w:hanging="569" w:hangingChars="189"/>
        <w:rPr>
          <w:rFonts w:ascii="Times New Roman" w:hAnsi="Times New Roman"/>
        </w:rPr>
      </w:pPr>
      <w:bookmarkStart w:id="179" w:name="_Toc94101246"/>
      <w:r>
        <w:rPr>
          <w:rFonts w:ascii="Times New Roman" w:hAnsi="Times New Roman"/>
        </w:rPr>
        <w:t>环境管理要求及制度</w:t>
      </w:r>
      <w:bookmarkEnd w:id="179"/>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环境管理机构</w:t>
      </w:r>
      <w:r>
        <w:rPr>
          <w:rFonts w:hint="eastAsia" w:ascii="Times New Roman" w:hAnsi="Times New Roman"/>
        </w:rPr>
        <w:t>及职责</w:t>
      </w:r>
    </w:p>
    <w:p>
      <w:pPr>
        <w:pStyle w:val="20"/>
        <w:adjustRightInd w:val="0"/>
        <w:snapToGrid w:val="0"/>
        <w:spacing w:after="0" w:line="360" w:lineRule="auto"/>
        <w:ind w:firstLine="480" w:firstLineChars="200"/>
        <w:rPr>
          <w:sz w:val="24"/>
          <w:szCs w:val="24"/>
        </w:rPr>
      </w:pPr>
      <w:r>
        <w:rPr>
          <w:rFonts w:hint="eastAsia"/>
          <w:sz w:val="24"/>
          <w:szCs w:val="24"/>
        </w:rPr>
        <w:t>为及时落实环保主管部门提出的各项管理要求，加强企业内部污染排放监督控制，</w:t>
      </w:r>
      <w:r>
        <w:rPr>
          <w:sz w:val="24"/>
          <w:szCs w:val="24"/>
        </w:rPr>
        <w:t>本项目运营期环境管理机构设置1～2名专职环保管理人员，负责公司的环境管理以及对外的环保协调工作，履行环境管理职责和环境监控职责，具体如下：</w:t>
      </w:r>
    </w:p>
    <w:p>
      <w:pPr>
        <w:pStyle w:val="20"/>
        <w:adjustRightInd w:val="0"/>
        <w:snapToGrid w:val="0"/>
        <w:spacing w:after="0" w:line="360" w:lineRule="auto"/>
        <w:ind w:firstLine="480" w:firstLineChars="200"/>
        <w:rPr>
          <w:sz w:val="24"/>
          <w:szCs w:val="24"/>
        </w:rPr>
      </w:pPr>
      <w:r>
        <w:rPr>
          <w:sz w:val="24"/>
          <w:szCs w:val="24"/>
        </w:rPr>
        <w:t>(1)</w:t>
      </w:r>
      <w:r>
        <w:rPr>
          <w:rFonts w:hint="eastAsia"/>
          <w:sz w:val="24"/>
          <w:szCs w:val="24"/>
        </w:rPr>
        <w:t>宣传贯彻执行国家和地方的有关环境保护的法律法规及标准，提高全体员工的环保意识，制定生产过程中的环保工作计划，纳入生产管理中去，落实到具体人员和岗位。</w:t>
      </w:r>
    </w:p>
    <w:p>
      <w:pPr>
        <w:pStyle w:val="20"/>
        <w:adjustRightInd w:val="0"/>
        <w:snapToGrid w:val="0"/>
        <w:spacing w:after="0" w:line="360" w:lineRule="auto"/>
        <w:ind w:firstLine="480" w:firstLineChars="200"/>
        <w:rPr>
          <w:sz w:val="24"/>
          <w:szCs w:val="24"/>
        </w:rPr>
      </w:pPr>
      <w:r>
        <w:rPr>
          <w:sz w:val="24"/>
          <w:szCs w:val="24"/>
        </w:rPr>
        <w:t>(2)</w:t>
      </w:r>
      <w:r>
        <w:rPr>
          <w:rFonts w:hint="eastAsia"/>
          <w:sz w:val="24"/>
          <w:szCs w:val="24"/>
        </w:rPr>
        <w:t>实行分级管理的办法，建立岗位责任制，环保科专人负责督查。</w:t>
      </w:r>
    </w:p>
    <w:p>
      <w:pPr>
        <w:pStyle w:val="20"/>
        <w:adjustRightInd w:val="0"/>
        <w:snapToGrid w:val="0"/>
        <w:spacing w:after="0" w:line="360" w:lineRule="auto"/>
        <w:ind w:firstLine="480" w:firstLineChars="200"/>
        <w:rPr>
          <w:sz w:val="24"/>
          <w:szCs w:val="24"/>
        </w:rPr>
      </w:pPr>
      <w:r>
        <w:rPr>
          <w:sz w:val="24"/>
          <w:szCs w:val="24"/>
        </w:rPr>
        <w:t>(3)</w:t>
      </w:r>
      <w:r>
        <w:rPr>
          <w:rFonts w:hint="eastAsia"/>
          <w:sz w:val="24"/>
          <w:szCs w:val="24"/>
        </w:rPr>
        <w:t>督促各项环保措施的实施，确保建设项目主体工程与环保措施的“三同时”，即同时设计、同时施工和同时运营。</w:t>
      </w:r>
    </w:p>
    <w:p>
      <w:pPr>
        <w:pStyle w:val="20"/>
        <w:adjustRightInd w:val="0"/>
        <w:snapToGrid w:val="0"/>
        <w:spacing w:after="0" w:line="360" w:lineRule="auto"/>
        <w:ind w:firstLine="480" w:firstLineChars="200"/>
        <w:rPr>
          <w:sz w:val="24"/>
          <w:szCs w:val="24"/>
        </w:rPr>
      </w:pPr>
      <w:r>
        <w:rPr>
          <w:sz w:val="24"/>
          <w:szCs w:val="24"/>
        </w:rPr>
        <w:t>(4)</w:t>
      </w:r>
      <w:r>
        <w:rPr>
          <w:rFonts w:hint="eastAsia"/>
          <w:sz w:val="24"/>
          <w:szCs w:val="24"/>
        </w:rPr>
        <w:t>定期检查环保设施的运行情况，组织人员经常维护检修环保治理设备，保证其完好率，保证生产运行过程污染物达标排放。</w:t>
      </w:r>
    </w:p>
    <w:p>
      <w:pPr>
        <w:pStyle w:val="20"/>
        <w:adjustRightInd w:val="0"/>
        <w:snapToGrid w:val="0"/>
        <w:spacing w:after="0" w:line="360" w:lineRule="auto"/>
        <w:ind w:firstLine="480" w:firstLineChars="200"/>
        <w:rPr>
          <w:sz w:val="24"/>
          <w:szCs w:val="24"/>
        </w:rPr>
      </w:pPr>
      <w:r>
        <w:rPr>
          <w:sz w:val="24"/>
          <w:szCs w:val="24"/>
        </w:rPr>
        <w:t>(5)</w:t>
      </w:r>
      <w:r>
        <w:rPr>
          <w:rFonts w:hint="eastAsia"/>
          <w:sz w:val="24"/>
          <w:szCs w:val="24"/>
        </w:rPr>
        <w:t>建立防止事故排放的严密操作规程，制定污染事故的防范与应急措施计划，杜绝事故发生。</w:t>
      </w:r>
    </w:p>
    <w:p>
      <w:pPr>
        <w:pStyle w:val="20"/>
        <w:adjustRightInd w:val="0"/>
        <w:snapToGrid w:val="0"/>
        <w:spacing w:after="0" w:line="360" w:lineRule="auto"/>
        <w:ind w:firstLine="480" w:firstLineChars="200"/>
        <w:rPr>
          <w:sz w:val="24"/>
          <w:szCs w:val="24"/>
        </w:rPr>
      </w:pPr>
      <w:r>
        <w:rPr>
          <w:sz w:val="24"/>
          <w:szCs w:val="24"/>
        </w:rPr>
        <w:t>(6)</w:t>
      </w:r>
      <w:r>
        <w:rPr>
          <w:rFonts w:hint="eastAsia"/>
          <w:sz w:val="24"/>
          <w:szCs w:val="24"/>
        </w:rPr>
        <w:t>负责组织对员工的环保和技能培训，提高员工对环保设备的操作、维护和保养技术水平。</w:t>
      </w:r>
    </w:p>
    <w:p>
      <w:pPr>
        <w:pStyle w:val="20"/>
        <w:adjustRightInd w:val="0"/>
        <w:snapToGrid w:val="0"/>
        <w:spacing w:after="0" w:line="360" w:lineRule="auto"/>
        <w:ind w:firstLine="480" w:firstLineChars="200"/>
        <w:rPr>
          <w:sz w:val="24"/>
          <w:szCs w:val="24"/>
        </w:rPr>
      </w:pPr>
      <w:r>
        <w:rPr>
          <w:sz w:val="24"/>
          <w:szCs w:val="24"/>
        </w:rPr>
        <w:t>(7)</w:t>
      </w:r>
      <w:r>
        <w:rPr>
          <w:rFonts w:hint="eastAsia"/>
          <w:sz w:val="24"/>
          <w:szCs w:val="24"/>
        </w:rPr>
        <w:t>建立环保信息系统，负责环境状况及各类污染物排放数据的整理和统计，及时上报、存档和定期汇报。</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环境管理计划</w:t>
      </w:r>
    </w:p>
    <w:p>
      <w:pPr>
        <w:pStyle w:val="20"/>
        <w:adjustRightInd w:val="0"/>
        <w:snapToGrid w:val="0"/>
        <w:spacing w:after="0" w:line="360" w:lineRule="auto"/>
        <w:ind w:firstLine="482" w:firstLineChars="200"/>
        <w:rPr>
          <w:b/>
          <w:bCs/>
          <w:sz w:val="24"/>
          <w:szCs w:val="24"/>
        </w:rPr>
      </w:pPr>
      <w:r>
        <w:rPr>
          <w:b/>
          <w:bCs/>
          <w:sz w:val="24"/>
          <w:szCs w:val="24"/>
        </w:rPr>
        <w:t>1</w:t>
      </w:r>
      <w:r>
        <w:rPr>
          <w:rFonts w:hint="eastAsia"/>
          <w:b/>
          <w:bCs/>
          <w:sz w:val="24"/>
          <w:szCs w:val="24"/>
        </w:rPr>
        <w:t>、设计阶段</w:t>
      </w:r>
    </w:p>
    <w:p>
      <w:pPr>
        <w:pStyle w:val="20"/>
        <w:adjustRightInd w:val="0"/>
        <w:snapToGrid w:val="0"/>
        <w:spacing w:after="0" w:line="360" w:lineRule="auto"/>
        <w:ind w:firstLine="480" w:firstLineChars="200"/>
        <w:rPr>
          <w:sz w:val="24"/>
          <w:szCs w:val="24"/>
        </w:rPr>
      </w:pPr>
      <w:r>
        <w:rPr>
          <w:rFonts w:hint="eastAsia"/>
          <w:sz w:val="24"/>
          <w:szCs w:val="24"/>
        </w:rPr>
        <w:t>设计部门应将本报告书中提出的环保措施列入设计和投资概算中。</w:t>
      </w:r>
    </w:p>
    <w:p>
      <w:pPr>
        <w:pStyle w:val="20"/>
        <w:adjustRightInd w:val="0"/>
        <w:snapToGrid w:val="0"/>
        <w:spacing w:after="0" w:line="360" w:lineRule="auto"/>
        <w:ind w:firstLine="482" w:firstLineChars="200"/>
        <w:rPr>
          <w:b/>
          <w:bCs/>
          <w:sz w:val="24"/>
          <w:szCs w:val="24"/>
        </w:rPr>
      </w:pPr>
      <w:r>
        <w:rPr>
          <w:b/>
          <w:bCs/>
          <w:sz w:val="24"/>
          <w:szCs w:val="24"/>
        </w:rPr>
        <w:t>2</w:t>
      </w:r>
      <w:r>
        <w:rPr>
          <w:rFonts w:hint="eastAsia"/>
          <w:b/>
          <w:bCs/>
          <w:sz w:val="24"/>
          <w:szCs w:val="24"/>
        </w:rPr>
        <w:t>、施工阶段</w:t>
      </w:r>
    </w:p>
    <w:p>
      <w:pPr>
        <w:pStyle w:val="20"/>
        <w:adjustRightInd w:val="0"/>
        <w:snapToGrid w:val="0"/>
        <w:spacing w:after="0" w:line="360" w:lineRule="auto"/>
        <w:ind w:firstLine="480" w:firstLineChars="200"/>
        <w:rPr>
          <w:sz w:val="24"/>
          <w:szCs w:val="24"/>
        </w:rPr>
      </w:pPr>
      <w:r>
        <w:rPr>
          <w:rFonts w:hint="eastAsia"/>
          <w:sz w:val="24"/>
          <w:szCs w:val="24"/>
        </w:rPr>
        <w:t>建设单位应派环保员进行施工现场的施工环保管理，监督施工环保措施的落实，加强施工材质质量管理；确定合适的施工机械、压实办法、压实参数等施工工艺，以确保达到设计要求；在人工合成材料衬层铺设、焊接过程中以及完成后均应进行非破坏性和破坏性测试检验施工效果，以控制施工质量。</w:t>
      </w:r>
    </w:p>
    <w:p>
      <w:pPr>
        <w:pStyle w:val="20"/>
        <w:adjustRightInd w:val="0"/>
        <w:snapToGrid w:val="0"/>
        <w:spacing w:after="0" w:line="360" w:lineRule="auto"/>
        <w:ind w:firstLine="482" w:firstLineChars="200"/>
        <w:rPr>
          <w:b/>
          <w:bCs/>
          <w:sz w:val="24"/>
          <w:szCs w:val="24"/>
        </w:rPr>
      </w:pPr>
      <w:r>
        <w:rPr>
          <w:b/>
          <w:bCs/>
          <w:sz w:val="24"/>
          <w:szCs w:val="24"/>
        </w:rPr>
        <w:t>3</w:t>
      </w:r>
      <w:r>
        <w:rPr>
          <w:rFonts w:hint="eastAsia"/>
          <w:b/>
          <w:bCs/>
          <w:sz w:val="24"/>
          <w:szCs w:val="24"/>
        </w:rPr>
        <w:t>、竣工验收阶段</w:t>
      </w:r>
    </w:p>
    <w:p>
      <w:pPr>
        <w:pStyle w:val="20"/>
        <w:adjustRightInd w:val="0"/>
        <w:snapToGrid w:val="0"/>
        <w:spacing w:after="0" w:line="360" w:lineRule="auto"/>
        <w:ind w:firstLine="480" w:firstLineChars="200"/>
        <w:rPr>
          <w:sz w:val="24"/>
          <w:szCs w:val="24"/>
        </w:rPr>
      </w:pPr>
      <w:r>
        <w:rPr>
          <w:rFonts w:hint="eastAsia"/>
          <w:sz w:val="24"/>
          <w:szCs w:val="24"/>
        </w:rPr>
        <w:t>项目正式运营前，建设单位必须向环保主管部门备案“环保竣工验收报告”，在环保设施运行效果达标准和生态恢复措施到位，经自主验收合格后方可正式投入运营。</w:t>
      </w:r>
    </w:p>
    <w:p>
      <w:pPr>
        <w:pStyle w:val="20"/>
        <w:adjustRightInd w:val="0"/>
        <w:snapToGrid w:val="0"/>
        <w:spacing w:after="0" w:line="360" w:lineRule="auto"/>
        <w:ind w:firstLine="482" w:firstLineChars="200"/>
        <w:rPr>
          <w:b/>
          <w:bCs/>
          <w:sz w:val="24"/>
          <w:szCs w:val="24"/>
        </w:rPr>
      </w:pPr>
      <w:r>
        <w:rPr>
          <w:b/>
          <w:bCs/>
          <w:sz w:val="24"/>
          <w:szCs w:val="24"/>
        </w:rPr>
        <w:t>4</w:t>
      </w:r>
      <w:r>
        <w:rPr>
          <w:rFonts w:hint="eastAsia"/>
          <w:b/>
          <w:bCs/>
          <w:sz w:val="24"/>
          <w:szCs w:val="24"/>
        </w:rPr>
        <w:t>、运营期环保管理</w:t>
      </w:r>
    </w:p>
    <w:p>
      <w:pPr>
        <w:pStyle w:val="20"/>
        <w:adjustRightInd w:val="0"/>
        <w:snapToGrid w:val="0"/>
        <w:spacing w:after="0" w:line="360" w:lineRule="auto"/>
        <w:ind w:firstLine="480" w:firstLineChars="200"/>
        <w:rPr>
          <w:sz w:val="24"/>
          <w:szCs w:val="24"/>
        </w:rPr>
      </w:pPr>
      <w:r>
        <w:rPr>
          <w:rFonts w:hint="eastAsia"/>
          <w:sz w:val="24"/>
          <w:szCs w:val="24"/>
        </w:rPr>
        <w:t>运营期的环境管理的重点是各项环境保护措施的落实，环保设施运行的管理和维护，污染事故的防范和应急处理。</w:t>
      </w:r>
    </w:p>
    <w:p>
      <w:pPr>
        <w:pStyle w:val="20"/>
        <w:adjustRightInd w:val="0"/>
        <w:snapToGrid w:val="0"/>
        <w:spacing w:after="0" w:line="360" w:lineRule="auto"/>
        <w:ind w:firstLine="482" w:firstLineChars="200"/>
        <w:rPr>
          <w:b/>
          <w:bCs/>
          <w:sz w:val="24"/>
          <w:szCs w:val="24"/>
        </w:rPr>
      </w:pPr>
      <w:r>
        <w:rPr>
          <w:rFonts w:hint="eastAsia"/>
          <w:b/>
          <w:bCs/>
          <w:sz w:val="24"/>
          <w:szCs w:val="24"/>
        </w:rPr>
        <w:t>（1）制度上的管理</w:t>
      </w:r>
    </w:p>
    <w:p>
      <w:pPr>
        <w:pStyle w:val="20"/>
        <w:adjustRightInd w:val="0"/>
        <w:snapToGrid w:val="0"/>
        <w:spacing w:after="0" w:line="360" w:lineRule="auto"/>
        <w:ind w:firstLine="480" w:firstLineChars="200"/>
        <w:rPr>
          <w:sz w:val="24"/>
          <w:szCs w:val="24"/>
        </w:rPr>
      </w:pPr>
      <w:r>
        <w:rPr>
          <w:rFonts w:hint="eastAsia"/>
          <w:sz w:val="24"/>
          <w:szCs w:val="24"/>
        </w:rPr>
        <w:t>①严格、认真地贯彻执行国家、省、市的有关环保法律、法规、政策、条例、标准。制订工程环境保护管理规章制度；</w:t>
      </w:r>
    </w:p>
    <w:p>
      <w:pPr>
        <w:pStyle w:val="20"/>
        <w:adjustRightInd w:val="0"/>
        <w:snapToGrid w:val="0"/>
        <w:spacing w:after="0" w:line="360" w:lineRule="auto"/>
        <w:ind w:firstLine="480" w:firstLineChars="200"/>
        <w:rPr>
          <w:sz w:val="24"/>
          <w:szCs w:val="24"/>
        </w:rPr>
      </w:pPr>
      <w:r>
        <w:rPr>
          <w:rFonts w:hint="eastAsia"/>
          <w:sz w:val="24"/>
          <w:szCs w:val="24"/>
        </w:rPr>
        <w:t>②向环保主管部门提交《排污申报登记表》，经环保部门调查核实排放情况，达标排放；</w:t>
      </w:r>
    </w:p>
    <w:p>
      <w:pPr>
        <w:pStyle w:val="20"/>
        <w:adjustRightInd w:val="0"/>
        <w:snapToGrid w:val="0"/>
        <w:spacing w:after="0" w:line="360" w:lineRule="auto"/>
        <w:ind w:firstLine="480" w:firstLineChars="200"/>
        <w:rPr>
          <w:sz w:val="24"/>
          <w:szCs w:val="24"/>
        </w:rPr>
      </w:pPr>
      <w:r>
        <w:rPr>
          <w:rFonts w:hint="eastAsia"/>
          <w:sz w:val="24"/>
          <w:szCs w:val="24"/>
        </w:rPr>
        <w:t>③制订各环保设施操作规程，定期维修制度，使各项环保设施在营运过程中处于良好的运行状态；</w:t>
      </w:r>
    </w:p>
    <w:p>
      <w:pPr>
        <w:pStyle w:val="20"/>
        <w:adjustRightInd w:val="0"/>
        <w:snapToGrid w:val="0"/>
        <w:spacing w:after="0" w:line="360" w:lineRule="auto"/>
        <w:ind w:firstLine="480" w:firstLineChars="200"/>
        <w:rPr>
          <w:sz w:val="24"/>
          <w:szCs w:val="24"/>
        </w:rPr>
      </w:pPr>
      <w:r>
        <w:rPr>
          <w:rFonts w:hint="eastAsia"/>
          <w:sz w:val="24"/>
          <w:szCs w:val="24"/>
        </w:rPr>
        <w:t>④加强对环保设施的运行管理，如环保设施出现故障，应立即停止排污并进行检修；</w:t>
      </w:r>
    </w:p>
    <w:p>
      <w:pPr>
        <w:pStyle w:val="20"/>
        <w:adjustRightInd w:val="0"/>
        <w:snapToGrid w:val="0"/>
        <w:spacing w:after="0" w:line="360" w:lineRule="auto"/>
        <w:ind w:firstLine="480" w:firstLineChars="200"/>
        <w:rPr>
          <w:sz w:val="24"/>
          <w:szCs w:val="24"/>
        </w:rPr>
      </w:pPr>
      <w:r>
        <w:rPr>
          <w:rFonts w:hint="eastAsia"/>
          <w:sz w:val="24"/>
          <w:szCs w:val="24"/>
        </w:rPr>
        <w:t>⑤制订营运期环境监测计划，并组织监测实施；</w:t>
      </w:r>
    </w:p>
    <w:p>
      <w:pPr>
        <w:pStyle w:val="20"/>
        <w:adjustRightInd w:val="0"/>
        <w:snapToGrid w:val="0"/>
        <w:spacing w:after="0" w:line="360" w:lineRule="auto"/>
        <w:ind w:firstLine="480" w:firstLineChars="200"/>
        <w:rPr>
          <w:sz w:val="24"/>
          <w:szCs w:val="24"/>
        </w:rPr>
      </w:pPr>
      <w:r>
        <w:rPr>
          <w:rFonts w:hint="eastAsia"/>
          <w:sz w:val="24"/>
          <w:szCs w:val="24"/>
        </w:rPr>
        <w:t>⑥制定环保资料的存贮建档与上报的计划，环保档案内容包括：</w:t>
      </w:r>
      <w:r>
        <w:rPr>
          <w:sz w:val="24"/>
          <w:szCs w:val="24"/>
        </w:rPr>
        <w:t>a</w:t>
      </w:r>
      <w:r>
        <w:rPr>
          <w:rFonts w:hint="eastAsia"/>
          <w:sz w:val="24"/>
          <w:szCs w:val="24"/>
        </w:rPr>
        <w:t>、填埋物入场情况；</w:t>
      </w:r>
      <w:r>
        <w:rPr>
          <w:sz w:val="24"/>
          <w:szCs w:val="24"/>
        </w:rPr>
        <w:t>b</w:t>
      </w:r>
      <w:r>
        <w:rPr>
          <w:rFonts w:hint="eastAsia"/>
          <w:sz w:val="24"/>
          <w:szCs w:val="24"/>
        </w:rPr>
        <w:t>、设施的运行、操作和管理情况；</w:t>
      </w:r>
      <w:r>
        <w:rPr>
          <w:sz w:val="24"/>
          <w:szCs w:val="24"/>
        </w:rPr>
        <w:t>c</w:t>
      </w:r>
      <w:r>
        <w:rPr>
          <w:rFonts w:hint="eastAsia"/>
          <w:sz w:val="24"/>
          <w:szCs w:val="24"/>
        </w:rPr>
        <w:t>、事故情况及有关记录；</w:t>
      </w:r>
      <w:r>
        <w:rPr>
          <w:sz w:val="24"/>
          <w:szCs w:val="24"/>
        </w:rPr>
        <w:t>d</w:t>
      </w:r>
      <w:r>
        <w:rPr>
          <w:rFonts w:hint="eastAsia"/>
          <w:sz w:val="24"/>
          <w:szCs w:val="24"/>
        </w:rPr>
        <w:t>、其他与污染防治有关的情况和资料等；</w:t>
      </w:r>
    </w:p>
    <w:p>
      <w:pPr>
        <w:pStyle w:val="20"/>
        <w:adjustRightInd w:val="0"/>
        <w:snapToGrid w:val="0"/>
        <w:spacing w:after="0" w:line="360" w:lineRule="auto"/>
        <w:ind w:firstLine="480" w:firstLineChars="200"/>
        <w:rPr>
          <w:sz w:val="24"/>
          <w:szCs w:val="24"/>
        </w:rPr>
      </w:pPr>
      <w:r>
        <w:rPr>
          <w:rFonts w:hint="eastAsia"/>
          <w:sz w:val="24"/>
          <w:szCs w:val="24"/>
        </w:rPr>
        <w:t>⑦建立污染事故报告制度。当污染事故发生时，必须及时向环保等相关部门作出事故发生的时间、地点、类型和排放污染物的数量、经济损失等情况的初步报告；事故查清后，向有关行政主管部门书面报告事故发生的原因，采取的措施，处理结果，并附有关证明。建设单位有责任排除危害，并对直接受到损害单位或个人赔偿损失。</w:t>
      </w:r>
    </w:p>
    <w:p>
      <w:pPr>
        <w:pStyle w:val="20"/>
        <w:adjustRightInd w:val="0"/>
        <w:snapToGrid w:val="0"/>
        <w:spacing w:after="0" w:line="360" w:lineRule="auto"/>
        <w:ind w:firstLine="482" w:firstLineChars="200"/>
        <w:rPr>
          <w:b/>
          <w:bCs/>
          <w:sz w:val="24"/>
          <w:szCs w:val="24"/>
        </w:rPr>
      </w:pPr>
      <w:r>
        <w:rPr>
          <w:rFonts w:hint="eastAsia"/>
          <w:b/>
          <w:bCs/>
          <w:sz w:val="24"/>
          <w:szCs w:val="24"/>
        </w:rPr>
        <w:t>（2）环境管理</w:t>
      </w:r>
    </w:p>
    <w:p>
      <w:pPr>
        <w:pStyle w:val="20"/>
        <w:adjustRightInd w:val="0"/>
        <w:snapToGrid w:val="0"/>
        <w:spacing w:after="0" w:line="360" w:lineRule="auto"/>
        <w:ind w:firstLine="480" w:firstLineChars="200"/>
        <w:rPr>
          <w:sz w:val="24"/>
          <w:szCs w:val="24"/>
        </w:rPr>
      </w:pPr>
      <w:r>
        <w:rPr>
          <w:rFonts w:hint="eastAsia"/>
          <w:sz w:val="24"/>
          <w:szCs w:val="24"/>
        </w:rPr>
        <w:t>固废的收集运输安排在白天进行。</w:t>
      </w:r>
    </w:p>
    <w:p>
      <w:pPr>
        <w:pStyle w:val="20"/>
        <w:adjustRightInd w:val="0"/>
        <w:snapToGrid w:val="0"/>
        <w:spacing w:after="0" w:line="360" w:lineRule="auto"/>
        <w:ind w:firstLine="480" w:firstLineChars="200"/>
        <w:rPr>
          <w:sz w:val="24"/>
          <w:szCs w:val="24"/>
        </w:rPr>
      </w:pPr>
      <w:r>
        <w:rPr>
          <w:rFonts w:hint="eastAsia"/>
          <w:sz w:val="24"/>
          <w:szCs w:val="24"/>
        </w:rPr>
        <w:t>②采取有效措施保证运输车辆的性能。</w:t>
      </w:r>
    </w:p>
    <w:p>
      <w:pPr>
        <w:pStyle w:val="20"/>
        <w:adjustRightInd w:val="0"/>
        <w:snapToGrid w:val="0"/>
        <w:spacing w:after="0" w:line="360" w:lineRule="auto"/>
        <w:ind w:firstLine="480" w:firstLineChars="200"/>
        <w:rPr>
          <w:sz w:val="24"/>
          <w:szCs w:val="24"/>
        </w:rPr>
      </w:pPr>
      <w:r>
        <w:rPr>
          <w:rFonts w:hint="eastAsia"/>
          <w:sz w:val="24"/>
          <w:szCs w:val="24"/>
        </w:rPr>
        <w:t>③填埋作业完毕，须对填埋堆体进行清理和经常洒水，以防止尘土飞扬。</w:t>
      </w:r>
    </w:p>
    <w:p>
      <w:pPr>
        <w:pStyle w:val="20"/>
        <w:adjustRightInd w:val="0"/>
        <w:snapToGrid w:val="0"/>
        <w:spacing w:after="0" w:line="360" w:lineRule="auto"/>
        <w:ind w:firstLine="480" w:firstLineChars="200"/>
        <w:rPr>
          <w:sz w:val="24"/>
          <w:szCs w:val="24"/>
        </w:rPr>
      </w:pPr>
      <w:r>
        <w:rPr>
          <w:rFonts w:hint="eastAsia"/>
          <w:sz w:val="24"/>
          <w:szCs w:val="24"/>
        </w:rPr>
        <w:t>④加强工地管理，防止乱堆乱弃是减少施工扬尘产生。</w:t>
      </w:r>
    </w:p>
    <w:p>
      <w:pPr>
        <w:pStyle w:val="20"/>
        <w:adjustRightInd w:val="0"/>
        <w:snapToGrid w:val="0"/>
        <w:spacing w:after="0" w:line="360" w:lineRule="auto"/>
        <w:ind w:firstLine="480" w:firstLineChars="200"/>
        <w:rPr>
          <w:sz w:val="24"/>
          <w:szCs w:val="24"/>
        </w:rPr>
      </w:pPr>
      <w:r>
        <w:rPr>
          <w:rFonts w:hint="eastAsia"/>
          <w:sz w:val="24"/>
          <w:szCs w:val="24"/>
        </w:rPr>
        <w:t>⑤按工艺要求在填埋堆体表面及时覆土。</w:t>
      </w:r>
    </w:p>
    <w:p>
      <w:pPr>
        <w:pStyle w:val="20"/>
        <w:adjustRightInd w:val="0"/>
        <w:snapToGrid w:val="0"/>
        <w:spacing w:after="0" w:line="360" w:lineRule="auto"/>
        <w:ind w:firstLine="480" w:firstLineChars="200"/>
        <w:rPr>
          <w:sz w:val="24"/>
          <w:szCs w:val="24"/>
        </w:rPr>
      </w:pPr>
      <w:r>
        <w:rPr>
          <w:rFonts w:hint="eastAsia"/>
          <w:sz w:val="24"/>
          <w:szCs w:val="24"/>
        </w:rPr>
        <w:t>⑥做好厂区周边绿化和维护工作。绿色植物不仅能涵养水分，保持水土，而且能挡尘降噪，调节小气候，有利于改善生态环境。</w:t>
      </w:r>
    </w:p>
    <w:p>
      <w:pPr>
        <w:pStyle w:val="20"/>
        <w:adjustRightInd w:val="0"/>
        <w:snapToGrid w:val="0"/>
        <w:spacing w:after="0" w:line="360" w:lineRule="auto"/>
        <w:ind w:firstLine="482" w:firstLineChars="200"/>
        <w:rPr>
          <w:b/>
          <w:bCs/>
          <w:sz w:val="24"/>
          <w:szCs w:val="24"/>
        </w:rPr>
      </w:pPr>
      <w:r>
        <w:rPr>
          <w:b/>
          <w:bCs/>
          <w:sz w:val="24"/>
          <w:szCs w:val="24"/>
        </w:rPr>
        <w:t>5</w:t>
      </w:r>
      <w:r>
        <w:rPr>
          <w:rFonts w:hint="eastAsia"/>
          <w:b/>
          <w:bCs/>
          <w:sz w:val="24"/>
          <w:szCs w:val="24"/>
        </w:rPr>
        <w:t>、填埋场封场后的环境管理</w:t>
      </w:r>
    </w:p>
    <w:p>
      <w:pPr>
        <w:pStyle w:val="20"/>
        <w:adjustRightInd w:val="0"/>
        <w:snapToGrid w:val="0"/>
        <w:spacing w:after="0" w:line="360" w:lineRule="auto"/>
        <w:ind w:firstLine="480" w:firstLineChars="200"/>
        <w:rPr>
          <w:sz w:val="24"/>
          <w:szCs w:val="24"/>
        </w:rPr>
      </w:pPr>
      <w:r>
        <w:rPr>
          <w:rFonts w:hint="eastAsia"/>
          <w:sz w:val="24"/>
          <w:szCs w:val="24"/>
        </w:rPr>
        <w:t>固化飞灰填埋结束后进行必要的封场。封场应切实落实封场覆盖和生态恢复，维护最终覆盖层的完整性和有效性，进行必要的维修以消除沉降和凹陷及其它影响。继续运行浸出液收集和去除系统，直到浸出液未检出为止。维护和检测地下水监测系统；继续进行必要的环境监测工作，如实做好监测记录，发现异常及时向有关部门通报，作好防污应急工作。</w:t>
      </w:r>
    </w:p>
    <w:p>
      <w:pPr>
        <w:pStyle w:val="61"/>
        <w:numPr>
          <w:ilvl w:val="1"/>
          <w:numId w:val="5"/>
        </w:numPr>
        <w:spacing w:beforeLines="0" w:afterLines="0"/>
        <w:ind w:left="569" w:hanging="569" w:hangingChars="189"/>
        <w:rPr>
          <w:rFonts w:ascii="Times New Roman" w:hAnsi="Times New Roman"/>
        </w:rPr>
      </w:pPr>
      <w:bookmarkStart w:id="180" w:name="_Toc94101247"/>
      <w:r>
        <w:rPr>
          <w:rFonts w:ascii="Times New Roman" w:hAnsi="Times New Roman"/>
        </w:rPr>
        <w:t>环境监测计划</w:t>
      </w:r>
      <w:bookmarkEnd w:id="180"/>
    </w:p>
    <w:p>
      <w:pPr>
        <w:adjustRightInd w:val="0"/>
        <w:snapToGrid w:val="0"/>
        <w:spacing w:line="360" w:lineRule="auto"/>
        <w:ind w:firstLine="482" w:firstLineChars="200"/>
        <w:rPr>
          <w:rFonts w:eastAsiaTheme="minorEastAsia"/>
          <w:b/>
          <w:bCs/>
          <w:sz w:val="24"/>
          <w:szCs w:val="24"/>
        </w:rPr>
      </w:pPr>
      <w:r>
        <w:rPr>
          <w:rFonts w:eastAsiaTheme="minorEastAsia"/>
          <w:b/>
          <w:bCs/>
          <w:sz w:val="24"/>
          <w:szCs w:val="24"/>
        </w:rPr>
        <w:t>1、营运期环境监测计划</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营运期环境监测计划见表8.3-1。</w:t>
      </w:r>
    </w:p>
    <w:p>
      <w:pPr>
        <w:pStyle w:val="20"/>
        <w:adjustRightInd w:val="0"/>
        <w:snapToGrid w:val="0"/>
        <w:spacing w:after="0" w:line="360" w:lineRule="auto"/>
        <w:ind w:firstLine="482" w:firstLineChars="200"/>
        <w:rPr>
          <w:rFonts w:eastAsiaTheme="minorEastAsia"/>
          <w:b/>
          <w:bCs/>
          <w:sz w:val="24"/>
          <w:szCs w:val="24"/>
        </w:rPr>
      </w:pPr>
      <w:r>
        <w:rPr>
          <w:rFonts w:eastAsiaTheme="minorEastAsia"/>
          <w:b/>
          <w:bCs/>
          <w:sz w:val="24"/>
          <w:szCs w:val="24"/>
        </w:rPr>
        <w:t>2、封场后管理与监测</w:t>
      </w:r>
    </w:p>
    <w:p>
      <w:pPr>
        <w:pStyle w:val="20"/>
        <w:adjustRightInd w:val="0"/>
        <w:snapToGrid w:val="0"/>
        <w:spacing w:after="0" w:line="360" w:lineRule="auto"/>
        <w:ind w:firstLine="480" w:firstLineChars="200"/>
        <w:rPr>
          <w:rFonts w:eastAsiaTheme="minorEastAsia"/>
          <w:bCs/>
          <w:sz w:val="24"/>
          <w:szCs w:val="24"/>
        </w:rPr>
      </w:pPr>
      <w:r>
        <w:rPr>
          <w:rFonts w:hint="eastAsia" w:eastAsiaTheme="minorEastAsia"/>
          <w:bCs/>
          <w:sz w:val="24"/>
          <w:szCs w:val="24"/>
        </w:rPr>
        <w:t>填埋场封场期环境监测计划见表</w:t>
      </w:r>
      <w:r>
        <w:rPr>
          <w:rFonts w:eastAsiaTheme="minorEastAsia"/>
          <w:bCs/>
          <w:sz w:val="24"/>
          <w:szCs w:val="24"/>
        </w:rPr>
        <w:t>8.3-2</w:t>
      </w:r>
      <w:r>
        <w:rPr>
          <w:rFonts w:hint="eastAsia" w:eastAsiaTheme="minorEastAsia"/>
          <w:bCs/>
          <w:sz w:val="24"/>
          <w:szCs w:val="24"/>
        </w:rPr>
        <w:t xml:space="preserve">。 </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填埋场整体服务期满后应封闭填埋场，用安全合理的方式净化废物处理和贮存辅助设施，并且实施生态修复计划。</w:t>
      </w:r>
    </w:p>
    <w:p>
      <w:pPr>
        <w:pStyle w:val="20"/>
        <w:adjustRightInd w:val="0"/>
        <w:snapToGrid w:val="0"/>
        <w:spacing w:after="0" w:line="360" w:lineRule="auto"/>
        <w:ind w:firstLine="480" w:firstLineChars="200"/>
        <w:rPr>
          <w:rFonts w:eastAsiaTheme="minorEastAsia"/>
          <w:sz w:val="24"/>
          <w:szCs w:val="24"/>
        </w:rPr>
      </w:pPr>
      <w:r>
        <w:rPr>
          <w:rFonts w:hint="eastAsia" w:ascii="宋体" w:hAnsi="宋体" w:cs="宋体"/>
          <w:sz w:val="24"/>
          <w:szCs w:val="24"/>
        </w:rPr>
        <w:t>⑴</w:t>
      </w:r>
      <w:r>
        <w:rPr>
          <w:rFonts w:eastAsiaTheme="minorEastAsia"/>
          <w:sz w:val="24"/>
          <w:szCs w:val="24"/>
        </w:rPr>
        <w:t>维护最终覆盖层的完整性和有效性，进行必要的维修以消除沉降和凹陷及其它影响；</w:t>
      </w:r>
    </w:p>
    <w:p>
      <w:pPr>
        <w:pStyle w:val="20"/>
        <w:adjustRightInd w:val="0"/>
        <w:snapToGrid w:val="0"/>
        <w:spacing w:after="0" w:line="360" w:lineRule="auto"/>
        <w:ind w:firstLine="480" w:firstLineChars="200"/>
        <w:rPr>
          <w:rFonts w:eastAsiaTheme="minorEastAsia"/>
          <w:sz w:val="24"/>
          <w:szCs w:val="24"/>
        </w:rPr>
      </w:pPr>
      <w:r>
        <w:rPr>
          <w:rFonts w:hint="eastAsia" w:ascii="宋体" w:hAnsi="宋体" w:cs="宋体"/>
          <w:sz w:val="24"/>
          <w:szCs w:val="24"/>
        </w:rPr>
        <w:t>⑵</w:t>
      </w:r>
      <w:r>
        <w:rPr>
          <w:rFonts w:eastAsiaTheme="minorEastAsia"/>
          <w:sz w:val="24"/>
          <w:szCs w:val="24"/>
        </w:rPr>
        <w:t>继续处理填埋场产生的渗滤液，并定期进行监测，直到未产生渗滤液为止；</w:t>
      </w:r>
    </w:p>
    <w:p>
      <w:pPr>
        <w:pStyle w:val="20"/>
        <w:adjustRightInd w:val="0"/>
        <w:snapToGrid w:val="0"/>
        <w:spacing w:after="0" w:line="360" w:lineRule="auto"/>
        <w:ind w:firstLine="480" w:firstLineChars="200"/>
        <w:rPr>
          <w:rFonts w:eastAsiaTheme="minorEastAsia"/>
          <w:sz w:val="24"/>
          <w:szCs w:val="24"/>
        </w:rPr>
      </w:pPr>
      <w:r>
        <w:rPr>
          <w:rFonts w:hint="eastAsia" w:ascii="宋体" w:hAnsi="宋体" w:cs="宋体"/>
          <w:sz w:val="24"/>
          <w:szCs w:val="24"/>
        </w:rPr>
        <w:t>⑶</w:t>
      </w:r>
      <w:r>
        <w:rPr>
          <w:rFonts w:eastAsiaTheme="minorEastAsia"/>
          <w:sz w:val="24"/>
          <w:szCs w:val="24"/>
        </w:rPr>
        <w:t>封场系统的建设应与生态恢复相结合，并防止植物根系对封场土工膜的损害；</w:t>
      </w:r>
    </w:p>
    <w:p>
      <w:pPr>
        <w:pStyle w:val="20"/>
        <w:adjustRightInd w:val="0"/>
        <w:snapToGrid w:val="0"/>
        <w:spacing w:after="0" w:line="360" w:lineRule="auto"/>
        <w:ind w:firstLine="480" w:firstLineChars="200"/>
        <w:rPr>
          <w:rFonts w:eastAsiaTheme="minorEastAsia"/>
          <w:sz w:val="24"/>
          <w:szCs w:val="24"/>
        </w:rPr>
      </w:pPr>
      <w:r>
        <w:rPr>
          <w:rFonts w:hint="eastAsia" w:ascii="宋体" w:hAnsi="宋体" w:cs="宋体"/>
          <w:sz w:val="24"/>
          <w:szCs w:val="24"/>
        </w:rPr>
        <w:t>⑷</w:t>
      </w:r>
      <w:r>
        <w:rPr>
          <w:rFonts w:eastAsiaTheme="minorEastAsia"/>
          <w:sz w:val="24"/>
          <w:szCs w:val="24"/>
        </w:rPr>
        <w:t>封场后的地块近期不宜用做工业区、居住区等，宜全面实施覆土绿化，建成绿化用地。</w:t>
      </w:r>
    </w:p>
    <w:p>
      <w:pPr>
        <w:pStyle w:val="20"/>
        <w:adjustRightInd w:val="0"/>
        <w:snapToGrid w:val="0"/>
        <w:spacing w:after="0" w:line="360" w:lineRule="auto"/>
        <w:ind w:firstLine="480" w:firstLineChars="200"/>
        <w:rPr>
          <w:sz w:val="24"/>
          <w:szCs w:val="24"/>
        </w:rPr>
      </w:pPr>
    </w:p>
    <w:p>
      <w:pPr>
        <w:pStyle w:val="20"/>
        <w:adjustRightInd w:val="0"/>
        <w:snapToGrid w:val="0"/>
        <w:spacing w:line="360" w:lineRule="auto"/>
        <w:ind w:firstLine="480" w:firstLineChars="200"/>
        <w:rPr>
          <w:sz w:val="24"/>
          <w:szCs w:val="24"/>
        </w:rPr>
      </w:pPr>
    </w:p>
    <w:p>
      <w:pPr>
        <w:pStyle w:val="20"/>
        <w:adjustRightInd w:val="0"/>
        <w:snapToGrid w:val="0"/>
        <w:spacing w:line="360" w:lineRule="auto"/>
        <w:ind w:firstLine="480" w:firstLineChars="200"/>
        <w:rPr>
          <w:sz w:val="24"/>
          <w:szCs w:val="24"/>
        </w:rPr>
      </w:pPr>
    </w:p>
    <w:p>
      <w:pPr>
        <w:autoSpaceDE w:val="0"/>
        <w:autoSpaceDN w:val="0"/>
        <w:adjustRightInd w:val="0"/>
        <w:jc w:val="center"/>
        <w:rPr>
          <w:b/>
          <w:kern w:val="0"/>
          <w:sz w:val="24"/>
          <w:szCs w:val="24"/>
        </w:rPr>
        <w:sectPr>
          <w:headerReference r:id="rId29" w:type="default"/>
          <w:pgSz w:w="11906" w:h="16838"/>
          <w:pgMar w:top="1440" w:right="1800" w:bottom="1440" w:left="1800" w:header="851" w:footer="992" w:gutter="0"/>
          <w:cols w:space="720" w:num="1"/>
          <w:docGrid w:type="lines" w:linePitch="312" w:charSpace="0"/>
        </w:sectPr>
      </w:pPr>
    </w:p>
    <w:p>
      <w:pPr>
        <w:autoSpaceDE w:val="0"/>
        <w:autoSpaceDN w:val="0"/>
        <w:adjustRightInd w:val="0"/>
        <w:jc w:val="center"/>
        <w:rPr>
          <w:b/>
          <w:kern w:val="0"/>
          <w:sz w:val="24"/>
          <w:szCs w:val="24"/>
        </w:rPr>
      </w:pPr>
      <w:r>
        <w:rPr>
          <w:b/>
          <w:kern w:val="0"/>
          <w:sz w:val="24"/>
          <w:szCs w:val="24"/>
        </w:rPr>
        <w:t>表</w:t>
      </w:r>
      <w:r>
        <w:rPr>
          <w:rFonts w:hint="eastAsia" w:eastAsiaTheme="minorEastAsia"/>
          <w:b/>
          <w:kern w:val="0"/>
          <w:sz w:val="24"/>
          <w:szCs w:val="24"/>
        </w:rPr>
        <w:t>8</w:t>
      </w:r>
      <w:r>
        <w:rPr>
          <w:rFonts w:eastAsia="TimesNewRomanPSMT"/>
          <w:b/>
          <w:kern w:val="0"/>
          <w:sz w:val="24"/>
          <w:szCs w:val="24"/>
        </w:rPr>
        <w:t>.3-1</w:t>
      </w:r>
      <w:r>
        <w:rPr>
          <w:b/>
          <w:kern w:val="0"/>
          <w:sz w:val="24"/>
          <w:szCs w:val="24"/>
        </w:rPr>
        <w:t xml:space="preserve">    </w:t>
      </w:r>
      <w:r>
        <w:rPr>
          <w:rFonts w:hint="eastAsia"/>
          <w:b/>
          <w:kern w:val="0"/>
          <w:sz w:val="24"/>
          <w:szCs w:val="24"/>
        </w:rPr>
        <w:t>本项目营运期</w:t>
      </w:r>
      <w:r>
        <w:rPr>
          <w:b/>
          <w:kern w:val="0"/>
          <w:sz w:val="24"/>
          <w:szCs w:val="24"/>
        </w:rPr>
        <w:t>监测计划</w:t>
      </w:r>
      <w:r>
        <w:rPr>
          <w:rFonts w:hint="eastAsia"/>
          <w:b/>
          <w:kern w:val="0"/>
          <w:sz w:val="24"/>
          <w:szCs w:val="24"/>
        </w:rPr>
        <w:t>一览</w:t>
      </w:r>
      <w:r>
        <w:rPr>
          <w:b/>
          <w:kern w:val="0"/>
          <w:sz w:val="24"/>
          <w:szCs w:val="24"/>
        </w:rPr>
        <w:t>表</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525"/>
        <w:gridCol w:w="1796"/>
        <w:gridCol w:w="5092"/>
        <w:gridCol w:w="3444"/>
        <w:gridCol w:w="313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序号</w:t>
            </w:r>
          </w:p>
        </w:tc>
        <w:tc>
          <w:tcPr>
            <w:tcW w:w="642" w:type="pct"/>
            <w:vAlign w:val="center"/>
          </w:tcPr>
          <w:p>
            <w:pPr>
              <w:adjustRightInd w:val="0"/>
              <w:snapToGrid w:val="0"/>
              <w:jc w:val="center"/>
              <w:rPr>
                <w:rFonts w:eastAsiaTheme="minorEastAsia"/>
              </w:rPr>
            </w:pPr>
            <w:r>
              <w:rPr>
                <w:rFonts w:eastAsiaTheme="minorEastAsia"/>
              </w:rPr>
              <w:t>监测内容</w:t>
            </w:r>
          </w:p>
        </w:tc>
        <w:tc>
          <w:tcPr>
            <w:tcW w:w="1820" w:type="pct"/>
            <w:vAlign w:val="center"/>
          </w:tcPr>
          <w:p>
            <w:pPr>
              <w:adjustRightInd w:val="0"/>
              <w:snapToGrid w:val="0"/>
              <w:jc w:val="center"/>
              <w:rPr>
                <w:rFonts w:eastAsiaTheme="minorEastAsia"/>
              </w:rPr>
            </w:pPr>
            <w:r>
              <w:rPr>
                <w:rFonts w:eastAsiaTheme="minorEastAsia"/>
              </w:rPr>
              <w:t>监测项目</w:t>
            </w:r>
          </w:p>
        </w:tc>
        <w:tc>
          <w:tcPr>
            <w:tcW w:w="1231" w:type="pct"/>
            <w:vAlign w:val="center"/>
          </w:tcPr>
          <w:p>
            <w:pPr>
              <w:adjustRightInd w:val="0"/>
              <w:snapToGrid w:val="0"/>
              <w:jc w:val="center"/>
              <w:rPr>
                <w:rFonts w:eastAsiaTheme="minorEastAsia"/>
              </w:rPr>
            </w:pPr>
            <w:r>
              <w:rPr>
                <w:rFonts w:eastAsiaTheme="minorEastAsia"/>
              </w:rPr>
              <w:t>测点布设</w:t>
            </w:r>
          </w:p>
        </w:tc>
        <w:tc>
          <w:tcPr>
            <w:tcW w:w="1119" w:type="pct"/>
            <w:vAlign w:val="center"/>
          </w:tcPr>
          <w:p>
            <w:pPr>
              <w:adjustRightInd w:val="0"/>
              <w:snapToGrid w:val="0"/>
              <w:jc w:val="center"/>
              <w:rPr>
                <w:rFonts w:eastAsiaTheme="minorEastAsia"/>
              </w:rPr>
            </w:pPr>
            <w:r>
              <w:rPr>
                <w:rFonts w:eastAsiaTheme="minorEastAsia"/>
              </w:rPr>
              <w:t>监测频次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1</w:t>
            </w:r>
          </w:p>
        </w:tc>
        <w:tc>
          <w:tcPr>
            <w:tcW w:w="642" w:type="pct"/>
            <w:vAlign w:val="center"/>
          </w:tcPr>
          <w:p>
            <w:pPr>
              <w:adjustRightInd w:val="0"/>
              <w:snapToGrid w:val="0"/>
              <w:jc w:val="center"/>
              <w:rPr>
                <w:rFonts w:eastAsiaTheme="minorEastAsia"/>
              </w:rPr>
            </w:pPr>
            <w:r>
              <w:rPr>
                <w:rFonts w:eastAsiaTheme="minorEastAsia"/>
              </w:rPr>
              <w:t>大气监测</w:t>
            </w:r>
          </w:p>
        </w:tc>
        <w:tc>
          <w:tcPr>
            <w:tcW w:w="1820" w:type="pct"/>
            <w:vAlign w:val="center"/>
          </w:tcPr>
          <w:p>
            <w:pPr>
              <w:adjustRightInd w:val="0"/>
              <w:snapToGrid w:val="0"/>
              <w:jc w:val="center"/>
              <w:rPr>
                <w:rFonts w:eastAsiaTheme="minorEastAsia"/>
              </w:rPr>
            </w:pPr>
            <w:r>
              <w:rPr>
                <w:rFonts w:eastAsiaTheme="minorEastAsia"/>
              </w:rPr>
              <w:t>TSP、</w:t>
            </w:r>
            <w:r>
              <w:rPr>
                <w:rFonts w:hint="eastAsia" w:eastAsiaTheme="minorEastAsia"/>
              </w:rPr>
              <w:t>臭气浓度</w:t>
            </w:r>
          </w:p>
        </w:tc>
        <w:tc>
          <w:tcPr>
            <w:tcW w:w="1231" w:type="pct"/>
            <w:vAlign w:val="center"/>
          </w:tcPr>
          <w:p>
            <w:pPr>
              <w:adjustRightInd w:val="0"/>
              <w:snapToGrid w:val="0"/>
              <w:jc w:val="center"/>
              <w:rPr>
                <w:rFonts w:eastAsiaTheme="minorEastAsia"/>
              </w:rPr>
            </w:pPr>
            <w:r>
              <w:rPr>
                <w:rFonts w:eastAsiaTheme="minorEastAsia"/>
              </w:rPr>
              <w:t>场址上风向1个参照点，下风向设置3个监控点。</w:t>
            </w:r>
          </w:p>
        </w:tc>
        <w:tc>
          <w:tcPr>
            <w:tcW w:w="1119" w:type="pct"/>
            <w:vAlign w:val="center"/>
          </w:tcPr>
          <w:p>
            <w:pPr>
              <w:adjustRightInd w:val="0"/>
              <w:snapToGrid w:val="0"/>
              <w:jc w:val="center"/>
              <w:rPr>
                <w:rFonts w:eastAsiaTheme="minorEastAsia"/>
              </w:rPr>
            </w:pPr>
            <w:r>
              <w:rPr>
                <w:rFonts w:eastAsiaTheme="minorEastAsia"/>
              </w:rPr>
              <w:t>每季度监测一次，如监测出现异常，应及时进行重新监测，间隔时间不超过一周。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2</w:t>
            </w:r>
          </w:p>
        </w:tc>
        <w:tc>
          <w:tcPr>
            <w:tcW w:w="642" w:type="pct"/>
            <w:vAlign w:val="center"/>
          </w:tcPr>
          <w:p>
            <w:pPr>
              <w:adjustRightInd w:val="0"/>
              <w:snapToGrid w:val="0"/>
              <w:jc w:val="center"/>
              <w:rPr>
                <w:rFonts w:eastAsiaTheme="minorEastAsia"/>
              </w:rPr>
            </w:pPr>
            <w:r>
              <w:rPr>
                <w:rFonts w:eastAsiaTheme="minorEastAsia"/>
              </w:rPr>
              <w:t>地下水</w:t>
            </w:r>
          </w:p>
        </w:tc>
        <w:tc>
          <w:tcPr>
            <w:tcW w:w="1820" w:type="pct"/>
            <w:vAlign w:val="center"/>
          </w:tcPr>
          <w:p>
            <w:pPr>
              <w:adjustRightInd w:val="0"/>
              <w:snapToGrid w:val="0"/>
              <w:jc w:val="center"/>
              <w:rPr>
                <w:rFonts w:eastAsiaTheme="minorEastAsia"/>
              </w:rPr>
            </w:pPr>
            <w:r>
              <w:rPr>
                <w:rFonts w:eastAsiaTheme="minorEastAsia"/>
              </w:rPr>
              <w:t>pH 值、氨氮、硝酸盐、亚硝酸盐、挥发性酚 氰化物、砷、汞、六价铬、总硬度、铅、氟、 镉、铁、锰、溶解性总固体、磷酸盐、氯化物 总大肠菌群、细菌总数等 20 项</w:t>
            </w:r>
          </w:p>
        </w:tc>
        <w:tc>
          <w:tcPr>
            <w:tcW w:w="1231" w:type="pct"/>
            <w:vAlign w:val="center"/>
          </w:tcPr>
          <w:p>
            <w:pPr>
              <w:adjustRightInd w:val="0"/>
              <w:snapToGrid w:val="0"/>
              <w:jc w:val="center"/>
              <w:rPr>
                <w:rFonts w:eastAsiaTheme="minorEastAsia"/>
              </w:rPr>
            </w:pPr>
            <w:r>
              <w:rPr>
                <w:rFonts w:eastAsiaTheme="minorEastAsia"/>
              </w:rPr>
              <w:t>项目设置的地下水监测井。</w:t>
            </w:r>
          </w:p>
        </w:tc>
        <w:tc>
          <w:tcPr>
            <w:tcW w:w="1119" w:type="pct"/>
            <w:vAlign w:val="center"/>
          </w:tcPr>
          <w:p>
            <w:pPr>
              <w:adjustRightInd w:val="0"/>
              <w:snapToGrid w:val="0"/>
              <w:jc w:val="center"/>
              <w:rPr>
                <w:rFonts w:eastAsiaTheme="minorEastAsia"/>
              </w:rPr>
            </w:pPr>
            <w:r>
              <w:rPr>
                <w:rFonts w:eastAsiaTheme="minorEastAsia"/>
              </w:rPr>
              <w:t>填埋场投入使用前，监测地下水本底水平</w:t>
            </w:r>
            <w:r>
              <w:rPr>
                <w:rFonts w:hint="eastAsia" w:eastAsiaTheme="minorEastAsia"/>
              </w:rPr>
              <w:t>，</w:t>
            </w:r>
            <w:r>
              <w:rPr>
                <w:rFonts w:eastAsiaTheme="minorEastAsia"/>
              </w:rPr>
              <w:t>运行期间每月至少监测一次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3</w:t>
            </w:r>
          </w:p>
        </w:tc>
        <w:tc>
          <w:tcPr>
            <w:tcW w:w="642" w:type="pct"/>
            <w:vAlign w:val="center"/>
          </w:tcPr>
          <w:p>
            <w:pPr>
              <w:adjustRightInd w:val="0"/>
              <w:snapToGrid w:val="0"/>
              <w:jc w:val="center"/>
              <w:rPr>
                <w:rFonts w:eastAsiaTheme="minorEastAsia"/>
              </w:rPr>
            </w:pPr>
            <w:r>
              <w:rPr>
                <w:rFonts w:eastAsiaTheme="minorEastAsia"/>
              </w:rPr>
              <w:t>雨水</w:t>
            </w:r>
          </w:p>
        </w:tc>
        <w:tc>
          <w:tcPr>
            <w:tcW w:w="1820" w:type="pct"/>
            <w:vAlign w:val="center"/>
          </w:tcPr>
          <w:p>
            <w:pPr>
              <w:adjustRightInd w:val="0"/>
              <w:snapToGrid w:val="0"/>
              <w:jc w:val="center"/>
              <w:rPr>
                <w:rFonts w:eastAsiaTheme="minorEastAsia"/>
              </w:rPr>
            </w:pPr>
            <w:r>
              <w:rPr>
                <w:rFonts w:hint="eastAsia" w:eastAsiaTheme="minorEastAsia"/>
              </w:rPr>
              <w:t>化学需氧量、悬浮物、</w:t>
            </w:r>
            <w:r>
              <w:rPr>
                <w:rFonts w:eastAsiaTheme="minorEastAsia"/>
              </w:rPr>
              <w:t>砷、汞、六价铬、铅、镉</w:t>
            </w:r>
          </w:p>
        </w:tc>
        <w:tc>
          <w:tcPr>
            <w:tcW w:w="1231" w:type="pct"/>
            <w:vAlign w:val="center"/>
          </w:tcPr>
          <w:p>
            <w:pPr>
              <w:adjustRightInd w:val="0"/>
              <w:snapToGrid w:val="0"/>
              <w:jc w:val="center"/>
              <w:rPr>
                <w:rFonts w:eastAsiaTheme="minorEastAsia"/>
              </w:rPr>
            </w:pPr>
            <w:r>
              <w:rPr>
                <w:spacing w:val="-1"/>
                <w:kern w:val="0"/>
                <w:szCs w:val="21"/>
              </w:rPr>
              <w:t>雨水排放口</w:t>
            </w:r>
          </w:p>
        </w:tc>
        <w:tc>
          <w:tcPr>
            <w:tcW w:w="1119" w:type="pct"/>
            <w:vAlign w:val="center"/>
          </w:tcPr>
          <w:p>
            <w:pPr>
              <w:adjustRightInd w:val="0"/>
              <w:snapToGrid w:val="0"/>
              <w:jc w:val="center"/>
              <w:rPr>
                <w:rFonts w:eastAsiaTheme="minorEastAsia"/>
              </w:rPr>
            </w:pPr>
            <w:r>
              <w:rPr>
                <w:rFonts w:hint="eastAsia" w:eastAsiaTheme="minorEastAsia"/>
              </w:rPr>
              <w:t>每月 1 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4</w:t>
            </w:r>
          </w:p>
        </w:tc>
        <w:tc>
          <w:tcPr>
            <w:tcW w:w="642" w:type="pct"/>
            <w:vAlign w:val="center"/>
          </w:tcPr>
          <w:p>
            <w:pPr>
              <w:adjustRightInd w:val="0"/>
              <w:snapToGrid w:val="0"/>
              <w:jc w:val="center"/>
              <w:rPr>
                <w:rFonts w:eastAsiaTheme="minorEastAsia"/>
              </w:rPr>
            </w:pPr>
            <w:r>
              <w:rPr>
                <w:rFonts w:eastAsiaTheme="minorEastAsia"/>
              </w:rPr>
              <w:t>渗漏检测系统监测</w:t>
            </w:r>
          </w:p>
        </w:tc>
        <w:tc>
          <w:tcPr>
            <w:tcW w:w="1820" w:type="pct"/>
            <w:vAlign w:val="center"/>
          </w:tcPr>
          <w:p>
            <w:pPr>
              <w:adjustRightInd w:val="0"/>
              <w:snapToGrid w:val="0"/>
              <w:jc w:val="center"/>
              <w:rPr>
                <w:rFonts w:eastAsiaTheme="minorEastAsia"/>
              </w:rPr>
            </w:pPr>
            <w:r>
              <w:rPr>
                <w:rFonts w:eastAsiaTheme="minorEastAsia"/>
              </w:rPr>
              <w:t>监测通过主防渗层的渗滤液渗漏速率</w:t>
            </w:r>
          </w:p>
        </w:tc>
        <w:tc>
          <w:tcPr>
            <w:tcW w:w="1231" w:type="pct"/>
            <w:vAlign w:val="center"/>
          </w:tcPr>
          <w:p>
            <w:pPr>
              <w:adjustRightInd w:val="0"/>
              <w:snapToGrid w:val="0"/>
              <w:jc w:val="center"/>
              <w:rPr>
                <w:rFonts w:eastAsiaTheme="minorEastAsia"/>
              </w:rPr>
            </w:pPr>
            <w:r>
              <w:rPr>
                <w:rFonts w:eastAsiaTheme="minorEastAsia"/>
              </w:rPr>
              <w:t>渗漏检测层</w:t>
            </w:r>
          </w:p>
        </w:tc>
        <w:tc>
          <w:tcPr>
            <w:tcW w:w="1119" w:type="pct"/>
            <w:vAlign w:val="center"/>
          </w:tcPr>
          <w:p>
            <w:pPr>
              <w:adjustRightInd w:val="0"/>
              <w:snapToGrid w:val="0"/>
              <w:jc w:val="center"/>
              <w:rPr>
                <w:rFonts w:eastAsiaTheme="minorEastAsia"/>
              </w:rPr>
            </w:pPr>
            <w:r>
              <w:rPr>
                <w:rFonts w:eastAsiaTheme="minorEastAsia"/>
              </w:rPr>
              <w:t>每周一次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5</w:t>
            </w:r>
          </w:p>
        </w:tc>
        <w:tc>
          <w:tcPr>
            <w:tcW w:w="642" w:type="pct"/>
            <w:vAlign w:val="center"/>
          </w:tcPr>
          <w:p>
            <w:pPr>
              <w:adjustRightInd w:val="0"/>
              <w:snapToGrid w:val="0"/>
              <w:jc w:val="center"/>
              <w:rPr>
                <w:rFonts w:eastAsiaTheme="minorEastAsia"/>
              </w:rPr>
            </w:pPr>
            <w:r>
              <w:rPr>
                <w:rFonts w:eastAsiaTheme="minorEastAsia"/>
              </w:rPr>
              <w:t>渗滤液</w:t>
            </w:r>
          </w:p>
        </w:tc>
        <w:tc>
          <w:tcPr>
            <w:tcW w:w="1820" w:type="pct"/>
            <w:vAlign w:val="center"/>
          </w:tcPr>
          <w:p>
            <w:pPr>
              <w:adjustRightInd w:val="0"/>
              <w:snapToGrid w:val="0"/>
              <w:jc w:val="center"/>
              <w:rPr>
                <w:rFonts w:eastAsiaTheme="minorEastAsia"/>
              </w:rPr>
            </w:pPr>
            <w:r>
              <w:rPr>
                <w:rFonts w:eastAsiaTheme="minorEastAsia"/>
              </w:rPr>
              <w:t>pH、COD、BOD</w:t>
            </w:r>
            <w:r>
              <w:rPr>
                <w:rFonts w:eastAsiaTheme="minorEastAsia"/>
                <w:vertAlign w:val="subscript"/>
              </w:rPr>
              <w:t>5</w:t>
            </w:r>
            <w:r>
              <w:rPr>
                <w:rFonts w:eastAsiaTheme="minorEastAsia"/>
              </w:rPr>
              <w:t>、氨氮、氯化物、氟化物、硫化物、铜、锌、砷、汞、镉、铅、六价铬</w:t>
            </w:r>
          </w:p>
        </w:tc>
        <w:tc>
          <w:tcPr>
            <w:tcW w:w="1231" w:type="pct"/>
            <w:vAlign w:val="center"/>
          </w:tcPr>
          <w:p>
            <w:pPr>
              <w:adjustRightInd w:val="0"/>
              <w:snapToGrid w:val="0"/>
              <w:jc w:val="center"/>
              <w:rPr>
                <w:rFonts w:eastAsiaTheme="minorEastAsia"/>
              </w:rPr>
            </w:pPr>
            <w:r>
              <w:rPr>
                <w:rFonts w:eastAsiaTheme="minorEastAsia"/>
              </w:rPr>
              <w:t>渗滤液处理站进、出口</w:t>
            </w:r>
          </w:p>
        </w:tc>
        <w:tc>
          <w:tcPr>
            <w:tcW w:w="1119" w:type="pct"/>
            <w:vAlign w:val="center"/>
          </w:tcPr>
          <w:p>
            <w:pPr>
              <w:adjustRightInd w:val="0"/>
              <w:snapToGrid w:val="0"/>
              <w:jc w:val="center"/>
              <w:rPr>
                <w:rFonts w:eastAsiaTheme="minorEastAsia"/>
              </w:rPr>
            </w:pPr>
            <w:r>
              <w:rPr>
                <w:rFonts w:eastAsiaTheme="minorEastAsia"/>
              </w:rPr>
              <w:t>每月监测一次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6</w:t>
            </w:r>
          </w:p>
        </w:tc>
        <w:tc>
          <w:tcPr>
            <w:tcW w:w="642" w:type="pct"/>
            <w:vAlign w:val="center"/>
          </w:tcPr>
          <w:p>
            <w:pPr>
              <w:adjustRightInd w:val="0"/>
              <w:snapToGrid w:val="0"/>
              <w:jc w:val="center"/>
              <w:rPr>
                <w:rFonts w:eastAsiaTheme="minorEastAsia"/>
              </w:rPr>
            </w:pPr>
            <w:r>
              <w:rPr>
                <w:rFonts w:eastAsiaTheme="minorEastAsia"/>
              </w:rPr>
              <w:t>噪声监测</w:t>
            </w:r>
          </w:p>
        </w:tc>
        <w:tc>
          <w:tcPr>
            <w:tcW w:w="1820" w:type="pct"/>
            <w:vAlign w:val="center"/>
          </w:tcPr>
          <w:p>
            <w:pPr>
              <w:adjustRightInd w:val="0"/>
              <w:snapToGrid w:val="0"/>
              <w:jc w:val="center"/>
              <w:rPr>
                <w:rFonts w:eastAsiaTheme="minorEastAsia"/>
              </w:rPr>
            </w:pPr>
            <w:r>
              <w:rPr>
                <w:rFonts w:eastAsiaTheme="minorEastAsia"/>
              </w:rPr>
              <w:t>厂界噪声</w:t>
            </w:r>
          </w:p>
        </w:tc>
        <w:tc>
          <w:tcPr>
            <w:tcW w:w="1231" w:type="pct"/>
            <w:vAlign w:val="center"/>
          </w:tcPr>
          <w:p>
            <w:pPr>
              <w:adjustRightInd w:val="0"/>
              <w:snapToGrid w:val="0"/>
              <w:jc w:val="center"/>
              <w:rPr>
                <w:rFonts w:eastAsiaTheme="minorEastAsia"/>
              </w:rPr>
            </w:pPr>
            <w:r>
              <w:rPr>
                <w:rFonts w:eastAsiaTheme="minorEastAsia"/>
              </w:rPr>
              <w:t>场界外 1m。</w:t>
            </w:r>
          </w:p>
        </w:tc>
        <w:tc>
          <w:tcPr>
            <w:tcW w:w="1119" w:type="pct"/>
            <w:vAlign w:val="center"/>
          </w:tcPr>
          <w:p>
            <w:pPr>
              <w:adjustRightInd w:val="0"/>
              <w:snapToGrid w:val="0"/>
              <w:jc w:val="center"/>
              <w:rPr>
                <w:rFonts w:eastAsiaTheme="minorEastAsia"/>
              </w:rPr>
            </w:pPr>
            <w:r>
              <w:rPr>
                <w:rFonts w:eastAsiaTheme="minorEastAsia"/>
              </w:rPr>
              <w:t>每季度监测一次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188" w:type="pct"/>
            <w:vAlign w:val="center"/>
          </w:tcPr>
          <w:p>
            <w:pPr>
              <w:adjustRightInd w:val="0"/>
              <w:snapToGrid w:val="0"/>
              <w:jc w:val="center"/>
              <w:rPr>
                <w:rFonts w:eastAsiaTheme="minorEastAsia"/>
              </w:rPr>
            </w:pPr>
            <w:r>
              <w:rPr>
                <w:rFonts w:eastAsiaTheme="minorEastAsia"/>
              </w:rPr>
              <w:t>7</w:t>
            </w:r>
          </w:p>
        </w:tc>
        <w:tc>
          <w:tcPr>
            <w:tcW w:w="642" w:type="pct"/>
            <w:vAlign w:val="center"/>
          </w:tcPr>
          <w:p>
            <w:pPr>
              <w:adjustRightInd w:val="0"/>
              <w:snapToGrid w:val="0"/>
              <w:jc w:val="center"/>
              <w:rPr>
                <w:rFonts w:eastAsiaTheme="minorEastAsia"/>
              </w:rPr>
            </w:pPr>
            <w:r>
              <w:rPr>
                <w:rFonts w:eastAsiaTheme="minorEastAsia"/>
              </w:rPr>
              <w:t>土 壤</w:t>
            </w:r>
          </w:p>
        </w:tc>
        <w:tc>
          <w:tcPr>
            <w:tcW w:w="1820" w:type="pct"/>
            <w:vAlign w:val="center"/>
          </w:tcPr>
          <w:p>
            <w:pPr>
              <w:adjustRightInd w:val="0"/>
              <w:snapToGrid w:val="0"/>
              <w:jc w:val="center"/>
              <w:rPr>
                <w:rFonts w:eastAsiaTheme="minorEastAsia"/>
              </w:rPr>
            </w:pPr>
            <w:r>
              <w:rPr>
                <w:rFonts w:eastAsiaTheme="minorEastAsia"/>
              </w:rPr>
              <w:t>GB36600-2018表1中的45项基本项目因子</w:t>
            </w:r>
          </w:p>
        </w:tc>
        <w:tc>
          <w:tcPr>
            <w:tcW w:w="1231" w:type="pct"/>
            <w:vAlign w:val="center"/>
          </w:tcPr>
          <w:p>
            <w:pPr>
              <w:adjustRightInd w:val="0"/>
              <w:snapToGrid w:val="0"/>
              <w:jc w:val="center"/>
              <w:rPr>
                <w:rFonts w:eastAsiaTheme="minorEastAsia"/>
              </w:rPr>
            </w:pPr>
            <w:r>
              <w:rPr>
                <w:rFonts w:eastAsiaTheme="minorEastAsia"/>
              </w:rPr>
              <w:t>填埋场区内布设3个点位采表层土</w:t>
            </w:r>
          </w:p>
        </w:tc>
        <w:tc>
          <w:tcPr>
            <w:tcW w:w="1119" w:type="pct"/>
            <w:vAlign w:val="center"/>
          </w:tcPr>
          <w:p>
            <w:pPr>
              <w:adjustRightInd w:val="0"/>
              <w:snapToGrid w:val="0"/>
              <w:jc w:val="center"/>
              <w:rPr>
                <w:rFonts w:eastAsiaTheme="minorEastAsia"/>
              </w:rPr>
            </w:pPr>
            <w:r>
              <w:rPr>
                <w:rFonts w:eastAsiaTheme="minorEastAsia"/>
              </w:rPr>
              <w:t>每</w:t>
            </w:r>
            <w:r>
              <w:rPr>
                <w:rFonts w:hint="eastAsia" w:eastAsiaTheme="minorEastAsia"/>
              </w:rPr>
              <w:t>3</w:t>
            </w:r>
            <w:r>
              <w:rPr>
                <w:rFonts w:eastAsiaTheme="minorEastAsia"/>
              </w:rPr>
              <w:t>年监测一次</w:t>
            </w:r>
          </w:p>
        </w:tc>
      </w:tr>
    </w:tbl>
    <w:p>
      <w:pPr>
        <w:autoSpaceDE w:val="0"/>
        <w:autoSpaceDN w:val="0"/>
        <w:adjustRightInd w:val="0"/>
        <w:snapToGrid w:val="0"/>
        <w:rPr>
          <w:bCs/>
          <w:kern w:val="0"/>
          <w:szCs w:val="21"/>
        </w:rPr>
      </w:pPr>
      <w:r>
        <w:rPr>
          <w:rFonts w:hint="eastAsia"/>
          <w:bCs/>
          <w:kern w:val="0"/>
          <w:szCs w:val="21"/>
        </w:rPr>
        <w:t>注：</w:t>
      </w:r>
      <w:r>
        <w:rPr>
          <w:bCs/>
          <w:kern w:val="0"/>
          <w:szCs w:val="21"/>
        </w:rPr>
        <w:t>*</w:t>
      </w:r>
      <w:r>
        <w:rPr>
          <w:rFonts w:hint="eastAsia"/>
          <w:bCs/>
          <w:kern w:val="0"/>
          <w:szCs w:val="21"/>
        </w:rPr>
        <w:t>雨水排放口有流动水排放时开展监测，排放期间按日监测，如监测一年无异常情况，每季度第一次有流动水排放时按日开展监测。</w:t>
      </w:r>
    </w:p>
    <w:p>
      <w:pPr>
        <w:autoSpaceDE w:val="0"/>
        <w:autoSpaceDN w:val="0"/>
        <w:adjustRightInd w:val="0"/>
        <w:jc w:val="center"/>
        <w:rPr>
          <w:b/>
          <w:kern w:val="0"/>
          <w:sz w:val="24"/>
          <w:szCs w:val="24"/>
        </w:rPr>
      </w:pPr>
    </w:p>
    <w:p>
      <w:pPr>
        <w:autoSpaceDE w:val="0"/>
        <w:autoSpaceDN w:val="0"/>
        <w:adjustRightInd w:val="0"/>
        <w:jc w:val="center"/>
        <w:rPr>
          <w:b/>
          <w:kern w:val="0"/>
          <w:sz w:val="24"/>
          <w:szCs w:val="24"/>
        </w:rPr>
      </w:pPr>
      <w:r>
        <w:rPr>
          <w:rFonts w:hint="eastAsia"/>
          <w:b/>
          <w:kern w:val="0"/>
          <w:sz w:val="24"/>
          <w:szCs w:val="24"/>
        </w:rPr>
        <w:t>表</w:t>
      </w:r>
      <w:r>
        <w:rPr>
          <w:b/>
          <w:kern w:val="0"/>
          <w:sz w:val="24"/>
          <w:szCs w:val="24"/>
        </w:rPr>
        <w:t xml:space="preserve">8.3-2 </w:t>
      </w:r>
      <w:r>
        <w:rPr>
          <w:rFonts w:hint="eastAsia"/>
          <w:b/>
          <w:kern w:val="0"/>
          <w:sz w:val="24"/>
          <w:szCs w:val="24"/>
        </w:rPr>
        <w:t xml:space="preserve"> 填埋场封场期环境监测计划一览表</w:t>
      </w:r>
    </w:p>
    <w:tbl>
      <w:tblPr>
        <w:tblStyle w:val="39"/>
        <w:tblW w:w="13949"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486"/>
        <w:gridCol w:w="1276"/>
        <w:gridCol w:w="5387"/>
        <w:gridCol w:w="2551"/>
        <w:gridCol w:w="424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486" w:type="dxa"/>
            <w:vAlign w:val="center"/>
          </w:tcPr>
          <w:p>
            <w:pPr>
              <w:jc w:val="center"/>
            </w:pPr>
            <w:r>
              <w:rPr>
                <w:rFonts w:hint="eastAsia"/>
              </w:rPr>
              <w:t>序号</w:t>
            </w:r>
          </w:p>
        </w:tc>
        <w:tc>
          <w:tcPr>
            <w:tcW w:w="1276" w:type="dxa"/>
            <w:vAlign w:val="center"/>
          </w:tcPr>
          <w:p>
            <w:pPr>
              <w:jc w:val="center"/>
            </w:pPr>
            <w:r>
              <w:rPr>
                <w:rFonts w:hint="eastAsia"/>
              </w:rPr>
              <w:t>监测内容</w:t>
            </w:r>
          </w:p>
        </w:tc>
        <w:tc>
          <w:tcPr>
            <w:tcW w:w="5387" w:type="dxa"/>
            <w:vAlign w:val="center"/>
          </w:tcPr>
          <w:p>
            <w:pPr>
              <w:jc w:val="center"/>
            </w:pPr>
            <w:r>
              <w:rPr>
                <w:rFonts w:hint="eastAsia"/>
              </w:rPr>
              <w:t>监测项目</w:t>
            </w:r>
          </w:p>
        </w:tc>
        <w:tc>
          <w:tcPr>
            <w:tcW w:w="2551" w:type="dxa"/>
            <w:vAlign w:val="center"/>
          </w:tcPr>
          <w:p>
            <w:pPr>
              <w:jc w:val="center"/>
            </w:pPr>
            <w:r>
              <w:rPr>
                <w:rFonts w:hint="eastAsia"/>
              </w:rPr>
              <w:t>测点布设</w:t>
            </w:r>
          </w:p>
        </w:tc>
        <w:tc>
          <w:tcPr>
            <w:tcW w:w="4249" w:type="dxa"/>
            <w:vAlign w:val="center"/>
          </w:tcPr>
          <w:p>
            <w:pPr>
              <w:jc w:val="center"/>
            </w:pPr>
            <w:r>
              <w:rPr>
                <w:rFonts w:hint="eastAsia"/>
              </w:rPr>
              <w:t>监测频次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486" w:type="dxa"/>
            <w:vAlign w:val="center"/>
          </w:tcPr>
          <w:p>
            <w:pPr>
              <w:jc w:val="center"/>
            </w:pPr>
            <w:r>
              <w:t>1</w:t>
            </w:r>
          </w:p>
        </w:tc>
        <w:tc>
          <w:tcPr>
            <w:tcW w:w="1276" w:type="dxa"/>
            <w:vAlign w:val="center"/>
          </w:tcPr>
          <w:p>
            <w:pPr>
              <w:jc w:val="center"/>
            </w:pPr>
            <w:r>
              <w:rPr>
                <w:rFonts w:hint="eastAsia"/>
              </w:rPr>
              <w:t>土壤</w:t>
            </w:r>
          </w:p>
        </w:tc>
        <w:tc>
          <w:tcPr>
            <w:tcW w:w="5387" w:type="dxa"/>
            <w:vAlign w:val="center"/>
          </w:tcPr>
          <w:p>
            <w:pPr>
              <w:jc w:val="center"/>
            </w:pPr>
            <w:r>
              <w:t>GB 36600-2018</w:t>
            </w:r>
            <w:r>
              <w:rPr>
                <w:rFonts w:hint="eastAsia"/>
              </w:rPr>
              <w:t>表</w:t>
            </w:r>
            <w:r>
              <w:t>1</w:t>
            </w:r>
            <w:r>
              <w:rPr>
                <w:rFonts w:hint="eastAsia"/>
              </w:rPr>
              <w:t>中的</w:t>
            </w:r>
            <w:r>
              <w:t>45</w:t>
            </w:r>
            <w:r>
              <w:rPr>
                <w:rFonts w:hint="eastAsia"/>
              </w:rPr>
              <w:t>项基本项</w:t>
            </w:r>
            <w:r>
              <w:t xml:space="preserve"> </w:t>
            </w:r>
            <w:r>
              <w:rPr>
                <w:rFonts w:hint="eastAsia"/>
              </w:rPr>
              <w:t>目因子</w:t>
            </w:r>
          </w:p>
        </w:tc>
        <w:tc>
          <w:tcPr>
            <w:tcW w:w="2551" w:type="dxa"/>
            <w:vAlign w:val="center"/>
          </w:tcPr>
          <w:p>
            <w:pPr>
              <w:jc w:val="center"/>
            </w:pPr>
            <w:r>
              <w:rPr>
                <w:rFonts w:hint="eastAsia"/>
              </w:rPr>
              <w:t>填埋场区内布设一个点位采表层土</w:t>
            </w:r>
          </w:p>
        </w:tc>
        <w:tc>
          <w:tcPr>
            <w:tcW w:w="4249" w:type="dxa"/>
            <w:vAlign w:val="center"/>
          </w:tcPr>
          <w:p>
            <w:pPr>
              <w:jc w:val="center"/>
            </w:pPr>
            <w:r>
              <w:rPr>
                <w:rFonts w:hint="eastAsia"/>
              </w:rPr>
              <w:t>每</w:t>
            </w:r>
            <w:r>
              <w:t>5</w:t>
            </w:r>
            <w:r>
              <w:rPr>
                <w:rFonts w:hint="eastAsia"/>
              </w:rPr>
              <w:t>年监测一次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486" w:type="dxa"/>
            <w:vAlign w:val="center"/>
          </w:tcPr>
          <w:p>
            <w:pPr>
              <w:jc w:val="center"/>
            </w:pPr>
            <w:r>
              <w:t>2</w:t>
            </w:r>
          </w:p>
        </w:tc>
        <w:tc>
          <w:tcPr>
            <w:tcW w:w="1276" w:type="dxa"/>
            <w:vAlign w:val="center"/>
          </w:tcPr>
          <w:p>
            <w:pPr>
              <w:jc w:val="center"/>
            </w:pPr>
            <w:r>
              <w:rPr>
                <w:rFonts w:hint="eastAsia"/>
              </w:rPr>
              <w:t>地下水</w:t>
            </w:r>
          </w:p>
        </w:tc>
        <w:tc>
          <w:tcPr>
            <w:tcW w:w="5387" w:type="dxa"/>
            <w:vAlign w:val="center"/>
          </w:tcPr>
          <w:p>
            <w:pPr>
              <w:jc w:val="center"/>
            </w:pPr>
            <w:r>
              <w:t xml:space="preserve">pH </w:t>
            </w:r>
            <w:r>
              <w:rPr>
                <w:rFonts w:hint="eastAsia"/>
              </w:rPr>
              <w:t>值、氨氮、硝酸盐、亚硝酸盐、挥发性酚、氰化物、砷、汞、六价铬、</w:t>
            </w:r>
            <w:r>
              <w:t xml:space="preserve"> </w:t>
            </w:r>
            <w:r>
              <w:rPr>
                <w:rFonts w:hint="eastAsia"/>
              </w:rPr>
              <w:t>总硬度、铅、氟、镉、铁、锰、溶解性总固体、磷酸盐、氯化物、总大肠</w:t>
            </w:r>
            <w:r>
              <w:t xml:space="preserve"> </w:t>
            </w:r>
            <w:r>
              <w:rPr>
                <w:rFonts w:hint="eastAsia"/>
              </w:rPr>
              <w:t>菌群、细菌总数等</w:t>
            </w:r>
            <w:r>
              <w:t>20</w:t>
            </w:r>
            <w:r>
              <w:rPr>
                <w:rFonts w:hint="eastAsia"/>
              </w:rPr>
              <w:t>项</w:t>
            </w:r>
          </w:p>
        </w:tc>
        <w:tc>
          <w:tcPr>
            <w:tcW w:w="2551" w:type="dxa"/>
            <w:vAlign w:val="center"/>
          </w:tcPr>
          <w:p>
            <w:pPr>
              <w:jc w:val="center"/>
            </w:pPr>
            <w:r>
              <w:rPr>
                <w:rFonts w:eastAsiaTheme="minorEastAsia"/>
              </w:rPr>
              <w:t>项目设置</w:t>
            </w:r>
            <w:r>
              <w:rPr>
                <w:rFonts w:hint="eastAsia" w:eastAsiaTheme="minorEastAsia"/>
              </w:rPr>
              <w:t>的</w:t>
            </w:r>
            <w:r>
              <w:rPr>
                <w:rFonts w:eastAsiaTheme="minorEastAsia"/>
              </w:rPr>
              <w:t>3眼</w:t>
            </w:r>
            <w:r>
              <w:rPr>
                <w:rFonts w:hint="eastAsia" w:eastAsiaTheme="minorEastAsia"/>
              </w:rPr>
              <w:t>地下水</w:t>
            </w:r>
            <w:r>
              <w:rPr>
                <w:rFonts w:eastAsiaTheme="minorEastAsia"/>
              </w:rPr>
              <w:t>监测井。</w:t>
            </w:r>
          </w:p>
        </w:tc>
        <w:tc>
          <w:tcPr>
            <w:tcW w:w="4249" w:type="dxa"/>
            <w:vAlign w:val="center"/>
          </w:tcPr>
          <w:p>
            <w:pPr>
              <w:jc w:val="center"/>
            </w:pPr>
            <w:r>
              <w:rPr>
                <w:rFonts w:hint="eastAsia"/>
              </w:rPr>
              <w:t>每季度监测一次。如监测出现</w:t>
            </w:r>
            <w:r>
              <w:t xml:space="preserve"> </w:t>
            </w:r>
            <w:r>
              <w:rPr>
                <w:rFonts w:hint="eastAsia"/>
              </w:rPr>
              <w:t>异常，应及时进行重新监测，</w:t>
            </w:r>
            <w:r>
              <w:t xml:space="preserve"> </w:t>
            </w:r>
            <w:r>
              <w:rPr>
                <w:rFonts w:hint="eastAsia"/>
              </w:rPr>
              <w:t>并根据实际情况增加监测项</w:t>
            </w:r>
            <w:r>
              <w:t xml:space="preserve"> </w:t>
            </w:r>
            <w:r>
              <w:rPr>
                <w:rFonts w:hint="eastAsia"/>
              </w:rPr>
              <w:t>目，间隔不超过</w:t>
            </w:r>
            <w:r>
              <w:t>3</w:t>
            </w:r>
            <w:r>
              <w:rPr>
                <w:rFonts w:hint="eastAsia"/>
              </w:rPr>
              <w:t>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c>
          <w:tcPr>
            <w:tcW w:w="486" w:type="dxa"/>
            <w:vAlign w:val="center"/>
          </w:tcPr>
          <w:p>
            <w:pPr>
              <w:jc w:val="center"/>
            </w:pPr>
            <w:r>
              <w:t>3</w:t>
            </w:r>
          </w:p>
        </w:tc>
        <w:tc>
          <w:tcPr>
            <w:tcW w:w="1276" w:type="dxa"/>
            <w:vAlign w:val="center"/>
          </w:tcPr>
          <w:p>
            <w:pPr>
              <w:jc w:val="center"/>
            </w:pPr>
            <w:r>
              <w:rPr>
                <w:rFonts w:hint="eastAsia"/>
              </w:rPr>
              <w:t>渗漏检测系统监测</w:t>
            </w:r>
          </w:p>
        </w:tc>
        <w:tc>
          <w:tcPr>
            <w:tcW w:w="5387" w:type="dxa"/>
            <w:vAlign w:val="center"/>
          </w:tcPr>
          <w:p>
            <w:pPr>
              <w:jc w:val="center"/>
            </w:pPr>
            <w:r>
              <w:rPr>
                <w:rFonts w:hint="eastAsia"/>
              </w:rPr>
              <w:t>监测通过主防渗层的渗滤液渗漏速率</w:t>
            </w:r>
          </w:p>
        </w:tc>
        <w:tc>
          <w:tcPr>
            <w:tcW w:w="2551" w:type="dxa"/>
            <w:vAlign w:val="center"/>
          </w:tcPr>
          <w:p>
            <w:pPr>
              <w:jc w:val="center"/>
            </w:pPr>
            <w:r>
              <w:rPr>
                <w:rFonts w:hint="eastAsia"/>
              </w:rPr>
              <w:t>渗漏检测层</w:t>
            </w:r>
          </w:p>
        </w:tc>
        <w:tc>
          <w:tcPr>
            <w:tcW w:w="4249" w:type="dxa"/>
            <w:vAlign w:val="center"/>
          </w:tcPr>
          <w:p>
            <w:pPr>
              <w:jc w:val="center"/>
            </w:pPr>
            <w:r>
              <w:rPr>
                <w:rFonts w:hint="eastAsia"/>
              </w:rPr>
              <w:t>每月监测一次。发现渗漏检测层集水池水位高于排水泵的运行水位时，应每周监测一次；</w:t>
            </w:r>
            <w:r>
              <w:t xml:space="preserve"> </w:t>
            </w:r>
            <w:r>
              <w:rPr>
                <w:rFonts w:hint="eastAsia"/>
              </w:rPr>
              <w:t>当达到设计寿命期后，监测频率提高至每周一次。</w:t>
            </w:r>
          </w:p>
        </w:tc>
      </w:tr>
    </w:tbl>
    <w:p>
      <w:pPr>
        <w:ind w:firstLine="420" w:firstLineChars="200"/>
        <w:sectPr>
          <w:pgSz w:w="16838" w:h="11906" w:orient="landscape"/>
          <w:pgMar w:top="1797" w:right="1440" w:bottom="1797" w:left="1440" w:header="851" w:footer="992" w:gutter="0"/>
          <w:cols w:space="720" w:num="1"/>
          <w:docGrid w:type="linesAndChars" w:linePitch="312" w:charSpace="0"/>
        </w:sectPr>
      </w:pPr>
    </w:p>
    <w:p>
      <w:pPr>
        <w:pStyle w:val="61"/>
        <w:numPr>
          <w:ilvl w:val="1"/>
          <w:numId w:val="5"/>
        </w:numPr>
        <w:spacing w:beforeLines="0" w:after="156"/>
        <w:ind w:left="569" w:hanging="569" w:hangingChars="189"/>
        <w:rPr>
          <w:rFonts w:ascii="Times New Roman" w:hAnsi="Times New Roman"/>
        </w:rPr>
      </w:pPr>
      <w:bookmarkStart w:id="181" w:name="_Toc94101248"/>
      <w:r>
        <w:rPr>
          <w:rFonts w:ascii="Times New Roman" w:hAnsi="Times New Roman"/>
        </w:rPr>
        <w:t>污染物排放清单及公示要求</w:t>
      </w:r>
      <w:bookmarkEnd w:id="181"/>
    </w:p>
    <w:p>
      <w:pPr>
        <w:adjustRightInd w:val="0"/>
        <w:snapToGrid w:val="0"/>
        <w:spacing w:line="360" w:lineRule="auto"/>
        <w:ind w:firstLine="480" w:firstLineChars="200"/>
        <w:rPr>
          <w:sz w:val="24"/>
          <w:szCs w:val="24"/>
        </w:rPr>
      </w:pPr>
      <w:r>
        <w:rPr>
          <w:rFonts w:hint="eastAsia"/>
          <w:sz w:val="24"/>
          <w:szCs w:val="24"/>
        </w:rPr>
        <w:t>1、公示信息</w:t>
      </w:r>
    </w:p>
    <w:p>
      <w:pPr>
        <w:adjustRightInd w:val="0"/>
        <w:snapToGrid w:val="0"/>
        <w:spacing w:line="360" w:lineRule="auto"/>
        <w:ind w:firstLine="480" w:firstLineChars="200"/>
        <w:rPr>
          <w:sz w:val="24"/>
          <w:szCs w:val="24"/>
        </w:rPr>
      </w:pPr>
      <w:r>
        <w:rPr>
          <w:sz w:val="24"/>
          <w:szCs w:val="24"/>
        </w:rPr>
        <w:t>根据《企业事业单位环境信息公开办法》（环境保护部第 31号令）的要求，本项目建设单位向社会公开的信息内容如下：</w:t>
      </w:r>
    </w:p>
    <w:p>
      <w:pPr>
        <w:adjustRightInd w:val="0"/>
        <w:snapToGrid w:val="0"/>
        <w:spacing w:line="360" w:lineRule="auto"/>
        <w:ind w:firstLine="480" w:firstLineChars="200"/>
        <w:rPr>
          <w:sz w:val="24"/>
          <w:szCs w:val="24"/>
        </w:rPr>
      </w:pPr>
      <w:r>
        <w:rPr>
          <w:sz w:val="24"/>
          <w:szCs w:val="24"/>
        </w:rPr>
        <w:t>（1）项目基础信息</w:t>
      </w:r>
      <w:r>
        <w:rPr>
          <w:rFonts w:hint="eastAsia"/>
          <w:sz w:val="24"/>
          <w:szCs w:val="24"/>
        </w:rPr>
        <w:t>，包括单位名称、组织机构代码、法定代表人、生产地址、联系方式，以及生产经营和管理服务的主要内容、产品及规模；</w:t>
      </w:r>
    </w:p>
    <w:p>
      <w:pPr>
        <w:adjustRightInd w:val="0"/>
        <w:snapToGrid w:val="0"/>
        <w:spacing w:line="360" w:lineRule="auto"/>
        <w:ind w:firstLine="480" w:firstLineChars="200"/>
        <w:rPr>
          <w:sz w:val="24"/>
          <w:szCs w:val="24"/>
        </w:rPr>
      </w:pPr>
      <w:r>
        <w:rPr>
          <w:sz w:val="24"/>
          <w:szCs w:val="24"/>
        </w:rPr>
        <w:t>（2）排污信息：包括主要污染物及特征污染物的名称、排放方式、排放口数量和分布情况、排放浓度和总量、超标情况，以及执行的污染物排放标准、核定的排放总量</w:t>
      </w:r>
      <w:r>
        <w:rPr>
          <w:rFonts w:hint="eastAsia"/>
          <w:sz w:val="24"/>
          <w:szCs w:val="24"/>
        </w:rPr>
        <w:t>；</w:t>
      </w:r>
    </w:p>
    <w:p>
      <w:pPr>
        <w:adjustRightInd w:val="0"/>
        <w:snapToGrid w:val="0"/>
        <w:spacing w:line="360" w:lineRule="auto"/>
        <w:ind w:firstLine="480" w:firstLineChars="200"/>
        <w:rPr>
          <w:sz w:val="24"/>
          <w:szCs w:val="24"/>
        </w:rPr>
      </w:pPr>
      <w:r>
        <w:rPr>
          <w:sz w:val="24"/>
          <w:szCs w:val="24"/>
        </w:rPr>
        <w:t>（3）防治污染设施的建设和运行情况；</w:t>
      </w:r>
    </w:p>
    <w:p>
      <w:pPr>
        <w:adjustRightInd w:val="0"/>
        <w:snapToGrid w:val="0"/>
        <w:spacing w:line="360" w:lineRule="auto"/>
        <w:ind w:firstLine="480" w:firstLineChars="200"/>
        <w:rPr>
          <w:sz w:val="24"/>
          <w:szCs w:val="24"/>
        </w:rPr>
      </w:pPr>
      <w:r>
        <w:rPr>
          <w:sz w:val="24"/>
          <w:szCs w:val="24"/>
        </w:rPr>
        <w:t>（4）建设项目环境影响评价及其他环境保护行政许可情况；</w:t>
      </w:r>
    </w:p>
    <w:p>
      <w:pPr>
        <w:adjustRightInd w:val="0"/>
        <w:snapToGrid w:val="0"/>
        <w:spacing w:line="360" w:lineRule="auto"/>
        <w:ind w:firstLine="480" w:firstLineChars="200"/>
        <w:rPr>
          <w:sz w:val="24"/>
          <w:szCs w:val="24"/>
        </w:rPr>
      </w:pPr>
      <w:r>
        <w:rPr>
          <w:sz w:val="24"/>
          <w:szCs w:val="24"/>
        </w:rPr>
        <w:t>（5）突发环境事件应急预案；</w:t>
      </w:r>
    </w:p>
    <w:p>
      <w:pPr>
        <w:adjustRightInd w:val="0"/>
        <w:snapToGrid w:val="0"/>
        <w:spacing w:line="360" w:lineRule="auto"/>
        <w:ind w:firstLine="480" w:firstLineChars="200"/>
        <w:rPr>
          <w:sz w:val="24"/>
          <w:szCs w:val="24"/>
        </w:rPr>
      </w:pPr>
      <w:r>
        <w:rPr>
          <w:sz w:val="24"/>
          <w:szCs w:val="24"/>
        </w:rPr>
        <w:t>（6）其他应当公开的环境信息。</w:t>
      </w:r>
    </w:p>
    <w:p>
      <w:pPr>
        <w:adjustRightInd w:val="0"/>
        <w:snapToGrid w:val="0"/>
        <w:spacing w:line="360" w:lineRule="auto"/>
        <w:ind w:firstLine="480" w:firstLineChars="200"/>
        <w:rPr>
          <w:sz w:val="24"/>
          <w:szCs w:val="24"/>
        </w:rPr>
      </w:pPr>
      <w:r>
        <w:rPr>
          <w:sz w:val="24"/>
          <w:szCs w:val="24"/>
        </w:rPr>
        <w:t>2</w:t>
      </w:r>
      <w:r>
        <w:rPr>
          <w:rFonts w:hint="eastAsia"/>
          <w:sz w:val="24"/>
          <w:szCs w:val="24"/>
        </w:rPr>
        <w:t>、公示方式</w:t>
      </w:r>
      <w:r>
        <w:rPr>
          <w:sz w:val="24"/>
          <w:szCs w:val="24"/>
        </w:rPr>
        <w:t xml:space="preserve"> </w:t>
      </w:r>
    </w:p>
    <w:p>
      <w:pPr>
        <w:adjustRightInd w:val="0"/>
        <w:snapToGrid w:val="0"/>
        <w:spacing w:line="360" w:lineRule="auto"/>
        <w:ind w:firstLine="480" w:firstLineChars="200"/>
        <w:rPr>
          <w:sz w:val="24"/>
          <w:szCs w:val="24"/>
        </w:rPr>
      </w:pPr>
      <w:r>
        <w:rPr>
          <w:rFonts w:hint="eastAsia"/>
          <w:sz w:val="24"/>
          <w:szCs w:val="24"/>
        </w:rPr>
        <w:t>列入国家重点监控企业名单的重点排污单位还应当公开其环境自行监测方案。建设单位按照上述要求自愿公开企业环境信息。环境信息公开途径包括：①公告或者公开发行的信息专刊；②广播、电视等新闻媒体；③信息公开服务、监督热线电话；④本单位的资料索取点、信息公开栏、信息亭、电子屏幕、电子触摸屏等场所或者设施；⑤其它便于公众及时、准确获得信息的方式。</w:t>
      </w:r>
    </w:p>
    <w:p>
      <w:pPr>
        <w:adjustRightInd w:val="0"/>
        <w:snapToGrid w:val="0"/>
        <w:spacing w:line="360" w:lineRule="auto"/>
        <w:ind w:firstLine="480" w:firstLineChars="200"/>
        <w:rPr>
          <w:sz w:val="24"/>
          <w:szCs w:val="24"/>
        </w:rPr>
        <w:sectPr>
          <w:pgSz w:w="11906" w:h="16838"/>
          <w:pgMar w:top="1440" w:right="1800" w:bottom="1440" w:left="1800" w:header="851" w:footer="992" w:gutter="0"/>
          <w:cols w:space="720" w:num="1"/>
          <w:docGrid w:type="lines" w:linePitch="312" w:charSpace="0"/>
        </w:sectPr>
      </w:pPr>
    </w:p>
    <w:p>
      <w:pPr>
        <w:jc w:val="center"/>
        <w:rPr>
          <w:b/>
          <w:sz w:val="24"/>
          <w:szCs w:val="24"/>
        </w:rPr>
      </w:pPr>
      <w:r>
        <w:rPr>
          <w:b/>
          <w:sz w:val="24"/>
          <w:szCs w:val="24"/>
        </w:rPr>
        <w:t xml:space="preserve">表 </w:t>
      </w:r>
      <w:r>
        <w:rPr>
          <w:rFonts w:hint="eastAsia"/>
          <w:b/>
          <w:sz w:val="24"/>
          <w:szCs w:val="24"/>
        </w:rPr>
        <w:t>8</w:t>
      </w:r>
      <w:r>
        <w:rPr>
          <w:b/>
          <w:sz w:val="24"/>
          <w:szCs w:val="24"/>
        </w:rPr>
        <w:t>.4-</w:t>
      </w:r>
      <w:r>
        <w:rPr>
          <w:rFonts w:hint="eastAsia"/>
          <w:b/>
          <w:sz w:val="24"/>
          <w:szCs w:val="24"/>
        </w:rPr>
        <w:t>1</w:t>
      </w:r>
      <w:r>
        <w:rPr>
          <w:b/>
          <w:sz w:val="24"/>
          <w:szCs w:val="24"/>
        </w:rPr>
        <w:tab/>
      </w:r>
      <w:r>
        <w:rPr>
          <w:b/>
          <w:sz w:val="24"/>
          <w:szCs w:val="24"/>
        </w:rPr>
        <w:t>本项目废水污染源排放清单</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18"/>
        <w:gridCol w:w="2268"/>
        <w:gridCol w:w="2977"/>
        <w:gridCol w:w="3118"/>
        <w:gridCol w:w="32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jc w:val="center"/>
              <w:rPr>
                <w:kern w:val="0"/>
                <w:szCs w:val="21"/>
              </w:rPr>
            </w:pPr>
            <w:r>
              <w:rPr>
                <w:bCs/>
                <w:kern w:val="0"/>
                <w:szCs w:val="21"/>
              </w:rPr>
              <w:t>污染源</w:t>
            </w:r>
          </w:p>
        </w:tc>
        <w:tc>
          <w:tcPr>
            <w:tcW w:w="2268" w:type="dxa"/>
            <w:vAlign w:val="center"/>
          </w:tcPr>
          <w:p>
            <w:pPr>
              <w:jc w:val="center"/>
              <w:rPr>
                <w:kern w:val="0"/>
                <w:szCs w:val="21"/>
              </w:rPr>
            </w:pPr>
            <w:r>
              <w:rPr>
                <w:bCs/>
                <w:kern w:val="0"/>
                <w:szCs w:val="21"/>
              </w:rPr>
              <w:t>污染治理设施</w:t>
            </w:r>
          </w:p>
        </w:tc>
        <w:tc>
          <w:tcPr>
            <w:tcW w:w="2977" w:type="dxa"/>
            <w:vAlign w:val="center"/>
          </w:tcPr>
          <w:p>
            <w:pPr>
              <w:jc w:val="center"/>
              <w:rPr>
                <w:kern w:val="0"/>
                <w:szCs w:val="21"/>
              </w:rPr>
            </w:pPr>
            <w:r>
              <w:rPr>
                <w:kern w:val="0"/>
                <w:szCs w:val="21"/>
              </w:rPr>
              <w:t>污染物</w:t>
            </w:r>
          </w:p>
        </w:tc>
        <w:tc>
          <w:tcPr>
            <w:tcW w:w="3118" w:type="dxa"/>
            <w:vAlign w:val="center"/>
          </w:tcPr>
          <w:p>
            <w:pPr>
              <w:jc w:val="center"/>
              <w:rPr>
                <w:kern w:val="0"/>
                <w:szCs w:val="21"/>
              </w:rPr>
            </w:pPr>
            <w:r>
              <w:rPr>
                <w:kern w:val="0"/>
                <w:szCs w:val="21"/>
              </w:rPr>
              <w:t>排放去向</w:t>
            </w:r>
          </w:p>
        </w:tc>
        <w:tc>
          <w:tcPr>
            <w:tcW w:w="3293" w:type="dxa"/>
            <w:vAlign w:val="center"/>
          </w:tcPr>
          <w:p>
            <w:pPr>
              <w:jc w:val="center"/>
              <w:rPr>
                <w:kern w:val="0"/>
                <w:szCs w:val="21"/>
              </w:rPr>
            </w:pPr>
            <w:r>
              <w:rPr>
                <w:kern w:val="0"/>
                <w:szCs w:val="21"/>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adjustRightInd w:val="0"/>
              <w:snapToGrid w:val="0"/>
              <w:jc w:val="center"/>
              <w:rPr>
                <w:rFonts w:eastAsiaTheme="minorEastAsia"/>
                <w:kern w:val="0"/>
                <w:szCs w:val="21"/>
              </w:rPr>
            </w:pPr>
            <w:r>
              <w:rPr>
                <w:rFonts w:eastAsiaTheme="minorEastAsia"/>
                <w:kern w:val="0"/>
                <w:szCs w:val="21"/>
              </w:rPr>
              <w:t>填埋区渗滤液</w:t>
            </w:r>
          </w:p>
        </w:tc>
        <w:tc>
          <w:tcPr>
            <w:tcW w:w="2268" w:type="dxa"/>
            <w:vMerge w:val="restart"/>
            <w:vAlign w:val="center"/>
          </w:tcPr>
          <w:p>
            <w:pPr>
              <w:adjustRightInd w:val="0"/>
              <w:snapToGrid w:val="0"/>
              <w:jc w:val="center"/>
              <w:rPr>
                <w:rFonts w:eastAsiaTheme="minorEastAsia"/>
                <w:kern w:val="0"/>
                <w:szCs w:val="21"/>
              </w:rPr>
            </w:pPr>
            <w:r>
              <w:rPr>
                <w:rFonts w:eastAsiaTheme="minorEastAsia"/>
                <w:kern w:val="0"/>
                <w:szCs w:val="21"/>
              </w:rPr>
              <w:t>“混凝+沉淀+过滤”一体化处理设备预处理</w:t>
            </w:r>
          </w:p>
        </w:tc>
        <w:tc>
          <w:tcPr>
            <w:tcW w:w="2977" w:type="dxa"/>
            <w:vMerge w:val="restart"/>
            <w:vAlign w:val="center"/>
          </w:tcPr>
          <w:p>
            <w:pPr>
              <w:adjustRightInd w:val="0"/>
              <w:snapToGrid w:val="0"/>
              <w:jc w:val="center"/>
              <w:rPr>
                <w:rFonts w:eastAsiaTheme="minorEastAsia"/>
                <w:kern w:val="0"/>
                <w:szCs w:val="21"/>
              </w:rPr>
            </w:pPr>
            <w:r>
              <w:rPr>
                <w:rFonts w:eastAsiaTheme="minorEastAsia"/>
                <w:kern w:val="0"/>
                <w:szCs w:val="21"/>
              </w:rPr>
              <w:t>pH、COD、BOD</w:t>
            </w:r>
            <w:r>
              <w:rPr>
                <w:rFonts w:eastAsiaTheme="minorEastAsia"/>
                <w:kern w:val="0"/>
                <w:szCs w:val="21"/>
                <w:vertAlign w:val="subscript"/>
              </w:rPr>
              <w:t>5</w:t>
            </w:r>
            <w:r>
              <w:rPr>
                <w:rFonts w:eastAsiaTheme="minorEastAsia"/>
                <w:kern w:val="0"/>
                <w:szCs w:val="21"/>
              </w:rPr>
              <w:t>、氨氮、氯化物、氟化物、硫化物、铜、锌、砷、汞、镉、铅、六价铬</w:t>
            </w:r>
          </w:p>
        </w:tc>
        <w:tc>
          <w:tcPr>
            <w:tcW w:w="3118" w:type="dxa"/>
            <w:vMerge w:val="restart"/>
            <w:vAlign w:val="center"/>
          </w:tcPr>
          <w:p>
            <w:pPr>
              <w:adjustRightInd w:val="0"/>
              <w:snapToGrid w:val="0"/>
              <w:jc w:val="center"/>
              <w:rPr>
                <w:kern w:val="0"/>
                <w:szCs w:val="21"/>
              </w:rPr>
            </w:pPr>
            <w:r>
              <w:rPr>
                <w:kern w:val="0"/>
                <w:szCs w:val="21"/>
              </w:rPr>
              <w:t>渗滤液处理站预处理后泵送围场生活垃圾焚烧发电项目渗滤液处理站处理达标后，全部回用</w:t>
            </w:r>
          </w:p>
        </w:tc>
        <w:tc>
          <w:tcPr>
            <w:tcW w:w="3293" w:type="dxa"/>
            <w:vMerge w:val="restart"/>
            <w:vAlign w:val="center"/>
          </w:tcPr>
          <w:p>
            <w:pPr>
              <w:jc w:val="center"/>
              <w:rPr>
                <w:kern w:val="0"/>
                <w:szCs w:val="21"/>
              </w:rPr>
            </w:pPr>
            <w:r>
              <w:rPr>
                <w:kern w:val="0"/>
                <w:szCs w:val="21"/>
              </w:rPr>
              <w:t>生活垃圾填满场污染控制标准》（GB-16889-2008）中表2标准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adjustRightInd w:val="0"/>
              <w:snapToGrid w:val="0"/>
              <w:jc w:val="center"/>
              <w:rPr>
                <w:rFonts w:eastAsiaTheme="minorEastAsia"/>
                <w:kern w:val="0"/>
                <w:szCs w:val="21"/>
              </w:rPr>
            </w:pPr>
            <w:r>
              <w:rPr>
                <w:rFonts w:eastAsiaTheme="minorEastAsia"/>
                <w:kern w:val="0"/>
                <w:szCs w:val="21"/>
              </w:rPr>
              <w:t>初期雨水</w:t>
            </w:r>
          </w:p>
        </w:tc>
        <w:tc>
          <w:tcPr>
            <w:tcW w:w="2268" w:type="dxa"/>
            <w:vMerge w:val="continue"/>
            <w:vAlign w:val="center"/>
          </w:tcPr>
          <w:p>
            <w:pPr>
              <w:adjustRightInd w:val="0"/>
              <w:snapToGrid w:val="0"/>
              <w:jc w:val="center"/>
              <w:rPr>
                <w:rFonts w:eastAsiaTheme="minorEastAsia"/>
                <w:kern w:val="0"/>
                <w:szCs w:val="21"/>
              </w:rPr>
            </w:pPr>
          </w:p>
        </w:tc>
        <w:tc>
          <w:tcPr>
            <w:tcW w:w="2977" w:type="dxa"/>
            <w:vMerge w:val="continue"/>
            <w:vAlign w:val="center"/>
          </w:tcPr>
          <w:p>
            <w:pPr>
              <w:adjustRightInd w:val="0"/>
              <w:snapToGrid w:val="0"/>
              <w:jc w:val="center"/>
              <w:rPr>
                <w:rFonts w:eastAsiaTheme="minorEastAsia"/>
                <w:kern w:val="0"/>
                <w:szCs w:val="21"/>
              </w:rPr>
            </w:pPr>
          </w:p>
        </w:tc>
        <w:tc>
          <w:tcPr>
            <w:tcW w:w="3118" w:type="dxa"/>
            <w:vMerge w:val="continue"/>
            <w:vAlign w:val="center"/>
          </w:tcPr>
          <w:p>
            <w:pPr>
              <w:adjustRightInd w:val="0"/>
              <w:snapToGrid w:val="0"/>
              <w:jc w:val="center"/>
              <w:rPr>
                <w:kern w:val="0"/>
                <w:szCs w:val="21"/>
              </w:rPr>
            </w:pPr>
          </w:p>
        </w:tc>
        <w:tc>
          <w:tcPr>
            <w:tcW w:w="3293" w:type="dxa"/>
            <w:vMerge w:val="continue"/>
            <w:vAlign w:val="center"/>
          </w:tcPr>
          <w:p>
            <w:pPr>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518" w:type="dxa"/>
            <w:vAlign w:val="center"/>
          </w:tcPr>
          <w:p>
            <w:pPr>
              <w:adjustRightInd w:val="0"/>
              <w:snapToGrid w:val="0"/>
              <w:jc w:val="center"/>
              <w:rPr>
                <w:rFonts w:eastAsiaTheme="minorEastAsia"/>
                <w:kern w:val="0"/>
                <w:szCs w:val="21"/>
              </w:rPr>
            </w:pPr>
            <w:r>
              <w:rPr>
                <w:rFonts w:eastAsiaTheme="minorEastAsia"/>
                <w:kern w:val="0"/>
                <w:szCs w:val="21"/>
              </w:rPr>
              <w:t>生活污水</w:t>
            </w:r>
          </w:p>
        </w:tc>
        <w:tc>
          <w:tcPr>
            <w:tcW w:w="2268" w:type="dxa"/>
            <w:vMerge w:val="continue"/>
            <w:vAlign w:val="center"/>
          </w:tcPr>
          <w:p>
            <w:pPr>
              <w:adjustRightInd w:val="0"/>
              <w:snapToGrid w:val="0"/>
              <w:jc w:val="center"/>
              <w:rPr>
                <w:rFonts w:eastAsiaTheme="minorEastAsia"/>
                <w:kern w:val="0"/>
                <w:szCs w:val="21"/>
              </w:rPr>
            </w:pPr>
          </w:p>
        </w:tc>
        <w:tc>
          <w:tcPr>
            <w:tcW w:w="2977" w:type="dxa"/>
            <w:vMerge w:val="continue"/>
            <w:vAlign w:val="center"/>
          </w:tcPr>
          <w:p>
            <w:pPr>
              <w:adjustRightInd w:val="0"/>
              <w:snapToGrid w:val="0"/>
              <w:jc w:val="center"/>
              <w:rPr>
                <w:rFonts w:eastAsiaTheme="minorEastAsia"/>
                <w:kern w:val="0"/>
                <w:szCs w:val="21"/>
              </w:rPr>
            </w:pPr>
          </w:p>
        </w:tc>
        <w:tc>
          <w:tcPr>
            <w:tcW w:w="3118" w:type="dxa"/>
            <w:vMerge w:val="continue"/>
            <w:vAlign w:val="center"/>
          </w:tcPr>
          <w:p>
            <w:pPr>
              <w:jc w:val="center"/>
              <w:rPr>
                <w:kern w:val="0"/>
                <w:szCs w:val="21"/>
              </w:rPr>
            </w:pPr>
          </w:p>
        </w:tc>
        <w:tc>
          <w:tcPr>
            <w:tcW w:w="3293" w:type="dxa"/>
            <w:vMerge w:val="continue"/>
            <w:vAlign w:val="center"/>
          </w:tcPr>
          <w:p>
            <w:pPr>
              <w:jc w:val="center"/>
              <w:rPr>
                <w:kern w:val="0"/>
                <w:szCs w:val="21"/>
              </w:rPr>
            </w:pPr>
          </w:p>
        </w:tc>
      </w:tr>
    </w:tbl>
    <w:p>
      <w:pPr>
        <w:jc w:val="center"/>
        <w:rPr>
          <w:b/>
          <w:sz w:val="24"/>
          <w:szCs w:val="24"/>
        </w:rPr>
      </w:pPr>
    </w:p>
    <w:p>
      <w:pPr>
        <w:jc w:val="center"/>
        <w:rPr>
          <w:b/>
          <w:sz w:val="24"/>
          <w:szCs w:val="24"/>
        </w:rPr>
      </w:pPr>
      <w:r>
        <w:rPr>
          <w:b/>
          <w:sz w:val="24"/>
          <w:szCs w:val="24"/>
        </w:rPr>
        <w:t xml:space="preserve">表 </w:t>
      </w:r>
      <w:r>
        <w:rPr>
          <w:rFonts w:hint="eastAsia"/>
          <w:b/>
          <w:sz w:val="24"/>
          <w:szCs w:val="24"/>
        </w:rPr>
        <w:t>8</w:t>
      </w:r>
      <w:r>
        <w:rPr>
          <w:b/>
          <w:sz w:val="24"/>
          <w:szCs w:val="24"/>
        </w:rPr>
        <w:t>.4-2</w:t>
      </w:r>
      <w:r>
        <w:rPr>
          <w:b/>
          <w:sz w:val="24"/>
          <w:szCs w:val="24"/>
        </w:rPr>
        <w:tab/>
      </w:r>
      <w:r>
        <w:rPr>
          <w:b/>
          <w:sz w:val="24"/>
          <w:szCs w:val="24"/>
        </w:rPr>
        <w:t>本项目</w:t>
      </w:r>
      <w:r>
        <w:rPr>
          <w:rFonts w:hint="eastAsia"/>
          <w:b/>
          <w:sz w:val="24"/>
          <w:szCs w:val="24"/>
        </w:rPr>
        <w:t>固体废弃物</w:t>
      </w:r>
      <w:r>
        <w:rPr>
          <w:b/>
          <w:sz w:val="24"/>
          <w:szCs w:val="24"/>
        </w:rPr>
        <w:t>排放清单</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812"/>
        <w:gridCol w:w="1603"/>
        <w:gridCol w:w="1276"/>
        <w:gridCol w:w="1559"/>
        <w:gridCol w:w="1419"/>
        <w:gridCol w:w="1559"/>
        <w:gridCol w:w="476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48"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污染物来源</w:t>
            </w:r>
          </w:p>
        </w:tc>
        <w:tc>
          <w:tcPr>
            <w:tcW w:w="573"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2"/>
                <w:kern w:val="0"/>
                <w:szCs w:val="21"/>
              </w:rPr>
              <w:t>固废名称</w:t>
            </w:r>
          </w:p>
        </w:tc>
        <w:tc>
          <w:tcPr>
            <w:tcW w:w="456"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废物代码</w:t>
            </w:r>
          </w:p>
        </w:tc>
        <w:tc>
          <w:tcPr>
            <w:tcW w:w="557"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2"/>
                <w:kern w:val="0"/>
                <w:szCs w:val="21"/>
              </w:rPr>
              <w:t>固废成分</w:t>
            </w:r>
          </w:p>
        </w:tc>
        <w:tc>
          <w:tcPr>
            <w:tcW w:w="507"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产生量</w:t>
            </w:r>
            <w:r>
              <w:rPr>
                <w:spacing w:val="-1"/>
                <w:kern w:val="0"/>
                <w:szCs w:val="21"/>
              </w:rPr>
              <w:t>(t/a)</w:t>
            </w:r>
          </w:p>
        </w:tc>
        <w:tc>
          <w:tcPr>
            <w:tcW w:w="557"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排放量</w:t>
            </w:r>
            <w:r>
              <w:rPr>
                <w:spacing w:val="-1"/>
                <w:kern w:val="0"/>
                <w:szCs w:val="21"/>
              </w:rPr>
              <w:t>(t/a)</w:t>
            </w:r>
          </w:p>
        </w:tc>
        <w:tc>
          <w:tcPr>
            <w:tcW w:w="1701"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2"/>
                <w:kern w:val="0"/>
                <w:szCs w:val="21"/>
              </w:rPr>
              <w:t>防治措施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48"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办公、生活</w:t>
            </w:r>
          </w:p>
        </w:tc>
        <w:tc>
          <w:tcPr>
            <w:tcW w:w="573"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生活垃圾</w:t>
            </w:r>
          </w:p>
        </w:tc>
        <w:tc>
          <w:tcPr>
            <w:tcW w:w="456" w:type="pct"/>
            <w:vAlign w:val="center"/>
          </w:tcPr>
          <w:p>
            <w:pPr>
              <w:kinsoku w:val="0"/>
              <w:overflowPunct w:val="0"/>
              <w:autoSpaceDE w:val="0"/>
              <w:autoSpaceDN w:val="0"/>
              <w:adjustRightInd w:val="0"/>
              <w:snapToGrid w:val="0"/>
              <w:jc w:val="center"/>
              <w:rPr>
                <w:rFonts w:eastAsiaTheme="minorEastAsia"/>
                <w:kern w:val="0"/>
                <w:sz w:val="24"/>
                <w:szCs w:val="24"/>
              </w:rPr>
            </w:pPr>
            <w:r>
              <w:rPr>
                <w:rFonts w:eastAsiaTheme="minorEastAsia"/>
                <w:kern w:val="0"/>
                <w:szCs w:val="21"/>
              </w:rPr>
              <w:t>/</w:t>
            </w:r>
          </w:p>
        </w:tc>
        <w:tc>
          <w:tcPr>
            <w:tcW w:w="557"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2"/>
                <w:kern w:val="0"/>
                <w:szCs w:val="21"/>
              </w:rPr>
              <w:t>纸屑、木块等</w:t>
            </w:r>
          </w:p>
        </w:tc>
        <w:tc>
          <w:tcPr>
            <w:tcW w:w="507" w:type="pct"/>
            <w:vAlign w:val="center"/>
          </w:tcPr>
          <w:p>
            <w:pPr>
              <w:kinsoku w:val="0"/>
              <w:overflowPunct w:val="0"/>
              <w:autoSpaceDE w:val="0"/>
              <w:autoSpaceDN w:val="0"/>
              <w:adjustRightInd w:val="0"/>
              <w:snapToGrid w:val="0"/>
              <w:jc w:val="center"/>
              <w:rPr>
                <w:rFonts w:eastAsiaTheme="minorEastAsia"/>
                <w:kern w:val="0"/>
                <w:sz w:val="24"/>
                <w:szCs w:val="24"/>
              </w:rPr>
            </w:pPr>
            <w:r>
              <w:rPr>
                <w:rFonts w:eastAsiaTheme="minorEastAsia"/>
                <w:kern w:val="0"/>
                <w:szCs w:val="21"/>
              </w:rPr>
              <w:t>2.56</w:t>
            </w:r>
          </w:p>
        </w:tc>
        <w:tc>
          <w:tcPr>
            <w:tcW w:w="557" w:type="pct"/>
            <w:vAlign w:val="center"/>
          </w:tcPr>
          <w:p>
            <w:pPr>
              <w:kinsoku w:val="0"/>
              <w:overflowPunct w:val="0"/>
              <w:autoSpaceDE w:val="0"/>
              <w:autoSpaceDN w:val="0"/>
              <w:adjustRightInd w:val="0"/>
              <w:snapToGrid w:val="0"/>
              <w:jc w:val="center"/>
              <w:rPr>
                <w:rFonts w:eastAsiaTheme="minorEastAsia"/>
                <w:kern w:val="0"/>
                <w:sz w:val="24"/>
                <w:szCs w:val="24"/>
              </w:rPr>
            </w:pPr>
            <w:r>
              <w:rPr>
                <w:rFonts w:eastAsiaTheme="minorEastAsia"/>
                <w:kern w:val="0"/>
                <w:szCs w:val="21"/>
              </w:rPr>
              <w:t>0</w:t>
            </w:r>
          </w:p>
        </w:tc>
        <w:tc>
          <w:tcPr>
            <w:tcW w:w="1701" w:type="pct"/>
            <w:vMerge w:val="restar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2"/>
                <w:kern w:val="0"/>
                <w:szCs w:val="21"/>
              </w:rPr>
              <w:t>生活垃圾日产日清，污泥清掏脱水后一并送</w:t>
            </w:r>
            <w:r>
              <w:rPr>
                <w:szCs w:val="21"/>
              </w:rPr>
              <w:t>围场生活垃圾焚烧发电项目</w:t>
            </w:r>
            <w:r>
              <w:rPr>
                <w:rFonts w:hint="eastAsia"/>
                <w:szCs w:val="21"/>
              </w:rPr>
              <w:t>焚烧处理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48"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spacing w:val="-1"/>
                <w:kern w:val="0"/>
                <w:szCs w:val="21"/>
              </w:rPr>
              <w:t>化粪池污泥</w:t>
            </w:r>
          </w:p>
        </w:tc>
        <w:tc>
          <w:tcPr>
            <w:tcW w:w="573"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kern w:val="0"/>
                <w:szCs w:val="21"/>
              </w:rPr>
              <w:t>污泥</w:t>
            </w:r>
          </w:p>
        </w:tc>
        <w:tc>
          <w:tcPr>
            <w:tcW w:w="456" w:type="pct"/>
            <w:vAlign w:val="center"/>
          </w:tcPr>
          <w:p>
            <w:pPr>
              <w:kinsoku w:val="0"/>
              <w:overflowPunct w:val="0"/>
              <w:autoSpaceDE w:val="0"/>
              <w:autoSpaceDN w:val="0"/>
              <w:adjustRightInd w:val="0"/>
              <w:snapToGrid w:val="0"/>
              <w:jc w:val="center"/>
              <w:rPr>
                <w:rFonts w:eastAsiaTheme="minorEastAsia"/>
                <w:kern w:val="0"/>
                <w:sz w:val="24"/>
                <w:szCs w:val="24"/>
              </w:rPr>
            </w:pPr>
            <w:r>
              <w:rPr>
                <w:rFonts w:eastAsiaTheme="minorEastAsia"/>
                <w:kern w:val="0"/>
                <w:szCs w:val="21"/>
              </w:rPr>
              <w:t>/</w:t>
            </w:r>
          </w:p>
        </w:tc>
        <w:tc>
          <w:tcPr>
            <w:tcW w:w="557"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kern w:val="0"/>
                <w:szCs w:val="21"/>
              </w:rPr>
              <w:t>污泥</w:t>
            </w:r>
          </w:p>
        </w:tc>
        <w:tc>
          <w:tcPr>
            <w:tcW w:w="507" w:type="pct"/>
            <w:vAlign w:val="center"/>
          </w:tcPr>
          <w:p>
            <w:pPr>
              <w:kinsoku w:val="0"/>
              <w:overflowPunct w:val="0"/>
              <w:autoSpaceDE w:val="0"/>
              <w:autoSpaceDN w:val="0"/>
              <w:adjustRightInd w:val="0"/>
              <w:snapToGrid w:val="0"/>
              <w:jc w:val="center"/>
              <w:rPr>
                <w:rFonts w:eastAsiaTheme="minorEastAsia"/>
                <w:kern w:val="0"/>
                <w:sz w:val="24"/>
                <w:szCs w:val="24"/>
              </w:rPr>
            </w:pPr>
            <w:r>
              <w:rPr>
                <w:rFonts w:hint="eastAsia" w:ascii="宋体" w:cs="宋体"/>
                <w:kern w:val="0"/>
                <w:szCs w:val="21"/>
              </w:rPr>
              <w:t>0</w:t>
            </w:r>
            <w:r>
              <w:rPr>
                <w:rFonts w:ascii="宋体" w:cs="宋体"/>
                <w:kern w:val="0"/>
                <w:szCs w:val="21"/>
              </w:rPr>
              <w:t>.5</w:t>
            </w:r>
          </w:p>
        </w:tc>
        <w:tc>
          <w:tcPr>
            <w:tcW w:w="557" w:type="pct"/>
            <w:vAlign w:val="center"/>
          </w:tcPr>
          <w:p>
            <w:pPr>
              <w:kinsoku w:val="0"/>
              <w:overflowPunct w:val="0"/>
              <w:autoSpaceDE w:val="0"/>
              <w:autoSpaceDN w:val="0"/>
              <w:adjustRightInd w:val="0"/>
              <w:snapToGrid w:val="0"/>
              <w:jc w:val="center"/>
              <w:rPr>
                <w:rFonts w:eastAsiaTheme="minorEastAsia"/>
                <w:kern w:val="0"/>
                <w:sz w:val="24"/>
                <w:szCs w:val="24"/>
              </w:rPr>
            </w:pPr>
            <w:r>
              <w:rPr>
                <w:rFonts w:eastAsiaTheme="minorEastAsia"/>
                <w:kern w:val="0"/>
                <w:szCs w:val="21"/>
              </w:rPr>
              <w:t>0</w:t>
            </w:r>
          </w:p>
        </w:tc>
        <w:tc>
          <w:tcPr>
            <w:tcW w:w="1701" w:type="pct"/>
            <w:vMerge w:val="continue"/>
            <w:vAlign w:val="center"/>
          </w:tcPr>
          <w:p>
            <w:pPr>
              <w:kinsoku w:val="0"/>
              <w:overflowPunct w:val="0"/>
              <w:autoSpaceDE w:val="0"/>
              <w:autoSpaceDN w:val="0"/>
              <w:adjustRightInd w:val="0"/>
              <w:snapToGrid w:val="0"/>
              <w:jc w:val="center"/>
              <w:rPr>
                <w:rFonts w:eastAsiaTheme="minorEastAsia"/>
                <w:kern w:val="0"/>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48" w:type="pct"/>
            <w:vAlign w:val="center"/>
          </w:tcPr>
          <w:p>
            <w:pPr>
              <w:kinsoku w:val="0"/>
              <w:overflowPunct w:val="0"/>
              <w:autoSpaceDE w:val="0"/>
              <w:autoSpaceDN w:val="0"/>
              <w:adjustRightInd w:val="0"/>
              <w:snapToGrid w:val="0"/>
              <w:jc w:val="center"/>
              <w:rPr>
                <w:rFonts w:ascii="宋体" w:cs="宋体"/>
                <w:spacing w:val="-1"/>
                <w:kern w:val="0"/>
                <w:szCs w:val="21"/>
              </w:rPr>
            </w:pPr>
            <w:r>
              <w:rPr>
                <w:rFonts w:hint="eastAsia" w:ascii="宋体" w:cs="宋体"/>
                <w:spacing w:val="-2"/>
                <w:kern w:val="0"/>
                <w:szCs w:val="21"/>
              </w:rPr>
              <w:t>渗滤液处理站污泥</w:t>
            </w:r>
          </w:p>
        </w:tc>
        <w:tc>
          <w:tcPr>
            <w:tcW w:w="573"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污泥</w:t>
            </w:r>
          </w:p>
        </w:tc>
        <w:tc>
          <w:tcPr>
            <w:tcW w:w="45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w:t>
            </w:r>
          </w:p>
        </w:tc>
        <w:tc>
          <w:tcPr>
            <w:tcW w:w="557"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重金属</w:t>
            </w:r>
          </w:p>
        </w:tc>
        <w:tc>
          <w:tcPr>
            <w:tcW w:w="507" w:type="pct"/>
            <w:vAlign w:val="center"/>
          </w:tcPr>
          <w:p>
            <w:pPr>
              <w:kinsoku w:val="0"/>
              <w:overflowPunct w:val="0"/>
              <w:autoSpaceDE w:val="0"/>
              <w:autoSpaceDN w:val="0"/>
              <w:adjustRightInd w:val="0"/>
              <w:snapToGrid w:val="0"/>
              <w:jc w:val="center"/>
              <w:rPr>
                <w:rFonts w:ascii="宋体" w:cs="宋体"/>
                <w:kern w:val="0"/>
                <w:szCs w:val="21"/>
              </w:rPr>
            </w:pPr>
            <w:r>
              <w:rPr>
                <w:rFonts w:eastAsiaTheme="minorEastAsia"/>
                <w:kern w:val="0"/>
                <w:szCs w:val="21"/>
              </w:rPr>
              <w:t>32.12</w:t>
            </w:r>
          </w:p>
        </w:tc>
        <w:tc>
          <w:tcPr>
            <w:tcW w:w="55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0</w:t>
            </w:r>
          </w:p>
        </w:tc>
        <w:tc>
          <w:tcPr>
            <w:tcW w:w="1701" w:type="pct"/>
            <w:vMerge w:val="continue"/>
            <w:vAlign w:val="center"/>
          </w:tcPr>
          <w:p>
            <w:pPr>
              <w:kinsoku w:val="0"/>
              <w:overflowPunct w:val="0"/>
              <w:autoSpaceDE w:val="0"/>
              <w:autoSpaceDN w:val="0"/>
              <w:adjustRightInd w:val="0"/>
              <w:snapToGrid w:val="0"/>
              <w:jc w:val="center"/>
              <w:rPr>
                <w:rFonts w:ascii="宋体" w:cs="宋体"/>
                <w:spacing w:val="-2"/>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648" w:type="pct"/>
            <w:vAlign w:val="center"/>
          </w:tcPr>
          <w:p>
            <w:pPr>
              <w:kinsoku w:val="0"/>
              <w:overflowPunct w:val="0"/>
              <w:autoSpaceDE w:val="0"/>
              <w:autoSpaceDN w:val="0"/>
              <w:adjustRightInd w:val="0"/>
              <w:snapToGrid w:val="0"/>
              <w:jc w:val="center"/>
              <w:rPr>
                <w:rFonts w:ascii="宋体" w:cs="宋体"/>
                <w:spacing w:val="-2"/>
                <w:kern w:val="0"/>
                <w:szCs w:val="21"/>
              </w:rPr>
            </w:pPr>
            <w:r>
              <w:rPr>
                <w:rFonts w:hint="eastAsia" w:ascii="宋体" w:cs="宋体"/>
                <w:kern w:val="0"/>
                <w:szCs w:val="21"/>
              </w:rPr>
              <w:t>废油</w:t>
            </w:r>
          </w:p>
        </w:tc>
        <w:tc>
          <w:tcPr>
            <w:tcW w:w="573" w:type="pct"/>
            <w:vAlign w:val="center"/>
          </w:tcPr>
          <w:p>
            <w:pPr>
              <w:kinsoku w:val="0"/>
              <w:overflowPunct w:val="0"/>
              <w:autoSpaceDE w:val="0"/>
              <w:autoSpaceDN w:val="0"/>
              <w:adjustRightInd w:val="0"/>
              <w:snapToGrid w:val="0"/>
              <w:jc w:val="center"/>
              <w:rPr>
                <w:rFonts w:ascii="宋体" w:cs="宋体"/>
                <w:spacing w:val="-1"/>
                <w:kern w:val="0"/>
                <w:szCs w:val="21"/>
              </w:rPr>
            </w:pPr>
            <w:r>
              <w:rPr>
                <w:rFonts w:eastAsiaTheme="minorEastAsia"/>
                <w:spacing w:val="-1"/>
                <w:kern w:val="0"/>
                <w:szCs w:val="21"/>
              </w:rPr>
              <w:t>HW08</w:t>
            </w:r>
            <w:r>
              <w:rPr>
                <w:rFonts w:eastAsiaTheme="minorEastAsia"/>
                <w:kern w:val="0"/>
                <w:szCs w:val="21"/>
              </w:rPr>
              <w:t xml:space="preserve"> </w:t>
            </w:r>
            <w:r>
              <w:rPr>
                <w:rFonts w:hint="eastAsia" w:ascii="宋体" w:cs="宋体"/>
                <w:spacing w:val="-2"/>
                <w:kern w:val="0"/>
                <w:szCs w:val="21"/>
              </w:rPr>
              <w:t>危险废物</w:t>
            </w:r>
          </w:p>
        </w:tc>
        <w:tc>
          <w:tcPr>
            <w:tcW w:w="456"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spacing w:val="-1"/>
                <w:kern w:val="0"/>
                <w:szCs w:val="21"/>
              </w:rPr>
              <w:t>900-214-08</w:t>
            </w:r>
          </w:p>
        </w:tc>
        <w:tc>
          <w:tcPr>
            <w:tcW w:w="557"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矿物油</w:t>
            </w:r>
          </w:p>
        </w:tc>
        <w:tc>
          <w:tcPr>
            <w:tcW w:w="50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0.2</w:t>
            </w:r>
          </w:p>
        </w:tc>
        <w:tc>
          <w:tcPr>
            <w:tcW w:w="557" w:type="pct"/>
            <w:vAlign w:val="center"/>
          </w:tcPr>
          <w:p>
            <w:pPr>
              <w:kinsoku w:val="0"/>
              <w:overflowPunct w:val="0"/>
              <w:autoSpaceDE w:val="0"/>
              <w:autoSpaceDN w:val="0"/>
              <w:adjustRightInd w:val="0"/>
              <w:snapToGrid w:val="0"/>
              <w:jc w:val="center"/>
              <w:rPr>
                <w:rFonts w:eastAsiaTheme="minorEastAsia"/>
                <w:kern w:val="0"/>
                <w:szCs w:val="21"/>
              </w:rPr>
            </w:pPr>
            <w:r>
              <w:rPr>
                <w:rFonts w:eastAsiaTheme="minorEastAsia"/>
                <w:kern w:val="0"/>
                <w:szCs w:val="21"/>
              </w:rPr>
              <w:t>0</w:t>
            </w:r>
          </w:p>
        </w:tc>
        <w:tc>
          <w:tcPr>
            <w:tcW w:w="1701" w:type="pct"/>
            <w:vAlign w:val="center"/>
          </w:tcPr>
          <w:p>
            <w:pPr>
              <w:kinsoku w:val="0"/>
              <w:overflowPunct w:val="0"/>
              <w:autoSpaceDE w:val="0"/>
              <w:autoSpaceDN w:val="0"/>
              <w:adjustRightInd w:val="0"/>
              <w:snapToGrid w:val="0"/>
              <w:jc w:val="center"/>
              <w:rPr>
                <w:rFonts w:ascii="宋体" w:cs="宋体"/>
                <w:spacing w:val="-2"/>
                <w:kern w:val="0"/>
                <w:szCs w:val="21"/>
              </w:rPr>
            </w:pPr>
            <w:r>
              <w:rPr>
                <w:rFonts w:hint="eastAsia" w:ascii="宋体" w:cs="宋体"/>
                <w:spacing w:val="-2"/>
                <w:kern w:val="0"/>
                <w:szCs w:val="21"/>
              </w:rPr>
              <w:t>依托</w:t>
            </w:r>
            <w:r>
              <w:rPr>
                <w:szCs w:val="21"/>
              </w:rPr>
              <w:t>围场生活垃圾焚烧发电项目</w:t>
            </w:r>
            <w:r>
              <w:rPr>
                <w:rFonts w:hint="eastAsia"/>
                <w:szCs w:val="21"/>
              </w:rPr>
              <w:t>危废暂存间暂存后，定期委托有资质单位处理</w:t>
            </w:r>
          </w:p>
        </w:tc>
      </w:tr>
    </w:tbl>
    <w:p>
      <w:pPr>
        <w:jc w:val="center"/>
        <w:rPr>
          <w:b/>
          <w:sz w:val="24"/>
          <w:szCs w:val="24"/>
        </w:rPr>
      </w:pPr>
    </w:p>
    <w:p>
      <w:pPr>
        <w:pStyle w:val="61"/>
        <w:numPr>
          <w:ilvl w:val="1"/>
          <w:numId w:val="5"/>
        </w:numPr>
        <w:spacing w:beforeLines="0" w:after="156"/>
        <w:ind w:left="569" w:hanging="567" w:hangingChars="189"/>
        <w:rPr>
          <w:rFonts w:ascii="Times New Roman" w:hAnsi="Times New Roman"/>
        </w:rPr>
      </w:pPr>
      <w:bookmarkStart w:id="182" w:name="_Toc94101249"/>
      <w:r>
        <w:rPr>
          <w:rFonts w:ascii="Times New Roman" w:hAnsi="Times New Roman"/>
        </w:rPr>
        <w:t>项目“三同时”验收一览表</w:t>
      </w:r>
      <w:bookmarkEnd w:id="182"/>
    </w:p>
    <w:p>
      <w:pPr>
        <w:adjustRightInd w:val="0"/>
        <w:snapToGrid w:val="0"/>
        <w:spacing w:line="360" w:lineRule="auto"/>
        <w:ind w:firstLine="480" w:firstLineChars="200"/>
        <w:rPr>
          <w:sz w:val="24"/>
          <w:szCs w:val="24"/>
        </w:rPr>
      </w:pPr>
      <w:r>
        <w:rPr>
          <w:sz w:val="24"/>
          <w:szCs w:val="24"/>
        </w:rPr>
        <w:t>本项目</w:t>
      </w:r>
      <w:r>
        <w:rPr>
          <w:rFonts w:hint="eastAsia"/>
          <w:sz w:val="24"/>
          <w:szCs w:val="24"/>
        </w:rPr>
        <w:t>环保设施“三同时”验收内容</w:t>
      </w:r>
      <w:r>
        <w:rPr>
          <w:sz w:val="24"/>
          <w:szCs w:val="24"/>
        </w:rPr>
        <w:t>见表</w:t>
      </w:r>
      <w:r>
        <w:rPr>
          <w:rFonts w:hint="eastAsia"/>
          <w:sz w:val="24"/>
          <w:szCs w:val="24"/>
        </w:rPr>
        <w:t>8</w:t>
      </w:r>
      <w:r>
        <w:rPr>
          <w:sz w:val="24"/>
          <w:szCs w:val="24"/>
        </w:rPr>
        <w:t>.5-1。</w:t>
      </w:r>
    </w:p>
    <w:p>
      <w:pPr>
        <w:pStyle w:val="106"/>
        <w:spacing w:before="62"/>
        <w:ind w:firstLine="482"/>
        <w:rPr>
          <w:rFonts w:ascii="Times New Roman" w:hAnsi="Times New Roman"/>
        </w:rPr>
      </w:pPr>
      <w:r>
        <w:rPr>
          <w:rFonts w:ascii="Times New Roman" w:hAnsi="Times New Roman"/>
        </w:rPr>
        <w:t>表</w:t>
      </w:r>
      <w:r>
        <w:rPr>
          <w:rFonts w:hint="eastAsia" w:ascii="Times New Roman" w:hAnsi="Times New Roman"/>
        </w:rPr>
        <w:t>8</w:t>
      </w:r>
      <w:r>
        <w:rPr>
          <w:rFonts w:ascii="Times New Roman" w:hAnsi="Times New Roman"/>
        </w:rPr>
        <w:t>.5-1  本项目</w:t>
      </w:r>
      <w:r>
        <w:rPr>
          <w:rFonts w:hint="eastAsia" w:ascii="Times New Roman" w:hAnsi="Times New Roman"/>
        </w:rPr>
        <w:t>环保设施</w:t>
      </w:r>
      <w:r>
        <w:rPr>
          <w:rFonts w:ascii="Times New Roman" w:hAnsi="Times New Roman"/>
        </w:rPr>
        <w:t>“三同时”验收</w:t>
      </w:r>
      <w:r>
        <w:rPr>
          <w:rFonts w:hint="eastAsia" w:ascii="Times New Roman" w:hAnsi="Times New Roman"/>
        </w:rPr>
        <w:t>内容</w:t>
      </w:r>
      <w:r>
        <w:rPr>
          <w:rFonts w:ascii="Times New Roman" w:hAnsi="Times New Roman"/>
        </w:rPr>
        <w:t>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1701"/>
        <w:gridCol w:w="2693"/>
        <w:gridCol w:w="3402"/>
        <w:gridCol w:w="1134"/>
        <w:gridCol w:w="44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ascii="宋体" w:cs="宋体"/>
                <w:kern w:val="0"/>
                <w:szCs w:val="21"/>
              </w:rPr>
              <w:t>类别</w:t>
            </w:r>
          </w:p>
        </w:tc>
        <w:tc>
          <w:tcPr>
            <w:tcW w:w="1701" w:type="dxa"/>
            <w:vAlign w:val="center"/>
          </w:tcPr>
          <w:p>
            <w:pPr>
              <w:adjustRightInd w:val="0"/>
              <w:snapToGrid w:val="0"/>
              <w:jc w:val="center"/>
              <w:rPr>
                <w:kern w:val="0"/>
                <w:szCs w:val="21"/>
              </w:rPr>
            </w:pPr>
            <w:r>
              <w:rPr>
                <w:rFonts w:hint="eastAsia" w:ascii="宋体" w:cs="宋体"/>
                <w:kern w:val="0"/>
                <w:szCs w:val="21"/>
              </w:rPr>
              <w:t>污染源</w:t>
            </w:r>
          </w:p>
        </w:tc>
        <w:tc>
          <w:tcPr>
            <w:tcW w:w="2693" w:type="dxa"/>
            <w:vAlign w:val="center"/>
          </w:tcPr>
          <w:p>
            <w:pPr>
              <w:adjustRightInd w:val="0"/>
              <w:snapToGrid w:val="0"/>
              <w:jc w:val="center"/>
              <w:rPr>
                <w:kern w:val="0"/>
                <w:szCs w:val="21"/>
              </w:rPr>
            </w:pPr>
            <w:r>
              <w:rPr>
                <w:rFonts w:hint="eastAsia" w:ascii="宋体" w:cs="宋体"/>
                <w:kern w:val="0"/>
                <w:szCs w:val="21"/>
              </w:rPr>
              <w:t>污染物</w:t>
            </w:r>
          </w:p>
        </w:tc>
        <w:tc>
          <w:tcPr>
            <w:tcW w:w="3402" w:type="dxa"/>
            <w:vAlign w:val="center"/>
          </w:tcPr>
          <w:p>
            <w:pPr>
              <w:kinsoku w:val="0"/>
              <w:overflowPunct w:val="0"/>
              <w:adjustRightInd w:val="0"/>
              <w:snapToGrid w:val="0"/>
              <w:jc w:val="center"/>
              <w:rPr>
                <w:kern w:val="0"/>
                <w:szCs w:val="21"/>
              </w:rPr>
            </w:pPr>
            <w:r>
              <w:rPr>
                <w:rFonts w:hint="eastAsia" w:ascii="宋体" w:cs="宋体"/>
                <w:spacing w:val="-1"/>
                <w:kern w:val="0"/>
                <w:szCs w:val="21"/>
              </w:rPr>
              <w:t>治理措施</w:t>
            </w:r>
          </w:p>
        </w:tc>
        <w:tc>
          <w:tcPr>
            <w:tcW w:w="1134" w:type="dxa"/>
            <w:vAlign w:val="center"/>
          </w:tcPr>
          <w:p>
            <w:pPr>
              <w:adjustRightInd w:val="0"/>
              <w:snapToGrid w:val="0"/>
              <w:jc w:val="center"/>
              <w:rPr>
                <w:kern w:val="0"/>
                <w:szCs w:val="21"/>
              </w:rPr>
            </w:pPr>
            <w:r>
              <w:rPr>
                <w:rFonts w:hint="eastAsia" w:ascii="宋体" w:cs="宋体"/>
                <w:spacing w:val="-1"/>
                <w:kern w:val="0"/>
                <w:szCs w:val="21"/>
              </w:rPr>
              <w:t>处理效率</w:t>
            </w:r>
          </w:p>
        </w:tc>
        <w:tc>
          <w:tcPr>
            <w:tcW w:w="4427" w:type="dxa"/>
            <w:vAlign w:val="center"/>
          </w:tcPr>
          <w:p>
            <w:pPr>
              <w:adjustRightInd w:val="0"/>
              <w:snapToGrid w:val="0"/>
              <w:jc w:val="center"/>
              <w:rPr>
                <w:kern w:val="0"/>
                <w:szCs w:val="21"/>
              </w:rPr>
            </w:pPr>
            <w:r>
              <w:rPr>
                <w:rFonts w:hint="eastAsia"/>
                <w:kern w:val="0"/>
                <w:szCs w:val="21"/>
              </w:rPr>
              <w:t>标准要求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restart"/>
            <w:vAlign w:val="center"/>
          </w:tcPr>
          <w:p>
            <w:pPr>
              <w:adjustRightInd w:val="0"/>
              <w:snapToGrid w:val="0"/>
              <w:jc w:val="center"/>
              <w:rPr>
                <w:kern w:val="0"/>
                <w:szCs w:val="21"/>
              </w:rPr>
            </w:pPr>
            <w:r>
              <w:rPr>
                <w:rFonts w:hint="eastAsia" w:ascii="宋体" w:cs="宋体"/>
                <w:kern w:val="0"/>
                <w:szCs w:val="21"/>
              </w:rPr>
              <w:t>废气</w:t>
            </w:r>
          </w:p>
        </w:tc>
        <w:tc>
          <w:tcPr>
            <w:tcW w:w="1701" w:type="dxa"/>
            <w:vAlign w:val="center"/>
          </w:tcPr>
          <w:p>
            <w:pPr>
              <w:adjustRightInd w:val="0"/>
              <w:snapToGrid w:val="0"/>
              <w:jc w:val="center"/>
              <w:rPr>
                <w:kern w:val="0"/>
                <w:szCs w:val="21"/>
              </w:rPr>
            </w:pPr>
            <w:r>
              <w:rPr>
                <w:rFonts w:hint="eastAsia"/>
                <w:kern w:val="0"/>
                <w:szCs w:val="21"/>
              </w:rPr>
              <w:t>堆场临时覆盖</w:t>
            </w:r>
          </w:p>
        </w:tc>
        <w:tc>
          <w:tcPr>
            <w:tcW w:w="2693" w:type="dxa"/>
            <w:vAlign w:val="center"/>
          </w:tcPr>
          <w:p>
            <w:pPr>
              <w:adjustRightInd w:val="0"/>
              <w:snapToGrid w:val="0"/>
              <w:jc w:val="center"/>
              <w:rPr>
                <w:kern w:val="0"/>
                <w:szCs w:val="21"/>
              </w:rPr>
            </w:pPr>
            <w:r>
              <w:rPr>
                <w:rFonts w:hint="eastAsia" w:ascii="宋体" w:cs="宋体"/>
                <w:kern w:val="0"/>
                <w:szCs w:val="21"/>
              </w:rPr>
              <w:t>粉尘</w:t>
            </w:r>
          </w:p>
        </w:tc>
        <w:tc>
          <w:tcPr>
            <w:tcW w:w="3402" w:type="dxa"/>
            <w:vAlign w:val="center"/>
          </w:tcPr>
          <w:p>
            <w:pPr>
              <w:adjustRightInd w:val="0"/>
              <w:snapToGrid w:val="0"/>
              <w:jc w:val="center"/>
              <w:rPr>
                <w:kern w:val="0"/>
                <w:szCs w:val="21"/>
              </w:rPr>
            </w:pPr>
            <w:r>
              <w:rPr>
                <w:rFonts w:hint="eastAsia" w:ascii="宋体" w:cs="宋体"/>
                <w:spacing w:val="-1"/>
                <w:kern w:val="0"/>
                <w:szCs w:val="21"/>
              </w:rPr>
              <w:t>堆场临时覆盖</w:t>
            </w:r>
          </w:p>
        </w:tc>
        <w:tc>
          <w:tcPr>
            <w:tcW w:w="1134" w:type="dxa"/>
            <w:vAlign w:val="center"/>
          </w:tcPr>
          <w:p>
            <w:pPr>
              <w:adjustRightInd w:val="0"/>
              <w:snapToGrid w:val="0"/>
              <w:jc w:val="center"/>
              <w:rPr>
                <w:kern w:val="0"/>
                <w:szCs w:val="21"/>
              </w:rPr>
            </w:pPr>
            <w:r>
              <w:rPr>
                <w:rFonts w:hint="eastAsia" w:ascii="宋体" w:cs="宋体"/>
                <w:spacing w:val="-1"/>
                <w:kern w:val="0"/>
                <w:szCs w:val="21"/>
              </w:rPr>
              <w:t>达标排放</w:t>
            </w:r>
          </w:p>
        </w:tc>
        <w:tc>
          <w:tcPr>
            <w:tcW w:w="4427" w:type="dxa"/>
            <w:vMerge w:val="restart"/>
            <w:vAlign w:val="center"/>
          </w:tcPr>
          <w:p>
            <w:pPr>
              <w:adjustRightInd w:val="0"/>
              <w:snapToGrid w:val="0"/>
              <w:jc w:val="center"/>
              <w:rPr>
                <w:kern w:val="0"/>
                <w:szCs w:val="21"/>
              </w:rPr>
            </w:pPr>
            <w:r>
              <w:rPr>
                <w:rFonts w:hint="eastAsia"/>
                <w:kern w:val="0"/>
                <w:szCs w:val="21"/>
              </w:rPr>
              <w:t>《大气污染物综合排放标准》（GB16297-1996中颗粒物的无组织排放监控浓度标准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vAlign w:val="center"/>
          </w:tcPr>
          <w:p>
            <w:pPr>
              <w:adjustRightInd w:val="0"/>
              <w:snapToGrid w:val="0"/>
              <w:jc w:val="center"/>
              <w:rPr>
                <w:kern w:val="0"/>
                <w:szCs w:val="21"/>
              </w:rPr>
            </w:pPr>
          </w:p>
        </w:tc>
        <w:tc>
          <w:tcPr>
            <w:tcW w:w="1701" w:type="dxa"/>
            <w:vAlign w:val="center"/>
          </w:tcPr>
          <w:p>
            <w:pPr>
              <w:kinsoku w:val="0"/>
              <w:overflowPunct w:val="0"/>
              <w:adjustRightInd w:val="0"/>
              <w:snapToGrid w:val="0"/>
              <w:jc w:val="center"/>
              <w:rPr>
                <w:kern w:val="0"/>
                <w:szCs w:val="21"/>
              </w:rPr>
            </w:pPr>
            <w:r>
              <w:rPr>
                <w:rFonts w:hint="eastAsia" w:ascii="宋体" w:cs="宋体"/>
                <w:spacing w:val="-1"/>
                <w:kern w:val="0"/>
                <w:szCs w:val="21"/>
              </w:rPr>
              <w:t>运输车辆</w:t>
            </w:r>
            <w:r>
              <w:rPr>
                <w:rFonts w:hint="eastAsia" w:ascii="宋体" w:cs="宋体"/>
                <w:kern w:val="0"/>
                <w:szCs w:val="21"/>
              </w:rPr>
              <w:t>扬尘</w:t>
            </w:r>
          </w:p>
        </w:tc>
        <w:tc>
          <w:tcPr>
            <w:tcW w:w="2693" w:type="dxa"/>
            <w:vAlign w:val="center"/>
          </w:tcPr>
          <w:p>
            <w:pPr>
              <w:adjustRightInd w:val="0"/>
              <w:snapToGrid w:val="0"/>
              <w:jc w:val="center"/>
              <w:rPr>
                <w:kern w:val="0"/>
                <w:szCs w:val="21"/>
              </w:rPr>
            </w:pPr>
            <w:r>
              <w:rPr>
                <w:rFonts w:hint="eastAsia" w:ascii="宋体" w:cs="宋体"/>
                <w:kern w:val="0"/>
                <w:szCs w:val="21"/>
              </w:rPr>
              <w:t>粉尘</w:t>
            </w:r>
          </w:p>
        </w:tc>
        <w:tc>
          <w:tcPr>
            <w:tcW w:w="3402" w:type="dxa"/>
            <w:vAlign w:val="center"/>
          </w:tcPr>
          <w:p>
            <w:pPr>
              <w:adjustRightInd w:val="0"/>
              <w:snapToGrid w:val="0"/>
              <w:jc w:val="center"/>
              <w:rPr>
                <w:kern w:val="0"/>
                <w:szCs w:val="21"/>
              </w:rPr>
            </w:pPr>
            <w:r>
              <w:rPr>
                <w:rFonts w:hint="eastAsia" w:ascii="宋体" w:cs="宋体"/>
                <w:kern w:val="0"/>
                <w:szCs w:val="21"/>
              </w:rPr>
              <w:t>洒水</w:t>
            </w:r>
          </w:p>
        </w:tc>
        <w:tc>
          <w:tcPr>
            <w:tcW w:w="1134" w:type="dxa"/>
            <w:vAlign w:val="center"/>
          </w:tcPr>
          <w:p>
            <w:pPr>
              <w:adjustRightInd w:val="0"/>
              <w:snapToGrid w:val="0"/>
              <w:jc w:val="center"/>
              <w:rPr>
                <w:kern w:val="0"/>
                <w:szCs w:val="21"/>
              </w:rPr>
            </w:pPr>
            <w:r>
              <w:rPr>
                <w:rFonts w:hint="eastAsia" w:ascii="宋体" w:cs="宋体"/>
                <w:spacing w:val="-1"/>
                <w:kern w:val="0"/>
                <w:szCs w:val="21"/>
              </w:rPr>
              <w:t>达标排放</w:t>
            </w:r>
          </w:p>
        </w:tc>
        <w:tc>
          <w:tcPr>
            <w:tcW w:w="4427" w:type="dxa"/>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vAlign w:val="center"/>
          </w:tcPr>
          <w:p>
            <w:pPr>
              <w:adjustRightInd w:val="0"/>
              <w:snapToGrid w:val="0"/>
              <w:jc w:val="center"/>
              <w:rPr>
                <w:kern w:val="0"/>
                <w:szCs w:val="21"/>
              </w:rPr>
            </w:pPr>
          </w:p>
        </w:tc>
        <w:tc>
          <w:tcPr>
            <w:tcW w:w="1701" w:type="dxa"/>
            <w:vAlign w:val="center"/>
          </w:tcPr>
          <w:p>
            <w:pPr>
              <w:kinsoku w:val="0"/>
              <w:overflowPunct w:val="0"/>
              <w:adjustRightInd w:val="0"/>
              <w:snapToGrid w:val="0"/>
              <w:jc w:val="center"/>
              <w:rPr>
                <w:kern w:val="0"/>
                <w:szCs w:val="21"/>
              </w:rPr>
            </w:pPr>
            <w:r>
              <w:rPr>
                <w:rFonts w:hint="eastAsia" w:ascii="宋体" w:cs="宋体"/>
                <w:spacing w:val="-1"/>
                <w:kern w:val="0"/>
                <w:szCs w:val="21"/>
              </w:rPr>
              <w:t>渗滤液调</w:t>
            </w:r>
            <w:r>
              <w:rPr>
                <w:rFonts w:hint="eastAsia" w:ascii="宋体" w:cs="宋体"/>
                <w:kern w:val="0"/>
                <w:szCs w:val="21"/>
              </w:rPr>
              <w:t>节池</w:t>
            </w:r>
          </w:p>
        </w:tc>
        <w:tc>
          <w:tcPr>
            <w:tcW w:w="2693" w:type="dxa"/>
            <w:vAlign w:val="center"/>
          </w:tcPr>
          <w:p>
            <w:pPr>
              <w:adjustRightInd w:val="0"/>
              <w:snapToGrid w:val="0"/>
              <w:jc w:val="center"/>
              <w:rPr>
                <w:kern w:val="0"/>
                <w:szCs w:val="21"/>
              </w:rPr>
            </w:pPr>
            <w:r>
              <w:rPr>
                <w:rFonts w:hint="eastAsia"/>
                <w:spacing w:val="-1"/>
                <w:kern w:val="0"/>
                <w:szCs w:val="21"/>
              </w:rPr>
              <w:t>臭气浓度</w:t>
            </w:r>
          </w:p>
        </w:tc>
        <w:tc>
          <w:tcPr>
            <w:tcW w:w="3402" w:type="dxa"/>
            <w:vAlign w:val="center"/>
          </w:tcPr>
          <w:p>
            <w:pPr>
              <w:adjustRightInd w:val="0"/>
              <w:snapToGrid w:val="0"/>
              <w:jc w:val="center"/>
              <w:rPr>
                <w:kern w:val="0"/>
                <w:szCs w:val="21"/>
              </w:rPr>
            </w:pPr>
            <w:r>
              <w:rPr>
                <w:rFonts w:hint="eastAsia" w:ascii="宋体" w:cs="宋体"/>
                <w:spacing w:val="-2"/>
                <w:kern w:val="0"/>
                <w:szCs w:val="21"/>
              </w:rPr>
              <w:t>渗滤液调节池密闭</w:t>
            </w:r>
          </w:p>
        </w:tc>
        <w:tc>
          <w:tcPr>
            <w:tcW w:w="1134" w:type="dxa"/>
            <w:vAlign w:val="center"/>
          </w:tcPr>
          <w:p>
            <w:pPr>
              <w:adjustRightInd w:val="0"/>
              <w:snapToGrid w:val="0"/>
              <w:jc w:val="center"/>
              <w:rPr>
                <w:kern w:val="0"/>
                <w:szCs w:val="21"/>
              </w:rPr>
            </w:pPr>
            <w:r>
              <w:rPr>
                <w:rFonts w:hint="eastAsia" w:ascii="宋体" w:cs="宋体"/>
                <w:spacing w:val="-1"/>
                <w:kern w:val="0"/>
                <w:szCs w:val="21"/>
              </w:rPr>
              <w:t>达标排放</w:t>
            </w:r>
          </w:p>
        </w:tc>
        <w:tc>
          <w:tcPr>
            <w:tcW w:w="4427" w:type="dxa"/>
            <w:vAlign w:val="center"/>
          </w:tcPr>
          <w:p>
            <w:pPr>
              <w:adjustRightInd w:val="0"/>
              <w:snapToGrid w:val="0"/>
              <w:jc w:val="center"/>
              <w:rPr>
                <w:kern w:val="0"/>
                <w:szCs w:val="21"/>
              </w:rPr>
            </w:pPr>
            <w:r>
              <w:rPr>
                <w:rFonts w:hint="eastAsia"/>
                <w:kern w:val="0"/>
                <w:szCs w:val="21"/>
              </w:rPr>
              <w:t>《恶臭污染物排放标准》（GB14554-93）表1二级标准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废水</w:t>
            </w:r>
          </w:p>
        </w:tc>
        <w:tc>
          <w:tcPr>
            <w:tcW w:w="1701" w:type="dxa"/>
            <w:vAlign w:val="center"/>
          </w:tcPr>
          <w:p>
            <w:pPr>
              <w:adjustRightInd w:val="0"/>
              <w:snapToGrid w:val="0"/>
              <w:jc w:val="center"/>
              <w:rPr>
                <w:kern w:val="0"/>
                <w:szCs w:val="21"/>
              </w:rPr>
            </w:pPr>
            <w:r>
              <w:rPr>
                <w:rFonts w:hint="eastAsia"/>
                <w:kern w:val="0"/>
                <w:szCs w:val="21"/>
              </w:rPr>
              <w:t>填埋区渗滤液、生活废水、冲洗废水等</w:t>
            </w:r>
          </w:p>
        </w:tc>
        <w:tc>
          <w:tcPr>
            <w:tcW w:w="2693" w:type="dxa"/>
            <w:vAlign w:val="center"/>
          </w:tcPr>
          <w:p>
            <w:pPr>
              <w:adjustRightInd w:val="0"/>
              <w:snapToGrid w:val="0"/>
              <w:jc w:val="center"/>
              <w:rPr>
                <w:kern w:val="0"/>
                <w:szCs w:val="21"/>
              </w:rPr>
            </w:pPr>
            <w:r>
              <w:rPr>
                <w:rFonts w:eastAsiaTheme="minorEastAsia"/>
                <w:kern w:val="0"/>
                <w:szCs w:val="21"/>
              </w:rPr>
              <w:t>pH、COD、BOD</w:t>
            </w:r>
            <w:r>
              <w:rPr>
                <w:rFonts w:eastAsiaTheme="minorEastAsia"/>
                <w:kern w:val="0"/>
                <w:szCs w:val="21"/>
                <w:vertAlign w:val="subscript"/>
              </w:rPr>
              <w:t>5</w:t>
            </w:r>
            <w:r>
              <w:rPr>
                <w:rFonts w:eastAsiaTheme="minorEastAsia"/>
                <w:kern w:val="0"/>
                <w:szCs w:val="21"/>
              </w:rPr>
              <w:t>、氨氮、氯化物、氟化物、硫化物、铜、锌、砷、汞、镉、铅、六价铬</w:t>
            </w:r>
          </w:p>
        </w:tc>
        <w:tc>
          <w:tcPr>
            <w:tcW w:w="3402" w:type="dxa"/>
            <w:vAlign w:val="center"/>
          </w:tcPr>
          <w:p>
            <w:pPr>
              <w:adjustRightInd w:val="0"/>
              <w:snapToGrid w:val="0"/>
              <w:jc w:val="center"/>
              <w:rPr>
                <w:kern w:val="0"/>
                <w:szCs w:val="21"/>
              </w:rPr>
            </w:pPr>
            <w:r>
              <w:rPr>
                <w:rFonts w:hint="eastAsia"/>
                <w:kern w:val="0"/>
                <w:szCs w:val="21"/>
              </w:rPr>
              <w:t>渗滤液导排系统收集后进入渗滤液处理站预处理站处理后，泵送围场生活垃圾焚烧发电项目渗滤液处理站处理达标后，全部回用</w:t>
            </w:r>
          </w:p>
        </w:tc>
        <w:tc>
          <w:tcPr>
            <w:tcW w:w="1134" w:type="dxa"/>
            <w:vAlign w:val="center"/>
          </w:tcPr>
          <w:p>
            <w:pPr>
              <w:adjustRightInd w:val="0"/>
              <w:snapToGrid w:val="0"/>
              <w:jc w:val="center"/>
              <w:rPr>
                <w:kern w:val="0"/>
                <w:szCs w:val="21"/>
              </w:rPr>
            </w:pPr>
            <w:r>
              <w:rPr>
                <w:rFonts w:hint="eastAsia" w:ascii="宋体" w:cs="宋体"/>
                <w:spacing w:val="-1"/>
                <w:kern w:val="0"/>
                <w:szCs w:val="21"/>
              </w:rPr>
              <w:t>达标</w:t>
            </w:r>
          </w:p>
        </w:tc>
        <w:tc>
          <w:tcPr>
            <w:tcW w:w="4427" w:type="dxa"/>
            <w:vAlign w:val="center"/>
          </w:tcPr>
          <w:p>
            <w:pPr>
              <w:adjustRightInd w:val="0"/>
              <w:snapToGrid w:val="0"/>
              <w:jc w:val="center"/>
              <w:rPr>
                <w:kern w:val="0"/>
                <w:szCs w:val="21"/>
              </w:rPr>
            </w:pPr>
            <w:r>
              <w:rPr>
                <w:rFonts w:hint="eastAsia"/>
                <w:kern w:val="0"/>
                <w:szCs w:val="21"/>
              </w:rPr>
              <w:t>《</w:t>
            </w:r>
            <w:r>
              <w:rPr>
                <w:kern w:val="0"/>
                <w:szCs w:val="21"/>
              </w:rPr>
              <w:t>生活垃圾填满场污染控制标准》（GB-16889-2008）中表2标准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ascii="宋体" w:cs="宋体"/>
                <w:kern w:val="0"/>
                <w:szCs w:val="21"/>
              </w:rPr>
              <w:t>噪声</w:t>
            </w:r>
          </w:p>
        </w:tc>
        <w:tc>
          <w:tcPr>
            <w:tcW w:w="1701" w:type="dxa"/>
            <w:vAlign w:val="center"/>
          </w:tcPr>
          <w:p>
            <w:pPr>
              <w:kinsoku w:val="0"/>
              <w:overflowPunct w:val="0"/>
              <w:adjustRightInd w:val="0"/>
              <w:snapToGrid w:val="0"/>
              <w:jc w:val="center"/>
              <w:rPr>
                <w:kern w:val="0"/>
                <w:szCs w:val="21"/>
              </w:rPr>
            </w:pPr>
            <w:r>
              <w:rPr>
                <w:rFonts w:hint="eastAsia" w:ascii="宋体" w:cs="宋体"/>
                <w:spacing w:val="-1"/>
                <w:kern w:val="0"/>
                <w:szCs w:val="21"/>
              </w:rPr>
              <w:t>填埋机器、设备运转噪</w:t>
            </w:r>
            <w:r>
              <w:rPr>
                <w:rFonts w:hint="eastAsia" w:ascii="宋体" w:cs="宋体"/>
                <w:kern w:val="0"/>
                <w:szCs w:val="21"/>
              </w:rPr>
              <w:t>声</w:t>
            </w:r>
          </w:p>
        </w:tc>
        <w:tc>
          <w:tcPr>
            <w:tcW w:w="2693" w:type="dxa"/>
            <w:vAlign w:val="center"/>
          </w:tcPr>
          <w:p>
            <w:pPr>
              <w:adjustRightInd w:val="0"/>
              <w:snapToGrid w:val="0"/>
              <w:jc w:val="center"/>
              <w:rPr>
                <w:kern w:val="0"/>
                <w:szCs w:val="21"/>
              </w:rPr>
            </w:pPr>
            <w:r>
              <w:rPr>
                <w:rFonts w:hint="eastAsia" w:ascii="宋体" w:cs="宋体"/>
                <w:kern w:val="0"/>
                <w:szCs w:val="21"/>
              </w:rPr>
              <w:t>噪声</w:t>
            </w:r>
          </w:p>
        </w:tc>
        <w:tc>
          <w:tcPr>
            <w:tcW w:w="3402" w:type="dxa"/>
            <w:vAlign w:val="center"/>
          </w:tcPr>
          <w:p>
            <w:pPr>
              <w:adjustRightInd w:val="0"/>
              <w:snapToGrid w:val="0"/>
              <w:jc w:val="center"/>
              <w:rPr>
                <w:kern w:val="0"/>
                <w:szCs w:val="21"/>
              </w:rPr>
            </w:pPr>
            <w:r>
              <w:rPr>
                <w:rFonts w:hint="eastAsia" w:ascii="宋体" w:cs="宋体"/>
                <w:spacing w:val="-1"/>
                <w:kern w:val="0"/>
                <w:szCs w:val="21"/>
              </w:rPr>
              <w:t>基础减振、加装隔声罩和消声器</w:t>
            </w:r>
          </w:p>
        </w:tc>
        <w:tc>
          <w:tcPr>
            <w:tcW w:w="1134" w:type="dxa"/>
            <w:vAlign w:val="center"/>
          </w:tcPr>
          <w:p>
            <w:pPr>
              <w:adjustRightInd w:val="0"/>
              <w:snapToGrid w:val="0"/>
              <w:jc w:val="center"/>
              <w:rPr>
                <w:kern w:val="0"/>
                <w:szCs w:val="21"/>
              </w:rPr>
            </w:pPr>
            <w:r>
              <w:rPr>
                <w:rFonts w:hint="eastAsia" w:ascii="宋体" w:cs="宋体"/>
                <w:spacing w:val="-1"/>
                <w:kern w:val="0"/>
                <w:szCs w:val="21"/>
              </w:rPr>
              <w:t>达标排放</w:t>
            </w:r>
          </w:p>
        </w:tc>
        <w:tc>
          <w:tcPr>
            <w:tcW w:w="4427" w:type="dxa"/>
            <w:vAlign w:val="center"/>
          </w:tcPr>
          <w:p>
            <w:pPr>
              <w:adjustRightInd w:val="0"/>
              <w:snapToGrid w:val="0"/>
              <w:jc w:val="center"/>
              <w:rPr>
                <w:kern w:val="0"/>
                <w:szCs w:val="21"/>
              </w:rPr>
            </w:pPr>
            <w:r>
              <w:rPr>
                <w:rFonts w:hint="eastAsia"/>
                <w:kern w:val="0"/>
                <w:szCs w:val="21"/>
              </w:rPr>
              <w:t>《工业企业厂界环境噪声排放标准》（GB12347-2008）2类标准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trPr>
        <w:tc>
          <w:tcPr>
            <w:tcW w:w="817" w:type="dxa"/>
            <w:vMerge w:val="restart"/>
            <w:vAlign w:val="center"/>
          </w:tcPr>
          <w:p>
            <w:pPr>
              <w:adjustRightInd w:val="0"/>
              <w:snapToGrid w:val="0"/>
              <w:jc w:val="center"/>
              <w:rPr>
                <w:kern w:val="0"/>
                <w:szCs w:val="21"/>
              </w:rPr>
            </w:pPr>
            <w:r>
              <w:rPr>
                <w:rFonts w:hint="eastAsia"/>
                <w:kern w:val="0"/>
                <w:szCs w:val="21"/>
              </w:rPr>
              <w:t>固废</w:t>
            </w:r>
          </w:p>
        </w:tc>
        <w:tc>
          <w:tcPr>
            <w:tcW w:w="1701" w:type="dxa"/>
            <w:vAlign w:val="center"/>
          </w:tcPr>
          <w:p>
            <w:pPr>
              <w:adjustRightInd w:val="0"/>
              <w:snapToGrid w:val="0"/>
              <w:jc w:val="center"/>
              <w:rPr>
                <w:kern w:val="0"/>
                <w:szCs w:val="21"/>
              </w:rPr>
            </w:pPr>
            <w:r>
              <w:rPr>
                <w:rFonts w:hint="eastAsia"/>
                <w:kern w:val="0"/>
                <w:szCs w:val="21"/>
              </w:rPr>
              <w:t>生活垃圾</w:t>
            </w:r>
          </w:p>
        </w:tc>
        <w:tc>
          <w:tcPr>
            <w:tcW w:w="2693" w:type="dxa"/>
            <w:vAlign w:val="center"/>
          </w:tcPr>
          <w:p>
            <w:pPr>
              <w:adjustRightInd w:val="0"/>
              <w:snapToGrid w:val="0"/>
              <w:jc w:val="center"/>
              <w:rPr>
                <w:kern w:val="0"/>
                <w:szCs w:val="21"/>
              </w:rPr>
            </w:pPr>
            <w:r>
              <w:rPr>
                <w:rFonts w:hint="eastAsia"/>
                <w:kern w:val="0"/>
                <w:szCs w:val="21"/>
              </w:rPr>
              <w:t>生活垃圾</w:t>
            </w:r>
          </w:p>
        </w:tc>
        <w:tc>
          <w:tcPr>
            <w:tcW w:w="3402" w:type="dxa"/>
            <w:vMerge w:val="restart"/>
            <w:vAlign w:val="center"/>
          </w:tcPr>
          <w:p>
            <w:pPr>
              <w:adjustRightInd w:val="0"/>
              <w:snapToGrid w:val="0"/>
              <w:jc w:val="center"/>
              <w:rPr>
                <w:kern w:val="0"/>
                <w:szCs w:val="21"/>
              </w:rPr>
            </w:pPr>
            <w:r>
              <w:rPr>
                <w:rFonts w:hint="eastAsia"/>
                <w:kern w:val="0"/>
                <w:szCs w:val="21"/>
              </w:rPr>
              <w:t>生活垃圾日产日清，污泥清掏脱水后一并送围场生活垃圾焚烧发电项目焚烧处理</w:t>
            </w:r>
          </w:p>
        </w:tc>
        <w:tc>
          <w:tcPr>
            <w:tcW w:w="1134" w:type="dxa"/>
            <w:vMerge w:val="restart"/>
            <w:vAlign w:val="center"/>
          </w:tcPr>
          <w:p>
            <w:pPr>
              <w:adjustRightInd w:val="0"/>
              <w:snapToGrid w:val="0"/>
              <w:jc w:val="center"/>
              <w:rPr>
                <w:kern w:val="0"/>
                <w:szCs w:val="21"/>
              </w:rPr>
            </w:pPr>
            <w:r>
              <w:rPr>
                <w:rFonts w:hint="eastAsia"/>
                <w:kern w:val="0"/>
                <w:szCs w:val="21"/>
              </w:rPr>
              <w:t>1</w:t>
            </w:r>
            <w:r>
              <w:rPr>
                <w:kern w:val="0"/>
                <w:szCs w:val="21"/>
              </w:rPr>
              <w:t>00</w:t>
            </w:r>
            <w:r>
              <w:rPr>
                <w:rFonts w:hint="eastAsia"/>
                <w:kern w:val="0"/>
                <w:szCs w:val="21"/>
              </w:rPr>
              <w:t>%</w:t>
            </w:r>
          </w:p>
        </w:tc>
        <w:tc>
          <w:tcPr>
            <w:tcW w:w="4427" w:type="dxa"/>
            <w:vMerge w:val="restart"/>
            <w:vAlign w:val="center"/>
          </w:tcPr>
          <w:p>
            <w:pPr>
              <w:adjustRightInd w:val="0"/>
              <w:snapToGrid w:val="0"/>
              <w:jc w:val="center"/>
              <w:rPr>
                <w:kern w:val="0"/>
                <w:szCs w:val="21"/>
              </w:rPr>
            </w:pPr>
            <w:r>
              <w:rPr>
                <w:rFonts w:hint="eastAsia"/>
                <w:kern w:val="0"/>
                <w:szCs w:val="21"/>
              </w:rPr>
              <w:t>全部收集处置，不产生二次污染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Merge w:val="continue"/>
            <w:vAlign w:val="center"/>
          </w:tcPr>
          <w:p>
            <w:pPr>
              <w:adjustRightInd w:val="0"/>
              <w:snapToGrid w:val="0"/>
              <w:jc w:val="center"/>
              <w:rPr>
                <w:kern w:val="0"/>
                <w:szCs w:val="21"/>
              </w:rPr>
            </w:pPr>
          </w:p>
        </w:tc>
        <w:tc>
          <w:tcPr>
            <w:tcW w:w="1701" w:type="dxa"/>
            <w:vAlign w:val="center"/>
          </w:tcPr>
          <w:p>
            <w:pPr>
              <w:adjustRightInd w:val="0"/>
              <w:snapToGrid w:val="0"/>
              <w:jc w:val="center"/>
              <w:rPr>
                <w:kern w:val="0"/>
                <w:szCs w:val="21"/>
              </w:rPr>
            </w:pPr>
            <w:r>
              <w:rPr>
                <w:rFonts w:hint="eastAsia"/>
                <w:kern w:val="0"/>
                <w:szCs w:val="21"/>
              </w:rPr>
              <w:t>污泥</w:t>
            </w:r>
          </w:p>
        </w:tc>
        <w:tc>
          <w:tcPr>
            <w:tcW w:w="2693" w:type="dxa"/>
            <w:vAlign w:val="center"/>
          </w:tcPr>
          <w:p>
            <w:pPr>
              <w:adjustRightInd w:val="0"/>
              <w:snapToGrid w:val="0"/>
              <w:jc w:val="center"/>
              <w:rPr>
                <w:kern w:val="0"/>
                <w:szCs w:val="21"/>
              </w:rPr>
            </w:pPr>
            <w:r>
              <w:rPr>
                <w:rFonts w:hint="eastAsia"/>
                <w:kern w:val="0"/>
                <w:szCs w:val="21"/>
              </w:rPr>
              <w:t>脱水污泥</w:t>
            </w:r>
          </w:p>
        </w:tc>
        <w:tc>
          <w:tcPr>
            <w:tcW w:w="3402" w:type="dxa"/>
            <w:vMerge w:val="continue"/>
            <w:vAlign w:val="center"/>
          </w:tcPr>
          <w:p>
            <w:pPr>
              <w:adjustRightInd w:val="0"/>
              <w:snapToGrid w:val="0"/>
              <w:jc w:val="center"/>
              <w:rPr>
                <w:kern w:val="0"/>
                <w:szCs w:val="21"/>
              </w:rPr>
            </w:pPr>
          </w:p>
        </w:tc>
        <w:tc>
          <w:tcPr>
            <w:tcW w:w="1134" w:type="dxa"/>
            <w:vMerge w:val="continue"/>
            <w:vAlign w:val="center"/>
          </w:tcPr>
          <w:p>
            <w:pPr>
              <w:adjustRightInd w:val="0"/>
              <w:snapToGrid w:val="0"/>
              <w:jc w:val="center"/>
              <w:rPr>
                <w:kern w:val="0"/>
                <w:szCs w:val="21"/>
              </w:rPr>
            </w:pPr>
          </w:p>
        </w:tc>
        <w:tc>
          <w:tcPr>
            <w:tcW w:w="4427" w:type="dxa"/>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地下水</w:t>
            </w:r>
          </w:p>
        </w:tc>
        <w:tc>
          <w:tcPr>
            <w:tcW w:w="1701" w:type="dxa"/>
            <w:vAlign w:val="center"/>
          </w:tcPr>
          <w:p>
            <w:pPr>
              <w:adjustRightInd w:val="0"/>
              <w:snapToGrid w:val="0"/>
              <w:jc w:val="center"/>
              <w:rPr>
                <w:kern w:val="0"/>
                <w:szCs w:val="21"/>
              </w:rPr>
            </w:pPr>
            <w:r>
              <w:rPr>
                <w:rFonts w:hint="eastAsia"/>
                <w:kern w:val="0"/>
                <w:szCs w:val="21"/>
              </w:rPr>
              <w:t>渗滤液</w:t>
            </w:r>
          </w:p>
        </w:tc>
        <w:tc>
          <w:tcPr>
            <w:tcW w:w="7229" w:type="dxa"/>
            <w:gridSpan w:val="3"/>
            <w:vAlign w:val="center"/>
          </w:tcPr>
          <w:p>
            <w:pPr>
              <w:adjustRightInd w:val="0"/>
              <w:snapToGrid w:val="0"/>
              <w:jc w:val="center"/>
              <w:rPr>
                <w:kern w:val="0"/>
                <w:szCs w:val="21"/>
              </w:rPr>
            </w:pPr>
            <w:r>
              <w:rPr>
                <w:rFonts w:hint="eastAsia"/>
                <w:kern w:val="0"/>
                <w:szCs w:val="21"/>
              </w:rPr>
              <w:t>库区采用组合式双层衬层防渗结构对库区进行防渗处理；选择耐腐蚀的设备、管道及阀门，以尽可能避免废水、废液的跑冒滴漏。</w:t>
            </w:r>
          </w:p>
        </w:tc>
        <w:tc>
          <w:tcPr>
            <w:tcW w:w="4427" w:type="dxa"/>
            <w:vAlign w:val="center"/>
          </w:tcPr>
          <w:p>
            <w:pPr>
              <w:adjustRightInd w:val="0"/>
              <w:snapToGrid w:val="0"/>
              <w:jc w:val="center"/>
              <w:rPr>
                <w:kern w:val="0"/>
                <w:szCs w:val="21"/>
              </w:rPr>
            </w:pPr>
            <w:r>
              <w:rPr>
                <w:rFonts w:hint="eastAsia"/>
                <w:kern w:val="0"/>
                <w:szCs w:val="21"/>
              </w:rPr>
              <w:t>《生活垃圾填埋场污染控制标准》（GB16889- 2008）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ascii="宋体" w:cs="宋体"/>
                <w:spacing w:val="-1"/>
                <w:kern w:val="0"/>
                <w:szCs w:val="21"/>
              </w:rPr>
              <w:t>环境风险</w:t>
            </w:r>
          </w:p>
        </w:tc>
        <w:tc>
          <w:tcPr>
            <w:tcW w:w="8930" w:type="dxa"/>
            <w:gridSpan w:val="4"/>
            <w:vAlign w:val="center"/>
          </w:tcPr>
          <w:p>
            <w:pPr>
              <w:kinsoku w:val="0"/>
              <w:overflowPunct w:val="0"/>
              <w:autoSpaceDE w:val="0"/>
              <w:autoSpaceDN w:val="0"/>
              <w:adjustRightInd w:val="0"/>
              <w:spacing w:line="240" w:lineRule="exact"/>
              <w:ind w:left="-2"/>
              <w:jc w:val="center"/>
              <w:rPr>
                <w:kern w:val="0"/>
                <w:szCs w:val="21"/>
              </w:rPr>
            </w:pPr>
            <w:r>
              <w:rPr>
                <w:rFonts w:hint="eastAsia" w:ascii="宋体" w:cs="宋体"/>
                <w:spacing w:val="-2"/>
                <w:kern w:val="0"/>
                <w:szCs w:val="21"/>
              </w:rPr>
              <w:t>调节池作为风险应急池用于收集事故状态下产生的废水；制定突发环境事件应急预案，按预案要求成立应急机构、配套应急资源、制定应急措施等，并定期更新和</w:t>
            </w:r>
            <w:r>
              <w:rPr>
                <w:rFonts w:ascii="宋体" w:cs="宋体"/>
                <w:spacing w:val="27"/>
                <w:kern w:val="0"/>
                <w:szCs w:val="21"/>
              </w:rPr>
              <w:t xml:space="preserve"> </w:t>
            </w:r>
            <w:r>
              <w:rPr>
                <w:rFonts w:hint="eastAsia" w:ascii="宋体" w:cs="宋体"/>
                <w:spacing w:val="-1"/>
                <w:kern w:val="0"/>
                <w:szCs w:val="21"/>
              </w:rPr>
              <w:t>演练等。</w:t>
            </w:r>
          </w:p>
        </w:tc>
        <w:tc>
          <w:tcPr>
            <w:tcW w:w="4427" w:type="dxa"/>
            <w:vAlign w:val="center"/>
          </w:tcPr>
          <w:p>
            <w:pPr>
              <w:adjustRightInd w:val="0"/>
              <w:snapToGrid w:val="0"/>
              <w:jc w:val="center"/>
              <w:rPr>
                <w:kern w:val="0"/>
                <w:szCs w:val="21"/>
              </w:rPr>
            </w:pPr>
            <w:r>
              <w:rPr>
                <w:rFonts w:hint="eastAsia" w:ascii="宋体" w:cs="宋体"/>
                <w:spacing w:val="-1"/>
                <w:kern w:val="0"/>
                <w:szCs w:val="21"/>
              </w:rPr>
              <w:t>编制突发环境事件应急预案，有效落实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kinsoku w:val="0"/>
              <w:overflowPunct w:val="0"/>
              <w:autoSpaceDE w:val="0"/>
              <w:autoSpaceDN w:val="0"/>
              <w:adjustRightInd w:val="0"/>
              <w:spacing w:line="240" w:lineRule="exact"/>
              <w:ind w:left="20"/>
              <w:jc w:val="center"/>
              <w:rPr>
                <w:kern w:val="0"/>
                <w:szCs w:val="21"/>
              </w:rPr>
            </w:pPr>
            <w:r>
              <w:rPr>
                <w:rFonts w:hint="eastAsia" w:ascii="宋体" w:cs="宋体"/>
                <w:spacing w:val="-1"/>
                <w:kern w:val="0"/>
                <w:szCs w:val="21"/>
              </w:rPr>
              <w:t>环境</w:t>
            </w:r>
            <w:r>
              <w:rPr>
                <w:rFonts w:hint="eastAsia" w:ascii="宋体" w:cs="宋体"/>
                <w:kern w:val="0"/>
                <w:szCs w:val="21"/>
              </w:rPr>
              <w:t>管理</w:t>
            </w:r>
          </w:p>
        </w:tc>
        <w:tc>
          <w:tcPr>
            <w:tcW w:w="8930" w:type="dxa"/>
            <w:gridSpan w:val="4"/>
            <w:vAlign w:val="center"/>
          </w:tcPr>
          <w:p>
            <w:pPr>
              <w:kinsoku w:val="0"/>
              <w:overflowPunct w:val="0"/>
              <w:autoSpaceDE w:val="0"/>
              <w:autoSpaceDN w:val="0"/>
              <w:adjustRightInd w:val="0"/>
              <w:spacing w:line="240" w:lineRule="exact"/>
              <w:ind w:left="-2" w:right="-6"/>
              <w:jc w:val="center"/>
              <w:rPr>
                <w:kern w:val="0"/>
                <w:szCs w:val="21"/>
              </w:rPr>
            </w:pPr>
            <w:r>
              <w:rPr>
                <w:rFonts w:hint="eastAsia" w:ascii="宋体" w:cs="宋体"/>
                <w:spacing w:val="-2"/>
                <w:kern w:val="0"/>
                <w:szCs w:val="21"/>
              </w:rPr>
              <w:t>环境保护管理制度完善；环境监测计划周全完善；配备相应的仪器设备。</w:t>
            </w:r>
          </w:p>
        </w:tc>
        <w:tc>
          <w:tcPr>
            <w:tcW w:w="4427" w:type="dxa"/>
            <w:vAlign w:val="center"/>
          </w:tcPr>
          <w:p>
            <w:pPr>
              <w:adjustRightInd w:val="0"/>
              <w:snapToGrid w:val="0"/>
              <w:jc w:val="center"/>
              <w:rPr>
                <w:kern w:val="0"/>
                <w:szCs w:val="21"/>
              </w:rPr>
            </w:pPr>
            <w:r>
              <w:rPr>
                <w:rFonts w:hint="eastAsia"/>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kinsoku w:val="0"/>
              <w:overflowPunct w:val="0"/>
              <w:autoSpaceDE w:val="0"/>
              <w:autoSpaceDN w:val="0"/>
              <w:adjustRightInd w:val="0"/>
              <w:spacing w:line="240" w:lineRule="exact"/>
              <w:ind w:left="93"/>
              <w:jc w:val="center"/>
              <w:rPr>
                <w:kern w:val="0"/>
                <w:szCs w:val="21"/>
              </w:rPr>
            </w:pPr>
            <w:r>
              <w:rPr>
                <w:rFonts w:hint="eastAsia" w:ascii="宋体" w:cs="宋体"/>
                <w:spacing w:val="-1"/>
                <w:kern w:val="0"/>
                <w:szCs w:val="21"/>
              </w:rPr>
              <w:t>环境防护距离</w:t>
            </w:r>
          </w:p>
        </w:tc>
        <w:tc>
          <w:tcPr>
            <w:tcW w:w="8930" w:type="dxa"/>
            <w:gridSpan w:val="4"/>
            <w:vAlign w:val="center"/>
          </w:tcPr>
          <w:p>
            <w:pPr>
              <w:adjustRightInd w:val="0"/>
              <w:snapToGrid w:val="0"/>
              <w:jc w:val="center"/>
              <w:rPr>
                <w:kern w:val="0"/>
                <w:szCs w:val="21"/>
              </w:rPr>
            </w:pPr>
            <w:r>
              <w:rPr>
                <w:rFonts w:hint="eastAsia" w:ascii="宋体" w:cs="宋体"/>
                <w:spacing w:val="-2"/>
                <w:kern w:val="0"/>
                <w:szCs w:val="21"/>
              </w:rPr>
              <w:t>在填埋区设置</w:t>
            </w:r>
            <w:r>
              <w:rPr>
                <w:spacing w:val="-1"/>
                <w:kern w:val="0"/>
                <w:szCs w:val="21"/>
              </w:rPr>
              <w:t>50m</w:t>
            </w:r>
            <w:r>
              <w:rPr>
                <w:spacing w:val="-4"/>
                <w:kern w:val="0"/>
                <w:szCs w:val="21"/>
              </w:rPr>
              <w:t xml:space="preserve"> </w:t>
            </w:r>
            <w:r>
              <w:rPr>
                <w:rFonts w:hint="eastAsia" w:ascii="宋体" w:cs="宋体"/>
                <w:spacing w:val="-1"/>
                <w:kern w:val="0"/>
                <w:szCs w:val="21"/>
              </w:rPr>
              <w:t>的卫生防护距离</w:t>
            </w:r>
          </w:p>
        </w:tc>
        <w:tc>
          <w:tcPr>
            <w:tcW w:w="4427" w:type="dxa"/>
            <w:vAlign w:val="center"/>
          </w:tcPr>
          <w:p>
            <w:pPr>
              <w:adjustRightInd w:val="0"/>
              <w:snapToGrid w:val="0"/>
              <w:jc w:val="center"/>
              <w:rPr>
                <w:kern w:val="0"/>
                <w:szCs w:val="21"/>
              </w:rPr>
            </w:pPr>
            <w:r>
              <w:rPr>
                <w:rFonts w:eastAsiaTheme="minorEastAsia"/>
                <w:kern w:val="0"/>
                <w:szCs w:val="21"/>
              </w:rPr>
              <w:t>/</w:t>
            </w:r>
          </w:p>
        </w:tc>
      </w:tr>
    </w:tbl>
    <w:p>
      <w:pPr>
        <w:adjustRightInd w:val="0"/>
        <w:snapToGrid w:val="0"/>
        <w:spacing w:line="360" w:lineRule="auto"/>
        <w:ind w:firstLine="480" w:firstLineChars="200"/>
        <w:rPr>
          <w:sz w:val="24"/>
          <w:szCs w:val="24"/>
        </w:rPr>
        <w:sectPr>
          <w:headerReference r:id="rId30" w:type="default"/>
          <w:pgSz w:w="16838" w:h="11906" w:orient="landscape"/>
          <w:pgMar w:top="1797" w:right="1440" w:bottom="1797" w:left="1440" w:header="851" w:footer="992" w:gutter="0"/>
          <w:cols w:space="425" w:num="1"/>
          <w:docGrid w:type="linesAndChars" w:linePitch="312" w:charSpace="0"/>
        </w:sectPr>
      </w:pPr>
    </w:p>
    <w:bookmarkEnd w:id="178"/>
    <w:p>
      <w:pPr>
        <w:keepNext/>
        <w:keepLines/>
        <w:numPr>
          <w:ilvl w:val="0"/>
          <w:numId w:val="5"/>
        </w:numPr>
        <w:snapToGrid w:val="0"/>
        <w:spacing w:before="50" w:after="50" w:line="360" w:lineRule="auto"/>
        <w:jc w:val="center"/>
        <w:outlineLvl w:val="0"/>
        <w:rPr>
          <w:b/>
          <w:bCs/>
          <w:kern w:val="44"/>
          <w:sz w:val="32"/>
          <w:szCs w:val="32"/>
        </w:rPr>
      </w:pPr>
      <w:bookmarkStart w:id="183" w:name="_Toc518026003"/>
      <w:bookmarkStart w:id="184" w:name="_Toc94101250"/>
      <w:r>
        <w:rPr>
          <w:b/>
          <w:bCs/>
          <w:kern w:val="44"/>
          <w:sz w:val="32"/>
          <w:szCs w:val="32"/>
        </w:rPr>
        <w:t>结论与建议</w:t>
      </w:r>
      <w:bookmarkEnd w:id="183"/>
      <w:bookmarkEnd w:id="184"/>
    </w:p>
    <w:p>
      <w:pPr>
        <w:pStyle w:val="61"/>
        <w:numPr>
          <w:ilvl w:val="1"/>
          <w:numId w:val="5"/>
        </w:numPr>
        <w:spacing w:beforeLines="0" w:afterLines="0"/>
        <w:ind w:left="569" w:hanging="569" w:hangingChars="189"/>
        <w:rPr>
          <w:rFonts w:ascii="Times New Roman" w:hAnsi="Times New Roman"/>
        </w:rPr>
      </w:pPr>
      <w:bookmarkStart w:id="185" w:name="_Toc518026005"/>
      <w:bookmarkStart w:id="186" w:name="_Toc94101251"/>
      <w:r>
        <w:rPr>
          <w:rFonts w:ascii="Times New Roman" w:hAnsi="Times New Roman"/>
        </w:rPr>
        <w:t>项目概况</w:t>
      </w:r>
      <w:bookmarkEnd w:id="185"/>
      <w:bookmarkEnd w:id="186"/>
    </w:p>
    <w:p>
      <w:pPr>
        <w:adjustRightInd w:val="0"/>
        <w:snapToGrid w:val="0"/>
        <w:spacing w:line="360" w:lineRule="auto"/>
        <w:ind w:firstLine="480" w:firstLineChars="200"/>
        <w:rPr>
          <w:sz w:val="24"/>
          <w:szCs w:val="21"/>
        </w:rPr>
      </w:pPr>
      <w:r>
        <w:rPr>
          <w:sz w:val="24"/>
          <w:szCs w:val="21"/>
        </w:rPr>
        <w:t>围场满族蒙古族自治县静脉产业园飞灰填埋场项目位于</w:t>
      </w:r>
      <w:r>
        <w:rPr>
          <w:rFonts w:hint="eastAsia"/>
          <w:sz w:val="24"/>
          <w:szCs w:val="21"/>
        </w:rPr>
        <w:t>河北省承德市围场满族蒙古族自治县龙头山镇龙头山村烟囱水大沟，</w:t>
      </w:r>
      <w:r>
        <w:rPr>
          <w:rFonts w:hint="eastAsia"/>
          <w:spacing w:val="4"/>
          <w:sz w:val="24"/>
          <w:szCs w:val="28"/>
        </w:rPr>
        <w:t>场址紧邻围场满族蒙古族自治县静脉产业园生活垃圾焚烧发电厂。</w:t>
      </w:r>
      <w:r>
        <w:rPr>
          <w:spacing w:val="4"/>
          <w:sz w:val="24"/>
          <w:szCs w:val="28"/>
        </w:rPr>
        <w:t>中心地理坐标为东经117.7068078671</w:t>
      </w:r>
      <w:r>
        <w:rPr>
          <w:rFonts w:hint="eastAsia"/>
          <w:spacing w:val="4"/>
          <w:sz w:val="24"/>
          <w:szCs w:val="28"/>
        </w:rPr>
        <w:t>°</w:t>
      </w:r>
      <w:r>
        <w:rPr>
          <w:spacing w:val="4"/>
          <w:sz w:val="24"/>
          <w:szCs w:val="28"/>
        </w:rPr>
        <w:t>，北纬41.9962995546</w:t>
      </w:r>
      <w:r>
        <w:rPr>
          <w:rFonts w:hint="eastAsia"/>
          <w:spacing w:val="4"/>
          <w:sz w:val="24"/>
          <w:szCs w:val="28"/>
        </w:rPr>
        <w:t>°</w:t>
      </w:r>
    </w:p>
    <w:p>
      <w:pPr>
        <w:adjustRightInd w:val="0"/>
        <w:snapToGrid w:val="0"/>
        <w:spacing w:line="360" w:lineRule="auto"/>
        <w:ind w:firstLine="496" w:firstLineChars="200"/>
        <w:rPr>
          <w:spacing w:val="4"/>
          <w:sz w:val="24"/>
        </w:rPr>
      </w:pPr>
      <w:r>
        <w:rPr>
          <w:rFonts w:hint="eastAsia"/>
          <w:spacing w:val="4"/>
          <w:sz w:val="24"/>
        </w:rPr>
        <w:t>填埋场总</w:t>
      </w:r>
      <w:r>
        <w:rPr>
          <w:spacing w:val="4"/>
          <w:sz w:val="24"/>
        </w:rPr>
        <w:t>占地面积</w:t>
      </w:r>
      <w:r>
        <w:rPr>
          <w:rFonts w:hint="eastAsia"/>
          <w:spacing w:val="4"/>
          <w:sz w:val="24"/>
        </w:rPr>
        <w:t>约</w:t>
      </w:r>
      <w:r>
        <w:rPr>
          <w:spacing w:val="4"/>
          <w:sz w:val="24"/>
        </w:rPr>
        <w:t>45</w:t>
      </w:r>
      <w:r>
        <w:rPr>
          <w:rFonts w:hint="eastAsia"/>
          <w:spacing w:val="4"/>
          <w:sz w:val="24"/>
        </w:rPr>
        <w:t>亩，其中库区占地</w:t>
      </w:r>
      <w:r>
        <w:rPr>
          <w:spacing w:val="4"/>
          <w:sz w:val="24"/>
        </w:rPr>
        <w:t>41.5</w:t>
      </w:r>
      <w:r>
        <w:rPr>
          <w:rFonts w:hint="eastAsia"/>
          <w:spacing w:val="4"/>
          <w:sz w:val="24"/>
        </w:rPr>
        <w:t>亩，管理区占地3.5亩。飞灰填埋区容积为20</w:t>
      </w:r>
      <w:r>
        <w:rPr>
          <w:spacing w:val="4"/>
          <w:sz w:val="24"/>
        </w:rPr>
        <w:t>万m</w:t>
      </w:r>
      <w:r>
        <w:rPr>
          <w:spacing w:val="4"/>
          <w:sz w:val="24"/>
          <w:vertAlign w:val="superscript"/>
        </w:rPr>
        <w:t>3</w:t>
      </w:r>
      <w:r>
        <w:rPr>
          <w:rFonts w:hint="eastAsia"/>
          <w:spacing w:val="4"/>
          <w:sz w:val="24"/>
        </w:rPr>
        <w:t>，</w:t>
      </w:r>
      <w:r>
        <w:rPr>
          <w:spacing w:val="4"/>
          <w:sz w:val="24"/>
        </w:rPr>
        <w:t>使用年限</w:t>
      </w:r>
      <w:r>
        <w:rPr>
          <w:rFonts w:hint="eastAsia"/>
          <w:spacing w:val="4"/>
          <w:sz w:val="24"/>
        </w:rPr>
        <w:t>30</w:t>
      </w:r>
      <w:r>
        <w:rPr>
          <w:spacing w:val="4"/>
          <w:sz w:val="24"/>
        </w:rPr>
        <w:t>年</w:t>
      </w:r>
      <w:r>
        <w:rPr>
          <w:rFonts w:hint="eastAsia"/>
          <w:spacing w:val="4"/>
          <w:sz w:val="24"/>
        </w:rPr>
        <w:t>。主要建设内容包括飞灰填埋库、防渗系统、渗滤液收集及导排系统等。</w:t>
      </w:r>
      <w:r>
        <w:rPr>
          <w:spacing w:val="4"/>
          <w:sz w:val="24"/>
        </w:rPr>
        <w:t>使用年限</w:t>
      </w:r>
      <w:r>
        <w:rPr>
          <w:rFonts w:hint="eastAsia"/>
          <w:spacing w:val="4"/>
          <w:sz w:val="24"/>
        </w:rPr>
        <w:t>30</w:t>
      </w:r>
      <w:r>
        <w:rPr>
          <w:spacing w:val="4"/>
          <w:sz w:val="24"/>
        </w:rPr>
        <w:t>年</w:t>
      </w:r>
      <w:r>
        <w:rPr>
          <w:rFonts w:hint="eastAsia"/>
          <w:spacing w:val="4"/>
          <w:sz w:val="24"/>
        </w:rPr>
        <w:t>；填埋规模19.88t/d。</w:t>
      </w:r>
    </w:p>
    <w:p>
      <w:pPr>
        <w:adjustRightInd w:val="0"/>
        <w:snapToGrid w:val="0"/>
        <w:spacing w:line="360" w:lineRule="auto"/>
        <w:ind w:firstLine="480" w:firstLineChars="200"/>
        <w:rPr>
          <w:sz w:val="24"/>
        </w:rPr>
      </w:pPr>
      <w:r>
        <w:rPr>
          <w:sz w:val="24"/>
        </w:rPr>
        <w:t>项目建成后服务范围为</w:t>
      </w:r>
      <w:r>
        <w:rPr>
          <w:rFonts w:hint="eastAsia"/>
          <w:sz w:val="24"/>
        </w:rPr>
        <w:t>：</w:t>
      </w:r>
      <w:r>
        <w:rPr>
          <w:rFonts w:hint="eastAsia"/>
          <w:bCs/>
          <w:sz w:val="24"/>
        </w:rPr>
        <w:t>围场满族蒙古族自治县静脉产业园生活垃圾焚烧发项目产生的生活垃圾焚烧固化稳定化后的飞灰和围场县在建的10座垃圾热解焚烧炉产生的固化后飞灰。</w:t>
      </w:r>
    </w:p>
    <w:p>
      <w:pPr>
        <w:pStyle w:val="77"/>
        <w:adjustRightInd w:val="0"/>
        <w:snapToGrid w:val="0"/>
        <w:ind w:firstLine="480" w:firstLineChars="200"/>
        <w:rPr>
          <w:color w:val="auto"/>
        </w:rPr>
      </w:pPr>
      <w:r>
        <w:rPr>
          <w:color w:val="auto"/>
        </w:rPr>
        <w:t>本项目总投资</w:t>
      </w:r>
      <w:r>
        <w:rPr>
          <w:rFonts w:hint="eastAsia"/>
          <w:color w:val="auto"/>
        </w:rPr>
        <w:t>3825.45</w:t>
      </w:r>
      <w:r>
        <w:rPr>
          <w:color w:val="auto"/>
        </w:rPr>
        <w:t>万元，其中环保投资1378.5万元，占项目总投资的</w:t>
      </w:r>
      <w:r>
        <w:rPr>
          <w:rFonts w:hint="eastAsia"/>
          <w:color w:val="auto"/>
        </w:rPr>
        <w:t>36</w:t>
      </w:r>
      <w:r>
        <w:rPr>
          <w:color w:val="auto"/>
        </w:rPr>
        <w:t>%。</w:t>
      </w:r>
    </w:p>
    <w:p>
      <w:pPr>
        <w:pStyle w:val="61"/>
        <w:numPr>
          <w:ilvl w:val="1"/>
          <w:numId w:val="5"/>
        </w:numPr>
        <w:spacing w:beforeLines="0" w:afterLines="0"/>
        <w:ind w:left="569" w:hanging="569" w:hangingChars="189"/>
        <w:rPr>
          <w:rFonts w:ascii="Times New Roman" w:hAnsi="Times New Roman"/>
        </w:rPr>
      </w:pPr>
      <w:bookmarkStart w:id="187" w:name="_Toc94101252"/>
      <w:r>
        <w:rPr>
          <w:rFonts w:ascii="Times New Roman" w:hAnsi="Times New Roman"/>
        </w:rPr>
        <w:t>产业政策符合性结论</w:t>
      </w:r>
      <w:bookmarkEnd w:id="187"/>
    </w:p>
    <w:p>
      <w:pPr>
        <w:adjustRightInd w:val="0"/>
        <w:snapToGrid w:val="0"/>
        <w:spacing w:line="360" w:lineRule="auto"/>
        <w:ind w:firstLine="480" w:firstLineChars="200"/>
        <w:rPr>
          <w:sz w:val="24"/>
          <w:szCs w:val="28"/>
        </w:rPr>
      </w:pPr>
      <w:r>
        <w:rPr>
          <w:sz w:val="24"/>
          <w:szCs w:val="28"/>
        </w:rPr>
        <w:t>根据《产业结构调整指导目录（2019年本）》</w:t>
      </w:r>
      <w:r>
        <w:rPr>
          <w:rFonts w:hint="eastAsia"/>
          <w:sz w:val="24"/>
          <w:szCs w:val="28"/>
        </w:rPr>
        <w:t>，</w:t>
      </w:r>
      <w:r>
        <w:rPr>
          <w:sz w:val="24"/>
          <w:szCs w:val="28"/>
        </w:rPr>
        <w:t>本项目</w:t>
      </w:r>
      <w:r>
        <w:rPr>
          <w:rFonts w:hint="eastAsia"/>
          <w:sz w:val="24"/>
          <w:szCs w:val="28"/>
        </w:rPr>
        <w:t>为固化稳定化飞灰无害化处理工程，属于名录中第四十三“环境保护与资源节约综合利用”中 20“城镇垃圾、农村生活垃圾、农村生活污水、污泥及其他固体废弃物减量化、资源化、无害化处理和综合利用工程”项目，属于鼓励类项目。</w:t>
      </w:r>
      <w:r>
        <w:rPr>
          <w:sz w:val="24"/>
          <w:szCs w:val="28"/>
        </w:rPr>
        <w:t>不属于《河北省限制类和淘汰类产业目录（2015年版）》中限制类和淘汰类项目。</w:t>
      </w:r>
      <w:r>
        <w:rPr>
          <w:rFonts w:hint="eastAsia"/>
          <w:sz w:val="24"/>
          <w:szCs w:val="28"/>
        </w:rPr>
        <w:t>因此本项目符合国家及地方产业政策要求。</w:t>
      </w:r>
    </w:p>
    <w:p>
      <w:pPr>
        <w:pStyle w:val="20"/>
        <w:adjustRightInd w:val="0"/>
        <w:snapToGrid w:val="0"/>
        <w:spacing w:after="0" w:line="360" w:lineRule="auto"/>
        <w:ind w:firstLine="496" w:firstLineChars="200"/>
        <w:rPr>
          <w:spacing w:val="4"/>
          <w:sz w:val="24"/>
          <w:szCs w:val="28"/>
        </w:rPr>
      </w:pPr>
      <w:r>
        <w:rPr>
          <w:spacing w:val="4"/>
          <w:sz w:val="24"/>
          <w:szCs w:val="28"/>
        </w:rPr>
        <w:t>本项目与其他环保规划、专项规划等不存在明显的冲突问题，符合国家及地方的相关环保规划要求。</w:t>
      </w:r>
    </w:p>
    <w:p>
      <w:pPr>
        <w:pStyle w:val="61"/>
        <w:numPr>
          <w:ilvl w:val="1"/>
          <w:numId w:val="5"/>
        </w:numPr>
        <w:spacing w:beforeLines="0" w:afterLines="0"/>
        <w:ind w:left="569" w:hanging="569" w:hangingChars="189"/>
        <w:rPr>
          <w:rFonts w:ascii="Times New Roman" w:hAnsi="Times New Roman"/>
        </w:rPr>
      </w:pPr>
      <w:bookmarkStart w:id="188" w:name="_Toc94101253"/>
      <w:r>
        <w:rPr>
          <w:rFonts w:ascii="Times New Roman" w:hAnsi="Times New Roman"/>
        </w:rPr>
        <w:t>项目选址合理性结论</w:t>
      </w:r>
      <w:bookmarkEnd w:id="188"/>
    </w:p>
    <w:p>
      <w:pPr>
        <w:pStyle w:val="188"/>
        <w:ind w:firstLine="480"/>
        <w:rPr>
          <w:rFonts w:cs="Times New Roman"/>
        </w:rPr>
      </w:pPr>
      <w:r>
        <w:rPr>
          <w:rFonts w:cs="Times New Roman"/>
          <w:lang w:bidi="zh-CN"/>
        </w:rPr>
        <w:t>本项目选址符合</w:t>
      </w:r>
      <w:r>
        <w:rPr>
          <w:rFonts w:cs="Times New Roman"/>
          <w:lang w:val="en-US" w:bidi="zh-CN"/>
        </w:rPr>
        <w:t>《生活垃圾填埋场污染控制标准》（GB16889-2008）、《生活垃圾卫生填埋处理技术规范》（GB50869-2013）及《生活垃圾卫生填埋处理工程项目建设标准》（建标[2009]51号文）和</w:t>
      </w:r>
      <w:r>
        <w:rPr>
          <w:rFonts w:hint="eastAsia" w:cs="Times New Roman"/>
          <w:lang w:val="en-US" w:bidi="zh-CN"/>
        </w:rPr>
        <w:t>《一般工业固体废物贮存和填埋污染控制标准》（GB18599-2020）</w:t>
      </w:r>
      <w:r>
        <w:rPr>
          <w:rFonts w:cs="Times New Roman"/>
          <w:lang w:bidi="zh-CN"/>
        </w:rPr>
        <w:t>等文件选址要求，符合当地城乡建设总体规划，符合国家土地政策。项目评价范围内无重点保护的文化遗址、风景区；所在区域有良好的道路交通条件；项目采取了完善的污染防治措施，不会对周围环境产生明显影响；所在区域不属于城市建成区；环境质量满足功能区划要求，不涉及自然保护区和生态红线。</w:t>
      </w:r>
      <w:r>
        <w:rPr>
          <w:rFonts w:cs="Times New Roman"/>
        </w:rPr>
        <w:t>项目300m</w:t>
      </w:r>
      <w:r>
        <w:rPr>
          <w:rFonts w:hint="eastAsia" w:cs="Times New Roman"/>
        </w:rPr>
        <w:t>范围</w:t>
      </w:r>
      <w:r>
        <w:rPr>
          <w:rFonts w:cs="Times New Roman"/>
        </w:rPr>
        <w:t>内无居民区、风景名胜区和文物遗迹等需要特殊保护的敏感目标。</w:t>
      </w:r>
    </w:p>
    <w:p>
      <w:pPr>
        <w:pStyle w:val="188"/>
        <w:ind w:firstLine="480"/>
        <w:rPr>
          <w:lang w:bidi="zh-CN"/>
        </w:rPr>
      </w:pPr>
      <w:r>
        <w:rPr>
          <w:lang w:bidi="zh-CN"/>
        </w:rPr>
        <w:t>拟选场址符合用地规划，交通运输条件便利，项目所在区域环境有一定容量，工程投产后对环境的影响较小，满足防护距离要求，环境风险在可接受范围之内。因此，项目场址选择可行。</w:t>
      </w:r>
    </w:p>
    <w:p>
      <w:pPr>
        <w:pStyle w:val="61"/>
        <w:numPr>
          <w:ilvl w:val="1"/>
          <w:numId w:val="5"/>
        </w:numPr>
        <w:spacing w:beforeLines="0" w:afterLines="0"/>
        <w:ind w:left="569" w:hanging="569" w:hangingChars="189"/>
        <w:rPr>
          <w:rFonts w:ascii="Times New Roman" w:hAnsi="Times New Roman"/>
        </w:rPr>
      </w:pPr>
      <w:bookmarkStart w:id="189" w:name="_Toc94101254"/>
      <w:r>
        <w:rPr>
          <w:rFonts w:ascii="Times New Roman" w:hAnsi="Times New Roman"/>
        </w:rPr>
        <w:t>环境质量现状结论</w:t>
      </w:r>
      <w:bookmarkEnd w:id="189"/>
    </w:p>
    <w:p>
      <w:pPr>
        <w:pStyle w:val="20"/>
        <w:adjustRightInd w:val="0"/>
        <w:snapToGrid w:val="0"/>
        <w:spacing w:after="0" w:line="360" w:lineRule="auto"/>
        <w:ind w:firstLine="482" w:firstLineChars="200"/>
        <w:rPr>
          <w:b/>
          <w:sz w:val="24"/>
          <w:szCs w:val="24"/>
        </w:rPr>
      </w:pPr>
      <w:r>
        <w:rPr>
          <w:b/>
          <w:sz w:val="24"/>
          <w:szCs w:val="24"/>
        </w:rPr>
        <w:t>（1）环境空气质量现状</w:t>
      </w:r>
    </w:p>
    <w:p>
      <w:pPr>
        <w:adjustRightInd w:val="0"/>
        <w:snapToGrid w:val="0"/>
        <w:spacing w:line="360" w:lineRule="auto"/>
        <w:ind w:firstLine="480" w:firstLineChars="200"/>
        <w:rPr>
          <w:sz w:val="24"/>
          <w:szCs w:val="24"/>
        </w:rPr>
      </w:pPr>
      <w:r>
        <w:rPr>
          <w:rFonts w:hint="eastAsia"/>
          <w:bCs/>
          <w:sz w:val="24"/>
          <w:szCs w:val="24"/>
        </w:rPr>
        <w:t>根据承德市生态环境局《2</w:t>
      </w:r>
      <w:r>
        <w:rPr>
          <w:bCs/>
          <w:sz w:val="24"/>
          <w:szCs w:val="24"/>
        </w:rPr>
        <w:t>019</w:t>
      </w:r>
      <w:r>
        <w:rPr>
          <w:rFonts w:hint="eastAsia"/>
          <w:bCs/>
          <w:sz w:val="24"/>
          <w:szCs w:val="24"/>
        </w:rPr>
        <w:t>年承德市生态环境状况公报》</w:t>
      </w:r>
      <w:r>
        <w:rPr>
          <w:sz w:val="24"/>
          <w:szCs w:val="24"/>
        </w:rPr>
        <w:t>可知，项目区域为环境空气质量达标区；</w:t>
      </w:r>
      <w:r>
        <w:rPr>
          <w:bCs/>
          <w:sz w:val="24"/>
          <w:szCs w:val="24"/>
        </w:rPr>
        <w:t>臭气浓度</w:t>
      </w:r>
      <w:r>
        <w:rPr>
          <w:rFonts w:hint="eastAsia"/>
          <w:bCs/>
          <w:sz w:val="24"/>
          <w:szCs w:val="24"/>
        </w:rPr>
        <w:t>满足</w:t>
      </w:r>
      <w:r>
        <w:rPr>
          <w:bCs/>
          <w:sz w:val="24"/>
          <w:szCs w:val="24"/>
        </w:rPr>
        <w:t>《恶臭污染物排放标准》（GB14554-93）</w:t>
      </w:r>
      <w:r>
        <w:rPr>
          <w:rFonts w:hint="eastAsia"/>
          <w:bCs/>
          <w:sz w:val="24"/>
          <w:szCs w:val="24"/>
        </w:rPr>
        <w:t>表1恶臭污染物厂界标准值（新扩改建）二级标准值，空气质量良好。</w:t>
      </w:r>
    </w:p>
    <w:p>
      <w:pPr>
        <w:pStyle w:val="20"/>
        <w:adjustRightInd w:val="0"/>
        <w:snapToGrid w:val="0"/>
        <w:spacing w:after="0" w:line="360" w:lineRule="auto"/>
        <w:ind w:firstLine="482" w:firstLineChars="200"/>
        <w:rPr>
          <w:b/>
          <w:sz w:val="24"/>
          <w:szCs w:val="24"/>
        </w:rPr>
      </w:pPr>
      <w:r>
        <w:rPr>
          <w:b/>
          <w:sz w:val="24"/>
          <w:szCs w:val="24"/>
        </w:rPr>
        <w:t>（2）水环境质量现状</w:t>
      </w:r>
    </w:p>
    <w:p>
      <w:pPr>
        <w:adjustRightInd w:val="0"/>
        <w:snapToGrid w:val="0"/>
        <w:spacing w:line="360" w:lineRule="auto"/>
        <w:ind w:firstLine="480" w:firstLineChars="200"/>
        <w:rPr>
          <w:sz w:val="24"/>
          <w:szCs w:val="24"/>
        </w:rPr>
      </w:pPr>
      <w:r>
        <w:rPr>
          <w:rFonts w:hint="eastAsia"/>
          <w:bCs/>
          <w:sz w:val="24"/>
          <w:szCs w:val="24"/>
        </w:rPr>
        <w:t>根据承德市生态环境局《2</w:t>
      </w:r>
      <w:r>
        <w:rPr>
          <w:bCs/>
          <w:sz w:val="24"/>
          <w:szCs w:val="24"/>
        </w:rPr>
        <w:t>020</w:t>
      </w:r>
      <w:r>
        <w:rPr>
          <w:rFonts w:hint="eastAsia"/>
          <w:bCs/>
          <w:sz w:val="24"/>
          <w:szCs w:val="24"/>
        </w:rPr>
        <w:t>年承德市生态环境状况公报》，伊逊河地表水常规监测断面——“围场上游”常规监测断面，位于本项目附近河道上游</w:t>
      </w:r>
      <w:r>
        <w:rPr>
          <w:bCs/>
          <w:sz w:val="24"/>
          <w:szCs w:val="24"/>
        </w:rPr>
        <w:t>5</w:t>
      </w:r>
      <w:r>
        <w:rPr>
          <w:rFonts w:hint="eastAsia"/>
          <w:bCs/>
          <w:sz w:val="24"/>
          <w:szCs w:val="24"/>
        </w:rPr>
        <w:t>km处，该段面伊逊河水质达到《地表水环境质量标准》（GB3838-2002）Ⅱ类标准。</w:t>
      </w:r>
    </w:p>
    <w:p>
      <w:pPr>
        <w:adjustRightInd w:val="0"/>
        <w:snapToGrid w:val="0"/>
        <w:spacing w:line="360" w:lineRule="auto"/>
        <w:ind w:firstLine="480" w:firstLineChars="200"/>
        <w:rPr>
          <w:sz w:val="24"/>
          <w:szCs w:val="24"/>
        </w:rPr>
      </w:pPr>
      <w:r>
        <w:rPr>
          <w:sz w:val="24"/>
          <w:szCs w:val="24"/>
        </w:rPr>
        <w:t>地下水环境质量现状监测表明：项目区域</w:t>
      </w:r>
      <w:r>
        <w:rPr>
          <w:rFonts w:hint="eastAsia"/>
          <w:sz w:val="24"/>
          <w:szCs w:val="24"/>
        </w:rPr>
        <w:t>各</w:t>
      </w:r>
      <w:r>
        <w:rPr>
          <w:sz w:val="24"/>
          <w:szCs w:val="24"/>
        </w:rPr>
        <w:t>监测因子均符合《地下水质量标准》（GB/T14848-2017）Ⅲ类标准。</w:t>
      </w:r>
    </w:p>
    <w:p>
      <w:pPr>
        <w:pStyle w:val="141"/>
        <w:adjustRightInd w:val="0"/>
        <w:snapToGrid w:val="0"/>
        <w:ind w:firstLine="482"/>
        <w:rPr>
          <w:b/>
        </w:rPr>
      </w:pPr>
      <w:r>
        <w:rPr>
          <w:b/>
        </w:rPr>
        <w:t>（3）声环境质量现状</w:t>
      </w:r>
    </w:p>
    <w:p>
      <w:pPr>
        <w:adjustRightInd w:val="0"/>
        <w:snapToGrid w:val="0"/>
        <w:spacing w:line="360" w:lineRule="auto"/>
        <w:ind w:firstLine="480" w:firstLineChars="200"/>
        <w:rPr>
          <w:bCs/>
          <w:sz w:val="24"/>
          <w:szCs w:val="24"/>
        </w:rPr>
      </w:pPr>
      <w:r>
        <w:rPr>
          <w:bCs/>
          <w:sz w:val="24"/>
          <w:szCs w:val="24"/>
        </w:rPr>
        <w:t>根据声环境现状监测，</w:t>
      </w:r>
      <w:r>
        <w:rPr>
          <w:rFonts w:hint="eastAsia"/>
          <w:bCs/>
          <w:sz w:val="24"/>
          <w:szCs w:val="24"/>
        </w:rPr>
        <w:t>场界四周</w:t>
      </w:r>
      <w:r>
        <w:rPr>
          <w:bCs/>
          <w:sz w:val="24"/>
          <w:szCs w:val="24"/>
        </w:rPr>
        <w:t>各监测点昼间及夜间声级值均满足《声环境质量标准》（GB3096-2008）中2类标准要求。</w:t>
      </w:r>
    </w:p>
    <w:p>
      <w:pPr>
        <w:pStyle w:val="141"/>
        <w:adjustRightInd w:val="0"/>
        <w:snapToGrid w:val="0"/>
        <w:ind w:firstLine="482"/>
        <w:rPr>
          <w:b/>
        </w:rPr>
      </w:pPr>
      <w:r>
        <w:rPr>
          <w:b/>
        </w:rPr>
        <w:t>（4）土壤环境质量现状</w:t>
      </w:r>
    </w:p>
    <w:p>
      <w:pPr>
        <w:spacing w:line="360" w:lineRule="auto"/>
        <w:ind w:firstLine="480" w:firstLineChars="200"/>
        <w:rPr>
          <w:sz w:val="24"/>
          <w:szCs w:val="24"/>
        </w:rPr>
      </w:pPr>
      <w:r>
        <w:rPr>
          <w:sz w:val="24"/>
          <w:szCs w:val="24"/>
        </w:rPr>
        <w:t>根据土壤监测数据，</w:t>
      </w:r>
      <w:r>
        <w:rPr>
          <w:rFonts w:hint="eastAsia"/>
          <w:sz w:val="24"/>
          <w:szCs w:val="24"/>
        </w:rPr>
        <w:t>场</w:t>
      </w:r>
      <w:r>
        <w:rPr>
          <w:sz w:val="24"/>
          <w:szCs w:val="24"/>
        </w:rPr>
        <w:t>区内各监测点中监测因子均能满足</w:t>
      </w:r>
      <w:r>
        <w:rPr>
          <w:bCs/>
          <w:sz w:val="24"/>
          <w:szCs w:val="24"/>
        </w:rPr>
        <w:t>《</w:t>
      </w:r>
      <w:r>
        <w:rPr>
          <w:rFonts w:hint="eastAsia"/>
          <w:bCs/>
          <w:sz w:val="24"/>
          <w:szCs w:val="24"/>
        </w:rPr>
        <w:t>河北省建设用地土壤污染风险筛选值</w:t>
      </w:r>
      <w:r>
        <w:rPr>
          <w:bCs/>
          <w:sz w:val="24"/>
          <w:szCs w:val="24"/>
        </w:rPr>
        <w:t>》（</w:t>
      </w:r>
      <w:r>
        <w:rPr>
          <w:rFonts w:hint="eastAsia"/>
          <w:bCs/>
          <w:sz w:val="24"/>
          <w:szCs w:val="24"/>
        </w:rPr>
        <w:t>DB</w:t>
      </w:r>
      <w:r>
        <w:rPr>
          <w:bCs/>
          <w:sz w:val="24"/>
          <w:szCs w:val="24"/>
        </w:rPr>
        <w:t>13/</w:t>
      </w:r>
      <w:r>
        <w:rPr>
          <w:rFonts w:hint="eastAsia"/>
          <w:bCs/>
          <w:sz w:val="24"/>
          <w:szCs w:val="24"/>
        </w:rPr>
        <w:t>T</w:t>
      </w:r>
      <w:r>
        <w:rPr>
          <w:bCs/>
          <w:sz w:val="24"/>
          <w:szCs w:val="24"/>
        </w:rPr>
        <w:t>5216-2020）表1中第二类用地筛选值标准</w:t>
      </w:r>
      <w:r>
        <w:rPr>
          <w:rFonts w:hint="eastAsia"/>
          <w:bCs/>
          <w:sz w:val="24"/>
          <w:szCs w:val="24"/>
        </w:rPr>
        <w:t>、</w:t>
      </w:r>
      <w:r>
        <w:rPr>
          <w:sz w:val="24"/>
          <w:szCs w:val="24"/>
        </w:rPr>
        <w:t>《土壤环境质量 建设用地土壤污染风险管控标准（试行）》（GB36600-2018）表1和表2第二类建设用地土壤污染风险筛选值</w:t>
      </w:r>
      <w:r>
        <w:rPr>
          <w:bCs/>
          <w:sz w:val="24"/>
          <w:szCs w:val="24"/>
        </w:rPr>
        <w:t>要求。</w:t>
      </w:r>
      <w:r>
        <w:rPr>
          <w:rFonts w:hint="eastAsia"/>
          <w:bCs/>
          <w:sz w:val="24"/>
          <w:szCs w:val="24"/>
        </w:rPr>
        <w:t>厂区周边</w:t>
      </w:r>
      <w:r>
        <w:rPr>
          <w:bCs/>
          <w:sz w:val="24"/>
          <w:szCs w:val="24"/>
        </w:rPr>
        <w:t>土壤环境</w:t>
      </w:r>
      <w:r>
        <w:rPr>
          <w:rFonts w:hint="eastAsia"/>
          <w:bCs/>
          <w:sz w:val="24"/>
          <w:szCs w:val="24"/>
        </w:rPr>
        <w:t>满足</w:t>
      </w:r>
      <w:r>
        <w:rPr>
          <w:bCs/>
          <w:sz w:val="24"/>
          <w:szCs w:val="24"/>
        </w:rPr>
        <w:t>《土壤环境质量农用地土壤污染风险管控标准》（试行）（GB15618-2018）表1标准</w:t>
      </w:r>
      <w:r>
        <w:rPr>
          <w:rFonts w:hint="eastAsia"/>
          <w:sz w:val="24"/>
          <w:szCs w:val="24"/>
        </w:rPr>
        <w:t>，</w:t>
      </w:r>
      <w:r>
        <w:rPr>
          <w:sz w:val="24"/>
          <w:szCs w:val="24"/>
        </w:rPr>
        <w:t>土壤环境质量整体良好。</w:t>
      </w:r>
    </w:p>
    <w:p>
      <w:pPr>
        <w:adjustRightInd w:val="0"/>
        <w:snapToGrid w:val="0"/>
        <w:spacing w:line="360" w:lineRule="auto"/>
        <w:ind w:firstLine="480" w:firstLineChars="200"/>
        <w:rPr>
          <w:sz w:val="24"/>
          <w:szCs w:val="24"/>
        </w:rPr>
      </w:pPr>
      <w:r>
        <w:rPr>
          <w:sz w:val="24"/>
          <w:szCs w:val="24"/>
        </w:rPr>
        <w:t>评价区域内没有重点文物等保护单位、自然保护区、风景名胜区和珍稀动植物资源等，没有特殊环境敏感点。</w:t>
      </w:r>
    </w:p>
    <w:p>
      <w:pPr>
        <w:pStyle w:val="61"/>
        <w:numPr>
          <w:ilvl w:val="1"/>
          <w:numId w:val="5"/>
        </w:numPr>
        <w:spacing w:beforeLines="0" w:afterLines="0" w:line="240" w:lineRule="auto"/>
        <w:ind w:left="569" w:hanging="569" w:hangingChars="189"/>
        <w:rPr>
          <w:rFonts w:ascii="Times New Roman" w:hAnsi="Times New Roman"/>
        </w:rPr>
      </w:pPr>
      <w:bookmarkStart w:id="190" w:name="_Toc94101255"/>
      <w:r>
        <w:rPr>
          <w:rFonts w:ascii="Times New Roman" w:hAnsi="Times New Roman"/>
        </w:rPr>
        <w:t>环境影响评价结论</w:t>
      </w:r>
      <w:bookmarkEnd w:id="190"/>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大气环境影响</w:t>
      </w:r>
    </w:p>
    <w:p>
      <w:pPr>
        <w:adjustRightInd w:val="0"/>
        <w:snapToGrid w:val="0"/>
        <w:spacing w:line="360" w:lineRule="auto"/>
        <w:ind w:firstLine="480" w:firstLineChars="200"/>
        <w:rPr>
          <w:sz w:val="24"/>
          <w:szCs w:val="24"/>
        </w:rPr>
      </w:pPr>
      <w:r>
        <w:rPr>
          <w:sz w:val="24"/>
          <w:szCs w:val="24"/>
        </w:rPr>
        <w:t>1</w:t>
      </w:r>
      <w:r>
        <w:rPr>
          <w:rFonts w:hint="eastAsia"/>
          <w:sz w:val="24"/>
          <w:szCs w:val="24"/>
        </w:rPr>
        <w:t>、施工期</w:t>
      </w:r>
    </w:p>
    <w:p>
      <w:pPr>
        <w:adjustRightInd w:val="0"/>
        <w:snapToGrid w:val="0"/>
        <w:spacing w:line="360" w:lineRule="auto"/>
        <w:ind w:firstLine="480" w:firstLineChars="200"/>
        <w:rPr>
          <w:sz w:val="24"/>
          <w:szCs w:val="24"/>
        </w:rPr>
      </w:pPr>
      <w:r>
        <w:rPr>
          <w:rFonts w:hint="eastAsia"/>
          <w:sz w:val="24"/>
          <w:szCs w:val="24"/>
        </w:rPr>
        <w:t>施工过程中主要的大气污染源为土方开挖、搬运、倾倒等过程中产生的扬尘，以及车辆运输扬尘，其主要污染物为颗粒物。主要采取洒水降尘、遮盖等措施，由于工程距离周边敏感点较远，且施工期相对短暂，施工期的影响随着施工的结束而结束，在采取污染控制措施后，对周边环境空气质量影响不大。</w:t>
      </w:r>
    </w:p>
    <w:p>
      <w:pPr>
        <w:adjustRightInd w:val="0"/>
        <w:snapToGrid w:val="0"/>
        <w:spacing w:line="360" w:lineRule="auto"/>
        <w:ind w:firstLine="480" w:firstLineChars="200"/>
        <w:rPr>
          <w:sz w:val="24"/>
          <w:szCs w:val="24"/>
        </w:rPr>
      </w:pPr>
      <w:r>
        <w:rPr>
          <w:rFonts w:hint="eastAsia"/>
          <w:sz w:val="24"/>
          <w:szCs w:val="24"/>
        </w:rPr>
        <w:t>2、营运期</w:t>
      </w:r>
    </w:p>
    <w:p>
      <w:pPr>
        <w:adjustRightInd w:val="0"/>
        <w:snapToGrid w:val="0"/>
        <w:spacing w:line="360" w:lineRule="auto"/>
        <w:ind w:firstLine="480" w:firstLineChars="200"/>
        <w:rPr>
          <w:sz w:val="24"/>
          <w:szCs w:val="24"/>
        </w:rPr>
      </w:pPr>
      <w:r>
        <w:rPr>
          <w:rFonts w:hint="eastAsia"/>
          <w:sz w:val="24"/>
          <w:szCs w:val="24"/>
        </w:rPr>
        <w:t>营运期间主要废气污染源为固化飞灰搬运、倾倒、填埋过程中产生的扬尘。其主要污染物为颗粒物。主要采取洒水降尘、遮盖等措施，由于工程距离周边敏感点较远，且施工期相对短暂，施工期的影响随着施工的结束而结束，在采取污染控制措施后，对周边环境空气质量影响不大。本项目的环境防护距离为</w:t>
      </w:r>
      <w:r>
        <w:rPr>
          <w:sz w:val="24"/>
          <w:szCs w:val="24"/>
        </w:rPr>
        <w:t>50m</w:t>
      </w:r>
      <w:r>
        <w:rPr>
          <w:rFonts w:hint="eastAsia"/>
          <w:sz w:val="24"/>
          <w:szCs w:val="24"/>
        </w:rPr>
        <w:t>。本项目防护距离内现状</w:t>
      </w:r>
      <w:r>
        <w:rPr>
          <w:sz w:val="24"/>
          <w:szCs w:val="24"/>
        </w:rPr>
        <w:t>无基本农田、居民区、学校、医院等环境敏感目标</w:t>
      </w:r>
      <w:r>
        <w:rPr>
          <w:rFonts w:hint="eastAsia"/>
          <w:sz w:val="24"/>
          <w:szCs w:val="24"/>
        </w:rPr>
        <w:t>。环评要求</w:t>
      </w:r>
      <w:r>
        <w:rPr>
          <w:sz w:val="24"/>
          <w:szCs w:val="24"/>
        </w:rPr>
        <w:t>环境防护距离内的土地禁止建设居住点、学校、医院等敏感目标。</w:t>
      </w:r>
    </w:p>
    <w:p>
      <w:pPr>
        <w:pStyle w:val="62"/>
        <w:numPr>
          <w:ilvl w:val="2"/>
          <w:numId w:val="5"/>
        </w:numPr>
        <w:tabs>
          <w:tab w:val="left" w:pos="567"/>
        </w:tabs>
        <w:spacing w:before="156" w:after="0" w:afterLines="0"/>
        <w:ind w:left="0" w:firstLine="0"/>
        <w:rPr>
          <w:rFonts w:ascii="Times New Roman" w:hAnsi="Times New Roman"/>
        </w:rPr>
      </w:pPr>
      <w:r>
        <w:rPr>
          <w:rFonts w:hint="eastAsia" w:ascii="Times New Roman" w:hAnsi="Times New Roman"/>
        </w:rPr>
        <w:t>地表</w:t>
      </w:r>
      <w:r>
        <w:rPr>
          <w:rFonts w:ascii="Times New Roman" w:hAnsi="Times New Roman"/>
        </w:rPr>
        <w:t>水</w:t>
      </w:r>
      <w:r>
        <w:rPr>
          <w:rFonts w:hint="eastAsia" w:ascii="Times New Roman" w:hAnsi="Times New Roman"/>
        </w:rPr>
        <w:t>环境影响</w:t>
      </w:r>
    </w:p>
    <w:p>
      <w:pPr>
        <w:pStyle w:val="20"/>
        <w:snapToGrid w:val="0"/>
        <w:spacing w:line="360" w:lineRule="auto"/>
        <w:ind w:firstLine="482" w:firstLineChars="200"/>
        <w:rPr>
          <w:sz w:val="24"/>
          <w:szCs w:val="24"/>
        </w:rPr>
      </w:pPr>
      <w:r>
        <w:rPr>
          <w:b/>
          <w:bCs/>
          <w:sz w:val="24"/>
          <w:szCs w:val="24"/>
        </w:rPr>
        <w:t>1</w:t>
      </w:r>
      <w:r>
        <w:rPr>
          <w:rFonts w:hint="eastAsia"/>
          <w:b/>
          <w:bCs/>
          <w:sz w:val="24"/>
          <w:szCs w:val="24"/>
        </w:rPr>
        <w:t>、</w:t>
      </w:r>
      <w:r>
        <w:rPr>
          <w:rFonts w:hint="eastAsia"/>
          <w:sz w:val="24"/>
          <w:szCs w:val="24"/>
        </w:rPr>
        <w:t>施工期</w:t>
      </w:r>
    </w:p>
    <w:p>
      <w:pPr>
        <w:pStyle w:val="20"/>
        <w:snapToGrid w:val="0"/>
        <w:spacing w:line="360" w:lineRule="auto"/>
        <w:ind w:firstLine="480" w:firstLineChars="200"/>
        <w:rPr>
          <w:sz w:val="24"/>
          <w:szCs w:val="24"/>
        </w:rPr>
      </w:pPr>
      <w:r>
        <w:rPr>
          <w:rFonts w:hint="eastAsia"/>
          <w:sz w:val="24"/>
          <w:szCs w:val="24"/>
        </w:rPr>
        <w:t>施工期的污水主要有：施工废水、机械设备冷却水和施工生活污水。施工场地配置移动厕所，定期委托环卫部门清掏；施工废水、机械设备冷却水经隔油和沉淀后回用于砂石料冲洗，降尘洒水或汽车冲洗，均不外排。因此，施工生产废水对周围的环境影响不大。</w:t>
      </w:r>
    </w:p>
    <w:p>
      <w:pPr>
        <w:pStyle w:val="20"/>
        <w:snapToGrid w:val="0"/>
        <w:spacing w:line="360" w:lineRule="auto"/>
        <w:ind w:firstLine="482" w:firstLineChars="200"/>
        <w:rPr>
          <w:sz w:val="24"/>
          <w:szCs w:val="24"/>
        </w:rPr>
      </w:pPr>
      <w:r>
        <w:rPr>
          <w:b/>
          <w:bCs/>
          <w:sz w:val="24"/>
          <w:szCs w:val="24"/>
        </w:rPr>
        <w:t>2</w:t>
      </w:r>
      <w:r>
        <w:rPr>
          <w:rFonts w:hint="eastAsia"/>
          <w:b/>
          <w:bCs/>
          <w:sz w:val="24"/>
          <w:szCs w:val="24"/>
        </w:rPr>
        <w:t>、</w:t>
      </w:r>
      <w:r>
        <w:rPr>
          <w:rFonts w:hint="eastAsia"/>
          <w:sz w:val="24"/>
          <w:szCs w:val="24"/>
        </w:rPr>
        <w:t>营运期</w:t>
      </w:r>
    </w:p>
    <w:p>
      <w:pPr>
        <w:pStyle w:val="20"/>
        <w:snapToGrid w:val="0"/>
        <w:spacing w:line="360" w:lineRule="auto"/>
        <w:ind w:firstLine="480" w:firstLineChars="200"/>
        <w:rPr>
          <w:sz w:val="24"/>
          <w:szCs w:val="24"/>
        </w:rPr>
      </w:pPr>
      <w:r>
        <w:rPr>
          <w:rFonts w:hint="eastAsia"/>
          <w:sz w:val="24"/>
          <w:szCs w:val="24"/>
        </w:rPr>
        <w:t>本项目运营期主要水污染源为生活污水和填埋场产生的渗滤液和冲洗废水。项目排水体制采用雨污分流制。雨水由排水沟和截洪沟收集后，排入周边永久截洪沟。</w:t>
      </w:r>
      <w:bookmarkStart w:id="191" w:name="_Hlk91692138"/>
      <w:r>
        <w:rPr>
          <w:rFonts w:hint="eastAsia"/>
          <w:sz w:val="24"/>
          <w:szCs w:val="24"/>
        </w:rPr>
        <w:t>项目产生的生活污水、渗滤液、冲洗废水及初期雨水通过渗滤液处理站预处理最终泵送至围场县生活垃圾焚烧发电项目处理后全部回用，对地表水环境影响较小。</w:t>
      </w:r>
    </w:p>
    <w:bookmarkEnd w:id="191"/>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地下水环境影响</w:t>
      </w:r>
    </w:p>
    <w:p>
      <w:pPr>
        <w:pStyle w:val="20"/>
        <w:snapToGrid w:val="0"/>
        <w:spacing w:line="360" w:lineRule="auto"/>
        <w:ind w:firstLine="480" w:firstLineChars="200"/>
        <w:rPr>
          <w:sz w:val="24"/>
          <w:szCs w:val="24"/>
        </w:rPr>
      </w:pPr>
      <w:r>
        <w:rPr>
          <w:rFonts w:hint="eastAsia"/>
          <w:sz w:val="24"/>
          <w:szCs w:val="24"/>
        </w:rPr>
        <w:t>（</w:t>
      </w:r>
      <w:r>
        <w:rPr>
          <w:sz w:val="24"/>
          <w:szCs w:val="24"/>
        </w:rPr>
        <w:t>1</w:t>
      </w:r>
      <w:r>
        <w:rPr>
          <w:rFonts w:hint="eastAsia"/>
          <w:sz w:val="24"/>
          <w:szCs w:val="24"/>
        </w:rPr>
        <w:t>）在正常状况下，建设项目的工艺设备和地下水保护措施均达到《环境影响评价技术导则</w:t>
      </w:r>
      <w:r>
        <w:rPr>
          <w:sz w:val="24"/>
          <w:szCs w:val="24"/>
        </w:rPr>
        <w:t xml:space="preserve"> </w:t>
      </w:r>
      <w:r>
        <w:rPr>
          <w:rFonts w:hint="eastAsia"/>
          <w:sz w:val="24"/>
          <w:szCs w:val="24"/>
        </w:rPr>
        <w:t>地下水环境》（</w:t>
      </w:r>
      <w:r>
        <w:rPr>
          <w:sz w:val="24"/>
          <w:szCs w:val="24"/>
        </w:rPr>
        <w:t>HJ610-2016</w:t>
      </w:r>
      <w:r>
        <w:rPr>
          <w:rFonts w:hint="eastAsia"/>
          <w:sz w:val="24"/>
          <w:szCs w:val="24"/>
        </w:rPr>
        <w:t>）相关要求，填埋场封场后渗滤液在无风险发生的情况下基本无渗出，污染物从源头到末端均得到有效控制，对周边地下水环境影响较小。</w:t>
      </w:r>
    </w:p>
    <w:p>
      <w:pPr>
        <w:pStyle w:val="20"/>
        <w:snapToGrid w:val="0"/>
        <w:spacing w:line="360" w:lineRule="auto"/>
        <w:ind w:firstLine="480" w:firstLineChars="200"/>
        <w:rPr>
          <w:sz w:val="24"/>
          <w:szCs w:val="24"/>
        </w:rPr>
      </w:pPr>
      <w:r>
        <w:rPr>
          <w:rFonts w:hint="eastAsia"/>
          <w:sz w:val="24"/>
          <w:szCs w:val="24"/>
        </w:rPr>
        <w:t>（2）非正常状况下调节池中的渗滤液泄漏后，污染物向下游东南方向运移。污染物泄漏会对下游一定范围内的地下水环境造成影响，但各污染物在厂界处地下水中的浓度均满足《地下水质量标准》（GB/T14848-2017）中的Ⅲ类标准；各污染物对下游保护目标的影响较小。</w:t>
      </w:r>
    </w:p>
    <w:p>
      <w:pPr>
        <w:pStyle w:val="62"/>
        <w:numPr>
          <w:ilvl w:val="2"/>
          <w:numId w:val="5"/>
        </w:numPr>
        <w:tabs>
          <w:tab w:val="left" w:pos="567"/>
        </w:tabs>
        <w:spacing w:before="156" w:after="0" w:afterLines="0"/>
        <w:ind w:left="0" w:firstLine="0"/>
        <w:rPr>
          <w:rFonts w:ascii="Times New Roman" w:hAnsi="Times New Roman"/>
        </w:rPr>
      </w:pPr>
      <w:r>
        <w:rPr>
          <w:rFonts w:ascii="Times New Roman" w:hAnsi="Times New Roman"/>
        </w:rPr>
        <w:t>噪声</w:t>
      </w:r>
      <w:r>
        <w:rPr>
          <w:rFonts w:hint="eastAsia" w:ascii="Times New Roman" w:hAnsi="Times New Roman"/>
        </w:rPr>
        <w:t>环境影响</w:t>
      </w:r>
    </w:p>
    <w:p>
      <w:pPr>
        <w:adjustRightInd w:val="0"/>
        <w:snapToGrid w:val="0"/>
        <w:spacing w:line="360" w:lineRule="auto"/>
        <w:ind w:firstLine="480" w:firstLineChars="200"/>
        <w:rPr>
          <w:sz w:val="24"/>
          <w:szCs w:val="24"/>
        </w:rPr>
      </w:pPr>
      <w:r>
        <w:rPr>
          <w:rFonts w:hint="eastAsia"/>
          <w:sz w:val="24"/>
          <w:szCs w:val="24"/>
        </w:rPr>
        <w:t>1、施工期</w:t>
      </w:r>
    </w:p>
    <w:p>
      <w:pPr>
        <w:adjustRightInd w:val="0"/>
        <w:snapToGrid w:val="0"/>
        <w:spacing w:line="360" w:lineRule="auto"/>
        <w:ind w:firstLine="480" w:firstLineChars="200"/>
        <w:rPr>
          <w:sz w:val="24"/>
          <w:szCs w:val="24"/>
        </w:rPr>
      </w:pPr>
      <w:r>
        <w:rPr>
          <w:rFonts w:hint="eastAsia"/>
          <w:sz w:val="24"/>
          <w:szCs w:val="24"/>
        </w:rPr>
        <w:t>项目在施工过程中，施工机械噪声将成为主要噪声源。施工期应采取相应的隔声降噪措施后，能确保施工场界达到排放标准。本项目施工场界距3</w:t>
      </w:r>
      <w:r>
        <w:rPr>
          <w:sz w:val="24"/>
          <w:szCs w:val="24"/>
        </w:rPr>
        <w:t>00</w:t>
      </w:r>
      <w:r>
        <w:rPr>
          <w:rFonts w:hint="eastAsia"/>
          <w:sz w:val="24"/>
          <w:szCs w:val="24"/>
        </w:rPr>
        <w:t>m周边无环境敏感目标，因此，项目周边环境敏感目标受施工噪声影响较小。</w:t>
      </w:r>
    </w:p>
    <w:p>
      <w:pPr>
        <w:adjustRightInd w:val="0"/>
        <w:snapToGrid w:val="0"/>
        <w:spacing w:line="360" w:lineRule="auto"/>
        <w:ind w:firstLine="482" w:firstLineChars="200"/>
        <w:rPr>
          <w:sz w:val="24"/>
          <w:szCs w:val="24"/>
        </w:rPr>
      </w:pPr>
      <w:r>
        <w:rPr>
          <w:b/>
          <w:bCs/>
          <w:sz w:val="24"/>
          <w:szCs w:val="24"/>
        </w:rPr>
        <w:t>2</w:t>
      </w:r>
      <w:r>
        <w:rPr>
          <w:rFonts w:hint="eastAsia"/>
          <w:b/>
          <w:bCs/>
          <w:sz w:val="24"/>
          <w:szCs w:val="24"/>
        </w:rPr>
        <w:t>、</w:t>
      </w:r>
      <w:r>
        <w:rPr>
          <w:rFonts w:hint="eastAsia"/>
          <w:sz w:val="24"/>
          <w:szCs w:val="24"/>
        </w:rPr>
        <w:t>营运期</w:t>
      </w:r>
    </w:p>
    <w:p>
      <w:pPr>
        <w:adjustRightInd w:val="0"/>
        <w:snapToGrid w:val="0"/>
        <w:spacing w:line="360" w:lineRule="auto"/>
        <w:ind w:firstLine="480" w:firstLineChars="200"/>
        <w:rPr>
          <w:sz w:val="24"/>
          <w:szCs w:val="24"/>
        </w:rPr>
      </w:pPr>
      <w:r>
        <w:rPr>
          <w:rFonts w:hint="eastAsia"/>
          <w:sz w:val="24"/>
          <w:szCs w:val="24"/>
        </w:rPr>
        <w:t>营运期对声环境的影响主要为填埋场作业区的作业机械和渗滤液处理站设备噪声。项目选用低噪声设备，将运行噪声较大的设备置于隔声间内，同时采取密闭隔音、吸音、减振等降噪措施，同时填埋区周围种植绿化带，在采取以上措施后厂界噪声能满足《工业企业厂界环境噪声排放标准》</w:t>
      </w:r>
      <w:r>
        <w:rPr>
          <w:sz w:val="24"/>
          <w:szCs w:val="24"/>
        </w:rPr>
        <w:t>(GB 12348-2008)2</w:t>
      </w:r>
      <w:r>
        <w:rPr>
          <w:rFonts w:hint="eastAsia"/>
          <w:sz w:val="24"/>
          <w:szCs w:val="24"/>
        </w:rPr>
        <w:t>类区标准要求。</w:t>
      </w:r>
      <w:r>
        <w:rPr>
          <w:sz w:val="24"/>
          <w:szCs w:val="24"/>
        </w:rPr>
        <w:t>项目周边</w:t>
      </w:r>
      <w:r>
        <w:rPr>
          <w:rFonts w:hint="eastAsia"/>
          <w:sz w:val="24"/>
          <w:szCs w:val="24"/>
        </w:rPr>
        <w:t>3</w:t>
      </w:r>
      <w:r>
        <w:rPr>
          <w:sz w:val="24"/>
          <w:szCs w:val="24"/>
        </w:rPr>
        <w:t>00m噪声评价范围内无居民区等环境敏感点，项目产生噪声对周围环境的影响可以接受。</w:t>
      </w:r>
    </w:p>
    <w:p>
      <w:pPr>
        <w:pStyle w:val="62"/>
        <w:numPr>
          <w:ilvl w:val="2"/>
          <w:numId w:val="5"/>
        </w:numPr>
        <w:tabs>
          <w:tab w:val="left" w:pos="567"/>
        </w:tabs>
        <w:spacing w:before="156" w:after="156"/>
        <w:ind w:left="0" w:firstLine="0"/>
        <w:rPr>
          <w:rFonts w:ascii="Times New Roman" w:hAnsi="Times New Roman"/>
        </w:rPr>
      </w:pPr>
      <w:r>
        <w:rPr>
          <w:rFonts w:ascii="Times New Roman" w:hAnsi="Times New Roman"/>
        </w:rPr>
        <w:t>固体废物</w:t>
      </w:r>
    </w:p>
    <w:p>
      <w:pPr>
        <w:pStyle w:val="20"/>
        <w:snapToGrid w:val="0"/>
        <w:spacing w:after="0" w:line="360" w:lineRule="auto"/>
        <w:ind w:firstLine="482" w:firstLineChars="200"/>
        <w:rPr>
          <w:kern w:val="0"/>
          <w:sz w:val="24"/>
          <w:szCs w:val="24"/>
        </w:rPr>
      </w:pPr>
      <w:r>
        <w:rPr>
          <w:b/>
          <w:bCs/>
          <w:kern w:val="0"/>
          <w:sz w:val="24"/>
          <w:szCs w:val="24"/>
        </w:rPr>
        <w:t>1</w:t>
      </w:r>
      <w:r>
        <w:rPr>
          <w:rFonts w:hint="eastAsia"/>
          <w:b/>
          <w:bCs/>
          <w:kern w:val="0"/>
          <w:sz w:val="24"/>
          <w:szCs w:val="24"/>
        </w:rPr>
        <w:t>、</w:t>
      </w:r>
      <w:r>
        <w:rPr>
          <w:rFonts w:hint="eastAsia"/>
          <w:kern w:val="0"/>
          <w:sz w:val="24"/>
          <w:szCs w:val="24"/>
        </w:rPr>
        <w:t>施工期</w:t>
      </w:r>
    </w:p>
    <w:p>
      <w:pPr>
        <w:pStyle w:val="20"/>
        <w:snapToGrid w:val="0"/>
        <w:spacing w:after="0" w:line="360" w:lineRule="auto"/>
        <w:ind w:firstLine="480" w:firstLineChars="200"/>
        <w:rPr>
          <w:kern w:val="0"/>
          <w:sz w:val="24"/>
          <w:szCs w:val="24"/>
        </w:rPr>
      </w:pPr>
      <w:r>
        <w:rPr>
          <w:rFonts w:hint="eastAsia"/>
          <w:kern w:val="0"/>
          <w:sz w:val="24"/>
          <w:szCs w:val="24"/>
        </w:rPr>
        <w:t>施工期固废主要来自于施工人员生活垃圾、施工建筑垃圾。本项目生活垃圾委托环卫部门日产日清，建筑垃圾委托有资质的渣土公司进行合理处置，对周边环境影响较小。</w:t>
      </w:r>
    </w:p>
    <w:p>
      <w:pPr>
        <w:pStyle w:val="20"/>
        <w:snapToGrid w:val="0"/>
        <w:spacing w:after="0" w:line="360" w:lineRule="auto"/>
        <w:ind w:firstLine="482" w:firstLineChars="200"/>
        <w:rPr>
          <w:kern w:val="0"/>
          <w:sz w:val="24"/>
          <w:szCs w:val="24"/>
        </w:rPr>
      </w:pPr>
      <w:r>
        <w:rPr>
          <w:b/>
          <w:bCs/>
          <w:kern w:val="0"/>
          <w:sz w:val="24"/>
          <w:szCs w:val="24"/>
        </w:rPr>
        <w:t>2</w:t>
      </w:r>
      <w:r>
        <w:rPr>
          <w:rFonts w:hint="eastAsia"/>
          <w:b/>
          <w:bCs/>
          <w:kern w:val="0"/>
          <w:sz w:val="24"/>
          <w:szCs w:val="24"/>
        </w:rPr>
        <w:t>、</w:t>
      </w:r>
      <w:r>
        <w:rPr>
          <w:rFonts w:hint="eastAsia"/>
          <w:kern w:val="0"/>
          <w:sz w:val="24"/>
          <w:szCs w:val="24"/>
        </w:rPr>
        <w:t>营运期</w:t>
      </w:r>
    </w:p>
    <w:p>
      <w:pPr>
        <w:adjustRightInd w:val="0"/>
        <w:snapToGrid w:val="0"/>
        <w:spacing w:line="360" w:lineRule="auto"/>
        <w:ind w:firstLine="480" w:firstLineChars="200"/>
        <w:jc w:val="left"/>
        <w:rPr>
          <w:kern w:val="0"/>
          <w:sz w:val="24"/>
          <w:szCs w:val="24"/>
        </w:rPr>
      </w:pPr>
      <w:bookmarkStart w:id="192" w:name="_Hlk91692747"/>
      <w:r>
        <w:rPr>
          <w:rFonts w:ascii="宋体" w:hAnsi="宋体"/>
          <w:kern w:val="0"/>
          <w:sz w:val="24"/>
          <w:szCs w:val="24"/>
        </w:rPr>
        <w:t>本项目产生的固体废物主要是废包装材料、废机油以及生活垃圾。废包装材料</w:t>
      </w:r>
      <w:r>
        <w:rPr>
          <w:rFonts w:hint="eastAsia" w:ascii="宋体" w:hAnsi="宋体"/>
          <w:kern w:val="0"/>
          <w:sz w:val="24"/>
          <w:szCs w:val="24"/>
        </w:rPr>
        <w:t>为</w:t>
      </w:r>
      <w:r>
        <w:rPr>
          <w:rFonts w:eastAsia="Times New Roman"/>
          <w:spacing w:val="-1"/>
          <w:kern w:val="0"/>
          <w:sz w:val="24"/>
          <w:szCs w:val="24"/>
        </w:rPr>
        <w:t>HDPE</w:t>
      </w:r>
      <w:r>
        <w:rPr>
          <w:rFonts w:eastAsia="Times New Roman"/>
          <w:spacing w:val="31"/>
          <w:kern w:val="0"/>
          <w:sz w:val="24"/>
          <w:szCs w:val="24"/>
        </w:rPr>
        <w:t xml:space="preserve"> </w:t>
      </w:r>
      <w:r>
        <w:rPr>
          <w:rFonts w:ascii="宋体" w:hAnsi="宋体"/>
          <w:kern w:val="0"/>
          <w:sz w:val="24"/>
          <w:szCs w:val="24"/>
        </w:rPr>
        <w:t>膜产生</w:t>
      </w:r>
      <w:r>
        <w:rPr>
          <w:rFonts w:hint="eastAsia" w:ascii="宋体" w:hAnsi="宋体"/>
          <w:kern w:val="0"/>
          <w:sz w:val="24"/>
          <w:szCs w:val="24"/>
        </w:rPr>
        <w:t>的</w:t>
      </w:r>
      <w:r>
        <w:rPr>
          <w:rFonts w:ascii="宋体" w:hAnsi="宋体"/>
          <w:kern w:val="0"/>
          <w:sz w:val="24"/>
          <w:szCs w:val="24"/>
        </w:rPr>
        <w:t>包装材料，产生量约</w:t>
      </w:r>
      <w:r>
        <w:rPr>
          <w:rFonts w:ascii="宋体" w:hAnsi="宋体"/>
          <w:spacing w:val="-60"/>
          <w:kern w:val="0"/>
          <w:sz w:val="24"/>
          <w:szCs w:val="24"/>
        </w:rPr>
        <w:t xml:space="preserve"> </w:t>
      </w:r>
      <w:r>
        <w:rPr>
          <w:rFonts w:eastAsia="Times New Roman"/>
          <w:spacing w:val="-1"/>
          <w:kern w:val="0"/>
          <w:sz w:val="24"/>
          <w:szCs w:val="24"/>
        </w:rPr>
        <w:t>2t/a</w:t>
      </w:r>
      <w:r>
        <w:rPr>
          <w:rFonts w:ascii="宋体" w:hAnsi="宋体"/>
          <w:spacing w:val="-1"/>
          <w:kern w:val="0"/>
          <w:sz w:val="24"/>
          <w:szCs w:val="24"/>
        </w:rPr>
        <w:t>。</w:t>
      </w:r>
      <w:r>
        <w:rPr>
          <w:rFonts w:hint="eastAsia" w:ascii="宋体" w:hAnsi="宋体"/>
          <w:spacing w:val="-1"/>
          <w:kern w:val="0"/>
          <w:sz w:val="24"/>
          <w:szCs w:val="24"/>
        </w:rPr>
        <w:t>全部委托回收综合利用。</w:t>
      </w:r>
      <w:r>
        <w:rPr>
          <w:rFonts w:ascii="宋体" w:hAnsi="宋体"/>
          <w:kern w:val="0"/>
          <w:sz w:val="24"/>
          <w:szCs w:val="24"/>
        </w:rPr>
        <w:t>生活垃圾</w:t>
      </w:r>
      <w:r>
        <w:rPr>
          <w:rFonts w:hint="eastAsia" w:ascii="宋体" w:hAnsi="宋体"/>
          <w:spacing w:val="-1"/>
          <w:kern w:val="0"/>
          <w:sz w:val="24"/>
          <w:szCs w:val="24"/>
        </w:rPr>
        <w:t>收集后全部</w:t>
      </w:r>
      <w:r>
        <w:rPr>
          <w:rFonts w:ascii="宋体" w:hAnsi="宋体"/>
          <w:spacing w:val="-1"/>
          <w:kern w:val="0"/>
          <w:sz w:val="24"/>
          <w:szCs w:val="24"/>
        </w:rPr>
        <w:t>交由</w:t>
      </w:r>
      <w:r>
        <w:rPr>
          <w:rFonts w:hint="eastAsia" w:ascii="宋体" w:hAnsi="宋体"/>
          <w:spacing w:val="-1"/>
          <w:kern w:val="0"/>
          <w:sz w:val="24"/>
          <w:szCs w:val="24"/>
        </w:rPr>
        <w:t>紧邻的生活垃圾焚烧发电项目焚烧处理；</w:t>
      </w:r>
      <w:r>
        <w:rPr>
          <w:spacing w:val="2"/>
          <w:kern w:val="0"/>
          <w:sz w:val="24"/>
          <w:szCs w:val="24"/>
        </w:rPr>
        <w:t>渗滤液处理站污泥压滤后送至紧邻的围场生活垃圾焚烧厂焚烧处理。</w:t>
      </w:r>
      <w:r>
        <w:rPr>
          <w:rFonts w:ascii="宋体" w:hAnsi="宋体"/>
          <w:spacing w:val="2"/>
          <w:kern w:val="0"/>
          <w:sz w:val="24"/>
          <w:szCs w:val="24"/>
        </w:rPr>
        <w:t>机械维护过程中</w:t>
      </w:r>
      <w:r>
        <w:rPr>
          <w:rFonts w:ascii="宋体" w:hAnsi="宋体"/>
          <w:kern w:val="0"/>
          <w:sz w:val="24"/>
          <w:szCs w:val="24"/>
        </w:rPr>
        <w:t>废机油为危险废物，收集后暂存至</w:t>
      </w:r>
      <w:r>
        <w:rPr>
          <w:rFonts w:hint="eastAsia" w:ascii="宋体" w:hAnsi="宋体"/>
          <w:kern w:val="0"/>
          <w:sz w:val="24"/>
          <w:szCs w:val="24"/>
        </w:rPr>
        <w:t>紧邻的围场生活垃圾焚烧厂</w:t>
      </w:r>
      <w:r>
        <w:rPr>
          <w:rFonts w:ascii="宋体" w:hAnsi="宋体"/>
          <w:kern w:val="0"/>
          <w:sz w:val="24"/>
          <w:szCs w:val="24"/>
        </w:rPr>
        <w:t>危险</w:t>
      </w:r>
      <w:r>
        <w:rPr>
          <w:rFonts w:ascii="宋体" w:hAnsi="宋体"/>
          <w:spacing w:val="2"/>
          <w:kern w:val="0"/>
          <w:sz w:val="24"/>
          <w:szCs w:val="24"/>
        </w:rPr>
        <w:t>废</w:t>
      </w:r>
      <w:r>
        <w:rPr>
          <w:rFonts w:ascii="宋体" w:hAnsi="宋体"/>
          <w:kern w:val="0"/>
          <w:sz w:val="24"/>
          <w:szCs w:val="24"/>
        </w:rPr>
        <w:t>物暂存库后委托有相关资质单位处理。</w:t>
      </w:r>
      <w:r>
        <w:rPr>
          <w:rFonts w:hint="eastAsia"/>
          <w:sz w:val="24"/>
          <w:szCs w:val="24"/>
        </w:rPr>
        <w:t>项目营运期固体废物可以全部安全处置，对周边环境影响不大。</w:t>
      </w:r>
      <w:bookmarkEnd w:id="192"/>
    </w:p>
    <w:p>
      <w:pPr>
        <w:pStyle w:val="62"/>
        <w:numPr>
          <w:ilvl w:val="2"/>
          <w:numId w:val="5"/>
        </w:numPr>
        <w:tabs>
          <w:tab w:val="left" w:pos="567"/>
        </w:tabs>
        <w:spacing w:before="156" w:after="0" w:afterLines="0"/>
        <w:ind w:left="0" w:firstLine="0"/>
        <w:rPr>
          <w:rFonts w:ascii="Times New Roman" w:hAnsi="Times New Roman"/>
        </w:rPr>
      </w:pPr>
      <w:r>
        <w:rPr>
          <w:rFonts w:hint="eastAsia" w:ascii="Times New Roman" w:hAnsi="Times New Roman"/>
        </w:rPr>
        <w:t>生态环境影响</w:t>
      </w:r>
    </w:p>
    <w:p>
      <w:pPr>
        <w:pStyle w:val="20"/>
        <w:adjustRightInd w:val="0"/>
        <w:snapToGrid w:val="0"/>
        <w:spacing w:line="360" w:lineRule="auto"/>
        <w:ind w:firstLine="480" w:firstLineChars="200"/>
        <w:rPr>
          <w:sz w:val="24"/>
        </w:rPr>
      </w:pPr>
      <w:r>
        <w:rPr>
          <w:rFonts w:hint="eastAsia"/>
          <w:kern w:val="0"/>
          <w:sz w:val="24"/>
          <w:szCs w:val="24"/>
        </w:rPr>
        <w:t>本项目施工过程中地表开挖会破坏项目区内的植被，对植被生态环境现状产生一定的影响，本项目占地范围内现有植被均为低矮林地和灌木等次生植被和人工植被，</w:t>
      </w:r>
      <w:r>
        <w:rPr>
          <w:rFonts w:hint="eastAsia"/>
          <w:sz w:val="24"/>
        </w:rPr>
        <w:t>均是常见的种类，</w:t>
      </w:r>
      <w:r>
        <w:rPr>
          <w:sz w:val="24"/>
        </w:rPr>
        <w:t>评价范围内无珍稀野生动植物和国家级保护动植物</w:t>
      </w:r>
      <w:r>
        <w:rPr>
          <w:rFonts w:hint="eastAsia"/>
          <w:sz w:val="24"/>
        </w:rPr>
        <w:t>分布，项目区生态环境简单。</w:t>
      </w:r>
    </w:p>
    <w:p>
      <w:pPr>
        <w:adjustRightInd w:val="0"/>
        <w:snapToGrid w:val="0"/>
        <w:spacing w:line="360" w:lineRule="auto"/>
        <w:ind w:firstLine="480" w:firstLineChars="200"/>
        <w:rPr>
          <w:kern w:val="0"/>
          <w:sz w:val="24"/>
          <w:szCs w:val="24"/>
        </w:rPr>
      </w:pPr>
      <w:r>
        <w:rPr>
          <w:sz w:val="24"/>
        </w:rPr>
        <w:t>本项目施工开挖、填筑等将造成一定程度的植被破坏、地面裸露、表土破损等。施工结束后通过临时用地恢复、分隔带及两侧绿化将加倍补偿施工造成的植被破坏，</w:t>
      </w:r>
      <w:r>
        <w:rPr>
          <w:rFonts w:hint="eastAsia"/>
          <w:sz w:val="24"/>
        </w:rPr>
        <w:t>因此，本项目施工期建设对区域生物环境影响较小。</w:t>
      </w:r>
      <w:r>
        <w:rPr>
          <w:rFonts w:hint="eastAsia"/>
          <w:kern w:val="0"/>
          <w:sz w:val="24"/>
          <w:szCs w:val="24"/>
        </w:rPr>
        <w:t>此外在开挖施工过程中产生临时土方，地表开挖经雨水冲刷，将会产生一定的水土流失，在采取有效的水土保持措施后，可以有效减少项目建设产生的水土流失影响。</w:t>
      </w:r>
    </w:p>
    <w:p>
      <w:pPr>
        <w:pStyle w:val="20"/>
        <w:adjustRightInd w:val="0"/>
        <w:snapToGrid w:val="0"/>
        <w:spacing w:after="0" w:line="360" w:lineRule="auto"/>
        <w:ind w:firstLine="480" w:firstLineChars="200"/>
        <w:rPr>
          <w:kern w:val="0"/>
          <w:sz w:val="24"/>
          <w:szCs w:val="24"/>
        </w:rPr>
      </w:pPr>
      <w:r>
        <w:rPr>
          <w:kern w:val="0"/>
          <w:sz w:val="24"/>
          <w:szCs w:val="24"/>
        </w:rPr>
        <w:t>本项目</w:t>
      </w:r>
      <w:r>
        <w:rPr>
          <w:rFonts w:hint="eastAsia"/>
          <w:kern w:val="0"/>
          <w:sz w:val="24"/>
          <w:szCs w:val="24"/>
        </w:rPr>
        <w:t>封场后，通过对填埋场内部及周边区域进行造林绿化，增加新的景观风貌，能在一定程度上改善项目填埋场区域原有景观风貌产生的负面影响。</w:t>
      </w:r>
    </w:p>
    <w:p>
      <w:pPr>
        <w:pStyle w:val="62"/>
        <w:numPr>
          <w:ilvl w:val="2"/>
          <w:numId w:val="5"/>
        </w:numPr>
        <w:tabs>
          <w:tab w:val="left" w:pos="567"/>
        </w:tabs>
        <w:spacing w:before="156" w:after="156"/>
        <w:ind w:left="0" w:firstLine="0"/>
        <w:rPr>
          <w:rFonts w:ascii="Times New Roman" w:hAnsi="Times New Roman"/>
        </w:rPr>
      </w:pPr>
      <w:r>
        <w:rPr>
          <w:rFonts w:hint="eastAsia" w:ascii="Times New Roman" w:hAnsi="Times New Roman"/>
        </w:rPr>
        <w:t>土壤环境影响评价</w:t>
      </w:r>
    </w:p>
    <w:p>
      <w:pPr>
        <w:spacing w:line="360" w:lineRule="auto"/>
        <w:ind w:firstLine="480" w:firstLineChars="200"/>
        <w:rPr>
          <w:kern w:val="0"/>
          <w:sz w:val="24"/>
          <w:szCs w:val="24"/>
        </w:rPr>
      </w:pPr>
      <w:r>
        <w:rPr>
          <w:rFonts w:hint="eastAsia"/>
          <w:kern w:val="0"/>
          <w:sz w:val="24"/>
          <w:szCs w:val="24"/>
        </w:rPr>
        <w:t>本项目为固化飞灰填埋项目，填埋区、渗滤液调节池等采用双层人工合成材料防渗衬层进行防渗处理。焚烧厂产生的飞灰经过固化稳定化后符合《生活垃圾填埋场污染控制标准》</w:t>
      </w:r>
      <w:r>
        <w:rPr>
          <w:kern w:val="0"/>
          <w:sz w:val="24"/>
          <w:szCs w:val="24"/>
        </w:rPr>
        <w:t>(GB 16889-2008)</w:t>
      </w:r>
      <w:r>
        <w:rPr>
          <w:rFonts w:hint="eastAsia"/>
          <w:kern w:val="0"/>
          <w:sz w:val="24"/>
          <w:szCs w:val="24"/>
        </w:rPr>
        <w:t>相应标准限值要求才能入场填埋，浸出液中重金属、二噁英等危害成份浓度满足填埋场填埋要求。本填埋场内废水在无风险发生的情况下基本无渗出，不会对项目区土壤环境产生不良影响。</w:t>
      </w:r>
    </w:p>
    <w:p>
      <w:pPr>
        <w:spacing w:line="360" w:lineRule="auto"/>
        <w:ind w:firstLine="480" w:firstLineChars="200"/>
        <w:rPr>
          <w:kern w:val="0"/>
          <w:sz w:val="24"/>
          <w:szCs w:val="24"/>
        </w:rPr>
      </w:pPr>
      <w:r>
        <w:rPr>
          <w:rFonts w:asciiTheme="minorEastAsia" w:hAnsiTheme="minorEastAsia" w:eastAsiaTheme="minorEastAsia"/>
          <w:sz w:val="24"/>
          <w:szCs w:val="24"/>
        </w:rPr>
        <w:t>非正常工况下，根据地下水环境影响预测结果污染物泄漏会对下游一定范围内的地下水环境造成影响，但各污染物在厂界处地下水中的浓度均满足《地下水质量标准》（GB/T14848-2017）中的Ⅲ类标准</w:t>
      </w:r>
      <w:r>
        <w:rPr>
          <w:rFonts w:hint="eastAsia" w:asciiTheme="minorEastAsia" w:hAnsiTheme="minorEastAsia" w:eastAsiaTheme="minorEastAsia"/>
          <w:sz w:val="24"/>
          <w:szCs w:val="24"/>
        </w:rPr>
        <w:t>，故</w:t>
      </w:r>
      <w:r>
        <w:rPr>
          <w:rFonts w:asciiTheme="minorEastAsia" w:hAnsiTheme="minorEastAsia" w:eastAsiaTheme="minorEastAsia"/>
          <w:sz w:val="24"/>
          <w:szCs w:val="24"/>
        </w:rPr>
        <w:t>营运期项目区内的土壤环境可以满足《土壤环境质量 建设用地土壤污染风险管控标准（试行）》（GB36600-2018）表1 第二类用地筛选值要求。因此，本项目的建设对土壤环境影响较小。</w:t>
      </w:r>
    </w:p>
    <w:p>
      <w:pPr>
        <w:pStyle w:val="61"/>
        <w:numPr>
          <w:ilvl w:val="1"/>
          <w:numId w:val="5"/>
        </w:numPr>
        <w:spacing w:beforeLines="0" w:afterLines="0"/>
        <w:rPr>
          <w:rFonts w:ascii="Times New Roman" w:hAnsi="Times New Roman"/>
        </w:rPr>
      </w:pPr>
      <w:bookmarkStart w:id="193" w:name="_Toc94101256"/>
      <w:r>
        <w:rPr>
          <w:rFonts w:ascii="Times New Roman" w:hAnsi="Times New Roman"/>
        </w:rPr>
        <w:t>污染防治措施结论</w:t>
      </w:r>
      <w:bookmarkEnd w:id="193"/>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1、废气治理措施</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(1)运输车辆采用密闭性、具有自动装卸结构的运输车来运输固废，控制车速对运输道路进行洒水降尘。</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(2)填埋区建设洒水降尘系统对产尘区和进场道路洒水降尘，不运行作业面应及时覆盖。</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(3)本项目设置绿化隔离带和50m 的环境防护距离，该防护距离范围内不得新建居民区、学校和医院等敏感目标。</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2、废水治理措施</w:t>
      </w:r>
    </w:p>
    <w:p>
      <w:pPr>
        <w:widowControl/>
        <w:adjustRightInd w:val="0"/>
        <w:snapToGrid w:val="0"/>
        <w:spacing w:line="360" w:lineRule="auto"/>
        <w:ind w:firstLine="200"/>
        <w:jc w:val="left"/>
        <w:rPr>
          <w:rFonts w:eastAsiaTheme="minorEastAsia"/>
          <w:kern w:val="10"/>
          <w:sz w:val="24"/>
        </w:rPr>
      </w:pPr>
      <w:r>
        <w:rPr>
          <w:rFonts w:eastAsiaTheme="minorEastAsia"/>
          <w:sz w:val="24"/>
          <w:szCs w:val="24"/>
        </w:rPr>
        <w:t>项目产生的生活污水、渗滤液、冲洗废水及初期雨水全部进入</w:t>
      </w:r>
      <w:r>
        <w:rPr>
          <w:rFonts w:eastAsiaTheme="minorEastAsia"/>
          <w:bCs/>
          <w:kern w:val="10"/>
          <w:sz w:val="24"/>
        </w:rPr>
        <w:t>3000m</w:t>
      </w:r>
      <w:r>
        <w:rPr>
          <w:rFonts w:eastAsiaTheme="minorEastAsia"/>
          <w:bCs/>
          <w:kern w:val="10"/>
          <w:sz w:val="24"/>
          <w:vertAlign w:val="superscript"/>
        </w:rPr>
        <w:t>3</w:t>
      </w:r>
      <w:r>
        <w:rPr>
          <w:rFonts w:eastAsiaTheme="minorEastAsia"/>
          <w:bCs/>
          <w:kern w:val="10"/>
          <w:sz w:val="24"/>
        </w:rPr>
        <w:t>的渗滤液调节池，经</w:t>
      </w:r>
      <w:r>
        <w:rPr>
          <w:rFonts w:eastAsiaTheme="minorEastAsia"/>
          <w:kern w:val="10"/>
          <w:sz w:val="24"/>
        </w:rPr>
        <w:t>设计规模为30m</w:t>
      </w:r>
      <w:r>
        <w:rPr>
          <w:rFonts w:eastAsiaTheme="minorEastAsia"/>
          <w:kern w:val="10"/>
          <w:sz w:val="24"/>
          <w:vertAlign w:val="superscript"/>
        </w:rPr>
        <w:t>3</w:t>
      </w:r>
      <w:r>
        <w:rPr>
          <w:rFonts w:eastAsiaTheme="minorEastAsia"/>
          <w:kern w:val="10"/>
          <w:sz w:val="24"/>
        </w:rPr>
        <w:t>/d的</w:t>
      </w:r>
      <w:r>
        <w:rPr>
          <w:rFonts w:eastAsiaTheme="minorEastAsia"/>
          <w:bCs/>
          <w:kern w:val="10"/>
          <w:sz w:val="24"/>
        </w:rPr>
        <w:t>渗滤液处理站，</w:t>
      </w:r>
      <w:r>
        <w:rPr>
          <w:rFonts w:eastAsiaTheme="minorEastAsia"/>
          <w:kern w:val="10"/>
          <w:sz w:val="24"/>
        </w:rPr>
        <w:t>采用集装箱式一体化混凝沉淀</w:t>
      </w:r>
      <w:r>
        <w:rPr>
          <w:rFonts w:eastAsiaTheme="minorEastAsia"/>
          <w:sz w:val="24"/>
          <w:szCs w:val="24"/>
        </w:rPr>
        <w:t>预处理后最终泵送至围场县生活垃圾焚烧发电项目处理后全部回用，不外排。</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3、地下水防治措施</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（1）本项目填埋场选择双层人工合成材料防渗衬层作为填埋区和渗滤液调节池的防渗衬层。固化飞灰暂存库、渗滤液调节池、填埋区以及废水输送收集、阀门等列为重点防渗区，对地面等进行重点防渗设计。</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（2）根据《生活垃圾填埋场污染控制标准》（GB16889-2008）的要求，建立地下水污染监控系统，制定地下水环境影响跟踪监测计划，科学、合理设置地下水污染监控井，达到及时发现并控制污染的目的。</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（3）建立事故污染应急预案，一旦发生事故应立即停止作业，查找污染源，及时处理，将污染控制在最低的限度。</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4、噪声污染防治措施</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本项目噪声源主要为填埋场作业机械和渗滤液处理站设备。项目选用低噪声设备，将运行噪声较大的设备置于隔声间内，同时采取密闭隔音、吸音、减振等降噪措施，同时填埋区周围种植绿化带和设置50</w:t>
      </w:r>
      <w:r>
        <w:rPr>
          <w:rFonts w:hint="eastAsia" w:eastAsiaTheme="minorEastAsia"/>
          <w:sz w:val="24"/>
          <w:szCs w:val="24"/>
        </w:rPr>
        <w:t>m</w:t>
      </w:r>
      <w:r>
        <w:rPr>
          <w:rFonts w:eastAsiaTheme="minorEastAsia"/>
          <w:sz w:val="24"/>
          <w:szCs w:val="24"/>
        </w:rPr>
        <w:t>环境防护距离，在采取以上措施后厂界噪声能满足《工业企业厂界环境噪声排放标准》(GB 12348-2008)2类区标准要求。</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5、固废处置措施</w:t>
      </w:r>
    </w:p>
    <w:p>
      <w:pPr>
        <w:adjustRightInd w:val="0"/>
        <w:snapToGrid w:val="0"/>
        <w:spacing w:line="360" w:lineRule="auto"/>
        <w:ind w:firstLine="480" w:firstLineChars="200"/>
        <w:jc w:val="left"/>
        <w:rPr>
          <w:rFonts w:eastAsiaTheme="minorEastAsia"/>
          <w:sz w:val="24"/>
          <w:szCs w:val="24"/>
        </w:rPr>
      </w:pPr>
      <w:r>
        <w:rPr>
          <w:rFonts w:eastAsiaTheme="minorEastAsia"/>
          <w:kern w:val="0"/>
          <w:sz w:val="24"/>
          <w:szCs w:val="24"/>
        </w:rPr>
        <w:t>本项目产生的固体废物主要是废包装材料、废机油以及生活垃圾。废包装材料为</w:t>
      </w:r>
      <w:r>
        <w:rPr>
          <w:rFonts w:eastAsiaTheme="minorEastAsia"/>
          <w:spacing w:val="-1"/>
          <w:kern w:val="0"/>
          <w:sz w:val="24"/>
          <w:szCs w:val="24"/>
        </w:rPr>
        <w:t>HDPE</w:t>
      </w:r>
      <w:r>
        <w:rPr>
          <w:rFonts w:eastAsiaTheme="minorEastAsia"/>
          <w:spacing w:val="31"/>
          <w:kern w:val="0"/>
          <w:sz w:val="24"/>
          <w:szCs w:val="24"/>
        </w:rPr>
        <w:t xml:space="preserve"> </w:t>
      </w:r>
      <w:r>
        <w:rPr>
          <w:rFonts w:eastAsiaTheme="minorEastAsia"/>
          <w:kern w:val="0"/>
          <w:sz w:val="24"/>
          <w:szCs w:val="24"/>
        </w:rPr>
        <w:t>膜产生的包装材料</w:t>
      </w:r>
      <w:r>
        <w:rPr>
          <w:rFonts w:eastAsiaTheme="minorEastAsia"/>
          <w:spacing w:val="-1"/>
          <w:kern w:val="0"/>
          <w:sz w:val="24"/>
          <w:szCs w:val="24"/>
        </w:rPr>
        <w:t>全部委托回收综合利用。</w:t>
      </w:r>
      <w:r>
        <w:rPr>
          <w:rFonts w:eastAsiaTheme="minorEastAsia"/>
          <w:kern w:val="0"/>
          <w:sz w:val="24"/>
          <w:szCs w:val="24"/>
        </w:rPr>
        <w:t>生活垃圾</w:t>
      </w:r>
      <w:r>
        <w:rPr>
          <w:rFonts w:eastAsiaTheme="minorEastAsia"/>
          <w:spacing w:val="-1"/>
          <w:kern w:val="0"/>
          <w:sz w:val="24"/>
          <w:szCs w:val="24"/>
        </w:rPr>
        <w:t>收集后全部交由紧邻的生活垃圾焚烧发电项目焚烧处理；</w:t>
      </w:r>
      <w:r>
        <w:rPr>
          <w:rFonts w:eastAsiaTheme="minorEastAsia"/>
          <w:spacing w:val="2"/>
          <w:kern w:val="0"/>
          <w:sz w:val="24"/>
          <w:szCs w:val="24"/>
        </w:rPr>
        <w:t>渗滤液处理站污泥压滤后送至紧邻的围场生活垃圾焚烧厂焚烧处理。机械维护过程中</w:t>
      </w:r>
      <w:r>
        <w:rPr>
          <w:rFonts w:eastAsiaTheme="minorEastAsia"/>
          <w:kern w:val="0"/>
          <w:sz w:val="24"/>
          <w:szCs w:val="24"/>
        </w:rPr>
        <w:t>废机油为危险废物，收集后暂存至紧邻的围场生活垃圾焚烧厂危险</w:t>
      </w:r>
      <w:r>
        <w:rPr>
          <w:rFonts w:eastAsiaTheme="minorEastAsia"/>
          <w:spacing w:val="2"/>
          <w:kern w:val="0"/>
          <w:sz w:val="24"/>
          <w:szCs w:val="24"/>
        </w:rPr>
        <w:t>废</w:t>
      </w:r>
      <w:r>
        <w:rPr>
          <w:rFonts w:eastAsiaTheme="minorEastAsia"/>
          <w:kern w:val="0"/>
          <w:sz w:val="24"/>
          <w:szCs w:val="24"/>
        </w:rPr>
        <w:t>物暂存库后委托有相关资质单位处理。</w:t>
      </w:r>
      <w:r>
        <w:rPr>
          <w:rFonts w:eastAsiaTheme="minorEastAsia"/>
          <w:sz w:val="24"/>
          <w:szCs w:val="24"/>
        </w:rPr>
        <w:t>项目营运期固体废物可以全部安全处置，对周边环境影响不大。</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6、生态环境保护措施</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(1)对项目区用地红线进行合理规划，因地制宜地充分利用自然地形地貌，避免大挖大填，尽量减少植被破坏，避免对占地红线外的地表植被造成破坏。</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(2)工程红线范围内完善建设截洪、排水沟，防止降雨形成的地表径流对土地的冲刷造成水土流失。</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(3)通过工程措施和植物措施有机结合，点线面上水土流失防治措施相辅，实现水土流失的防治，同时设置水土流失防治和监测的重点区域。</w:t>
      </w:r>
    </w:p>
    <w:p>
      <w:pPr>
        <w:pStyle w:val="20"/>
        <w:adjustRightInd w:val="0"/>
        <w:snapToGrid w:val="0"/>
        <w:spacing w:after="0" w:line="360" w:lineRule="auto"/>
        <w:ind w:firstLine="480" w:firstLineChars="200"/>
        <w:rPr>
          <w:rFonts w:eastAsiaTheme="minorEastAsia"/>
          <w:sz w:val="24"/>
          <w:szCs w:val="24"/>
        </w:rPr>
      </w:pPr>
      <w:r>
        <w:rPr>
          <w:rFonts w:eastAsiaTheme="minorEastAsia"/>
          <w:sz w:val="24"/>
          <w:szCs w:val="24"/>
        </w:rPr>
        <w:t>(4)水土流失量主要集中在雨季。应合理安排施工时段，尽可能避开暴雨季节施工，以减少水力侵蚀。若必须进行雨季施工，应和气象部门保持联系，在降雨前采取覆盖等防范措施，以减轻水土流失。</w:t>
      </w:r>
    </w:p>
    <w:p>
      <w:pPr>
        <w:pStyle w:val="61"/>
        <w:numPr>
          <w:ilvl w:val="1"/>
          <w:numId w:val="5"/>
        </w:numPr>
        <w:spacing w:beforeLines="0" w:afterLines="0"/>
        <w:ind w:left="569" w:hanging="569" w:hangingChars="189"/>
        <w:rPr>
          <w:rFonts w:ascii="Times New Roman" w:hAnsi="Times New Roman"/>
        </w:rPr>
      </w:pPr>
      <w:bookmarkStart w:id="194" w:name="_Toc94101257"/>
      <w:r>
        <w:rPr>
          <w:rFonts w:ascii="Times New Roman" w:hAnsi="Times New Roman"/>
        </w:rPr>
        <w:t>环境风险分析</w:t>
      </w:r>
      <w:bookmarkEnd w:id="194"/>
    </w:p>
    <w:p>
      <w:pPr>
        <w:adjustRightInd w:val="0"/>
        <w:snapToGrid w:val="0"/>
        <w:spacing w:line="360" w:lineRule="auto"/>
        <w:ind w:firstLine="480" w:firstLineChars="200"/>
        <w:rPr>
          <w:sz w:val="24"/>
          <w:szCs w:val="24"/>
        </w:rPr>
      </w:pPr>
      <w:r>
        <w:rPr>
          <w:rFonts w:hint="eastAsia"/>
          <w:sz w:val="24"/>
          <w:szCs w:val="24"/>
        </w:rPr>
        <w:t>本项目最大可信事故设定为填埋场防渗系统破坏，渗滤液泄漏。本项目采取了较为完善的防范措施，事故发生可能很小。</w:t>
      </w:r>
    </w:p>
    <w:p>
      <w:pPr>
        <w:adjustRightInd w:val="0"/>
        <w:snapToGrid w:val="0"/>
        <w:spacing w:line="360" w:lineRule="auto"/>
        <w:ind w:firstLine="480" w:firstLineChars="200"/>
        <w:rPr>
          <w:sz w:val="24"/>
          <w:szCs w:val="24"/>
        </w:rPr>
      </w:pPr>
      <w:r>
        <w:rPr>
          <w:rFonts w:hint="eastAsia"/>
          <w:sz w:val="24"/>
          <w:szCs w:val="24"/>
        </w:rPr>
        <w:t>各项预防和应急措施是确保本项目安全正常运行的前提，必须认真落实。在加强监控、建立前述风险防范措施，并制定切实可行的应急预案的情况下，</w:t>
      </w:r>
      <w:r>
        <w:rPr>
          <w:sz w:val="24"/>
          <w:szCs w:val="24"/>
        </w:rPr>
        <w:t>可将风险发生概率及其产生的破坏降到最低程度。在确保环境风险防范措施落实的基础上，风险水平可接受。</w:t>
      </w:r>
    </w:p>
    <w:p>
      <w:pPr>
        <w:pStyle w:val="61"/>
        <w:numPr>
          <w:ilvl w:val="1"/>
          <w:numId w:val="5"/>
        </w:numPr>
        <w:spacing w:beforeLines="0" w:afterLines="0"/>
        <w:ind w:left="569" w:hanging="569" w:hangingChars="189"/>
        <w:rPr>
          <w:rFonts w:ascii="Times New Roman" w:hAnsi="Times New Roman"/>
        </w:rPr>
      </w:pPr>
      <w:bookmarkStart w:id="195" w:name="_Toc94101258"/>
      <w:r>
        <w:rPr>
          <w:rFonts w:ascii="Times New Roman" w:hAnsi="Times New Roman"/>
        </w:rPr>
        <w:t>公众参与情况说明</w:t>
      </w:r>
      <w:bookmarkEnd w:id="195"/>
    </w:p>
    <w:p>
      <w:pPr>
        <w:widowControl/>
        <w:adjustRightInd w:val="0"/>
        <w:snapToGrid w:val="0"/>
        <w:spacing w:line="360" w:lineRule="auto"/>
        <w:ind w:firstLine="480" w:firstLineChars="200"/>
        <w:jc w:val="left"/>
        <w:rPr>
          <w:sz w:val="24"/>
          <w:szCs w:val="24"/>
        </w:rPr>
      </w:pPr>
      <w:r>
        <w:rPr>
          <w:sz w:val="24"/>
        </w:rPr>
        <w:t>建设单位</w:t>
      </w:r>
      <w:r>
        <w:rPr>
          <w:sz w:val="24"/>
          <w:lang w:val="en"/>
        </w:rPr>
        <w:t>根据生态环境部令第4号《环境影响评价公众参与办法》、生态环境部公告2018年第48号《关于发布〈环境影响评价公众参与办法〉配套文件的公告》要求，</w:t>
      </w:r>
      <w:r>
        <w:rPr>
          <w:sz w:val="24"/>
        </w:rPr>
        <w:t>采取网站公示、现场张贴、刊登报纸等形式开展公众调查，各项程序符合规定要求。调查结果表明，本项目建设得到了工程影响范围内及关注本项目建设的大多数公众的关注与支持，公众对项目的总体看法持支持的态度。两次信息公示期内未收到反映该项目建设的来电、来函。</w:t>
      </w:r>
    </w:p>
    <w:p>
      <w:pPr>
        <w:pStyle w:val="61"/>
        <w:numPr>
          <w:ilvl w:val="1"/>
          <w:numId w:val="5"/>
        </w:numPr>
        <w:spacing w:beforeLines="0" w:afterLines="0"/>
        <w:ind w:left="569" w:hanging="569" w:hangingChars="189"/>
        <w:rPr>
          <w:rFonts w:ascii="Times New Roman" w:hAnsi="Times New Roman"/>
        </w:rPr>
      </w:pPr>
      <w:bookmarkStart w:id="196" w:name="_Toc94101259"/>
      <w:r>
        <w:rPr>
          <w:rFonts w:ascii="Times New Roman" w:hAnsi="Times New Roman"/>
        </w:rPr>
        <w:t>总结论</w:t>
      </w:r>
      <w:bookmarkEnd w:id="196"/>
    </w:p>
    <w:p>
      <w:pPr>
        <w:adjustRightInd w:val="0"/>
        <w:snapToGrid w:val="0"/>
        <w:spacing w:line="360" w:lineRule="auto"/>
        <w:ind w:firstLine="480" w:firstLineChars="200"/>
        <w:rPr>
          <w:sz w:val="24"/>
        </w:rPr>
      </w:pPr>
      <w:r>
        <w:rPr>
          <w:sz w:val="24"/>
        </w:rPr>
        <w:t>围场满族蒙古族自治县静脉产业园飞灰填埋场项目</w:t>
      </w:r>
      <w:r>
        <w:rPr>
          <w:rFonts w:hint="eastAsia"/>
          <w:sz w:val="24"/>
        </w:rPr>
        <w:t>为环境保护工程项目，项目建成运行后可解决当地生活垃圾焚烧产生固废的处置问题，项目建设符合国家的产业政策，选址符合《生活垃圾填埋场污染控制标准》、《生活垃圾卫生填埋技术规范》等要求，</w:t>
      </w:r>
      <w:r>
        <w:rPr>
          <w:sz w:val="24"/>
        </w:rPr>
        <w:t>符合区域总体规划、环境功能区划的要求，符合 “三线一单”相关要求；</w:t>
      </w:r>
      <w:r>
        <w:rPr>
          <w:rFonts w:hint="eastAsia"/>
          <w:sz w:val="24"/>
        </w:rPr>
        <w:t>项目所采用的污染防治措施技术经济可行，能保证各种污染物稳定达标排放，对周围环境影响较小。因此，拟建项目在严格执行</w:t>
      </w:r>
      <w:r>
        <w:rPr>
          <w:sz w:val="24"/>
        </w:rPr>
        <w:t>“</w:t>
      </w:r>
      <w:r>
        <w:rPr>
          <w:rFonts w:hint="eastAsia"/>
          <w:sz w:val="24"/>
        </w:rPr>
        <w:t>三同时</w:t>
      </w:r>
      <w:r>
        <w:rPr>
          <w:sz w:val="24"/>
        </w:rPr>
        <w:t>”</w:t>
      </w:r>
      <w:r>
        <w:rPr>
          <w:rFonts w:hint="eastAsia"/>
          <w:sz w:val="24"/>
        </w:rPr>
        <w:t>制度、落实环评报告中提出的各项污染防治措施的前提下，从环境影响角度分析，项目建设可行。</w:t>
      </w:r>
    </w:p>
    <w:p>
      <w:pPr>
        <w:pStyle w:val="61"/>
        <w:numPr>
          <w:ilvl w:val="1"/>
          <w:numId w:val="5"/>
        </w:numPr>
        <w:spacing w:beforeLines="0" w:afterLines="0"/>
        <w:ind w:left="569" w:hanging="569" w:hangingChars="189"/>
        <w:rPr>
          <w:rFonts w:ascii="Times New Roman" w:hAnsi="Times New Roman"/>
        </w:rPr>
      </w:pPr>
      <w:bookmarkStart w:id="197" w:name="_Toc94101260"/>
      <w:r>
        <w:rPr>
          <w:rFonts w:ascii="Times New Roman" w:hAnsi="Times New Roman"/>
        </w:rPr>
        <w:t>建议</w:t>
      </w:r>
      <w:bookmarkEnd w:id="197"/>
    </w:p>
    <w:p>
      <w:pPr>
        <w:adjustRightInd w:val="0"/>
        <w:snapToGrid w:val="0"/>
        <w:spacing w:line="360" w:lineRule="auto"/>
        <w:ind w:firstLine="480" w:firstLineChars="200"/>
        <w:rPr>
          <w:sz w:val="24"/>
        </w:rPr>
      </w:pPr>
      <w:r>
        <w:rPr>
          <w:rFonts w:hint="eastAsia"/>
          <w:sz w:val="24"/>
        </w:rPr>
        <w:t>项目建成运行后，建设单位还需做好以下工作：</w:t>
      </w:r>
    </w:p>
    <w:p>
      <w:pPr>
        <w:adjustRightInd w:val="0"/>
        <w:snapToGrid w:val="0"/>
        <w:spacing w:line="360" w:lineRule="auto"/>
        <w:ind w:firstLine="480" w:firstLineChars="200"/>
        <w:rPr>
          <w:sz w:val="24"/>
        </w:rPr>
      </w:pPr>
      <w:r>
        <w:rPr>
          <w:rFonts w:hint="eastAsia"/>
          <w:sz w:val="24"/>
        </w:rPr>
        <w:t>（1）认真贯彻执行有关建设项目环境保护管理文件的精神，严格执行</w:t>
      </w:r>
      <w:r>
        <w:rPr>
          <w:sz w:val="24"/>
        </w:rPr>
        <w:t>“</w:t>
      </w:r>
      <w:r>
        <w:rPr>
          <w:rFonts w:hint="eastAsia"/>
          <w:sz w:val="24"/>
        </w:rPr>
        <w:t>三同时</w:t>
      </w:r>
      <w:r>
        <w:rPr>
          <w:sz w:val="24"/>
        </w:rPr>
        <w:t>”</w:t>
      </w:r>
      <w:r>
        <w:rPr>
          <w:rFonts w:hint="eastAsia"/>
          <w:sz w:val="24"/>
        </w:rPr>
        <w:t>制度。</w:t>
      </w:r>
    </w:p>
    <w:p>
      <w:pPr>
        <w:adjustRightInd w:val="0"/>
        <w:snapToGrid w:val="0"/>
        <w:spacing w:line="360" w:lineRule="auto"/>
        <w:ind w:firstLine="480" w:firstLineChars="200"/>
        <w:rPr>
          <w:sz w:val="24"/>
        </w:rPr>
      </w:pPr>
      <w:r>
        <w:rPr>
          <w:rFonts w:hint="eastAsia"/>
          <w:sz w:val="24"/>
        </w:rPr>
        <w:t>（2）加强填埋场科学管理力度，确保进入场区的固体废物尽快得到处理后填埋，并及时覆盖，减少雨水侵入机会。</w:t>
      </w:r>
    </w:p>
    <w:p>
      <w:pPr>
        <w:adjustRightInd w:val="0"/>
        <w:snapToGrid w:val="0"/>
        <w:spacing w:line="360" w:lineRule="auto"/>
        <w:ind w:firstLine="480" w:firstLineChars="200"/>
        <w:rPr>
          <w:sz w:val="24"/>
        </w:rPr>
      </w:pPr>
      <w:r>
        <w:rPr>
          <w:rFonts w:hint="eastAsia"/>
          <w:sz w:val="24"/>
        </w:rPr>
        <w:t>（3）采取有效措施防止发生各种事故，针对不同的事故类型制定各种事故风险防范和应急措施，增强事故防范意识，加强防治措施的运行管理，定期对设备设施进行保养检修，消除事故隐患。</w:t>
      </w:r>
    </w:p>
    <w:p>
      <w:pPr>
        <w:adjustRightInd w:val="0"/>
        <w:snapToGrid w:val="0"/>
        <w:spacing w:line="360" w:lineRule="auto"/>
        <w:ind w:firstLine="480" w:firstLineChars="200"/>
        <w:rPr>
          <w:sz w:val="24"/>
        </w:rPr>
      </w:pPr>
      <w:r>
        <w:rPr>
          <w:sz w:val="24"/>
        </w:rPr>
        <w:t>（4）本项目厂界外50m环境防护距离范围内的土地禁止建设居住点、学校、医院等敏感目标，不得建设食品加工、药品、化妆品等对空气环境质量要求高的项目。</w:t>
      </w:r>
    </w:p>
    <w:p>
      <w:pPr>
        <w:adjustRightInd w:val="0"/>
        <w:snapToGrid w:val="0"/>
        <w:spacing w:line="360" w:lineRule="auto"/>
        <w:ind w:firstLine="480" w:firstLineChars="200"/>
        <w:rPr>
          <w:sz w:val="24"/>
        </w:rPr>
      </w:pPr>
      <w:r>
        <w:rPr>
          <w:rFonts w:hint="eastAsia"/>
          <w:sz w:val="24"/>
        </w:rPr>
        <w:t>（</w:t>
      </w:r>
      <w:r>
        <w:rPr>
          <w:sz w:val="24"/>
        </w:rPr>
        <w:t>5</w:t>
      </w:r>
      <w:r>
        <w:rPr>
          <w:rFonts w:hint="eastAsia"/>
          <w:sz w:val="24"/>
        </w:rPr>
        <w:t>）加强环境监测和环境管理，确保本项目产生的各类污染物稳定达标排放，避免渗滤液渗漏事故发生。</w:t>
      </w:r>
    </w:p>
    <w:p>
      <w:pPr>
        <w:adjustRightInd w:val="0"/>
        <w:snapToGrid w:val="0"/>
        <w:spacing w:line="360" w:lineRule="auto"/>
        <w:ind w:firstLine="480" w:firstLineChars="200"/>
        <w:rPr>
          <w:sz w:val="24"/>
        </w:rPr>
      </w:pPr>
      <w:r>
        <w:rPr>
          <w:rFonts w:hint="eastAsia"/>
          <w:sz w:val="24"/>
        </w:rPr>
        <w:t>（6）要加强场区及周边下游区域内的地下水水质监控，一旦地下水监测井的监测数据出现异常，如出现水质浓度显著增大的情况，应立即启动已经预案，及时采取相应的污染治理措施，并向当地生态环境部门报告，确保将对地下水环境的污染降至最低。</w:t>
      </w:r>
    </w:p>
    <w:sectPr>
      <w:headerReference r:id="rId31"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MingLiU">
    <w:altName w:val="PMingLiU-ExtB"/>
    <w:panose1 w:val="02010609000101010101"/>
    <w:charset w:val="88"/>
    <w:family w:val="modern"/>
    <w:pitch w:val="default"/>
    <w:sig w:usb0="00000000" w:usb1="00000000" w:usb2="00000016" w:usb3="00000000" w:csb0="00100001"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003F01FF" w:csb1="00000000"/>
  </w:font>
  <w:font w:name="Cambria Math">
    <w:panose1 w:val="02040503050406030204"/>
    <w:charset w:val="00"/>
    <w:family w:val="roman"/>
    <w:pitch w:val="default"/>
    <w:sig w:usb0="E00006FF" w:usb1="420024FF" w:usb2="02000000" w:usb3="00000000" w:csb0="2000019F" w:csb1="00000000"/>
  </w:font>
  <w:font w:name="长城中隶体">
    <w:altName w:val="Times New Roman"/>
    <w:panose1 w:val="00000000000000000000"/>
    <w:charset w:val="00"/>
    <w:family w:val="auto"/>
    <w:pitch w:val="default"/>
    <w:sig w:usb0="00000000" w:usb1="00000000" w:usb2="00000000" w:usb3="00000000" w:csb0="00000000" w:csb1="00000000"/>
  </w:font>
  <w:font w:name="Wingdings 2">
    <w:altName w:val="Wingdings"/>
    <w:panose1 w:val="050201020105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8000012" w:usb3="00000000" w:csb0="4002009F" w:csb1="DFD70000"/>
  </w:font>
  <w:font w:name="Segoe UI Emoji">
    <w:panose1 w:val="020B0502040204020203"/>
    <w:charset w:val="00"/>
    <w:family w:val="swiss"/>
    <w:pitch w:val="default"/>
    <w:sig w:usb0="00000001" w:usb1="02000000" w:usb2="00000000" w:usb3="00000000" w:csb0="00000001" w:csb1="00000000"/>
  </w:font>
  <w:font w:name="MS Mincho">
    <w:altName w:val="Yu Gothic UI"/>
    <w:panose1 w:val="02020609040205080304"/>
    <w:charset w:val="80"/>
    <w:family w:val="modern"/>
    <w:pitch w:val="default"/>
    <w:sig w:usb0="00000000" w:usb1="00000000" w:usb2="00000010" w:usb3="00000000" w:csb0="0002009F" w:csb1="00000000"/>
  </w:font>
  <w:font w:name="Segoe UI Symbol">
    <w:panose1 w:val="020B0502040204020203"/>
    <w:charset w:val="00"/>
    <w:family w:val="swiss"/>
    <w:pitch w:val="default"/>
    <w:sig w:usb0="800001E3" w:usb1="1200FFEF" w:usb2="00040000" w:usb3="04000000" w:csb0="00000001" w:csb1="40000000"/>
  </w:font>
  <w:font w:name="TimesNewRomanPSMT">
    <w:altName w:val="宋体"/>
    <w:panose1 w:val="00000000000000000000"/>
    <w:charset w:val="00"/>
    <w:family w:val="roman"/>
    <w:pitch w:val="default"/>
    <w:sig w:usb0="00000000" w:usb1="00000000" w:usb2="00000001" w:usb3="00000000" w:csb0="400001BF" w:csb1="DFF70000"/>
  </w:font>
  <w:font w:name="Wingdings">
    <w:panose1 w:val="05000000000000000000"/>
    <w:charset w:val="00"/>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p>
  <w:p>
    <w:pPr>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164</w:t>
    </w:r>
    <w:r>
      <w:rPr>
        <w:lang w:val="zh-CN"/>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184</w:t>
    </w:r>
    <w:r>
      <w:rPr>
        <w:lang w:val="zh-CN"/>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188</w:t>
    </w:r>
    <w:r>
      <w:rPr>
        <w:lang w:val="zh-CN"/>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211</w:t>
    </w:r>
    <w:r>
      <w:rPr>
        <w:lang w:val="zh-CN"/>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kinsoku w:val="0"/>
      <w:overflowPunct w:val="0"/>
      <w:spacing w:line="14" w:lineRule="auto"/>
      <w:rPr>
        <w:sz w:val="20"/>
      </w:rPr>
    </w:pPr>
    <w:r>
      <mc:AlternateContent>
        <mc:Choice Requires="wps">
          <w:drawing>
            <wp:anchor distT="0" distB="0" distL="114300" distR="114300" simplePos="0" relativeHeight="251735040" behindDoc="1" locked="0" layoutInCell="0" allowOverlap="1">
              <wp:simplePos x="0" y="0"/>
              <wp:positionH relativeFrom="page">
                <wp:posOffset>3669030</wp:posOffset>
              </wp:positionH>
              <wp:positionV relativeFrom="page">
                <wp:posOffset>9932670</wp:posOffset>
              </wp:positionV>
              <wp:extent cx="223520" cy="140970"/>
              <wp:effectExtent l="0" t="0" r="5080" b="11430"/>
              <wp:wrapNone/>
              <wp:docPr id="1459" name="文本框 1459"/>
              <wp:cNvGraphicFramePr/>
              <a:graphic xmlns:a="http://schemas.openxmlformats.org/drawingml/2006/main">
                <a:graphicData uri="http://schemas.microsoft.com/office/word/2010/wordprocessingShape">
                  <wps:wsp>
                    <wps:cNvSpPr txBox="1">
                      <a:spLocks noChangeArrowheads="1"/>
                    </wps:cNvSpPr>
                    <wps:spPr bwMode="auto">
                      <a:xfrm>
                        <a:off x="0" y="0"/>
                        <a:ext cx="223520" cy="140970"/>
                      </a:xfrm>
                      <a:prstGeom prst="rect">
                        <a:avLst/>
                      </a:prstGeom>
                      <a:noFill/>
                      <a:ln>
                        <a:noFill/>
                      </a:ln>
                    </wps:spPr>
                    <wps:txbx>
                      <w:txbxContent>
                        <w:p>
                          <w:pPr>
                            <w:pStyle w:val="20"/>
                            <w:kinsoku w:val="0"/>
                            <w:overflowPunct w:val="0"/>
                            <w:spacing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88.9pt;margin-top:782.1pt;height:11.1pt;width:17.6pt;mso-position-horizontal-relative:page;mso-position-vertical-relative:page;z-index:-251581440;mso-width-relative:page;mso-height-relative:page;" filled="f" stroked="f" coordsize="21600,21600" o:allowincell="f" o:gfxdata="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Ltx9sAAAANAQAADwAAAAAA&#10;AAABACAAAAAiAAAAZHJzL2Rvd25yZXYueG1sUEsBAhQAFAAAAAgAh07iQO2W8dkQAgAACgQAAA4A&#10;AAAAAAAAAQAgAAAAKgEAAGRycy9lMm9Eb2MueG1sUEsFBgAAAAAGAAYAWQEAAKwFAAAAAA==&#10;">
              <v:fill on="f" focussize="0,0"/>
              <v:stroke on="f"/>
              <v:imagedata o:title=""/>
              <o:lock v:ext="edit" aspectratio="f"/>
              <v:textbox inset="0mm,0mm,0mm,0mm">
                <w:txbxContent>
                  <w:p>
                    <w:pPr>
                      <w:pStyle w:val="20"/>
                      <w:kinsoku w:val="0"/>
                      <w:overflowPunct w:val="0"/>
                      <w:spacing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v:textbox>
            </v:shape>
          </w:pict>
        </mc:Fallback>
      </mc:AlternateContent>
    </w: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50</w:t>
    </w:r>
    <w:r>
      <w:rPr>
        <w:lang w:val="zh-CN"/>
      </w:rPr>
      <w:fldChar w:fldCharType="end"/>
    </w:r>
  </w:p>
  <w:p>
    <w:pPr>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8765888"/>
    </w:sdtPr>
    <w:sdtContent>
      <w:p>
        <w:pPr>
          <w:pStyle w:val="27"/>
          <w:jc w:val="center"/>
        </w:pPr>
        <w:r>
          <w:fldChar w:fldCharType="begin"/>
        </w:r>
        <w:r>
          <w:instrText xml:space="preserve">PAGE   \* MERGEFORMAT</w:instrText>
        </w:r>
        <w:r>
          <w:fldChar w:fldCharType="separate"/>
        </w:r>
        <w:r>
          <w:rPr>
            <w:lang w:val="zh-CN"/>
          </w:rPr>
          <w:t>90</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113</w:t>
    </w:r>
    <w:r>
      <w:rPr>
        <w:lang w:val="zh-C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kinsoku w:val="0"/>
      <w:overflowPunct w:val="0"/>
      <w:spacing w:line="14" w:lineRule="auto"/>
      <w:rPr>
        <w:sz w:val="20"/>
      </w:rPr>
    </w:pPr>
    <w:r>
      <mc:AlternateContent>
        <mc:Choice Requires="wps">
          <w:drawing>
            <wp:anchor distT="0" distB="0" distL="114300" distR="114300" simplePos="0" relativeHeight="251737088" behindDoc="1" locked="0" layoutInCell="0" allowOverlap="1">
              <wp:simplePos x="0" y="0"/>
              <wp:positionH relativeFrom="page">
                <wp:posOffset>3669030</wp:posOffset>
              </wp:positionH>
              <wp:positionV relativeFrom="page">
                <wp:posOffset>9932670</wp:posOffset>
              </wp:positionV>
              <wp:extent cx="223520" cy="140970"/>
              <wp:effectExtent l="0" t="0" r="5080" b="11430"/>
              <wp:wrapNone/>
              <wp:docPr id="225" name="文本框 225"/>
              <wp:cNvGraphicFramePr/>
              <a:graphic xmlns:a="http://schemas.openxmlformats.org/drawingml/2006/main">
                <a:graphicData uri="http://schemas.microsoft.com/office/word/2010/wordprocessingShape">
                  <wps:wsp>
                    <wps:cNvSpPr txBox="1">
                      <a:spLocks noChangeArrowheads="1"/>
                    </wps:cNvSpPr>
                    <wps:spPr bwMode="auto">
                      <a:xfrm>
                        <a:off x="0" y="0"/>
                        <a:ext cx="223520" cy="140970"/>
                      </a:xfrm>
                      <a:prstGeom prst="rect">
                        <a:avLst/>
                      </a:prstGeom>
                      <a:noFill/>
                      <a:ln>
                        <a:noFill/>
                      </a:ln>
                    </wps:spPr>
                    <wps:txbx>
                      <w:txbxContent>
                        <w:p>
                          <w:pPr>
                            <w:pStyle w:val="20"/>
                            <w:kinsoku w:val="0"/>
                            <w:overflowPunct w:val="0"/>
                            <w:spacing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88.9pt;margin-top:782.1pt;height:11.1pt;width:17.6pt;mso-position-horizontal-relative:page;mso-position-vertical-relative:page;z-index:-251579392;mso-width-relative:page;mso-height-relative:page;" filled="f" stroked="f" coordsize="21600,21600" o:allowincell="f" o:gfxdata="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v8u3H2wAAAA0BAAAPAAAAAAAA&#10;AAEAIAAAACIAAABkcnMvZG93bnJldi54bWxQSwECFAAUAAAACACHTuJAnTfh2A8CAAAIBAAADgAA&#10;AAAAAAABACAAAAAqAQAAZHJzL2Uyb0RvYy54bWxQSwUGAAAAAAYABgBZAQAAqwUAAAAA&#10;">
              <v:fill on="f" focussize="0,0"/>
              <v:stroke on="f"/>
              <v:imagedata o:title=""/>
              <o:lock v:ext="edit" aspectratio="f"/>
              <v:textbox inset="0mm,0mm,0mm,0mm">
                <w:txbxContent>
                  <w:p>
                    <w:pPr>
                      <w:pStyle w:val="20"/>
                      <w:kinsoku w:val="0"/>
                      <w:overflowPunct w:val="0"/>
                      <w:spacing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v:textbox>
            </v:shape>
          </w:pict>
        </mc:Fallback>
      </mc:AlternateContent>
    </w:r>
  </w:p>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117</w:t>
    </w:r>
    <w:r>
      <w:rPr>
        <w:lang w:val="zh-C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kinsoku w:val="0"/>
      <w:overflowPunct w:val="0"/>
      <w:spacing w:before="120" w:line="14" w:lineRule="auto"/>
      <w:rPr>
        <w:sz w:val="20"/>
      </w:rPr>
    </w:pPr>
    <w:r>
      <mc:AlternateContent>
        <mc:Choice Requires="wps">
          <w:drawing>
            <wp:anchor distT="0" distB="0" distL="114300" distR="114300" simplePos="0" relativeHeight="251739136" behindDoc="1" locked="0" layoutInCell="0" allowOverlap="1">
              <wp:simplePos x="0" y="0"/>
              <wp:positionH relativeFrom="page">
                <wp:posOffset>3669030</wp:posOffset>
              </wp:positionH>
              <wp:positionV relativeFrom="page">
                <wp:posOffset>9932670</wp:posOffset>
              </wp:positionV>
              <wp:extent cx="223520" cy="140970"/>
              <wp:effectExtent l="0" t="0" r="5080" b="11430"/>
              <wp:wrapNone/>
              <wp:docPr id="203" name="文本框 203"/>
              <wp:cNvGraphicFramePr/>
              <a:graphic xmlns:a="http://schemas.openxmlformats.org/drawingml/2006/main">
                <a:graphicData uri="http://schemas.microsoft.com/office/word/2010/wordprocessingShape">
                  <wps:wsp>
                    <wps:cNvSpPr txBox="1">
                      <a:spLocks noChangeArrowheads="1"/>
                    </wps:cNvSpPr>
                    <wps:spPr bwMode="auto">
                      <a:xfrm>
                        <a:off x="0" y="0"/>
                        <a:ext cx="223520" cy="140970"/>
                      </a:xfrm>
                      <a:prstGeom prst="rect">
                        <a:avLst/>
                      </a:prstGeom>
                      <a:noFill/>
                      <a:ln>
                        <a:noFill/>
                      </a:ln>
                    </wps:spPr>
                    <wps:txbx>
                      <w:txbxContent>
                        <w:p>
                          <w:pPr>
                            <w:pStyle w:val="20"/>
                            <w:kinsoku w:val="0"/>
                            <w:overflowPunct w:val="0"/>
                            <w:spacing w:before="120"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88.9pt;margin-top:782.1pt;height:11.1pt;width:17.6pt;mso-position-horizontal-relative:page;mso-position-vertical-relative:page;z-index:-251577344;mso-width-relative:page;mso-height-relative:page;" filled="f" stroked="f" coordsize="21600,21600" o:allowincell="f" o:gfxdata="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y7cfbAAAADQEAAA8AAAAAAAAA&#10;AQAgAAAAIgAAAGRycy9kb3ducmV2LnhtbFBLAQIUABQAAAAIAIdO4kCbh/zJDgIAAAgEAAAOAAAA&#10;AAAAAAEAIAAAACoBAABkcnMvZTJvRG9jLnhtbFBLBQYAAAAABgAGAFkBAACqBQAAAAA=&#10;">
              <v:fill on="f" focussize="0,0"/>
              <v:stroke on="f"/>
              <v:imagedata o:title=""/>
              <o:lock v:ext="edit" aspectratio="f"/>
              <v:textbox inset="0mm,0mm,0mm,0mm">
                <w:txbxContent>
                  <w:p>
                    <w:pPr>
                      <w:pStyle w:val="20"/>
                      <w:kinsoku w:val="0"/>
                      <w:overflowPunct w:val="0"/>
                      <w:spacing w:before="120"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v:textbox>
            </v:shape>
          </w:pict>
        </mc:Fallback>
      </mc:AlternateContent>
    </w:r>
  </w:p>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pPr>
    <w:r>
      <w:fldChar w:fldCharType="begin"/>
    </w:r>
    <w:r>
      <w:instrText xml:space="preserve">PAGE   \* MERGEFORMAT</w:instrText>
    </w:r>
    <w:r>
      <w:fldChar w:fldCharType="separate"/>
    </w:r>
    <w:r>
      <w:rPr>
        <w:lang w:val="zh-CN"/>
      </w:rPr>
      <w:t>145</w:t>
    </w:r>
    <w:r>
      <w:rPr>
        <w:lang w:val="zh-C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kinsoku w:val="0"/>
      <w:overflowPunct w:val="0"/>
      <w:spacing w:line="14" w:lineRule="auto"/>
      <w:rPr>
        <w:sz w:val="20"/>
      </w:rPr>
    </w:pPr>
    <w:r>
      <mc:AlternateContent>
        <mc:Choice Requires="wps">
          <w:drawing>
            <wp:anchor distT="0" distB="0" distL="114300" distR="114300" simplePos="0" relativeHeight="251734016" behindDoc="1" locked="0" layoutInCell="0" allowOverlap="1">
              <wp:simplePos x="0" y="0"/>
              <wp:positionH relativeFrom="page">
                <wp:posOffset>3669030</wp:posOffset>
              </wp:positionH>
              <wp:positionV relativeFrom="page">
                <wp:posOffset>9932670</wp:posOffset>
              </wp:positionV>
              <wp:extent cx="223520" cy="140970"/>
              <wp:effectExtent l="0" t="0" r="5080" b="11430"/>
              <wp:wrapNone/>
              <wp:docPr id="283" name="文本框 283"/>
              <wp:cNvGraphicFramePr/>
              <a:graphic xmlns:a="http://schemas.openxmlformats.org/drawingml/2006/main">
                <a:graphicData uri="http://schemas.microsoft.com/office/word/2010/wordprocessingShape">
                  <wps:wsp>
                    <wps:cNvSpPr txBox="1">
                      <a:spLocks noChangeArrowheads="1"/>
                    </wps:cNvSpPr>
                    <wps:spPr bwMode="auto">
                      <a:xfrm>
                        <a:off x="0" y="0"/>
                        <a:ext cx="223520" cy="140970"/>
                      </a:xfrm>
                      <a:prstGeom prst="rect">
                        <a:avLst/>
                      </a:prstGeom>
                      <a:noFill/>
                      <a:ln>
                        <a:noFill/>
                      </a:ln>
                    </wps:spPr>
                    <wps:txbx>
                      <w:txbxContent>
                        <w:p>
                          <w:pPr>
                            <w:pStyle w:val="20"/>
                            <w:kinsoku w:val="0"/>
                            <w:overflowPunct w:val="0"/>
                            <w:spacing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88.9pt;margin-top:782.1pt;height:11.1pt;width:17.6pt;mso-position-horizontal-relative:page;mso-position-vertical-relative:page;z-index:-251582464;mso-width-relative:page;mso-height-relative:page;" filled="f" stroked="f" coordsize="21600,21600" o:allowincell="f" o:gfxdata="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Ltx9sAAAANAQAADwAAAAAA&#10;AAABACAAAAAiAAAAZHJzL2Rvd25yZXYueG1sUEsBAhQAFAAAAAgAh07iQA3aws8QAgAACAQAAA4A&#10;AAAAAAAAAQAgAAAAKgEAAGRycy9lMm9Eb2MueG1sUEsFBgAAAAAGAAYAWQEAAKwFAAAAAA==&#10;">
              <v:fill on="f" focussize="0,0"/>
              <v:stroke on="f"/>
              <v:imagedata o:title=""/>
              <o:lock v:ext="edit" aspectratio="f"/>
              <v:textbox inset="0mm,0mm,0mm,0mm">
                <w:txbxContent>
                  <w:p>
                    <w:pPr>
                      <w:pStyle w:val="20"/>
                      <w:kinsoku w:val="0"/>
                      <w:overflowPunct w:val="0"/>
                      <w:spacing w:line="214" w:lineRule="exact"/>
                      <w:ind w:left="40"/>
                      <w:rPr>
                        <w:rFonts w:ascii="Arial Unicode MS" w:eastAsia="Arial Unicode MS" w:cs="Arial Unicode MS"/>
                        <w:sz w:val="18"/>
                        <w:szCs w:val="18"/>
                      </w:rPr>
                    </w:pPr>
                    <w:r>
                      <w:rPr>
                        <w:rFonts w:ascii="Arial Unicode MS" w:eastAsia="Arial Unicode MS" w:cs="Arial Unicode MS"/>
                        <w:w w:val="95"/>
                        <w:sz w:val="18"/>
                        <w:szCs w:val="18"/>
                      </w:rPr>
                      <w:fldChar w:fldCharType="begin"/>
                    </w:r>
                    <w:r>
                      <w:rPr>
                        <w:rFonts w:ascii="Arial Unicode MS" w:eastAsia="Arial Unicode MS" w:cs="Arial Unicode MS"/>
                        <w:w w:val="95"/>
                        <w:sz w:val="18"/>
                        <w:szCs w:val="18"/>
                      </w:rPr>
                      <w:instrText xml:space="preserve"> PAGE </w:instrText>
                    </w:r>
                    <w:r>
                      <w:rPr>
                        <w:rFonts w:ascii="Arial Unicode MS" w:eastAsia="Arial Unicode MS" w:cs="Arial Unicode MS"/>
                        <w:w w:val="95"/>
                        <w:sz w:val="18"/>
                        <w:szCs w:val="18"/>
                      </w:rPr>
                      <w:fldChar w:fldCharType="separate"/>
                    </w:r>
                    <w:r>
                      <w:rPr>
                        <w:rFonts w:ascii="Arial Unicode MS" w:eastAsia="Arial Unicode MS" w:cs="Arial Unicode MS"/>
                        <w:w w:val="95"/>
                        <w:sz w:val="18"/>
                        <w:szCs w:val="18"/>
                      </w:rPr>
                      <w:t>306</w:t>
                    </w:r>
                    <w:r>
                      <w:rPr>
                        <w:rFonts w:ascii="Arial Unicode MS" w:eastAsia="Arial Unicode MS" w:cs="Arial Unicode MS"/>
                        <w:w w:val="95"/>
                        <w:sz w:val="18"/>
                        <w:szCs w:val="18"/>
                      </w:rPr>
                      <w:fldChar w:fldCharType="end"/>
                    </w:r>
                  </w:p>
                </w:txbxContent>
              </v:textbox>
            </v:shape>
          </w:pict>
        </mc:Fallback>
      </mc:AlternateContent>
    </w: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r>
      <w:rPr>
        <w:rFonts w:hint="eastAsia" w:ascii="黑体" w:hAnsi="宋体" w:eastAsia="黑体"/>
      </w:rPr>
      <w:t>围场满族蒙古族自治县静脉产业园飞灰填埋场项目       环境保护措施及经济技术可行性论证</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r>
      <w:rPr>
        <w:rFonts w:hint="eastAsia" w:ascii="黑体" w:hAnsi="宋体" w:eastAsia="黑体"/>
      </w:rPr>
      <w:t>围场满族蒙古族自治县静脉产业园飞灰填埋场项目       环境保护措施及经济技术可行性论证</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r>
      <w:rPr>
        <w:rFonts w:hint="eastAsia" w:ascii="黑体" w:hAnsi="宋体" w:eastAsia="黑体"/>
      </w:rPr>
      <w:t>围场满族蒙古族自治县静脉产业园飞灰填埋场项目                      环境经济损益分析</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adjustRightInd w:val="0"/>
      <w:jc w:val="distribute"/>
    </w:pPr>
    <w:r>
      <w:rPr>
        <w:rFonts w:hint="eastAsia" w:ascii="黑体" w:hAnsi="宋体" w:eastAsia="黑体"/>
      </w:rPr>
      <w:t>围场满族蒙古族自治县静脉产业园飞灰填埋场项目                     环境管理与监测计划</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adjustRightInd w:val="0"/>
      <w:jc w:val="distribute"/>
    </w:pPr>
    <w:r>
      <w:rPr>
        <w:rFonts w:hint="eastAsia" w:ascii="黑体" w:hAnsi="宋体" w:eastAsia="黑体"/>
      </w:rPr>
      <w:t>围场满族蒙古族自治县静脉产业园飞灰填埋场项目                     环境管理与监测计划</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r>
      <w:rPr>
        <w:rFonts w:hint="eastAsia" w:ascii="黑体" w:hAnsi="宋体" w:eastAsia="黑体"/>
      </w:rPr>
      <w:t>围场满族蒙古族自治县静脉产业园飞灰填埋场项目                            结论与建议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bookmarkStart w:id="198" w:name="_Hlk82009542"/>
    <w:r>
      <w:rPr>
        <w:rFonts w:hint="eastAsia" w:ascii="黑体" w:hAnsi="宋体" w:eastAsia="黑体"/>
      </w:rPr>
      <w:t>围场满族蒙古族自治县静脉产业园</w:t>
    </w:r>
    <w:bookmarkEnd w:id="198"/>
    <w:r>
      <w:rPr>
        <w:rFonts w:hint="eastAsia" w:ascii="黑体" w:hAnsi="宋体" w:eastAsia="黑体"/>
      </w:rPr>
      <w:t>飞灰填埋场项目                             概述</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bookmarkStart w:id="199" w:name="_Hlk88040374"/>
    <w:bookmarkStart w:id="200" w:name="_Hlk88040375"/>
    <w:r>
      <w:rPr>
        <w:rFonts w:hint="eastAsia" w:ascii="黑体" w:hAnsi="宋体" w:eastAsia="黑体"/>
      </w:rPr>
      <w:t>围场满族蒙古族自治县静脉产业园飞灰填埋场项目                         总则</w:t>
    </w:r>
    <w:bookmarkEnd w:id="199"/>
    <w:bookmarkEnd w:id="200"/>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r>
      <w:rPr>
        <w:rFonts w:hint="eastAsia" w:ascii="黑体" w:hAnsi="宋体" w:eastAsia="黑体"/>
      </w:rPr>
      <w:t>围场满族蒙古族自治县静脉产业园飞灰填埋场项目                        总则</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adjustRightInd w:val="0"/>
      <w:jc w:val="distribute"/>
    </w:pPr>
    <w:r>
      <w:rPr>
        <w:rFonts w:hint="eastAsia" w:ascii="黑体" w:hAnsi="宋体" w:eastAsia="黑体"/>
      </w:rPr>
      <w:t xml:space="preserve">围场满族蒙古族自治县静脉产业园飞灰填埋场项目               </w:t>
    </w:r>
    <w:r>
      <w:rPr>
        <w:rFonts w:ascii="黑体" w:hAnsi="宋体" w:eastAsia="黑体"/>
      </w:rPr>
      <w:t xml:space="preserve">        </w:t>
    </w:r>
    <w:r>
      <w:rPr>
        <w:rFonts w:hint="eastAsia" w:ascii="黑体" w:hAnsi="宋体" w:eastAsia="黑体"/>
      </w:rPr>
      <w:t xml:space="preserve">      项目概况与工程分析</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adjustRightInd w:val="0"/>
      <w:jc w:val="distribute"/>
    </w:pPr>
    <w:r>
      <w:rPr>
        <w:rFonts w:hint="eastAsia" w:ascii="黑体" w:hAnsi="宋体" w:eastAsia="黑体"/>
      </w:rPr>
      <w:t xml:space="preserve">围场满族蒙古族自治县静脉产业园飞灰填埋场项目               </w:t>
    </w:r>
    <w:r>
      <w:rPr>
        <w:rFonts w:ascii="黑体" w:hAnsi="宋体" w:eastAsia="黑体"/>
      </w:rPr>
      <w:t xml:space="preserve">        </w:t>
    </w:r>
    <w:r>
      <w:rPr>
        <w:rFonts w:hint="eastAsia" w:ascii="黑体" w:hAnsi="宋体" w:eastAsia="黑体"/>
      </w:rPr>
      <w:t xml:space="preserve">   区域环境现状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adjustRightInd w:val="0"/>
      <w:jc w:val="distribute"/>
    </w:pPr>
    <w:r>
      <w:rPr>
        <w:rFonts w:hint="eastAsia" w:ascii="黑体" w:hAnsi="宋体" w:eastAsia="黑体"/>
      </w:rPr>
      <w:t xml:space="preserve">围场满族蒙古族自治县静脉产业园飞灰填埋场项目               </w:t>
    </w:r>
    <w:r>
      <w:rPr>
        <w:rFonts w:ascii="黑体" w:hAnsi="宋体" w:eastAsia="黑体"/>
      </w:rPr>
      <w:t xml:space="preserve">        </w:t>
    </w:r>
    <w:r>
      <w:rPr>
        <w:rFonts w:hint="eastAsia" w:ascii="黑体" w:hAnsi="宋体" w:eastAsia="黑体"/>
      </w:rPr>
      <w:t xml:space="preserve">      区域环境现状</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distribute"/>
    </w:pPr>
    <w:r>
      <w:rPr>
        <w:rFonts w:hint="eastAsia" w:ascii="黑体" w:hAnsi="宋体" w:eastAsia="黑体"/>
      </w:rPr>
      <w:t>围场满族蒙古族自治县静脉产业园飞灰填埋场项目                     环境影响预测预评价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adjustRightInd w:val="0"/>
      <w:jc w:val="distribute"/>
    </w:pPr>
    <w:bookmarkStart w:id="201" w:name="_Hlk93328427"/>
    <w:r>
      <w:rPr>
        <w:rFonts w:hint="eastAsia" w:ascii="黑体" w:hAnsi="宋体" w:eastAsia="黑体"/>
      </w:rPr>
      <w:t xml:space="preserve">围场满族蒙古族自治县静脉产业园飞灰填埋场项目  </w:t>
    </w:r>
    <w:bookmarkEnd w:id="201"/>
    <w:r>
      <w:rPr>
        <w:rFonts w:hint="eastAsia" w:ascii="黑体" w:hAnsi="宋体" w:eastAsia="黑体"/>
      </w:rPr>
      <w:t xml:space="preserve">             </w:t>
    </w:r>
    <w:r>
      <w:rPr>
        <w:rFonts w:ascii="黑体" w:hAnsi="宋体" w:eastAsia="黑体"/>
      </w:rPr>
      <w:t xml:space="preserve">        </w:t>
    </w:r>
    <w:r>
      <w:rPr>
        <w:rFonts w:hint="eastAsia" w:ascii="黑体" w:hAnsi="宋体" w:eastAsia="黑体"/>
      </w:rPr>
      <w:t xml:space="preserve">     环境影响预测预评价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9"/>
    <w:multiLevelType w:val="multilevel"/>
    <w:tmpl w:val="00000009"/>
    <w:lvl w:ilvl="0" w:tentative="0">
      <w:start w:val="1"/>
      <w:numFmt w:val="decimal"/>
      <w:lvlText w:val="%1"/>
      <w:lvlJc w:val="left"/>
      <w:pPr>
        <w:tabs>
          <w:tab w:val="left" w:pos="432"/>
        </w:tabs>
        <w:ind w:left="432" w:hanging="432"/>
      </w:pPr>
      <w:rPr>
        <w:rFonts w:hint="default" w:ascii="Times New Roman" w:hAnsi="Times New Roman" w:eastAsia="宋体" w:cs="Times New Roman"/>
      </w:rPr>
    </w:lvl>
    <w:lvl w:ilvl="1" w:tentative="0">
      <w:start w:val="1"/>
      <w:numFmt w:val="decimal"/>
      <w:lvlText w:val="%1.%2"/>
      <w:lvlJc w:val="left"/>
      <w:pPr>
        <w:tabs>
          <w:tab w:val="left" w:pos="862"/>
        </w:tabs>
        <w:ind w:left="539" w:hanging="397"/>
      </w:pPr>
      <w:rPr>
        <w:rFonts w:hint="default" w:ascii="Times New Roman" w:hAnsi="Times New Roman" w:eastAsia="宋体" w:cs="Times New Roman"/>
        <w:color w:val="auto"/>
        <w:sz w:val="30"/>
        <w:szCs w:val="30"/>
      </w:rPr>
    </w:lvl>
    <w:lvl w:ilvl="2" w:tentative="0">
      <w:start w:val="1"/>
      <w:numFmt w:val="decimal"/>
      <w:lvlText w:val="%1.%2.%3"/>
      <w:lvlJc w:val="left"/>
      <w:pPr>
        <w:tabs>
          <w:tab w:val="left" w:pos="1163"/>
        </w:tabs>
        <w:ind w:left="1163" w:hanging="1021"/>
      </w:pPr>
      <w:rPr>
        <w:rFonts w:hint="default" w:ascii="Times New Roman" w:hAnsi="Times New Roman" w:eastAsia="宋体" w:cs="Times New Roman"/>
        <w:b/>
        <w:i w:val="0"/>
        <w:color w:val="auto"/>
        <w:sz w:val="28"/>
        <w:szCs w:val="28"/>
      </w:rPr>
    </w:lvl>
    <w:lvl w:ilvl="3" w:tentative="0">
      <w:start w:val="1"/>
      <w:numFmt w:val="decimal"/>
      <w:lvlText w:val="%1.%2.%3.%4"/>
      <w:lvlJc w:val="left"/>
      <w:pPr>
        <w:tabs>
          <w:tab w:val="left" w:pos="1389"/>
        </w:tabs>
        <w:ind w:left="1106" w:hanging="964"/>
      </w:pPr>
      <w:rPr>
        <w:rFonts w:hint="default" w:ascii="Times New Roman" w:hAnsi="Times New Roman" w:eastAsia="宋体" w:cs="Times New Roman"/>
        <w:b/>
        <w:sz w:val="24"/>
        <w:szCs w:val="24"/>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06EF327C"/>
    <w:multiLevelType w:val="multilevel"/>
    <w:tmpl w:val="06EF327C"/>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1640438A"/>
    <w:multiLevelType w:val="multilevel"/>
    <w:tmpl w:val="1640438A"/>
    <w:lvl w:ilvl="0" w:tentative="0">
      <w:start w:val="1"/>
      <w:numFmt w:val="decimal"/>
      <w:suff w:val="nothing"/>
      <w:lvlText w:val="（%1）"/>
      <w:lvlJc w:val="left"/>
      <w:pPr>
        <w:ind w:left="230" w:firstLine="480"/>
      </w:pPr>
      <w:rPr>
        <w:rFonts w:hint="eastAsia"/>
      </w:rPr>
    </w:lvl>
    <w:lvl w:ilvl="1" w:tentative="0">
      <w:start w:val="1"/>
      <w:numFmt w:val="lowerLetter"/>
      <w:lvlText w:val="%2)"/>
      <w:lvlJc w:val="left"/>
      <w:pPr>
        <w:tabs>
          <w:tab w:val="left" w:pos="840"/>
        </w:tabs>
        <w:ind w:left="840" w:hanging="420"/>
      </w:pPr>
      <w:rPr>
        <w:rFonts w:hint="eastAsia"/>
      </w:rPr>
    </w:lvl>
    <w:lvl w:ilvl="2" w:tentative="0">
      <w:start w:val="1"/>
      <w:numFmt w:val="lowerRoman"/>
      <w:lvlText w:val="%3."/>
      <w:lvlJc w:val="right"/>
      <w:pPr>
        <w:tabs>
          <w:tab w:val="left" w:pos="1260"/>
        </w:tabs>
        <w:ind w:left="1260" w:hanging="420"/>
      </w:pPr>
      <w:rPr>
        <w:rFonts w:hint="eastAsia"/>
      </w:rPr>
    </w:lvl>
    <w:lvl w:ilvl="3" w:tentative="0">
      <w:start w:val="1"/>
      <w:numFmt w:val="decimal"/>
      <w:lvlText w:val="%4."/>
      <w:lvlJc w:val="left"/>
      <w:pPr>
        <w:tabs>
          <w:tab w:val="left" w:pos="1680"/>
        </w:tabs>
        <w:ind w:left="1680" w:hanging="420"/>
      </w:pPr>
      <w:rPr>
        <w:rFonts w:hint="eastAsia"/>
      </w:rPr>
    </w:lvl>
    <w:lvl w:ilvl="4" w:tentative="0">
      <w:start w:val="1"/>
      <w:numFmt w:val="lowerLetter"/>
      <w:lvlText w:val="%5)"/>
      <w:lvlJc w:val="left"/>
      <w:pPr>
        <w:tabs>
          <w:tab w:val="left" w:pos="2100"/>
        </w:tabs>
        <w:ind w:left="2100" w:hanging="420"/>
      </w:pPr>
      <w:rPr>
        <w:rFonts w:hint="eastAsia"/>
      </w:rPr>
    </w:lvl>
    <w:lvl w:ilvl="5" w:tentative="0">
      <w:start w:val="1"/>
      <w:numFmt w:val="lowerRoman"/>
      <w:lvlText w:val="%6."/>
      <w:lvlJc w:val="right"/>
      <w:pPr>
        <w:tabs>
          <w:tab w:val="left" w:pos="2520"/>
        </w:tabs>
        <w:ind w:left="2520" w:hanging="420"/>
      </w:pPr>
      <w:rPr>
        <w:rFonts w:hint="eastAsia"/>
      </w:rPr>
    </w:lvl>
    <w:lvl w:ilvl="6" w:tentative="0">
      <w:start w:val="1"/>
      <w:numFmt w:val="decimal"/>
      <w:lvlText w:val="%7."/>
      <w:lvlJc w:val="left"/>
      <w:pPr>
        <w:tabs>
          <w:tab w:val="left" w:pos="2940"/>
        </w:tabs>
        <w:ind w:left="2940" w:hanging="420"/>
      </w:pPr>
      <w:rPr>
        <w:rFonts w:hint="eastAsia"/>
      </w:rPr>
    </w:lvl>
    <w:lvl w:ilvl="7" w:tentative="0">
      <w:start w:val="1"/>
      <w:numFmt w:val="lowerLetter"/>
      <w:lvlText w:val="%8)"/>
      <w:lvlJc w:val="left"/>
      <w:pPr>
        <w:tabs>
          <w:tab w:val="left" w:pos="3360"/>
        </w:tabs>
        <w:ind w:left="3360" w:hanging="420"/>
      </w:pPr>
      <w:rPr>
        <w:rFonts w:hint="eastAsia"/>
      </w:rPr>
    </w:lvl>
    <w:lvl w:ilvl="8" w:tentative="0">
      <w:start w:val="1"/>
      <w:numFmt w:val="lowerRoman"/>
      <w:lvlText w:val="%9."/>
      <w:lvlJc w:val="right"/>
      <w:pPr>
        <w:tabs>
          <w:tab w:val="left" w:pos="3780"/>
        </w:tabs>
        <w:ind w:left="3780" w:hanging="420"/>
      </w:pPr>
      <w:rPr>
        <w:rFonts w:hint="eastAsia"/>
      </w:rPr>
    </w:lvl>
  </w:abstractNum>
  <w:abstractNum w:abstractNumId="3">
    <w:nsid w:val="191A3C0B"/>
    <w:multiLevelType w:val="multilevel"/>
    <w:tmpl w:val="191A3C0B"/>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1F194001"/>
    <w:multiLevelType w:val="multilevel"/>
    <w:tmpl w:val="1F194001"/>
    <w:lvl w:ilvl="0" w:tentative="0">
      <w:start w:val="1"/>
      <w:numFmt w:val="decimal"/>
      <w:pStyle w:val="71"/>
      <w:lvlText w:val="表1-%1"/>
      <w:lvlJc w:val="center"/>
      <w:pPr>
        <w:tabs>
          <w:tab w:val="left" w:pos="0"/>
        </w:tabs>
        <w:ind w:left="0" w:firstLine="0"/>
      </w:pPr>
      <w:rPr>
        <w:rFonts w:hint="eastAsia"/>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21A4407F"/>
    <w:multiLevelType w:val="multilevel"/>
    <w:tmpl w:val="21A4407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BDC36D4"/>
    <w:multiLevelType w:val="multilevel"/>
    <w:tmpl w:val="3BDC36D4"/>
    <w:lvl w:ilvl="0" w:tentative="0">
      <w:start w:val="1"/>
      <w:numFmt w:val="decimal"/>
      <w:pStyle w:val="145"/>
      <w:suff w:val="space"/>
      <w:lvlText w:val="图4-%1"/>
      <w:lvlJc w:val="left"/>
      <w:pPr>
        <w:ind w:left="0" w:firstLine="0"/>
      </w:pPr>
      <w:rPr>
        <w:rFonts w:hint="eastAsia"/>
        <w:b/>
      </w:rPr>
    </w:lvl>
    <w:lvl w:ilvl="1" w:tentative="0">
      <w:start w:val="2"/>
      <w:numFmt w:val="decimal"/>
      <w:pStyle w:val="144"/>
      <w:isLgl/>
      <w:suff w:val="space"/>
      <w:lvlText w:val="图%1-1"/>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2" w:tentative="0">
      <w:start w:val="1"/>
      <w:numFmt w:val="lowerRoman"/>
      <w:lvlText w:val="%3."/>
      <w:lvlJc w:val="right"/>
      <w:pPr>
        <w:tabs>
          <w:tab w:val="left" w:pos="0"/>
        </w:tabs>
        <w:ind w:left="0" w:firstLine="0"/>
      </w:pPr>
      <w:rPr>
        <w:rFonts w:hint="eastAsia"/>
      </w:rPr>
    </w:lvl>
    <w:lvl w:ilvl="3" w:tentative="0">
      <w:start w:val="1"/>
      <w:numFmt w:val="decimal"/>
      <w:lvlText w:val="%4."/>
      <w:lvlJc w:val="left"/>
      <w:pPr>
        <w:tabs>
          <w:tab w:val="left" w:pos="0"/>
        </w:tabs>
        <w:ind w:left="0" w:firstLine="0"/>
      </w:pPr>
      <w:rPr>
        <w:rFonts w:hint="eastAsia"/>
      </w:rPr>
    </w:lvl>
    <w:lvl w:ilvl="4" w:tentative="0">
      <w:start w:val="1"/>
      <w:numFmt w:val="lowerLetter"/>
      <w:lvlText w:val="%5)"/>
      <w:lvlJc w:val="left"/>
      <w:pPr>
        <w:tabs>
          <w:tab w:val="left" w:pos="0"/>
        </w:tabs>
        <w:ind w:left="0" w:firstLine="0"/>
      </w:pPr>
      <w:rPr>
        <w:rFonts w:hint="eastAsia"/>
      </w:rPr>
    </w:lvl>
    <w:lvl w:ilvl="5" w:tentative="0">
      <w:start w:val="1"/>
      <w:numFmt w:val="lowerRoman"/>
      <w:lvlText w:val="%6."/>
      <w:lvlJc w:val="right"/>
      <w:pPr>
        <w:tabs>
          <w:tab w:val="left" w:pos="0"/>
        </w:tabs>
        <w:ind w:left="0" w:firstLine="0"/>
      </w:pPr>
      <w:rPr>
        <w:rFonts w:hint="eastAsia"/>
      </w:rPr>
    </w:lvl>
    <w:lvl w:ilvl="6" w:tentative="0">
      <w:start w:val="1"/>
      <w:numFmt w:val="decimal"/>
      <w:lvlText w:val="%7."/>
      <w:lvlJc w:val="left"/>
      <w:pPr>
        <w:tabs>
          <w:tab w:val="left" w:pos="0"/>
        </w:tabs>
        <w:ind w:left="0" w:firstLine="0"/>
      </w:pPr>
      <w:rPr>
        <w:rFonts w:hint="eastAsia"/>
      </w:rPr>
    </w:lvl>
    <w:lvl w:ilvl="7" w:tentative="0">
      <w:start w:val="1"/>
      <w:numFmt w:val="lowerLetter"/>
      <w:lvlText w:val="%8)"/>
      <w:lvlJc w:val="left"/>
      <w:pPr>
        <w:tabs>
          <w:tab w:val="left" w:pos="0"/>
        </w:tabs>
        <w:ind w:left="0" w:firstLine="0"/>
      </w:pPr>
      <w:rPr>
        <w:rFonts w:hint="eastAsia"/>
      </w:rPr>
    </w:lvl>
    <w:lvl w:ilvl="8" w:tentative="0">
      <w:start w:val="1"/>
      <w:numFmt w:val="lowerRoman"/>
      <w:lvlText w:val="%9."/>
      <w:lvlJc w:val="right"/>
      <w:pPr>
        <w:tabs>
          <w:tab w:val="left" w:pos="0"/>
        </w:tabs>
        <w:ind w:left="0" w:firstLine="0"/>
      </w:pPr>
      <w:rPr>
        <w:rFonts w:hint="eastAsia"/>
      </w:rPr>
    </w:lvl>
  </w:abstractNum>
  <w:abstractNum w:abstractNumId="7">
    <w:nsid w:val="52513F83"/>
    <w:multiLevelType w:val="multilevel"/>
    <w:tmpl w:val="52513F83"/>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525F532F"/>
    <w:multiLevelType w:val="multilevel"/>
    <w:tmpl w:val="525F532F"/>
    <w:lvl w:ilvl="0" w:tentative="0">
      <w:start w:val="1"/>
      <w:numFmt w:val="decimal"/>
      <w:lvlText w:val="（%1）"/>
      <w:lvlJc w:val="left"/>
      <w:pPr>
        <w:ind w:left="900" w:hanging="420"/>
      </w:pPr>
      <w:rPr>
        <w:rFonts w:hint="default" w:ascii="Times New Roman" w:hAnsi="Times New Roman" w:eastAsia="宋体"/>
        <w:b w:val="0"/>
        <w:i w:val="0"/>
        <w:caps w:val="0"/>
        <w:strike w:val="0"/>
        <w:dstrike w:val="0"/>
        <w:vanish w:val="0"/>
        <w:sz w:val="24"/>
        <w:vertAlign w:val="baseline"/>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57133F65"/>
    <w:multiLevelType w:val="multilevel"/>
    <w:tmpl w:val="57133F65"/>
    <w:lvl w:ilvl="0" w:tentative="0">
      <w:start w:val="1"/>
      <w:numFmt w:val="decimal"/>
      <w:pStyle w:val="96"/>
      <w:lvlText w:val="第%1章 "/>
      <w:lvlJc w:val="left"/>
      <w:pPr>
        <w:tabs>
          <w:tab w:val="left" w:pos="425"/>
        </w:tabs>
        <w:ind w:left="425" w:hanging="425"/>
      </w:pPr>
      <w:rPr>
        <w:rFonts w:hint="eastAsia"/>
      </w:rPr>
    </w:lvl>
    <w:lvl w:ilvl="1" w:tentative="0">
      <w:start w:val="1"/>
      <w:numFmt w:val="decimal"/>
      <w:pStyle w:val="94"/>
      <w:lvlText w:val="%1.%2 "/>
      <w:lvlJc w:val="left"/>
      <w:pPr>
        <w:tabs>
          <w:tab w:val="left" w:pos="567"/>
        </w:tabs>
        <w:ind w:left="567" w:hanging="567"/>
      </w:pPr>
      <w:rPr>
        <w:rFonts w:hint="eastAsia"/>
      </w:rPr>
    </w:lvl>
    <w:lvl w:ilvl="2" w:tentative="0">
      <w:start w:val="1"/>
      <w:numFmt w:val="decimal"/>
      <w:pStyle w:val="95"/>
      <w:lvlText w:val="%1.%2.%3 "/>
      <w:lvlJc w:val="left"/>
      <w:pPr>
        <w:tabs>
          <w:tab w:val="left" w:pos="709"/>
        </w:tabs>
        <w:ind w:left="709" w:hanging="709"/>
      </w:pPr>
      <w:rPr>
        <w:rFonts w:hint="eastAsia"/>
      </w:rPr>
    </w:lvl>
    <w:lvl w:ilvl="3" w:tentative="0">
      <w:start w:val="1"/>
      <w:numFmt w:val="decimal"/>
      <w:pStyle w:val="91"/>
      <w:lvlText w:val="%1.%2.%3.%4 "/>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0">
    <w:nsid w:val="5D9B57A7"/>
    <w:multiLevelType w:val="multilevel"/>
    <w:tmpl w:val="5D9B57A7"/>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711C5502"/>
    <w:multiLevelType w:val="multilevel"/>
    <w:tmpl w:val="711C5502"/>
    <w:lvl w:ilvl="0" w:tentative="0">
      <w:start w:val="1"/>
      <w:numFmt w:val="decimal"/>
      <w:pStyle w:val="248"/>
      <w:lvlText w:val="表 %1. "/>
      <w:lvlJc w:val="center"/>
      <w:pPr>
        <w:ind w:left="4252" w:firstLine="0"/>
      </w:pPr>
      <w:rPr>
        <w:rFonts w:hint="default" w:ascii="Times New Roman" w:hAnsi="Times New Roman" w:cs="Wingdings"/>
        <w:b/>
        <w:sz w:val="28"/>
        <w:szCs w:val="28"/>
        <w:lang w:val="en-US"/>
      </w:rPr>
    </w:lvl>
    <w:lvl w:ilvl="1" w:tentative="0">
      <w:start w:val="1"/>
      <w:numFmt w:val="bullet"/>
      <w:lvlText w:val=""/>
      <w:lvlJc w:val="left"/>
      <w:pPr>
        <w:ind w:left="840" w:hanging="420"/>
      </w:pPr>
      <w:rPr>
        <w:rFonts w:hint="default" w:ascii="Wingdings" w:hAnsi="Wingdings"/>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74035D00"/>
    <w:multiLevelType w:val="multilevel"/>
    <w:tmpl w:val="74035D00"/>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747154D8"/>
    <w:multiLevelType w:val="multilevel"/>
    <w:tmpl w:val="747154D8"/>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7D0611E8"/>
    <w:multiLevelType w:val="multilevel"/>
    <w:tmpl w:val="7D0611E8"/>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4"/>
  </w:num>
  <w:num w:numId="2">
    <w:abstractNumId w:val="9"/>
  </w:num>
  <w:num w:numId="3">
    <w:abstractNumId w:val="6"/>
  </w:num>
  <w:num w:numId="4">
    <w:abstractNumId w:val="11"/>
  </w:num>
  <w:num w:numId="5">
    <w:abstractNumId w:val="0"/>
  </w:num>
  <w:num w:numId="6">
    <w:abstractNumId w:val="5"/>
  </w:num>
  <w:num w:numId="7">
    <w:abstractNumId w:val="3"/>
  </w:num>
  <w:num w:numId="8">
    <w:abstractNumId w:val="2"/>
  </w:num>
  <w:num w:numId="9">
    <w:abstractNumId w:val="10"/>
  </w:num>
  <w:num w:numId="10">
    <w:abstractNumId w:val="13"/>
  </w:num>
  <w:num w:numId="11">
    <w:abstractNumId w:val="14"/>
  </w:num>
  <w:num w:numId="12">
    <w:abstractNumId w:val="7"/>
  </w:num>
  <w:num w:numId="13">
    <w:abstractNumId w:val="1"/>
  </w:num>
  <w:num w:numId="14">
    <w:abstractNumId w:val="8"/>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YwNzg1MDJhY2ZkYTdkMTRjNWQ3NmFlODcyZDk2NTEifQ=="/>
  </w:docVars>
  <w:rsids>
    <w:rsidRoot w:val="00027097"/>
    <w:rsid w:val="00001063"/>
    <w:rsid w:val="00001FF3"/>
    <w:rsid w:val="000023E3"/>
    <w:rsid w:val="000033A1"/>
    <w:rsid w:val="000036E4"/>
    <w:rsid w:val="00003A92"/>
    <w:rsid w:val="0000582A"/>
    <w:rsid w:val="000069DC"/>
    <w:rsid w:val="000073CC"/>
    <w:rsid w:val="000077D8"/>
    <w:rsid w:val="000100AE"/>
    <w:rsid w:val="0001045F"/>
    <w:rsid w:val="00010470"/>
    <w:rsid w:val="000105C7"/>
    <w:rsid w:val="00010791"/>
    <w:rsid w:val="000107E7"/>
    <w:rsid w:val="0001087E"/>
    <w:rsid w:val="00010C9A"/>
    <w:rsid w:val="0001130C"/>
    <w:rsid w:val="00012082"/>
    <w:rsid w:val="0001234C"/>
    <w:rsid w:val="0001382C"/>
    <w:rsid w:val="00015365"/>
    <w:rsid w:val="00015410"/>
    <w:rsid w:val="00015B84"/>
    <w:rsid w:val="00015CB0"/>
    <w:rsid w:val="00016DFC"/>
    <w:rsid w:val="00016F50"/>
    <w:rsid w:val="000179F9"/>
    <w:rsid w:val="000200C1"/>
    <w:rsid w:val="00020602"/>
    <w:rsid w:val="00020665"/>
    <w:rsid w:val="00020BE2"/>
    <w:rsid w:val="00020D77"/>
    <w:rsid w:val="000210B7"/>
    <w:rsid w:val="000222B7"/>
    <w:rsid w:val="00023D88"/>
    <w:rsid w:val="00024405"/>
    <w:rsid w:val="000247A4"/>
    <w:rsid w:val="00024901"/>
    <w:rsid w:val="00024972"/>
    <w:rsid w:val="00024E39"/>
    <w:rsid w:val="00025131"/>
    <w:rsid w:val="00025508"/>
    <w:rsid w:val="000259D9"/>
    <w:rsid w:val="00025DD6"/>
    <w:rsid w:val="0002608E"/>
    <w:rsid w:val="000265A9"/>
    <w:rsid w:val="00026FBD"/>
    <w:rsid w:val="00027097"/>
    <w:rsid w:val="0002792F"/>
    <w:rsid w:val="00027C7F"/>
    <w:rsid w:val="000302C5"/>
    <w:rsid w:val="000304E1"/>
    <w:rsid w:val="00030A8F"/>
    <w:rsid w:val="00031CD2"/>
    <w:rsid w:val="00031F93"/>
    <w:rsid w:val="00032110"/>
    <w:rsid w:val="000322FB"/>
    <w:rsid w:val="000325FA"/>
    <w:rsid w:val="00032910"/>
    <w:rsid w:val="00032B5F"/>
    <w:rsid w:val="00033475"/>
    <w:rsid w:val="0003365A"/>
    <w:rsid w:val="00033AAC"/>
    <w:rsid w:val="0003477C"/>
    <w:rsid w:val="00034F00"/>
    <w:rsid w:val="00035092"/>
    <w:rsid w:val="000357EC"/>
    <w:rsid w:val="00035D01"/>
    <w:rsid w:val="00035DBC"/>
    <w:rsid w:val="00036375"/>
    <w:rsid w:val="00036782"/>
    <w:rsid w:val="000369B5"/>
    <w:rsid w:val="00036A1B"/>
    <w:rsid w:val="0003767B"/>
    <w:rsid w:val="00037A61"/>
    <w:rsid w:val="00037E01"/>
    <w:rsid w:val="00037F4A"/>
    <w:rsid w:val="000405DA"/>
    <w:rsid w:val="000405DF"/>
    <w:rsid w:val="0004079C"/>
    <w:rsid w:val="000409BE"/>
    <w:rsid w:val="00040EBE"/>
    <w:rsid w:val="000422D0"/>
    <w:rsid w:val="000422E2"/>
    <w:rsid w:val="000426E5"/>
    <w:rsid w:val="000431DE"/>
    <w:rsid w:val="00043B41"/>
    <w:rsid w:val="000440C6"/>
    <w:rsid w:val="0004446C"/>
    <w:rsid w:val="00044B93"/>
    <w:rsid w:val="00044C2D"/>
    <w:rsid w:val="000452A6"/>
    <w:rsid w:val="00045A78"/>
    <w:rsid w:val="000479E6"/>
    <w:rsid w:val="00047A4C"/>
    <w:rsid w:val="00047FBF"/>
    <w:rsid w:val="00050503"/>
    <w:rsid w:val="00050CA7"/>
    <w:rsid w:val="00051AE0"/>
    <w:rsid w:val="0005206D"/>
    <w:rsid w:val="00052378"/>
    <w:rsid w:val="00052798"/>
    <w:rsid w:val="00052E9D"/>
    <w:rsid w:val="00052EA1"/>
    <w:rsid w:val="000533C0"/>
    <w:rsid w:val="000537D9"/>
    <w:rsid w:val="000543D4"/>
    <w:rsid w:val="000553A6"/>
    <w:rsid w:val="00055A2B"/>
    <w:rsid w:val="00055BAD"/>
    <w:rsid w:val="00055FD7"/>
    <w:rsid w:val="0005613E"/>
    <w:rsid w:val="00056436"/>
    <w:rsid w:val="00056677"/>
    <w:rsid w:val="00056BFD"/>
    <w:rsid w:val="00056CF6"/>
    <w:rsid w:val="000570EF"/>
    <w:rsid w:val="00057470"/>
    <w:rsid w:val="0005782B"/>
    <w:rsid w:val="00057F58"/>
    <w:rsid w:val="00060293"/>
    <w:rsid w:val="00060FA6"/>
    <w:rsid w:val="00061475"/>
    <w:rsid w:val="00061595"/>
    <w:rsid w:val="00061A6A"/>
    <w:rsid w:val="00061BCA"/>
    <w:rsid w:val="00061D99"/>
    <w:rsid w:val="00062B4C"/>
    <w:rsid w:val="00063343"/>
    <w:rsid w:val="00063482"/>
    <w:rsid w:val="00063B34"/>
    <w:rsid w:val="00063C3B"/>
    <w:rsid w:val="00063E75"/>
    <w:rsid w:val="0006451F"/>
    <w:rsid w:val="000654F5"/>
    <w:rsid w:val="0006561B"/>
    <w:rsid w:val="000656C7"/>
    <w:rsid w:val="00065A46"/>
    <w:rsid w:val="000661EC"/>
    <w:rsid w:val="00066AA8"/>
    <w:rsid w:val="00066C00"/>
    <w:rsid w:val="00066DD3"/>
    <w:rsid w:val="000676FE"/>
    <w:rsid w:val="00070149"/>
    <w:rsid w:val="00070BC4"/>
    <w:rsid w:val="00071022"/>
    <w:rsid w:val="0007104B"/>
    <w:rsid w:val="00071D84"/>
    <w:rsid w:val="00072044"/>
    <w:rsid w:val="00072361"/>
    <w:rsid w:val="0007280C"/>
    <w:rsid w:val="000733CE"/>
    <w:rsid w:val="00073513"/>
    <w:rsid w:val="00073763"/>
    <w:rsid w:val="00073D72"/>
    <w:rsid w:val="00074660"/>
    <w:rsid w:val="00074FAA"/>
    <w:rsid w:val="000759C0"/>
    <w:rsid w:val="00075D2D"/>
    <w:rsid w:val="00076C47"/>
    <w:rsid w:val="00076C71"/>
    <w:rsid w:val="00077C27"/>
    <w:rsid w:val="0008078B"/>
    <w:rsid w:val="00080D3F"/>
    <w:rsid w:val="00081AF0"/>
    <w:rsid w:val="00081B6E"/>
    <w:rsid w:val="00081C61"/>
    <w:rsid w:val="00082C1B"/>
    <w:rsid w:val="000838BF"/>
    <w:rsid w:val="0008407B"/>
    <w:rsid w:val="000842CC"/>
    <w:rsid w:val="00084E78"/>
    <w:rsid w:val="00085CDE"/>
    <w:rsid w:val="00086170"/>
    <w:rsid w:val="00086491"/>
    <w:rsid w:val="00086FFC"/>
    <w:rsid w:val="00087070"/>
    <w:rsid w:val="00087238"/>
    <w:rsid w:val="00087333"/>
    <w:rsid w:val="00087578"/>
    <w:rsid w:val="0008772D"/>
    <w:rsid w:val="00087FB7"/>
    <w:rsid w:val="000902AE"/>
    <w:rsid w:val="00090CFA"/>
    <w:rsid w:val="00092691"/>
    <w:rsid w:val="00092AF9"/>
    <w:rsid w:val="00092CFE"/>
    <w:rsid w:val="00092D1A"/>
    <w:rsid w:val="00092E19"/>
    <w:rsid w:val="0009304A"/>
    <w:rsid w:val="0009328E"/>
    <w:rsid w:val="000932DE"/>
    <w:rsid w:val="00093FE2"/>
    <w:rsid w:val="0009441D"/>
    <w:rsid w:val="00094481"/>
    <w:rsid w:val="00094DC8"/>
    <w:rsid w:val="000953B7"/>
    <w:rsid w:val="0009578C"/>
    <w:rsid w:val="00095AD6"/>
    <w:rsid w:val="00095F55"/>
    <w:rsid w:val="000966F1"/>
    <w:rsid w:val="00096E37"/>
    <w:rsid w:val="00097311"/>
    <w:rsid w:val="00097E20"/>
    <w:rsid w:val="000A0179"/>
    <w:rsid w:val="000A018C"/>
    <w:rsid w:val="000A059A"/>
    <w:rsid w:val="000A0CEF"/>
    <w:rsid w:val="000A18DC"/>
    <w:rsid w:val="000A2429"/>
    <w:rsid w:val="000A24CC"/>
    <w:rsid w:val="000A2987"/>
    <w:rsid w:val="000A2ADE"/>
    <w:rsid w:val="000A3227"/>
    <w:rsid w:val="000A34FE"/>
    <w:rsid w:val="000A37FE"/>
    <w:rsid w:val="000A4D55"/>
    <w:rsid w:val="000A4D73"/>
    <w:rsid w:val="000A521E"/>
    <w:rsid w:val="000A54D4"/>
    <w:rsid w:val="000A58ED"/>
    <w:rsid w:val="000A5DDA"/>
    <w:rsid w:val="000A628E"/>
    <w:rsid w:val="000A62B7"/>
    <w:rsid w:val="000A74E1"/>
    <w:rsid w:val="000A7B9F"/>
    <w:rsid w:val="000A7EB9"/>
    <w:rsid w:val="000B019B"/>
    <w:rsid w:val="000B0265"/>
    <w:rsid w:val="000B07EA"/>
    <w:rsid w:val="000B0C24"/>
    <w:rsid w:val="000B1C73"/>
    <w:rsid w:val="000B1CDC"/>
    <w:rsid w:val="000B1DB5"/>
    <w:rsid w:val="000B43CE"/>
    <w:rsid w:val="000B4B63"/>
    <w:rsid w:val="000B4CAC"/>
    <w:rsid w:val="000B553D"/>
    <w:rsid w:val="000B588D"/>
    <w:rsid w:val="000B5AA3"/>
    <w:rsid w:val="000B5B0A"/>
    <w:rsid w:val="000B5C4B"/>
    <w:rsid w:val="000B5C5B"/>
    <w:rsid w:val="000B6D78"/>
    <w:rsid w:val="000B7567"/>
    <w:rsid w:val="000B7A54"/>
    <w:rsid w:val="000C05D7"/>
    <w:rsid w:val="000C0DF0"/>
    <w:rsid w:val="000C2058"/>
    <w:rsid w:val="000C2954"/>
    <w:rsid w:val="000C2994"/>
    <w:rsid w:val="000C38D2"/>
    <w:rsid w:val="000C3A7F"/>
    <w:rsid w:val="000C4148"/>
    <w:rsid w:val="000C4E03"/>
    <w:rsid w:val="000C5BCC"/>
    <w:rsid w:val="000C603E"/>
    <w:rsid w:val="000C6710"/>
    <w:rsid w:val="000C686A"/>
    <w:rsid w:val="000C7651"/>
    <w:rsid w:val="000D0711"/>
    <w:rsid w:val="000D1AA5"/>
    <w:rsid w:val="000D1DE2"/>
    <w:rsid w:val="000D206F"/>
    <w:rsid w:val="000D24B2"/>
    <w:rsid w:val="000D25DE"/>
    <w:rsid w:val="000D34F1"/>
    <w:rsid w:val="000D3C14"/>
    <w:rsid w:val="000D3E47"/>
    <w:rsid w:val="000D4467"/>
    <w:rsid w:val="000D4838"/>
    <w:rsid w:val="000D4CA0"/>
    <w:rsid w:val="000D4E39"/>
    <w:rsid w:val="000D563A"/>
    <w:rsid w:val="000D5E16"/>
    <w:rsid w:val="000D62EB"/>
    <w:rsid w:val="000D6C5B"/>
    <w:rsid w:val="000D6F94"/>
    <w:rsid w:val="000D7ED9"/>
    <w:rsid w:val="000E0A57"/>
    <w:rsid w:val="000E23BE"/>
    <w:rsid w:val="000E24AB"/>
    <w:rsid w:val="000E24B7"/>
    <w:rsid w:val="000E2657"/>
    <w:rsid w:val="000E27C8"/>
    <w:rsid w:val="000E2A21"/>
    <w:rsid w:val="000E31F1"/>
    <w:rsid w:val="000E3204"/>
    <w:rsid w:val="000E3332"/>
    <w:rsid w:val="000E3386"/>
    <w:rsid w:val="000E3C21"/>
    <w:rsid w:val="000E598B"/>
    <w:rsid w:val="000E5AC8"/>
    <w:rsid w:val="000E70C1"/>
    <w:rsid w:val="000F0D0B"/>
    <w:rsid w:val="000F1334"/>
    <w:rsid w:val="000F224A"/>
    <w:rsid w:val="000F2408"/>
    <w:rsid w:val="000F2509"/>
    <w:rsid w:val="000F2651"/>
    <w:rsid w:val="000F2905"/>
    <w:rsid w:val="000F2D02"/>
    <w:rsid w:val="000F338E"/>
    <w:rsid w:val="000F3789"/>
    <w:rsid w:val="000F3AA6"/>
    <w:rsid w:val="000F3C63"/>
    <w:rsid w:val="000F3CEC"/>
    <w:rsid w:val="000F4F5B"/>
    <w:rsid w:val="000F5024"/>
    <w:rsid w:val="000F5F3B"/>
    <w:rsid w:val="000F67AB"/>
    <w:rsid w:val="0010030F"/>
    <w:rsid w:val="00100946"/>
    <w:rsid w:val="00101341"/>
    <w:rsid w:val="00101367"/>
    <w:rsid w:val="001014A1"/>
    <w:rsid w:val="0010173D"/>
    <w:rsid w:val="00101878"/>
    <w:rsid w:val="00101A31"/>
    <w:rsid w:val="00101ED6"/>
    <w:rsid w:val="001020D5"/>
    <w:rsid w:val="001024C5"/>
    <w:rsid w:val="001030DF"/>
    <w:rsid w:val="001038BC"/>
    <w:rsid w:val="00103E55"/>
    <w:rsid w:val="001041D4"/>
    <w:rsid w:val="00104E26"/>
    <w:rsid w:val="00104EF5"/>
    <w:rsid w:val="001051BC"/>
    <w:rsid w:val="001055D6"/>
    <w:rsid w:val="001056DA"/>
    <w:rsid w:val="00105BE6"/>
    <w:rsid w:val="00105CA4"/>
    <w:rsid w:val="0010669D"/>
    <w:rsid w:val="001068E2"/>
    <w:rsid w:val="0010713C"/>
    <w:rsid w:val="001073C2"/>
    <w:rsid w:val="00107CBD"/>
    <w:rsid w:val="001106E2"/>
    <w:rsid w:val="001107BF"/>
    <w:rsid w:val="00110EC0"/>
    <w:rsid w:val="00111B38"/>
    <w:rsid w:val="001120E2"/>
    <w:rsid w:val="00113356"/>
    <w:rsid w:val="00113777"/>
    <w:rsid w:val="001137A6"/>
    <w:rsid w:val="0011385A"/>
    <w:rsid w:val="0011392C"/>
    <w:rsid w:val="00113A02"/>
    <w:rsid w:val="00113FF9"/>
    <w:rsid w:val="0011429E"/>
    <w:rsid w:val="0011443C"/>
    <w:rsid w:val="00114CCE"/>
    <w:rsid w:val="00115484"/>
    <w:rsid w:val="00115913"/>
    <w:rsid w:val="00115DEC"/>
    <w:rsid w:val="00115F00"/>
    <w:rsid w:val="00116728"/>
    <w:rsid w:val="00117B6A"/>
    <w:rsid w:val="00117D00"/>
    <w:rsid w:val="001201EB"/>
    <w:rsid w:val="00120356"/>
    <w:rsid w:val="001208C0"/>
    <w:rsid w:val="00120958"/>
    <w:rsid w:val="001209D0"/>
    <w:rsid w:val="00120F7F"/>
    <w:rsid w:val="00121C4B"/>
    <w:rsid w:val="001236D1"/>
    <w:rsid w:val="0012407B"/>
    <w:rsid w:val="001242AF"/>
    <w:rsid w:val="001242EF"/>
    <w:rsid w:val="001247D7"/>
    <w:rsid w:val="00124DD2"/>
    <w:rsid w:val="00125922"/>
    <w:rsid w:val="00125980"/>
    <w:rsid w:val="001259ED"/>
    <w:rsid w:val="00125CF8"/>
    <w:rsid w:val="00126290"/>
    <w:rsid w:val="00126A79"/>
    <w:rsid w:val="001271C0"/>
    <w:rsid w:val="0012742F"/>
    <w:rsid w:val="00127FC3"/>
    <w:rsid w:val="001302EB"/>
    <w:rsid w:val="00130D93"/>
    <w:rsid w:val="00131A75"/>
    <w:rsid w:val="00131E4D"/>
    <w:rsid w:val="00131EDE"/>
    <w:rsid w:val="0013300D"/>
    <w:rsid w:val="00133095"/>
    <w:rsid w:val="001330C0"/>
    <w:rsid w:val="0013462C"/>
    <w:rsid w:val="00134B49"/>
    <w:rsid w:val="00134D62"/>
    <w:rsid w:val="00134EF7"/>
    <w:rsid w:val="0013511C"/>
    <w:rsid w:val="001352F7"/>
    <w:rsid w:val="0013573E"/>
    <w:rsid w:val="00135AAE"/>
    <w:rsid w:val="00137F9F"/>
    <w:rsid w:val="001403A2"/>
    <w:rsid w:val="001404F4"/>
    <w:rsid w:val="00140A9D"/>
    <w:rsid w:val="00141377"/>
    <w:rsid w:val="0014162F"/>
    <w:rsid w:val="00141934"/>
    <w:rsid w:val="00141FAD"/>
    <w:rsid w:val="0014226B"/>
    <w:rsid w:val="001422D8"/>
    <w:rsid w:val="00142399"/>
    <w:rsid w:val="00142E4E"/>
    <w:rsid w:val="0014300E"/>
    <w:rsid w:val="001435A8"/>
    <w:rsid w:val="001436F4"/>
    <w:rsid w:val="00143B4C"/>
    <w:rsid w:val="00143DF7"/>
    <w:rsid w:val="001444F0"/>
    <w:rsid w:val="001447DC"/>
    <w:rsid w:val="001449E2"/>
    <w:rsid w:val="00144D75"/>
    <w:rsid w:val="00145353"/>
    <w:rsid w:val="00145A38"/>
    <w:rsid w:val="0014613A"/>
    <w:rsid w:val="001464FC"/>
    <w:rsid w:val="001466B1"/>
    <w:rsid w:val="00147B90"/>
    <w:rsid w:val="00147E71"/>
    <w:rsid w:val="00150152"/>
    <w:rsid w:val="001505AD"/>
    <w:rsid w:val="00151045"/>
    <w:rsid w:val="00151268"/>
    <w:rsid w:val="0015134F"/>
    <w:rsid w:val="00151386"/>
    <w:rsid w:val="00151A1B"/>
    <w:rsid w:val="00151D23"/>
    <w:rsid w:val="00152629"/>
    <w:rsid w:val="00152765"/>
    <w:rsid w:val="00152B5B"/>
    <w:rsid w:val="00152CA6"/>
    <w:rsid w:val="0015309F"/>
    <w:rsid w:val="001531AF"/>
    <w:rsid w:val="00153244"/>
    <w:rsid w:val="00153658"/>
    <w:rsid w:val="001536A2"/>
    <w:rsid w:val="00153C2E"/>
    <w:rsid w:val="0015414E"/>
    <w:rsid w:val="001544E5"/>
    <w:rsid w:val="001546FF"/>
    <w:rsid w:val="00154890"/>
    <w:rsid w:val="001553C8"/>
    <w:rsid w:val="001563F2"/>
    <w:rsid w:val="00156CFA"/>
    <w:rsid w:val="00157E65"/>
    <w:rsid w:val="0016071E"/>
    <w:rsid w:val="00160B7A"/>
    <w:rsid w:val="00160E3D"/>
    <w:rsid w:val="001614BC"/>
    <w:rsid w:val="00162470"/>
    <w:rsid w:val="00162529"/>
    <w:rsid w:val="0016269A"/>
    <w:rsid w:val="00162BE6"/>
    <w:rsid w:val="00162EC5"/>
    <w:rsid w:val="00163CDD"/>
    <w:rsid w:val="00164273"/>
    <w:rsid w:val="001645F1"/>
    <w:rsid w:val="00164794"/>
    <w:rsid w:val="001648C3"/>
    <w:rsid w:val="0016521D"/>
    <w:rsid w:val="00165E0E"/>
    <w:rsid w:val="00165E13"/>
    <w:rsid w:val="00166149"/>
    <w:rsid w:val="001663BD"/>
    <w:rsid w:val="00166904"/>
    <w:rsid w:val="00166BCA"/>
    <w:rsid w:val="00171401"/>
    <w:rsid w:val="00171BDE"/>
    <w:rsid w:val="00171F22"/>
    <w:rsid w:val="001725E6"/>
    <w:rsid w:val="00172963"/>
    <w:rsid w:val="00172D18"/>
    <w:rsid w:val="001731B0"/>
    <w:rsid w:val="00174033"/>
    <w:rsid w:val="00174C5C"/>
    <w:rsid w:val="0017628D"/>
    <w:rsid w:val="001764EA"/>
    <w:rsid w:val="0017729F"/>
    <w:rsid w:val="00177410"/>
    <w:rsid w:val="0018001B"/>
    <w:rsid w:val="0018015A"/>
    <w:rsid w:val="0018053E"/>
    <w:rsid w:val="00180D60"/>
    <w:rsid w:val="00180DBF"/>
    <w:rsid w:val="00182170"/>
    <w:rsid w:val="00184639"/>
    <w:rsid w:val="00184894"/>
    <w:rsid w:val="00184D8A"/>
    <w:rsid w:val="00185017"/>
    <w:rsid w:val="001850C9"/>
    <w:rsid w:val="0018531A"/>
    <w:rsid w:val="001858A6"/>
    <w:rsid w:val="00186528"/>
    <w:rsid w:val="00186E1F"/>
    <w:rsid w:val="00187529"/>
    <w:rsid w:val="001878C3"/>
    <w:rsid w:val="001902F4"/>
    <w:rsid w:val="0019052E"/>
    <w:rsid w:val="0019079B"/>
    <w:rsid w:val="00190B44"/>
    <w:rsid w:val="00190FDD"/>
    <w:rsid w:val="001915C6"/>
    <w:rsid w:val="00191C6A"/>
    <w:rsid w:val="0019244D"/>
    <w:rsid w:val="001929C6"/>
    <w:rsid w:val="00192E77"/>
    <w:rsid w:val="00192F9B"/>
    <w:rsid w:val="00193247"/>
    <w:rsid w:val="00193EB3"/>
    <w:rsid w:val="00194914"/>
    <w:rsid w:val="00194E57"/>
    <w:rsid w:val="001953FE"/>
    <w:rsid w:val="00195855"/>
    <w:rsid w:val="00195EAC"/>
    <w:rsid w:val="00196005"/>
    <w:rsid w:val="0019615B"/>
    <w:rsid w:val="0019619E"/>
    <w:rsid w:val="001964AA"/>
    <w:rsid w:val="00196A1C"/>
    <w:rsid w:val="001A018D"/>
    <w:rsid w:val="001A04D9"/>
    <w:rsid w:val="001A160B"/>
    <w:rsid w:val="001A1CFF"/>
    <w:rsid w:val="001A2498"/>
    <w:rsid w:val="001A2506"/>
    <w:rsid w:val="001A2851"/>
    <w:rsid w:val="001A2938"/>
    <w:rsid w:val="001A316A"/>
    <w:rsid w:val="001A3896"/>
    <w:rsid w:val="001A4843"/>
    <w:rsid w:val="001A4D23"/>
    <w:rsid w:val="001A5121"/>
    <w:rsid w:val="001A5457"/>
    <w:rsid w:val="001A5B82"/>
    <w:rsid w:val="001A63E8"/>
    <w:rsid w:val="001A66B3"/>
    <w:rsid w:val="001A6A9F"/>
    <w:rsid w:val="001A6DF0"/>
    <w:rsid w:val="001A7197"/>
    <w:rsid w:val="001A7833"/>
    <w:rsid w:val="001A7CB2"/>
    <w:rsid w:val="001B0435"/>
    <w:rsid w:val="001B1B59"/>
    <w:rsid w:val="001B1F9C"/>
    <w:rsid w:val="001B2078"/>
    <w:rsid w:val="001B23E0"/>
    <w:rsid w:val="001B25B5"/>
    <w:rsid w:val="001B35E6"/>
    <w:rsid w:val="001B35FD"/>
    <w:rsid w:val="001B38EE"/>
    <w:rsid w:val="001B49CD"/>
    <w:rsid w:val="001B4DA5"/>
    <w:rsid w:val="001B4FEE"/>
    <w:rsid w:val="001B541A"/>
    <w:rsid w:val="001B58BD"/>
    <w:rsid w:val="001B5F39"/>
    <w:rsid w:val="001B625F"/>
    <w:rsid w:val="001B65E9"/>
    <w:rsid w:val="001B706A"/>
    <w:rsid w:val="001B71B9"/>
    <w:rsid w:val="001B733E"/>
    <w:rsid w:val="001B7E4B"/>
    <w:rsid w:val="001C01D3"/>
    <w:rsid w:val="001C06EE"/>
    <w:rsid w:val="001C1574"/>
    <w:rsid w:val="001C1A0E"/>
    <w:rsid w:val="001C21D9"/>
    <w:rsid w:val="001C2409"/>
    <w:rsid w:val="001C26A7"/>
    <w:rsid w:val="001C2A6A"/>
    <w:rsid w:val="001C3074"/>
    <w:rsid w:val="001C3741"/>
    <w:rsid w:val="001C3982"/>
    <w:rsid w:val="001C39D6"/>
    <w:rsid w:val="001C3AD5"/>
    <w:rsid w:val="001C3BCE"/>
    <w:rsid w:val="001C491F"/>
    <w:rsid w:val="001C4985"/>
    <w:rsid w:val="001C4B4A"/>
    <w:rsid w:val="001C4D72"/>
    <w:rsid w:val="001C590A"/>
    <w:rsid w:val="001D0C3B"/>
    <w:rsid w:val="001D1538"/>
    <w:rsid w:val="001D1788"/>
    <w:rsid w:val="001D1895"/>
    <w:rsid w:val="001D1948"/>
    <w:rsid w:val="001D1A37"/>
    <w:rsid w:val="001D1D28"/>
    <w:rsid w:val="001D1FA8"/>
    <w:rsid w:val="001D24A0"/>
    <w:rsid w:val="001D25D7"/>
    <w:rsid w:val="001D3007"/>
    <w:rsid w:val="001D4463"/>
    <w:rsid w:val="001D4804"/>
    <w:rsid w:val="001D59C9"/>
    <w:rsid w:val="001D657F"/>
    <w:rsid w:val="001D7865"/>
    <w:rsid w:val="001E0466"/>
    <w:rsid w:val="001E1305"/>
    <w:rsid w:val="001E1386"/>
    <w:rsid w:val="001E2C03"/>
    <w:rsid w:val="001E4323"/>
    <w:rsid w:val="001E5971"/>
    <w:rsid w:val="001E5C0F"/>
    <w:rsid w:val="001E5EDB"/>
    <w:rsid w:val="001E5F36"/>
    <w:rsid w:val="001E6590"/>
    <w:rsid w:val="001F0034"/>
    <w:rsid w:val="001F0435"/>
    <w:rsid w:val="001F129E"/>
    <w:rsid w:val="001F1835"/>
    <w:rsid w:val="001F2655"/>
    <w:rsid w:val="001F2D90"/>
    <w:rsid w:val="001F3485"/>
    <w:rsid w:val="001F3966"/>
    <w:rsid w:val="001F3E1C"/>
    <w:rsid w:val="001F46D4"/>
    <w:rsid w:val="001F47A5"/>
    <w:rsid w:val="001F6232"/>
    <w:rsid w:val="001F6794"/>
    <w:rsid w:val="001F6F12"/>
    <w:rsid w:val="001F77C4"/>
    <w:rsid w:val="001F7AC7"/>
    <w:rsid w:val="001F7D69"/>
    <w:rsid w:val="001F7E31"/>
    <w:rsid w:val="002000A5"/>
    <w:rsid w:val="0020061B"/>
    <w:rsid w:val="002008C8"/>
    <w:rsid w:val="0020095B"/>
    <w:rsid w:val="00200AB3"/>
    <w:rsid w:val="00200FA0"/>
    <w:rsid w:val="002012E4"/>
    <w:rsid w:val="002019DF"/>
    <w:rsid w:val="002020D7"/>
    <w:rsid w:val="00202879"/>
    <w:rsid w:val="0020334C"/>
    <w:rsid w:val="00203874"/>
    <w:rsid w:val="00204AE2"/>
    <w:rsid w:val="0020522A"/>
    <w:rsid w:val="00206DC0"/>
    <w:rsid w:val="00206EB9"/>
    <w:rsid w:val="00206F4C"/>
    <w:rsid w:val="0020798B"/>
    <w:rsid w:val="00207A67"/>
    <w:rsid w:val="00207ACC"/>
    <w:rsid w:val="00207D4F"/>
    <w:rsid w:val="002101E8"/>
    <w:rsid w:val="002101EA"/>
    <w:rsid w:val="00210612"/>
    <w:rsid w:val="0021090B"/>
    <w:rsid w:val="002116DC"/>
    <w:rsid w:val="00211721"/>
    <w:rsid w:val="00211E70"/>
    <w:rsid w:val="00211E87"/>
    <w:rsid w:val="00211F17"/>
    <w:rsid w:val="0021275D"/>
    <w:rsid w:val="00212A76"/>
    <w:rsid w:val="00212FC8"/>
    <w:rsid w:val="0021331C"/>
    <w:rsid w:val="00214C2F"/>
    <w:rsid w:val="002150CB"/>
    <w:rsid w:val="00215DB9"/>
    <w:rsid w:val="00217003"/>
    <w:rsid w:val="002178A6"/>
    <w:rsid w:val="00217AA1"/>
    <w:rsid w:val="00217BB7"/>
    <w:rsid w:val="00220095"/>
    <w:rsid w:val="00220358"/>
    <w:rsid w:val="002206C9"/>
    <w:rsid w:val="002221CA"/>
    <w:rsid w:val="00222709"/>
    <w:rsid w:val="002228A4"/>
    <w:rsid w:val="00223272"/>
    <w:rsid w:val="00223A95"/>
    <w:rsid w:val="002261EE"/>
    <w:rsid w:val="00226E3D"/>
    <w:rsid w:val="0022722A"/>
    <w:rsid w:val="002275E2"/>
    <w:rsid w:val="00227A7F"/>
    <w:rsid w:val="00230532"/>
    <w:rsid w:val="00231201"/>
    <w:rsid w:val="002340F6"/>
    <w:rsid w:val="00234431"/>
    <w:rsid w:val="00237FD6"/>
    <w:rsid w:val="002401D1"/>
    <w:rsid w:val="0024121C"/>
    <w:rsid w:val="0024126D"/>
    <w:rsid w:val="00241A24"/>
    <w:rsid w:val="00241DFC"/>
    <w:rsid w:val="00242276"/>
    <w:rsid w:val="002423AD"/>
    <w:rsid w:val="0024289F"/>
    <w:rsid w:val="00243D12"/>
    <w:rsid w:val="00244513"/>
    <w:rsid w:val="00244882"/>
    <w:rsid w:val="00244EB8"/>
    <w:rsid w:val="002454BB"/>
    <w:rsid w:val="00246112"/>
    <w:rsid w:val="0024624A"/>
    <w:rsid w:val="002463AB"/>
    <w:rsid w:val="00246CCC"/>
    <w:rsid w:val="00246D59"/>
    <w:rsid w:val="002476C4"/>
    <w:rsid w:val="00247D0E"/>
    <w:rsid w:val="002502ED"/>
    <w:rsid w:val="00250A4A"/>
    <w:rsid w:val="00250CC6"/>
    <w:rsid w:val="00251AAC"/>
    <w:rsid w:val="002524BD"/>
    <w:rsid w:val="00252994"/>
    <w:rsid w:val="0025316E"/>
    <w:rsid w:val="00253855"/>
    <w:rsid w:val="002543FC"/>
    <w:rsid w:val="0025455B"/>
    <w:rsid w:val="00254C36"/>
    <w:rsid w:val="00254F19"/>
    <w:rsid w:val="00255C50"/>
    <w:rsid w:val="002561DA"/>
    <w:rsid w:val="0025725F"/>
    <w:rsid w:val="002607D7"/>
    <w:rsid w:val="00260E32"/>
    <w:rsid w:val="00260F33"/>
    <w:rsid w:val="002622AF"/>
    <w:rsid w:val="00262495"/>
    <w:rsid w:val="0026259E"/>
    <w:rsid w:val="00262909"/>
    <w:rsid w:val="00262CDE"/>
    <w:rsid w:val="00262F67"/>
    <w:rsid w:val="0026347F"/>
    <w:rsid w:val="00263AB5"/>
    <w:rsid w:val="002640C3"/>
    <w:rsid w:val="00264702"/>
    <w:rsid w:val="00264A3A"/>
    <w:rsid w:val="0026538C"/>
    <w:rsid w:val="002655A2"/>
    <w:rsid w:val="00265C1A"/>
    <w:rsid w:val="002667A9"/>
    <w:rsid w:val="00266C4C"/>
    <w:rsid w:val="00266ECD"/>
    <w:rsid w:val="00267763"/>
    <w:rsid w:val="00267B6A"/>
    <w:rsid w:val="00271835"/>
    <w:rsid w:val="002718DE"/>
    <w:rsid w:val="00271E66"/>
    <w:rsid w:val="002722EF"/>
    <w:rsid w:val="0027240A"/>
    <w:rsid w:val="002724DC"/>
    <w:rsid w:val="002725F3"/>
    <w:rsid w:val="00272FBF"/>
    <w:rsid w:val="00273586"/>
    <w:rsid w:val="00273912"/>
    <w:rsid w:val="0027397C"/>
    <w:rsid w:val="00273C57"/>
    <w:rsid w:val="0027498E"/>
    <w:rsid w:val="0027574B"/>
    <w:rsid w:val="00275976"/>
    <w:rsid w:val="00275FC7"/>
    <w:rsid w:val="002761C3"/>
    <w:rsid w:val="00280256"/>
    <w:rsid w:val="002805D8"/>
    <w:rsid w:val="002807F1"/>
    <w:rsid w:val="00280B21"/>
    <w:rsid w:val="00281751"/>
    <w:rsid w:val="00281A4C"/>
    <w:rsid w:val="00281D12"/>
    <w:rsid w:val="00281EAC"/>
    <w:rsid w:val="002821B9"/>
    <w:rsid w:val="00282286"/>
    <w:rsid w:val="002829A6"/>
    <w:rsid w:val="0028317E"/>
    <w:rsid w:val="002839D9"/>
    <w:rsid w:val="00283C6E"/>
    <w:rsid w:val="002846FD"/>
    <w:rsid w:val="00284766"/>
    <w:rsid w:val="00284829"/>
    <w:rsid w:val="002863B4"/>
    <w:rsid w:val="00286651"/>
    <w:rsid w:val="0028717A"/>
    <w:rsid w:val="00287302"/>
    <w:rsid w:val="00287D4D"/>
    <w:rsid w:val="00290095"/>
    <w:rsid w:val="002903DA"/>
    <w:rsid w:val="00290410"/>
    <w:rsid w:val="00290593"/>
    <w:rsid w:val="0029093C"/>
    <w:rsid w:val="00291A59"/>
    <w:rsid w:val="00291E32"/>
    <w:rsid w:val="00291F12"/>
    <w:rsid w:val="00292113"/>
    <w:rsid w:val="002928D8"/>
    <w:rsid w:val="002943A1"/>
    <w:rsid w:val="00295610"/>
    <w:rsid w:val="00295B39"/>
    <w:rsid w:val="00295B88"/>
    <w:rsid w:val="00295C06"/>
    <w:rsid w:val="0029628C"/>
    <w:rsid w:val="00297180"/>
    <w:rsid w:val="002A0390"/>
    <w:rsid w:val="002A067A"/>
    <w:rsid w:val="002A0A12"/>
    <w:rsid w:val="002A0C04"/>
    <w:rsid w:val="002A1402"/>
    <w:rsid w:val="002A1A6C"/>
    <w:rsid w:val="002A1CEA"/>
    <w:rsid w:val="002A1EEB"/>
    <w:rsid w:val="002A209D"/>
    <w:rsid w:val="002A29D7"/>
    <w:rsid w:val="002A2C53"/>
    <w:rsid w:val="002A2ED3"/>
    <w:rsid w:val="002A3525"/>
    <w:rsid w:val="002A38E6"/>
    <w:rsid w:val="002A39AD"/>
    <w:rsid w:val="002A3AF0"/>
    <w:rsid w:val="002A4C75"/>
    <w:rsid w:val="002A532E"/>
    <w:rsid w:val="002A54F4"/>
    <w:rsid w:val="002A5B00"/>
    <w:rsid w:val="002A65A0"/>
    <w:rsid w:val="002A6745"/>
    <w:rsid w:val="002A7484"/>
    <w:rsid w:val="002A7629"/>
    <w:rsid w:val="002B1370"/>
    <w:rsid w:val="002B199E"/>
    <w:rsid w:val="002B2EDF"/>
    <w:rsid w:val="002B33D9"/>
    <w:rsid w:val="002B3BEF"/>
    <w:rsid w:val="002B4040"/>
    <w:rsid w:val="002B4F11"/>
    <w:rsid w:val="002B506A"/>
    <w:rsid w:val="002B5496"/>
    <w:rsid w:val="002B5AED"/>
    <w:rsid w:val="002C0911"/>
    <w:rsid w:val="002C0FB7"/>
    <w:rsid w:val="002C111B"/>
    <w:rsid w:val="002C20F6"/>
    <w:rsid w:val="002C3892"/>
    <w:rsid w:val="002C3984"/>
    <w:rsid w:val="002C42F0"/>
    <w:rsid w:val="002C4A70"/>
    <w:rsid w:val="002C4C68"/>
    <w:rsid w:val="002C4F27"/>
    <w:rsid w:val="002C5339"/>
    <w:rsid w:val="002C533D"/>
    <w:rsid w:val="002C5441"/>
    <w:rsid w:val="002C5649"/>
    <w:rsid w:val="002C59BB"/>
    <w:rsid w:val="002C5BC2"/>
    <w:rsid w:val="002C69B5"/>
    <w:rsid w:val="002C72AF"/>
    <w:rsid w:val="002C73BC"/>
    <w:rsid w:val="002C7EC0"/>
    <w:rsid w:val="002C7FE1"/>
    <w:rsid w:val="002D0AC6"/>
    <w:rsid w:val="002D1024"/>
    <w:rsid w:val="002D121A"/>
    <w:rsid w:val="002D1712"/>
    <w:rsid w:val="002D1E14"/>
    <w:rsid w:val="002D2EB4"/>
    <w:rsid w:val="002D2F4B"/>
    <w:rsid w:val="002D3269"/>
    <w:rsid w:val="002D3382"/>
    <w:rsid w:val="002D3C68"/>
    <w:rsid w:val="002D4031"/>
    <w:rsid w:val="002D55A1"/>
    <w:rsid w:val="002D6743"/>
    <w:rsid w:val="002D7149"/>
    <w:rsid w:val="002D7155"/>
    <w:rsid w:val="002D75BF"/>
    <w:rsid w:val="002D76C7"/>
    <w:rsid w:val="002D7D2E"/>
    <w:rsid w:val="002E042E"/>
    <w:rsid w:val="002E06D3"/>
    <w:rsid w:val="002E0E52"/>
    <w:rsid w:val="002E16C0"/>
    <w:rsid w:val="002E193E"/>
    <w:rsid w:val="002E1AE3"/>
    <w:rsid w:val="002E1D49"/>
    <w:rsid w:val="002E2F3D"/>
    <w:rsid w:val="002E3297"/>
    <w:rsid w:val="002E389F"/>
    <w:rsid w:val="002E3A18"/>
    <w:rsid w:val="002E3AD6"/>
    <w:rsid w:val="002E3E0A"/>
    <w:rsid w:val="002E41D4"/>
    <w:rsid w:val="002E4518"/>
    <w:rsid w:val="002E4D45"/>
    <w:rsid w:val="002E4D7B"/>
    <w:rsid w:val="002E4F49"/>
    <w:rsid w:val="002E580D"/>
    <w:rsid w:val="002E5966"/>
    <w:rsid w:val="002E5AD3"/>
    <w:rsid w:val="002E5DED"/>
    <w:rsid w:val="002E5FE7"/>
    <w:rsid w:val="002E67C2"/>
    <w:rsid w:val="002E6C79"/>
    <w:rsid w:val="002E6D5F"/>
    <w:rsid w:val="002E7501"/>
    <w:rsid w:val="002E7E7C"/>
    <w:rsid w:val="002F0573"/>
    <w:rsid w:val="002F0A0D"/>
    <w:rsid w:val="002F109F"/>
    <w:rsid w:val="002F165F"/>
    <w:rsid w:val="002F194C"/>
    <w:rsid w:val="002F1A0E"/>
    <w:rsid w:val="002F1A93"/>
    <w:rsid w:val="002F1B26"/>
    <w:rsid w:val="002F1C1C"/>
    <w:rsid w:val="002F1EA6"/>
    <w:rsid w:val="002F2C29"/>
    <w:rsid w:val="002F3639"/>
    <w:rsid w:val="002F41CF"/>
    <w:rsid w:val="002F4462"/>
    <w:rsid w:val="002F4748"/>
    <w:rsid w:val="002F491D"/>
    <w:rsid w:val="002F4AD0"/>
    <w:rsid w:val="002F4E34"/>
    <w:rsid w:val="002F5033"/>
    <w:rsid w:val="002F5541"/>
    <w:rsid w:val="002F659C"/>
    <w:rsid w:val="002F7467"/>
    <w:rsid w:val="002F7516"/>
    <w:rsid w:val="002F758E"/>
    <w:rsid w:val="00300064"/>
    <w:rsid w:val="003003EA"/>
    <w:rsid w:val="00300814"/>
    <w:rsid w:val="003008E1"/>
    <w:rsid w:val="0030140D"/>
    <w:rsid w:val="00301E7F"/>
    <w:rsid w:val="00302188"/>
    <w:rsid w:val="0030246B"/>
    <w:rsid w:val="00302516"/>
    <w:rsid w:val="003027AC"/>
    <w:rsid w:val="00302960"/>
    <w:rsid w:val="00302D74"/>
    <w:rsid w:val="00302E84"/>
    <w:rsid w:val="003036FD"/>
    <w:rsid w:val="00303707"/>
    <w:rsid w:val="003053AE"/>
    <w:rsid w:val="00305B03"/>
    <w:rsid w:val="003065B4"/>
    <w:rsid w:val="00306A51"/>
    <w:rsid w:val="00306E7B"/>
    <w:rsid w:val="0030709E"/>
    <w:rsid w:val="00310ED9"/>
    <w:rsid w:val="003111FE"/>
    <w:rsid w:val="00312221"/>
    <w:rsid w:val="00312A36"/>
    <w:rsid w:val="00312F95"/>
    <w:rsid w:val="00313137"/>
    <w:rsid w:val="00313918"/>
    <w:rsid w:val="00313AA6"/>
    <w:rsid w:val="003140A4"/>
    <w:rsid w:val="003144AC"/>
    <w:rsid w:val="00314849"/>
    <w:rsid w:val="00314E3A"/>
    <w:rsid w:val="00315365"/>
    <w:rsid w:val="00315FF7"/>
    <w:rsid w:val="00316119"/>
    <w:rsid w:val="00316271"/>
    <w:rsid w:val="0031636F"/>
    <w:rsid w:val="00316616"/>
    <w:rsid w:val="00316729"/>
    <w:rsid w:val="00316A21"/>
    <w:rsid w:val="00316A8A"/>
    <w:rsid w:val="00316C14"/>
    <w:rsid w:val="00316CA0"/>
    <w:rsid w:val="00316F17"/>
    <w:rsid w:val="003171D4"/>
    <w:rsid w:val="003201D9"/>
    <w:rsid w:val="003207FF"/>
    <w:rsid w:val="00320FC7"/>
    <w:rsid w:val="0032154D"/>
    <w:rsid w:val="00321883"/>
    <w:rsid w:val="003218CA"/>
    <w:rsid w:val="00321F7C"/>
    <w:rsid w:val="003224EB"/>
    <w:rsid w:val="00322CB7"/>
    <w:rsid w:val="00322F91"/>
    <w:rsid w:val="00323047"/>
    <w:rsid w:val="003232A7"/>
    <w:rsid w:val="00324D9A"/>
    <w:rsid w:val="00324F29"/>
    <w:rsid w:val="0032686D"/>
    <w:rsid w:val="00326DB5"/>
    <w:rsid w:val="003273C7"/>
    <w:rsid w:val="003309D3"/>
    <w:rsid w:val="003312D2"/>
    <w:rsid w:val="00331461"/>
    <w:rsid w:val="00331910"/>
    <w:rsid w:val="003321E1"/>
    <w:rsid w:val="003322FF"/>
    <w:rsid w:val="00332BB8"/>
    <w:rsid w:val="00333A13"/>
    <w:rsid w:val="003343BF"/>
    <w:rsid w:val="00336270"/>
    <w:rsid w:val="00336899"/>
    <w:rsid w:val="00336A0D"/>
    <w:rsid w:val="0033772A"/>
    <w:rsid w:val="00337CEA"/>
    <w:rsid w:val="003400A4"/>
    <w:rsid w:val="00340315"/>
    <w:rsid w:val="00340DE9"/>
    <w:rsid w:val="00341433"/>
    <w:rsid w:val="00341DD0"/>
    <w:rsid w:val="00341EA0"/>
    <w:rsid w:val="00343147"/>
    <w:rsid w:val="003436AE"/>
    <w:rsid w:val="00343E90"/>
    <w:rsid w:val="00343F82"/>
    <w:rsid w:val="003440C7"/>
    <w:rsid w:val="00344AA0"/>
    <w:rsid w:val="00344ED7"/>
    <w:rsid w:val="00345F54"/>
    <w:rsid w:val="0034651B"/>
    <w:rsid w:val="0034679B"/>
    <w:rsid w:val="00346E56"/>
    <w:rsid w:val="00347668"/>
    <w:rsid w:val="0034797D"/>
    <w:rsid w:val="0035005A"/>
    <w:rsid w:val="00350174"/>
    <w:rsid w:val="00350467"/>
    <w:rsid w:val="00350605"/>
    <w:rsid w:val="00350C65"/>
    <w:rsid w:val="00350DE4"/>
    <w:rsid w:val="00350FDB"/>
    <w:rsid w:val="00351B08"/>
    <w:rsid w:val="00351DA2"/>
    <w:rsid w:val="00352C0E"/>
    <w:rsid w:val="00352E47"/>
    <w:rsid w:val="003531A0"/>
    <w:rsid w:val="00353214"/>
    <w:rsid w:val="00353B6E"/>
    <w:rsid w:val="00353DBB"/>
    <w:rsid w:val="00353F0C"/>
    <w:rsid w:val="00354301"/>
    <w:rsid w:val="00354E89"/>
    <w:rsid w:val="0035569C"/>
    <w:rsid w:val="003556CB"/>
    <w:rsid w:val="00355F4C"/>
    <w:rsid w:val="0035604E"/>
    <w:rsid w:val="00356B14"/>
    <w:rsid w:val="00356FDA"/>
    <w:rsid w:val="003570FD"/>
    <w:rsid w:val="0035786C"/>
    <w:rsid w:val="00357FD6"/>
    <w:rsid w:val="003601C7"/>
    <w:rsid w:val="003609A2"/>
    <w:rsid w:val="00361B96"/>
    <w:rsid w:val="00362228"/>
    <w:rsid w:val="00362966"/>
    <w:rsid w:val="00362BB0"/>
    <w:rsid w:val="003630E7"/>
    <w:rsid w:val="00364777"/>
    <w:rsid w:val="0036538F"/>
    <w:rsid w:val="003653CC"/>
    <w:rsid w:val="003656DE"/>
    <w:rsid w:val="00365874"/>
    <w:rsid w:val="0036607E"/>
    <w:rsid w:val="0036694C"/>
    <w:rsid w:val="00366F80"/>
    <w:rsid w:val="00367214"/>
    <w:rsid w:val="0036723A"/>
    <w:rsid w:val="0036733E"/>
    <w:rsid w:val="00367E05"/>
    <w:rsid w:val="00370622"/>
    <w:rsid w:val="00371125"/>
    <w:rsid w:val="0037146F"/>
    <w:rsid w:val="00371765"/>
    <w:rsid w:val="00371D15"/>
    <w:rsid w:val="00371DAF"/>
    <w:rsid w:val="003734A3"/>
    <w:rsid w:val="003735EE"/>
    <w:rsid w:val="003739FD"/>
    <w:rsid w:val="00374B8E"/>
    <w:rsid w:val="00375896"/>
    <w:rsid w:val="003761B5"/>
    <w:rsid w:val="00376F1C"/>
    <w:rsid w:val="003778B2"/>
    <w:rsid w:val="003805A6"/>
    <w:rsid w:val="0038070B"/>
    <w:rsid w:val="003813B7"/>
    <w:rsid w:val="00381603"/>
    <w:rsid w:val="00381D54"/>
    <w:rsid w:val="00382589"/>
    <w:rsid w:val="00382B5E"/>
    <w:rsid w:val="00382D3D"/>
    <w:rsid w:val="003842F5"/>
    <w:rsid w:val="00384C05"/>
    <w:rsid w:val="00385101"/>
    <w:rsid w:val="00385366"/>
    <w:rsid w:val="003864B6"/>
    <w:rsid w:val="003864D4"/>
    <w:rsid w:val="00386A00"/>
    <w:rsid w:val="0038759E"/>
    <w:rsid w:val="00387742"/>
    <w:rsid w:val="003900DB"/>
    <w:rsid w:val="00390434"/>
    <w:rsid w:val="003913C2"/>
    <w:rsid w:val="0039260F"/>
    <w:rsid w:val="00392751"/>
    <w:rsid w:val="00393B05"/>
    <w:rsid w:val="00393E5F"/>
    <w:rsid w:val="00393E75"/>
    <w:rsid w:val="00394049"/>
    <w:rsid w:val="00394204"/>
    <w:rsid w:val="003950E6"/>
    <w:rsid w:val="00395173"/>
    <w:rsid w:val="0039565A"/>
    <w:rsid w:val="00395847"/>
    <w:rsid w:val="0039634C"/>
    <w:rsid w:val="0039657D"/>
    <w:rsid w:val="00396785"/>
    <w:rsid w:val="0039738A"/>
    <w:rsid w:val="003975BE"/>
    <w:rsid w:val="00397E77"/>
    <w:rsid w:val="003A0457"/>
    <w:rsid w:val="003A0902"/>
    <w:rsid w:val="003A0DC2"/>
    <w:rsid w:val="003A180A"/>
    <w:rsid w:val="003A1F2D"/>
    <w:rsid w:val="003A2A13"/>
    <w:rsid w:val="003A2B5A"/>
    <w:rsid w:val="003A4425"/>
    <w:rsid w:val="003A4FC0"/>
    <w:rsid w:val="003A5280"/>
    <w:rsid w:val="003A5B42"/>
    <w:rsid w:val="003A60E5"/>
    <w:rsid w:val="003A6F5B"/>
    <w:rsid w:val="003A74F9"/>
    <w:rsid w:val="003A75D3"/>
    <w:rsid w:val="003A78FC"/>
    <w:rsid w:val="003A79CF"/>
    <w:rsid w:val="003A7DA7"/>
    <w:rsid w:val="003A7E36"/>
    <w:rsid w:val="003B0104"/>
    <w:rsid w:val="003B0629"/>
    <w:rsid w:val="003B0787"/>
    <w:rsid w:val="003B0894"/>
    <w:rsid w:val="003B1E1F"/>
    <w:rsid w:val="003B1EEA"/>
    <w:rsid w:val="003B2371"/>
    <w:rsid w:val="003B25B4"/>
    <w:rsid w:val="003B31A8"/>
    <w:rsid w:val="003B4169"/>
    <w:rsid w:val="003B4426"/>
    <w:rsid w:val="003B4991"/>
    <w:rsid w:val="003B5598"/>
    <w:rsid w:val="003B565F"/>
    <w:rsid w:val="003B57BB"/>
    <w:rsid w:val="003B5831"/>
    <w:rsid w:val="003B5B5E"/>
    <w:rsid w:val="003B61A7"/>
    <w:rsid w:val="003B6773"/>
    <w:rsid w:val="003B6DB4"/>
    <w:rsid w:val="003B75A7"/>
    <w:rsid w:val="003B75E9"/>
    <w:rsid w:val="003C067B"/>
    <w:rsid w:val="003C0EFD"/>
    <w:rsid w:val="003C0FDE"/>
    <w:rsid w:val="003C1555"/>
    <w:rsid w:val="003C208F"/>
    <w:rsid w:val="003C2106"/>
    <w:rsid w:val="003C22DB"/>
    <w:rsid w:val="003C27EE"/>
    <w:rsid w:val="003C2A30"/>
    <w:rsid w:val="003C3E93"/>
    <w:rsid w:val="003C4058"/>
    <w:rsid w:val="003C4074"/>
    <w:rsid w:val="003C413C"/>
    <w:rsid w:val="003C4155"/>
    <w:rsid w:val="003C53B7"/>
    <w:rsid w:val="003C547B"/>
    <w:rsid w:val="003C5B36"/>
    <w:rsid w:val="003C60FC"/>
    <w:rsid w:val="003C622A"/>
    <w:rsid w:val="003C698B"/>
    <w:rsid w:val="003C714D"/>
    <w:rsid w:val="003C717F"/>
    <w:rsid w:val="003C7A54"/>
    <w:rsid w:val="003C7CDF"/>
    <w:rsid w:val="003D027B"/>
    <w:rsid w:val="003D0ACC"/>
    <w:rsid w:val="003D0EA2"/>
    <w:rsid w:val="003D27BC"/>
    <w:rsid w:val="003D286A"/>
    <w:rsid w:val="003D2A45"/>
    <w:rsid w:val="003D3235"/>
    <w:rsid w:val="003D349A"/>
    <w:rsid w:val="003D365C"/>
    <w:rsid w:val="003D3F15"/>
    <w:rsid w:val="003D42EE"/>
    <w:rsid w:val="003D4698"/>
    <w:rsid w:val="003D504F"/>
    <w:rsid w:val="003D597D"/>
    <w:rsid w:val="003D5A7F"/>
    <w:rsid w:val="003D5CE0"/>
    <w:rsid w:val="003D6971"/>
    <w:rsid w:val="003D76AC"/>
    <w:rsid w:val="003D7E1D"/>
    <w:rsid w:val="003E07D7"/>
    <w:rsid w:val="003E1571"/>
    <w:rsid w:val="003E1B5D"/>
    <w:rsid w:val="003E1B78"/>
    <w:rsid w:val="003E2454"/>
    <w:rsid w:val="003E2D5A"/>
    <w:rsid w:val="003E2DE3"/>
    <w:rsid w:val="003E3A9B"/>
    <w:rsid w:val="003E4525"/>
    <w:rsid w:val="003E4BBC"/>
    <w:rsid w:val="003E540F"/>
    <w:rsid w:val="003E5735"/>
    <w:rsid w:val="003E64A1"/>
    <w:rsid w:val="003E6AF5"/>
    <w:rsid w:val="003F01E5"/>
    <w:rsid w:val="003F067B"/>
    <w:rsid w:val="003F06F5"/>
    <w:rsid w:val="003F0F00"/>
    <w:rsid w:val="003F2134"/>
    <w:rsid w:val="003F25B3"/>
    <w:rsid w:val="003F265D"/>
    <w:rsid w:val="003F27D0"/>
    <w:rsid w:val="003F2971"/>
    <w:rsid w:val="003F2C5D"/>
    <w:rsid w:val="003F2C84"/>
    <w:rsid w:val="003F2FD5"/>
    <w:rsid w:val="003F31EE"/>
    <w:rsid w:val="003F36AD"/>
    <w:rsid w:val="003F3C77"/>
    <w:rsid w:val="003F446A"/>
    <w:rsid w:val="003F4A84"/>
    <w:rsid w:val="003F4E78"/>
    <w:rsid w:val="003F5974"/>
    <w:rsid w:val="003F5C9D"/>
    <w:rsid w:val="003F61BB"/>
    <w:rsid w:val="003F7053"/>
    <w:rsid w:val="003F7593"/>
    <w:rsid w:val="003F7A41"/>
    <w:rsid w:val="003F7D1D"/>
    <w:rsid w:val="003F7D9C"/>
    <w:rsid w:val="004001A1"/>
    <w:rsid w:val="004005F6"/>
    <w:rsid w:val="00400AAF"/>
    <w:rsid w:val="004019B3"/>
    <w:rsid w:val="00401AC4"/>
    <w:rsid w:val="00401E1C"/>
    <w:rsid w:val="004022B4"/>
    <w:rsid w:val="00403150"/>
    <w:rsid w:val="00404503"/>
    <w:rsid w:val="00404712"/>
    <w:rsid w:val="00405024"/>
    <w:rsid w:val="004057AD"/>
    <w:rsid w:val="0040593C"/>
    <w:rsid w:val="00406509"/>
    <w:rsid w:val="00406E54"/>
    <w:rsid w:val="00406F7C"/>
    <w:rsid w:val="00406FB7"/>
    <w:rsid w:val="0040735B"/>
    <w:rsid w:val="0040737F"/>
    <w:rsid w:val="004074C1"/>
    <w:rsid w:val="00407539"/>
    <w:rsid w:val="00407712"/>
    <w:rsid w:val="0040779A"/>
    <w:rsid w:val="00407D00"/>
    <w:rsid w:val="004109EE"/>
    <w:rsid w:val="0041161C"/>
    <w:rsid w:val="00411766"/>
    <w:rsid w:val="00411F54"/>
    <w:rsid w:val="00412835"/>
    <w:rsid w:val="00412A3D"/>
    <w:rsid w:val="00412F4A"/>
    <w:rsid w:val="0041383D"/>
    <w:rsid w:val="0041399D"/>
    <w:rsid w:val="00413D04"/>
    <w:rsid w:val="00413DBA"/>
    <w:rsid w:val="00413DF1"/>
    <w:rsid w:val="00414175"/>
    <w:rsid w:val="00414A31"/>
    <w:rsid w:val="00414CDD"/>
    <w:rsid w:val="00414FF9"/>
    <w:rsid w:val="00415BF7"/>
    <w:rsid w:val="00415CB4"/>
    <w:rsid w:val="0041615A"/>
    <w:rsid w:val="00416276"/>
    <w:rsid w:val="0041647C"/>
    <w:rsid w:val="00416771"/>
    <w:rsid w:val="00416F2A"/>
    <w:rsid w:val="00420135"/>
    <w:rsid w:val="00420A08"/>
    <w:rsid w:val="00420A0D"/>
    <w:rsid w:val="00420E0F"/>
    <w:rsid w:val="00420EE3"/>
    <w:rsid w:val="004215BB"/>
    <w:rsid w:val="004217CF"/>
    <w:rsid w:val="00422076"/>
    <w:rsid w:val="00422F48"/>
    <w:rsid w:val="00424723"/>
    <w:rsid w:val="00424BAB"/>
    <w:rsid w:val="00424E5D"/>
    <w:rsid w:val="004253B7"/>
    <w:rsid w:val="00425672"/>
    <w:rsid w:val="004258DB"/>
    <w:rsid w:val="0042590F"/>
    <w:rsid w:val="00425A28"/>
    <w:rsid w:val="00425A59"/>
    <w:rsid w:val="00425EA4"/>
    <w:rsid w:val="004260F5"/>
    <w:rsid w:val="00426900"/>
    <w:rsid w:val="00426965"/>
    <w:rsid w:val="00427BB1"/>
    <w:rsid w:val="00427F9A"/>
    <w:rsid w:val="00430740"/>
    <w:rsid w:val="004311DD"/>
    <w:rsid w:val="00431BE8"/>
    <w:rsid w:val="00431FCE"/>
    <w:rsid w:val="00432B81"/>
    <w:rsid w:val="00432C82"/>
    <w:rsid w:val="00433D41"/>
    <w:rsid w:val="00433DB7"/>
    <w:rsid w:val="004341E9"/>
    <w:rsid w:val="0043475B"/>
    <w:rsid w:val="00434B3D"/>
    <w:rsid w:val="004350F8"/>
    <w:rsid w:val="00435967"/>
    <w:rsid w:val="00436C3D"/>
    <w:rsid w:val="00440160"/>
    <w:rsid w:val="004401DE"/>
    <w:rsid w:val="0044053E"/>
    <w:rsid w:val="00440C03"/>
    <w:rsid w:val="004416BD"/>
    <w:rsid w:val="004418D1"/>
    <w:rsid w:val="00441BDE"/>
    <w:rsid w:val="00442C53"/>
    <w:rsid w:val="00442EC6"/>
    <w:rsid w:val="00442EF4"/>
    <w:rsid w:val="00443297"/>
    <w:rsid w:val="00443459"/>
    <w:rsid w:val="004434BD"/>
    <w:rsid w:val="004436EE"/>
    <w:rsid w:val="00443F8D"/>
    <w:rsid w:val="00443F94"/>
    <w:rsid w:val="004444D6"/>
    <w:rsid w:val="004458E2"/>
    <w:rsid w:val="004459F8"/>
    <w:rsid w:val="00445D13"/>
    <w:rsid w:val="004460BC"/>
    <w:rsid w:val="00447428"/>
    <w:rsid w:val="004475A9"/>
    <w:rsid w:val="00447680"/>
    <w:rsid w:val="00447A26"/>
    <w:rsid w:val="00447CD8"/>
    <w:rsid w:val="00447EB6"/>
    <w:rsid w:val="00450340"/>
    <w:rsid w:val="00450DC8"/>
    <w:rsid w:val="004515EE"/>
    <w:rsid w:val="00452456"/>
    <w:rsid w:val="004526CF"/>
    <w:rsid w:val="004530C7"/>
    <w:rsid w:val="0045313D"/>
    <w:rsid w:val="004535DA"/>
    <w:rsid w:val="00453BA8"/>
    <w:rsid w:val="00453CB4"/>
    <w:rsid w:val="0045432F"/>
    <w:rsid w:val="00454398"/>
    <w:rsid w:val="004543BF"/>
    <w:rsid w:val="00454C5E"/>
    <w:rsid w:val="00454CB3"/>
    <w:rsid w:val="004550E4"/>
    <w:rsid w:val="004555D3"/>
    <w:rsid w:val="00456759"/>
    <w:rsid w:val="00457932"/>
    <w:rsid w:val="004605D3"/>
    <w:rsid w:val="004606FF"/>
    <w:rsid w:val="004607E5"/>
    <w:rsid w:val="00460DBF"/>
    <w:rsid w:val="00460F8D"/>
    <w:rsid w:val="00461031"/>
    <w:rsid w:val="004611BD"/>
    <w:rsid w:val="00461661"/>
    <w:rsid w:val="00461903"/>
    <w:rsid w:val="00461D08"/>
    <w:rsid w:val="0046225D"/>
    <w:rsid w:val="00462B01"/>
    <w:rsid w:val="00463254"/>
    <w:rsid w:val="00463615"/>
    <w:rsid w:val="00463B83"/>
    <w:rsid w:val="00463FA2"/>
    <w:rsid w:val="00464369"/>
    <w:rsid w:val="004648C2"/>
    <w:rsid w:val="00464940"/>
    <w:rsid w:val="00464E6E"/>
    <w:rsid w:val="0046515B"/>
    <w:rsid w:val="0046540A"/>
    <w:rsid w:val="00466AA7"/>
    <w:rsid w:val="00467477"/>
    <w:rsid w:val="0047003D"/>
    <w:rsid w:val="0047027A"/>
    <w:rsid w:val="00470A5C"/>
    <w:rsid w:val="00472226"/>
    <w:rsid w:val="0047244F"/>
    <w:rsid w:val="0047269B"/>
    <w:rsid w:val="00472743"/>
    <w:rsid w:val="00472ECB"/>
    <w:rsid w:val="00472EF7"/>
    <w:rsid w:val="00473767"/>
    <w:rsid w:val="00473CF1"/>
    <w:rsid w:val="00474111"/>
    <w:rsid w:val="00474AA5"/>
    <w:rsid w:val="004751EC"/>
    <w:rsid w:val="004757CB"/>
    <w:rsid w:val="00475A5C"/>
    <w:rsid w:val="00475B5E"/>
    <w:rsid w:val="004766DF"/>
    <w:rsid w:val="00476787"/>
    <w:rsid w:val="00476797"/>
    <w:rsid w:val="004767D8"/>
    <w:rsid w:val="00476AF8"/>
    <w:rsid w:val="00477C98"/>
    <w:rsid w:val="00477CF3"/>
    <w:rsid w:val="00477F52"/>
    <w:rsid w:val="00480304"/>
    <w:rsid w:val="00480ADA"/>
    <w:rsid w:val="00481019"/>
    <w:rsid w:val="00481077"/>
    <w:rsid w:val="004812E5"/>
    <w:rsid w:val="0048195D"/>
    <w:rsid w:val="00481F49"/>
    <w:rsid w:val="0048255B"/>
    <w:rsid w:val="00483B0D"/>
    <w:rsid w:val="004840EB"/>
    <w:rsid w:val="00484BB9"/>
    <w:rsid w:val="0048639F"/>
    <w:rsid w:val="00486DD6"/>
    <w:rsid w:val="004870C1"/>
    <w:rsid w:val="00487ADB"/>
    <w:rsid w:val="00490CD8"/>
    <w:rsid w:val="00490E7A"/>
    <w:rsid w:val="00491469"/>
    <w:rsid w:val="00492775"/>
    <w:rsid w:val="0049329C"/>
    <w:rsid w:val="0049359D"/>
    <w:rsid w:val="00493926"/>
    <w:rsid w:val="00493BB7"/>
    <w:rsid w:val="00493C00"/>
    <w:rsid w:val="00493FBB"/>
    <w:rsid w:val="00494757"/>
    <w:rsid w:val="004949DD"/>
    <w:rsid w:val="00494C33"/>
    <w:rsid w:val="00495580"/>
    <w:rsid w:val="0049580E"/>
    <w:rsid w:val="00495C50"/>
    <w:rsid w:val="00495D97"/>
    <w:rsid w:val="004965B1"/>
    <w:rsid w:val="004965BB"/>
    <w:rsid w:val="00496C07"/>
    <w:rsid w:val="00497006"/>
    <w:rsid w:val="00497394"/>
    <w:rsid w:val="00497A53"/>
    <w:rsid w:val="00497A7B"/>
    <w:rsid w:val="00497C7D"/>
    <w:rsid w:val="004A0071"/>
    <w:rsid w:val="004A00C7"/>
    <w:rsid w:val="004A017F"/>
    <w:rsid w:val="004A02D4"/>
    <w:rsid w:val="004A0549"/>
    <w:rsid w:val="004A0988"/>
    <w:rsid w:val="004A0DCF"/>
    <w:rsid w:val="004A1402"/>
    <w:rsid w:val="004A14BA"/>
    <w:rsid w:val="004A1B15"/>
    <w:rsid w:val="004A1F7D"/>
    <w:rsid w:val="004A21BE"/>
    <w:rsid w:val="004A23EF"/>
    <w:rsid w:val="004A337B"/>
    <w:rsid w:val="004A46CD"/>
    <w:rsid w:val="004A4BC6"/>
    <w:rsid w:val="004A5AA2"/>
    <w:rsid w:val="004A6107"/>
    <w:rsid w:val="004A6B64"/>
    <w:rsid w:val="004A6DA6"/>
    <w:rsid w:val="004A71DC"/>
    <w:rsid w:val="004A79C3"/>
    <w:rsid w:val="004A7A76"/>
    <w:rsid w:val="004B0319"/>
    <w:rsid w:val="004B108D"/>
    <w:rsid w:val="004B2D76"/>
    <w:rsid w:val="004B3E0A"/>
    <w:rsid w:val="004B45E6"/>
    <w:rsid w:val="004B4B93"/>
    <w:rsid w:val="004B5796"/>
    <w:rsid w:val="004B5B01"/>
    <w:rsid w:val="004B5B13"/>
    <w:rsid w:val="004B5C71"/>
    <w:rsid w:val="004B6CF7"/>
    <w:rsid w:val="004B6D10"/>
    <w:rsid w:val="004B6D3D"/>
    <w:rsid w:val="004B767C"/>
    <w:rsid w:val="004B7A9A"/>
    <w:rsid w:val="004C05B0"/>
    <w:rsid w:val="004C1AEC"/>
    <w:rsid w:val="004C219B"/>
    <w:rsid w:val="004C2BAC"/>
    <w:rsid w:val="004C2E16"/>
    <w:rsid w:val="004C32F4"/>
    <w:rsid w:val="004C49CB"/>
    <w:rsid w:val="004C4C58"/>
    <w:rsid w:val="004C55A6"/>
    <w:rsid w:val="004C5E84"/>
    <w:rsid w:val="004C655B"/>
    <w:rsid w:val="004C7F48"/>
    <w:rsid w:val="004D0005"/>
    <w:rsid w:val="004D163A"/>
    <w:rsid w:val="004D1D5E"/>
    <w:rsid w:val="004D2B2F"/>
    <w:rsid w:val="004D2CC0"/>
    <w:rsid w:val="004D31ED"/>
    <w:rsid w:val="004D3951"/>
    <w:rsid w:val="004D39DD"/>
    <w:rsid w:val="004D3C8A"/>
    <w:rsid w:val="004D3E0B"/>
    <w:rsid w:val="004D6275"/>
    <w:rsid w:val="004D7FFA"/>
    <w:rsid w:val="004E077F"/>
    <w:rsid w:val="004E0AA4"/>
    <w:rsid w:val="004E12C8"/>
    <w:rsid w:val="004E188F"/>
    <w:rsid w:val="004E27C4"/>
    <w:rsid w:val="004E2CB9"/>
    <w:rsid w:val="004E3902"/>
    <w:rsid w:val="004E3D91"/>
    <w:rsid w:val="004E4792"/>
    <w:rsid w:val="004E5478"/>
    <w:rsid w:val="004E5C4B"/>
    <w:rsid w:val="004E5DD0"/>
    <w:rsid w:val="004E5E4A"/>
    <w:rsid w:val="004E6051"/>
    <w:rsid w:val="004E6408"/>
    <w:rsid w:val="004E674D"/>
    <w:rsid w:val="004E78D0"/>
    <w:rsid w:val="004F0011"/>
    <w:rsid w:val="004F00F2"/>
    <w:rsid w:val="004F0A4B"/>
    <w:rsid w:val="004F1896"/>
    <w:rsid w:val="004F1A89"/>
    <w:rsid w:val="004F1BC6"/>
    <w:rsid w:val="004F1F69"/>
    <w:rsid w:val="004F2226"/>
    <w:rsid w:val="004F2668"/>
    <w:rsid w:val="004F27FB"/>
    <w:rsid w:val="004F323A"/>
    <w:rsid w:val="004F39FE"/>
    <w:rsid w:val="004F484A"/>
    <w:rsid w:val="004F4A44"/>
    <w:rsid w:val="004F5B6E"/>
    <w:rsid w:val="004F5E95"/>
    <w:rsid w:val="004F5FB9"/>
    <w:rsid w:val="004F6D39"/>
    <w:rsid w:val="004F7489"/>
    <w:rsid w:val="005000AE"/>
    <w:rsid w:val="00500F30"/>
    <w:rsid w:val="00501276"/>
    <w:rsid w:val="00501487"/>
    <w:rsid w:val="00502868"/>
    <w:rsid w:val="00502E8F"/>
    <w:rsid w:val="005037D9"/>
    <w:rsid w:val="00503AE1"/>
    <w:rsid w:val="00503DA1"/>
    <w:rsid w:val="00504BBA"/>
    <w:rsid w:val="00505086"/>
    <w:rsid w:val="005052AD"/>
    <w:rsid w:val="0050538D"/>
    <w:rsid w:val="00505797"/>
    <w:rsid w:val="00506A1D"/>
    <w:rsid w:val="00506B94"/>
    <w:rsid w:val="00506C64"/>
    <w:rsid w:val="00506D1E"/>
    <w:rsid w:val="00506E12"/>
    <w:rsid w:val="00506F6E"/>
    <w:rsid w:val="00507248"/>
    <w:rsid w:val="005079BE"/>
    <w:rsid w:val="00510341"/>
    <w:rsid w:val="00510B8A"/>
    <w:rsid w:val="005111DB"/>
    <w:rsid w:val="00512EE0"/>
    <w:rsid w:val="005131C4"/>
    <w:rsid w:val="00513703"/>
    <w:rsid w:val="00513B35"/>
    <w:rsid w:val="005142B7"/>
    <w:rsid w:val="00514477"/>
    <w:rsid w:val="00515152"/>
    <w:rsid w:val="00515398"/>
    <w:rsid w:val="0051573B"/>
    <w:rsid w:val="00516248"/>
    <w:rsid w:val="0051647C"/>
    <w:rsid w:val="0051699E"/>
    <w:rsid w:val="00517311"/>
    <w:rsid w:val="005173B4"/>
    <w:rsid w:val="00517406"/>
    <w:rsid w:val="0051760F"/>
    <w:rsid w:val="0051799C"/>
    <w:rsid w:val="005203C6"/>
    <w:rsid w:val="0052071E"/>
    <w:rsid w:val="00521131"/>
    <w:rsid w:val="005216B8"/>
    <w:rsid w:val="00521882"/>
    <w:rsid w:val="00521D2B"/>
    <w:rsid w:val="0052250C"/>
    <w:rsid w:val="00522B45"/>
    <w:rsid w:val="00523938"/>
    <w:rsid w:val="00523AC7"/>
    <w:rsid w:val="00523DE9"/>
    <w:rsid w:val="00524442"/>
    <w:rsid w:val="005245D4"/>
    <w:rsid w:val="00524615"/>
    <w:rsid w:val="00524D14"/>
    <w:rsid w:val="00525201"/>
    <w:rsid w:val="00525276"/>
    <w:rsid w:val="005252DD"/>
    <w:rsid w:val="00525652"/>
    <w:rsid w:val="00525AF7"/>
    <w:rsid w:val="00525BFA"/>
    <w:rsid w:val="005261A9"/>
    <w:rsid w:val="0052657C"/>
    <w:rsid w:val="005274F9"/>
    <w:rsid w:val="00527933"/>
    <w:rsid w:val="005279FB"/>
    <w:rsid w:val="005300ED"/>
    <w:rsid w:val="0053069D"/>
    <w:rsid w:val="00530E40"/>
    <w:rsid w:val="0053113C"/>
    <w:rsid w:val="005311B9"/>
    <w:rsid w:val="005314BE"/>
    <w:rsid w:val="00532589"/>
    <w:rsid w:val="00532622"/>
    <w:rsid w:val="00532DDD"/>
    <w:rsid w:val="0053300E"/>
    <w:rsid w:val="0053366A"/>
    <w:rsid w:val="00533A12"/>
    <w:rsid w:val="00533F9D"/>
    <w:rsid w:val="00535A44"/>
    <w:rsid w:val="00535DCD"/>
    <w:rsid w:val="00536A8B"/>
    <w:rsid w:val="005400C4"/>
    <w:rsid w:val="00540331"/>
    <w:rsid w:val="00540556"/>
    <w:rsid w:val="00540691"/>
    <w:rsid w:val="0054094E"/>
    <w:rsid w:val="00540D19"/>
    <w:rsid w:val="0054121C"/>
    <w:rsid w:val="0054134B"/>
    <w:rsid w:val="005418CD"/>
    <w:rsid w:val="005418F9"/>
    <w:rsid w:val="00541C62"/>
    <w:rsid w:val="00542465"/>
    <w:rsid w:val="00542E19"/>
    <w:rsid w:val="00542F15"/>
    <w:rsid w:val="005430AD"/>
    <w:rsid w:val="0054335B"/>
    <w:rsid w:val="005437E2"/>
    <w:rsid w:val="005439CD"/>
    <w:rsid w:val="0054432C"/>
    <w:rsid w:val="00544787"/>
    <w:rsid w:val="005455BF"/>
    <w:rsid w:val="00545BE8"/>
    <w:rsid w:val="00545FE1"/>
    <w:rsid w:val="005475F2"/>
    <w:rsid w:val="00547713"/>
    <w:rsid w:val="00547D4C"/>
    <w:rsid w:val="0055037D"/>
    <w:rsid w:val="00550D1F"/>
    <w:rsid w:val="00550EEF"/>
    <w:rsid w:val="00550F1F"/>
    <w:rsid w:val="005510DC"/>
    <w:rsid w:val="005519D7"/>
    <w:rsid w:val="00551D55"/>
    <w:rsid w:val="00552F26"/>
    <w:rsid w:val="005530DB"/>
    <w:rsid w:val="00554F55"/>
    <w:rsid w:val="00555D0F"/>
    <w:rsid w:val="00555FBB"/>
    <w:rsid w:val="0055601D"/>
    <w:rsid w:val="005562F7"/>
    <w:rsid w:val="005565C3"/>
    <w:rsid w:val="00557380"/>
    <w:rsid w:val="0055775F"/>
    <w:rsid w:val="0056040E"/>
    <w:rsid w:val="005604D7"/>
    <w:rsid w:val="0056055D"/>
    <w:rsid w:val="00560660"/>
    <w:rsid w:val="00560F09"/>
    <w:rsid w:val="005615FB"/>
    <w:rsid w:val="005616B5"/>
    <w:rsid w:val="00561EA0"/>
    <w:rsid w:val="005620F4"/>
    <w:rsid w:val="00562122"/>
    <w:rsid w:val="005624F7"/>
    <w:rsid w:val="00562815"/>
    <w:rsid w:val="005629A4"/>
    <w:rsid w:val="00562D6D"/>
    <w:rsid w:val="005630DA"/>
    <w:rsid w:val="0056327B"/>
    <w:rsid w:val="00563428"/>
    <w:rsid w:val="00563D48"/>
    <w:rsid w:val="00563FF2"/>
    <w:rsid w:val="00565237"/>
    <w:rsid w:val="00565380"/>
    <w:rsid w:val="00565671"/>
    <w:rsid w:val="00565B86"/>
    <w:rsid w:val="00566792"/>
    <w:rsid w:val="00567212"/>
    <w:rsid w:val="005703B3"/>
    <w:rsid w:val="00570786"/>
    <w:rsid w:val="00570B4F"/>
    <w:rsid w:val="0057103A"/>
    <w:rsid w:val="0057142E"/>
    <w:rsid w:val="00571832"/>
    <w:rsid w:val="00571F26"/>
    <w:rsid w:val="0057260E"/>
    <w:rsid w:val="00572997"/>
    <w:rsid w:val="00572F44"/>
    <w:rsid w:val="005734A5"/>
    <w:rsid w:val="00573AA5"/>
    <w:rsid w:val="005747CE"/>
    <w:rsid w:val="00575FBC"/>
    <w:rsid w:val="00576227"/>
    <w:rsid w:val="00576404"/>
    <w:rsid w:val="0057664F"/>
    <w:rsid w:val="005766D1"/>
    <w:rsid w:val="0057705F"/>
    <w:rsid w:val="00577250"/>
    <w:rsid w:val="005801CA"/>
    <w:rsid w:val="00580734"/>
    <w:rsid w:val="00581438"/>
    <w:rsid w:val="00581633"/>
    <w:rsid w:val="005822C9"/>
    <w:rsid w:val="005823E0"/>
    <w:rsid w:val="0058309E"/>
    <w:rsid w:val="0058354E"/>
    <w:rsid w:val="005841CE"/>
    <w:rsid w:val="00584924"/>
    <w:rsid w:val="00584ED7"/>
    <w:rsid w:val="00584EF8"/>
    <w:rsid w:val="00586B3C"/>
    <w:rsid w:val="00586BD9"/>
    <w:rsid w:val="00586BF3"/>
    <w:rsid w:val="00587955"/>
    <w:rsid w:val="00587ABE"/>
    <w:rsid w:val="0059016E"/>
    <w:rsid w:val="00590C02"/>
    <w:rsid w:val="00592A09"/>
    <w:rsid w:val="005931D5"/>
    <w:rsid w:val="0059328C"/>
    <w:rsid w:val="00593670"/>
    <w:rsid w:val="005939E2"/>
    <w:rsid w:val="00593B0B"/>
    <w:rsid w:val="00593F07"/>
    <w:rsid w:val="00594B26"/>
    <w:rsid w:val="00594B64"/>
    <w:rsid w:val="00595FC3"/>
    <w:rsid w:val="0059602F"/>
    <w:rsid w:val="00596BFC"/>
    <w:rsid w:val="00596DB4"/>
    <w:rsid w:val="00596DF9"/>
    <w:rsid w:val="00596E8D"/>
    <w:rsid w:val="00597014"/>
    <w:rsid w:val="005973D4"/>
    <w:rsid w:val="005974DB"/>
    <w:rsid w:val="005A07EE"/>
    <w:rsid w:val="005A1233"/>
    <w:rsid w:val="005A174D"/>
    <w:rsid w:val="005A2C9B"/>
    <w:rsid w:val="005A2EC4"/>
    <w:rsid w:val="005A316B"/>
    <w:rsid w:val="005A3704"/>
    <w:rsid w:val="005A388D"/>
    <w:rsid w:val="005A3CEB"/>
    <w:rsid w:val="005A3E64"/>
    <w:rsid w:val="005A510B"/>
    <w:rsid w:val="005A554A"/>
    <w:rsid w:val="005A5708"/>
    <w:rsid w:val="005A5FDE"/>
    <w:rsid w:val="005A6B2D"/>
    <w:rsid w:val="005A6EC3"/>
    <w:rsid w:val="005A71CC"/>
    <w:rsid w:val="005A73B9"/>
    <w:rsid w:val="005B04B5"/>
    <w:rsid w:val="005B0913"/>
    <w:rsid w:val="005B10BA"/>
    <w:rsid w:val="005B12E9"/>
    <w:rsid w:val="005B2599"/>
    <w:rsid w:val="005B294D"/>
    <w:rsid w:val="005B2AB3"/>
    <w:rsid w:val="005B309B"/>
    <w:rsid w:val="005B3D00"/>
    <w:rsid w:val="005B3DC2"/>
    <w:rsid w:val="005B47F6"/>
    <w:rsid w:val="005B4CDF"/>
    <w:rsid w:val="005B5759"/>
    <w:rsid w:val="005B5DA8"/>
    <w:rsid w:val="005B6695"/>
    <w:rsid w:val="005B6B39"/>
    <w:rsid w:val="005B6B3F"/>
    <w:rsid w:val="005B720D"/>
    <w:rsid w:val="005B78EC"/>
    <w:rsid w:val="005C0D7F"/>
    <w:rsid w:val="005C13EB"/>
    <w:rsid w:val="005C17FC"/>
    <w:rsid w:val="005C1B3F"/>
    <w:rsid w:val="005C2918"/>
    <w:rsid w:val="005C2938"/>
    <w:rsid w:val="005C3010"/>
    <w:rsid w:val="005C3838"/>
    <w:rsid w:val="005C4B31"/>
    <w:rsid w:val="005C4CA8"/>
    <w:rsid w:val="005C5254"/>
    <w:rsid w:val="005C5729"/>
    <w:rsid w:val="005C5A82"/>
    <w:rsid w:val="005C5D04"/>
    <w:rsid w:val="005C5E41"/>
    <w:rsid w:val="005C6C3A"/>
    <w:rsid w:val="005C6C41"/>
    <w:rsid w:val="005C7AC7"/>
    <w:rsid w:val="005D0386"/>
    <w:rsid w:val="005D0934"/>
    <w:rsid w:val="005D10F1"/>
    <w:rsid w:val="005D1B5A"/>
    <w:rsid w:val="005D1D3C"/>
    <w:rsid w:val="005D2086"/>
    <w:rsid w:val="005D25C4"/>
    <w:rsid w:val="005D2F69"/>
    <w:rsid w:val="005D2FB4"/>
    <w:rsid w:val="005D3BCC"/>
    <w:rsid w:val="005D45A4"/>
    <w:rsid w:val="005D4BB9"/>
    <w:rsid w:val="005D4C86"/>
    <w:rsid w:val="005D4CDC"/>
    <w:rsid w:val="005D5807"/>
    <w:rsid w:val="005D5B86"/>
    <w:rsid w:val="005D5D89"/>
    <w:rsid w:val="005D60A5"/>
    <w:rsid w:val="005D6BC6"/>
    <w:rsid w:val="005D74A0"/>
    <w:rsid w:val="005D78BA"/>
    <w:rsid w:val="005E0CA4"/>
    <w:rsid w:val="005E0DF3"/>
    <w:rsid w:val="005E1171"/>
    <w:rsid w:val="005E1975"/>
    <w:rsid w:val="005E253B"/>
    <w:rsid w:val="005E31F1"/>
    <w:rsid w:val="005E336D"/>
    <w:rsid w:val="005E34CC"/>
    <w:rsid w:val="005E36CD"/>
    <w:rsid w:val="005E3BB4"/>
    <w:rsid w:val="005E4305"/>
    <w:rsid w:val="005E47EC"/>
    <w:rsid w:val="005E4F66"/>
    <w:rsid w:val="005E591E"/>
    <w:rsid w:val="005E5A71"/>
    <w:rsid w:val="005E5C9C"/>
    <w:rsid w:val="005E5D0D"/>
    <w:rsid w:val="005E5E7B"/>
    <w:rsid w:val="005E6183"/>
    <w:rsid w:val="005E6367"/>
    <w:rsid w:val="005E6A8E"/>
    <w:rsid w:val="005E759A"/>
    <w:rsid w:val="005E7BE9"/>
    <w:rsid w:val="005E7DC6"/>
    <w:rsid w:val="005E7FCB"/>
    <w:rsid w:val="005F023C"/>
    <w:rsid w:val="005F0902"/>
    <w:rsid w:val="005F09E3"/>
    <w:rsid w:val="005F17BF"/>
    <w:rsid w:val="005F1EAE"/>
    <w:rsid w:val="005F2591"/>
    <w:rsid w:val="005F34D8"/>
    <w:rsid w:val="005F3602"/>
    <w:rsid w:val="005F47F6"/>
    <w:rsid w:val="005F47FC"/>
    <w:rsid w:val="005F4E42"/>
    <w:rsid w:val="005F5088"/>
    <w:rsid w:val="005F562F"/>
    <w:rsid w:val="005F582E"/>
    <w:rsid w:val="005F5FBE"/>
    <w:rsid w:val="005F6528"/>
    <w:rsid w:val="005F659D"/>
    <w:rsid w:val="005F7EEA"/>
    <w:rsid w:val="00600439"/>
    <w:rsid w:val="00600612"/>
    <w:rsid w:val="0060077C"/>
    <w:rsid w:val="00601682"/>
    <w:rsid w:val="00601798"/>
    <w:rsid w:val="00601E8A"/>
    <w:rsid w:val="006023AA"/>
    <w:rsid w:val="0060251E"/>
    <w:rsid w:val="00602AD4"/>
    <w:rsid w:val="00603B98"/>
    <w:rsid w:val="00603BF3"/>
    <w:rsid w:val="00603DA5"/>
    <w:rsid w:val="00603F24"/>
    <w:rsid w:val="0060427B"/>
    <w:rsid w:val="00604651"/>
    <w:rsid w:val="006047EA"/>
    <w:rsid w:val="00605784"/>
    <w:rsid w:val="006057FE"/>
    <w:rsid w:val="00606439"/>
    <w:rsid w:val="00606A38"/>
    <w:rsid w:val="00606C17"/>
    <w:rsid w:val="00606E93"/>
    <w:rsid w:val="00607FA5"/>
    <w:rsid w:val="0061225B"/>
    <w:rsid w:val="00612402"/>
    <w:rsid w:val="0061248B"/>
    <w:rsid w:val="00612B27"/>
    <w:rsid w:val="00612E1D"/>
    <w:rsid w:val="00613079"/>
    <w:rsid w:val="006137D7"/>
    <w:rsid w:val="00613895"/>
    <w:rsid w:val="00613C58"/>
    <w:rsid w:val="00614945"/>
    <w:rsid w:val="00614AD4"/>
    <w:rsid w:val="00614BA8"/>
    <w:rsid w:val="00614CBC"/>
    <w:rsid w:val="006154BA"/>
    <w:rsid w:val="00615797"/>
    <w:rsid w:val="00615E74"/>
    <w:rsid w:val="00616019"/>
    <w:rsid w:val="00616043"/>
    <w:rsid w:val="00616349"/>
    <w:rsid w:val="006166E9"/>
    <w:rsid w:val="00616AC9"/>
    <w:rsid w:val="00617646"/>
    <w:rsid w:val="00617988"/>
    <w:rsid w:val="00620766"/>
    <w:rsid w:val="00620A73"/>
    <w:rsid w:val="00622182"/>
    <w:rsid w:val="00622A90"/>
    <w:rsid w:val="00622D10"/>
    <w:rsid w:val="00622E1A"/>
    <w:rsid w:val="00622EA3"/>
    <w:rsid w:val="00623632"/>
    <w:rsid w:val="006238F4"/>
    <w:rsid w:val="00623B8C"/>
    <w:rsid w:val="00625CBC"/>
    <w:rsid w:val="0062648A"/>
    <w:rsid w:val="00626C6E"/>
    <w:rsid w:val="00626F6F"/>
    <w:rsid w:val="00627028"/>
    <w:rsid w:val="006270B6"/>
    <w:rsid w:val="0062746F"/>
    <w:rsid w:val="00627BE4"/>
    <w:rsid w:val="00630E52"/>
    <w:rsid w:val="00630EFC"/>
    <w:rsid w:val="00631137"/>
    <w:rsid w:val="00631C61"/>
    <w:rsid w:val="00632A50"/>
    <w:rsid w:val="0063307E"/>
    <w:rsid w:val="0063310C"/>
    <w:rsid w:val="00633D71"/>
    <w:rsid w:val="00633F05"/>
    <w:rsid w:val="0063408B"/>
    <w:rsid w:val="006347C4"/>
    <w:rsid w:val="0063522E"/>
    <w:rsid w:val="0063664D"/>
    <w:rsid w:val="0063686C"/>
    <w:rsid w:val="00636F66"/>
    <w:rsid w:val="00637458"/>
    <w:rsid w:val="0063758C"/>
    <w:rsid w:val="006375F7"/>
    <w:rsid w:val="0063764E"/>
    <w:rsid w:val="00637D13"/>
    <w:rsid w:val="00640110"/>
    <w:rsid w:val="00640224"/>
    <w:rsid w:val="0064099D"/>
    <w:rsid w:val="006410F6"/>
    <w:rsid w:val="0064143C"/>
    <w:rsid w:val="00641752"/>
    <w:rsid w:val="0064191D"/>
    <w:rsid w:val="00642109"/>
    <w:rsid w:val="006422B0"/>
    <w:rsid w:val="006425D2"/>
    <w:rsid w:val="006425E2"/>
    <w:rsid w:val="00643379"/>
    <w:rsid w:val="00643537"/>
    <w:rsid w:val="0064375A"/>
    <w:rsid w:val="0064398D"/>
    <w:rsid w:val="00643A9C"/>
    <w:rsid w:val="006444AE"/>
    <w:rsid w:val="00644E64"/>
    <w:rsid w:val="006467B7"/>
    <w:rsid w:val="00646AA5"/>
    <w:rsid w:val="00646C0D"/>
    <w:rsid w:val="00646EB0"/>
    <w:rsid w:val="00647A3D"/>
    <w:rsid w:val="00647F10"/>
    <w:rsid w:val="006500A8"/>
    <w:rsid w:val="00650146"/>
    <w:rsid w:val="0065089C"/>
    <w:rsid w:val="00650C4C"/>
    <w:rsid w:val="00650D92"/>
    <w:rsid w:val="00651653"/>
    <w:rsid w:val="006516B0"/>
    <w:rsid w:val="00651C0E"/>
    <w:rsid w:val="00651DB4"/>
    <w:rsid w:val="00652710"/>
    <w:rsid w:val="00652BFB"/>
    <w:rsid w:val="006531A5"/>
    <w:rsid w:val="00653A85"/>
    <w:rsid w:val="00653BA2"/>
    <w:rsid w:val="00653F3D"/>
    <w:rsid w:val="00654080"/>
    <w:rsid w:val="006545BD"/>
    <w:rsid w:val="0065473E"/>
    <w:rsid w:val="00654BC2"/>
    <w:rsid w:val="00654EF2"/>
    <w:rsid w:val="0065549B"/>
    <w:rsid w:val="00655960"/>
    <w:rsid w:val="00655DD9"/>
    <w:rsid w:val="0065626D"/>
    <w:rsid w:val="006566C4"/>
    <w:rsid w:val="006574B2"/>
    <w:rsid w:val="00657506"/>
    <w:rsid w:val="006575CE"/>
    <w:rsid w:val="006575F1"/>
    <w:rsid w:val="006577C6"/>
    <w:rsid w:val="00657938"/>
    <w:rsid w:val="0066042B"/>
    <w:rsid w:val="006608FC"/>
    <w:rsid w:val="00660F89"/>
    <w:rsid w:val="00661A38"/>
    <w:rsid w:val="00661FDA"/>
    <w:rsid w:val="00662110"/>
    <w:rsid w:val="00662A9B"/>
    <w:rsid w:val="00662C02"/>
    <w:rsid w:val="00664467"/>
    <w:rsid w:val="0066528E"/>
    <w:rsid w:val="00665488"/>
    <w:rsid w:val="00665829"/>
    <w:rsid w:val="00665C70"/>
    <w:rsid w:val="00665D6D"/>
    <w:rsid w:val="00665DB7"/>
    <w:rsid w:val="00665E1E"/>
    <w:rsid w:val="00666467"/>
    <w:rsid w:val="006664FA"/>
    <w:rsid w:val="006665D5"/>
    <w:rsid w:val="006669B0"/>
    <w:rsid w:val="006676E6"/>
    <w:rsid w:val="00667C79"/>
    <w:rsid w:val="00667DE2"/>
    <w:rsid w:val="00671003"/>
    <w:rsid w:val="00672217"/>
    <w:rsid w:val="006724EA"/>
    <w:rsid w:val="00672D27"/>
    <w:rsid w:val="00673DEC"/>
    <w:rsid w:val="00673FAF"/>
    <w:rsid w:val="006749B3"/>
    <w:rsid w:val="006749CF"/>
    <w:rsid w:val="00674DB5"/>
    <w:rsid w:val="00675346"/>
    <w:rsid w:val="0067598A"/>
    <w:rsid w:val="006759DF"/>
    <w:rsid w:val="00675BE3"/>
    <w:rsid w:val="00675E94"/>
    <w:rsid w:val="0067632A"/>
    <w:rsid w:val="0067688E"/>
    <w:rsid w:val="006768FE"/>
    <w:rsid w:val="00676C51"/>
    <w:rsid w:val="00677388"/>
    <w:rsid w:val="00677E7A"/>
    <w:rsid w:val="00680D81"/>
    <w:rsid w:val="00681809"/>
    <w:rsid w:val="00681DB5"/>
    <w:rsid w:val="006820E1"/>
    <w:rsid w:val="006837DA"/>
    <w:rsid w:val="0068389A"/>
    <w:rsid w:val="00683A5E"/>
    <w:rsid w:val="00683DC5"/>
    <w:rsid w:val="006846D5"/>
    <w:rsid w:val="00684A5F"/>
    <w:rsid w:val="00684B7E"/>
    <w:rsid w:val="0068552B"/>
    <w:rsid w:val="00685AF3"/>
    <w:rsid w:val="0068614D"/>
    <w:rsid w:val="00686D13"/>
    <w:rsid w:val="006870B8"/>
    <w:rsid w:val="006874C5"/>
    <w:rsid w:val="00690786"/>
    <w:rsid w:val="00691502"/>
    <w:rsid w:val="00691E11"/>
    <w:rsid w:val="006926B6"/>
    <w:rsid w:val="006926F4"/>
    <w:rsid w:val="00694661"/>
    <w:rsid w:val="00694B07"/>
    <w:rsid w:val="00695727"/>
    <w:rsid w:val="00695AF0"/>
    <w:rsid w:val="00695C32"/>
    <w:rsid w:val="006960B4"/>
    <w:rsid w:val="006965F8"/>
    <w:rsid w:val="00697556"/>
    <w:rsid w:val="00697CC0"/>
    <w:rsid w:val="006A00CB"/>
    <w:rsid w:val="006A1722"/>
    <w:rsid w:val="006A17EF"/>
    <w:rsid w:val="006A1C95"/>
    <w:rsid w:val="006A1EE2"/>
    <w:rsid w:val="006A2575"/>
    <w:rsid w:val="006A298D"/>
    <w:rsid w:val="006A2AFD"/>
    <w:rsid w:val="006A2C93"/>
    <w:rsid w:val="006A3C3D"/>
    <w:rsid w:val="006A3E19"/>
    <w:rsid w:val="006A4116"/>
    <w:rsid w:val="006A46C6"/>
    <w:rsid w:val="006A5268"/>
    <w:rsid w:val="006A5E78"/>
    <w:rsid w:val="006B0BE1"/>
    <w:rsid w:val="006B0E30"/>
    <w:rsid w:val="006B0E3E"/>
    <w:rsid w:val="006B1134"/>
    <w:rsid w:val="006B1976"/>
    <w:rsid w:val="006B20DC"/>
    <w:rsid w:val="006B2464"/>
    <w:rsid w:val="006B24CA"/>
    <w:rsid w:val="006B3053"/>
    <w:rsid w:val="006B3195"/>
    <w:rsid w:val="006B32A0"/>
    <w:rsid w:val="006B3F30"/>
    <w:rsid w:val="006B59D7"/>
    <w:rsid w:val="006B5CCF"/>
    <w:rsid w:val="006B5D17"/>
    <w:rsid w:val="006B6173"/>
    <w:rsid w:val="006B6525"/>
    <w:rsid w:val="006B676C"/>
    <w:rsid w:val="006B7528"/>
    <w:rsid w:val="006B7949"/>
    <w:rsid w:val="006B7A03"/>
    <w:rsid w:val="006B7D00"/>
    <w:rsid w:val="006C0637"/>
    <w:rsid w:val="006C0D3E"/>
    <w:rsid w:val="006C0DFE"/>
    <w:rsid w:val="006C26C2"/>
    <w:rsid w:val="006C28D6"/>
    <w:rsid w:val="006C440B"/>
    <w:rsid w:val="006C4443"/>
    <w:rsid w:val="006C4A63"/>
    <w:rsid w:val="006C4F45"/>
    <w:rsid w:val="006C5094"/>
    <w:rsid w:val="006C6C41"/>
    <w:rsid w:val="006C705F"/>
    <w:rsid w:val="006C7136"/>
    <w:rsid w:val="006C757D"/>
    <w:rsid w:val="006D0363"/>
    <w:rsid w:val="006D0680"/>
    <w:rsid w:val="006D0AAB"/>
    <w:rsid w:val="006D0B83"/>
    <w:rsid w:val="006D159F"/>
    <w:rsid w:val="006D194F"/>
    <w:rsid w:val="006D207A"/>
    <w:rsid w:val="006D2813"/>
    <w:rsid w:val="006D33E1"/>
    <w:rsid w:val="006D3804"/>
    <w:rsid w:val="006D3860"/>
    <w:rsid w:val="006D3991"/>
    <w:rsid w:val="006D4D86"/>
    <w:rsid w:val="006D4F70"/>
    <w:rsid w:val="006D4F98"/>
    <w:rsid w:val="006D676B"/>
    <w:rsid w:val="006D691C"/>
    <w:rsid w:val="006D6989"/>
    <w:rsid w:val="006D751E"/>
    <w:rsid w:val="006D762E"/>
    <w:rsid w:val="006D7EB4"/>
    <w:rsid w:val="006E051B"/>
    <w:rsid w:val="006E0BBC"/>
    <w:rsid w:val="006E389C"/>
    <w:rsid w:val="006E3B50"/>
    <w:rsid w:val="006E3C8B"/>
    <w:rsid w:val="006E4A61"/>
    <w:rsid w:val="006E4AC7"/>
    <w:rsid w:val="006E4AED"/>
    <w:rsid w:val="006E5943"/>
    <w:rsid w:val="006E67EC"/>
    <w:rsid w:val="006E7603"/>
    <w:rsid w:val="006E7ACE"/>
    <w:rsid w:val="006E7E01"/>
    <w:rsid w:val="006E7ED7"/>
    <w:rsid w:val="006F041C"/>
    <w:rsid w:val="006F132B"/>
    <w:rsid w:val="006F1817"/>
    <w:rsid w:val="006F2414"/>
    <w:rsid w:val="006F248B"/>
    <w:rsid w:val="006F2926"/>
    <w:rsid w:val="006F2AF7"/>
    <w:rsid w:val="006F31D5"/>
    <w:rsid w:val="006F32D9"/>
    <w:rsid w:val="006F3946"/>
    <w:rsid w:val="006F3C2C"/>
    <w:rsid w:val="006F3CF7"/>
    <w:rsid w:val="006F4C47"/>
    <w:rsid w:val="006F5074"/>
    <w:rsid w:val="006F5330"/>
    <w:rsid w:val="006F5527"/>
    <w:rsid w:val="006F5D0C"/>
    <w:rsid w:val="006F615E"/>
    <w:rsid w:val="006F6457"/>
    <w:rsid w:val="006F6809"/>
    <w:rsid w:val="006F6964"/>
    <w:rsid w:val="006F6DFC"/>
    <w:rsid w:val="006F72A6"/>
    <w:rsid w:val="006F74DE"/>
    <w:rsid w:val="00700182"/>
    <w:rsid w:val="0070031D"/>
    <w:rsid w:val="00700633"/>
    <w:rsid w:val="00700DA6"/>
    <w:rsid w:val="007018DF"/>
    <w:rsid w:val="00702245"/>
    <w:rsid w:val="00702281"/>
    <w:rsid w:val="00702568"/>
    <w:rsid w:val="007029EE"/>
    <w:rsid w:val="0070317F"/>
    <w:rsid w:val="00704543"/>
    <w:rsid w:val="00705093"/>
    <w:rsid w:val="007052E6"/>
    <w:rsid w:val="00705961"/>
    <w:rsid w:val="00705FC0"/>
    <w:rsid w:val="007062E6"/>
    <w:rsid w:val="00706F55"/>
    <w:rsid w:val="00706F87"/>
    <w:rsid w:val="0070712D"/>
    <w:rsid w:val="007072D3"/>
    <w:rsid w:val="0070793A"/>
    <w:rsid w:val="00707B5A"/>
    <w:rsid w:val="00707C71"/>
    <w:rsid w:val="00707FFD"/>
    <w:rsid w:val="0071098D"/>
    <w:rsid w:val="00710AD3"/>
    <w:rsid w:val="00711404"/>
    <w:rsid w:val="007121D1"/>
    <w:rsid w:val="00712344"/>
    <w:rsid w:val="007124AD"/>
    <w:rsid w:val="007125AC"/>
    <w:rsid w:val="00712ADC"/>
    <w:rsid w:val="00712EC7"/>
    <w:rsid w:val="00714232"/>
    <w:rsid w:val="007143C7"/>
    <w:rsid w:val="007153AD"/>
    <w:rsid w:val="007159B6"/>
    <w:rsid w:val="00715DAE"/>
    <w:rsid w:val="007160C3"/>
    <w:rsid w:val="0071633B"/>
    <w:rsid w:val="0071661B"/>
    <w:rsid w:val="0071695A"/>
    <w:rsid w:val="00716D44"/>
    <w:rsid w:val="007172B4"/>
    <w:rsid w:val="00717509"/>
    <w:rsid w:val="00717897"/>
    <w:rsid w:val="00717C15"/>
    <w:rsid w:val="00720E2A"/>
    <w:rsid w:val="00720E50"/>
    <w:rsid w:val="00720EFA"/>
    <w:rsid w:val="00720FFA"/>
    <w:rsid w:val="007212F6"/>
    <w:rsid w:val="00721D07"/>
    <w:rsid w:val="00721E78"/>
    <w:rsid w:val="00721FC8"/>
    <w:rsid w:val="0072288B"/>
    <w:rsid w:val="00723035"/>
    <w:rsid w:val="00723047"/>
    <w:rsid w:val="00724349"/>
    <w:rsid w:val="00724644"/>
    <w:rsid w:val="0072474D"/>
    <w:rsid w:val="00724D3D"/>
    <w:rsid w:val="00724E52"/>
    <w:rsid w:val="0072515E"/>
    <w:rsid w:val="007252CC"/>
    <w:rsid w:val="007257A7"/>
    <w:rsid w:val="00725938"/>
    <w:rsid w:val="00725BC7"/>
    <w:rsid w:val="00725BD0"/>
    <w:rsid w:val="00726A81"/>
    <w:rsid w:val="00727010"/>
    <w:rsid w:val="00727B1E"/>
    <w:rsid w:val="00730203"/>
    <w:rsid w:val="0073057F"/>
    <w:rsid w:val="007308D3"/>
    <w:rsid w:val="007309B9"/>
    <w:rsid w:val="00731514"/>
    <w:rsid w:val="007316CE"/>
    <w:rsid w:val="00731C4F"/>
    <w:rsid w:val="00732123"/>
    <w:rsid w:val="00732518"/>
    <w:rsid w:val="00732906"/>
    <w:rsid w:val="0073302A"/>
    <w:rsid w:val="0073439D"/>
    <w:rsid w:val="007346A6"/>
    <w:rsid w:val="00735005"/>
    <w:rsid w:val="00735112"/>
    <w:rsid w:val="007351E3"/>
    <w:rsid w:val="007353D7"/>
    <w:rsid w:val="007354CE"/>
    <w:rsid w:val="00735816"/>
    <w:rsid w:val="007363B0"/>
    <w:rsid w:val="0073654F"/>
    <w:rsid w:val="00737EFF"/>
    <w:rsid w:val="00737F37"/>
    <w:rsid w:val="00740678"/>
    <w:rsid w:val="00740C65"/>
    <w:rsid w:val="0074145B"/>
    <w:rsid w:val="007414DA"/>
    <w:rsid w:val="00742D50"/>
    <w:rsid w:val="00742FA2"/>
    <w:rsid w:val="00744095"/>
    <w:rsid w:val="007451C1"/>
    <w:rsid w:val="0074650C"/>
    <w:rsid w:val="0074695D"/>
    <w:rsid w:val="00746ADB"/>
    <w:rsid w:val="007501D0"/>
    <w:rsid w:val="00750D60"/>
    <w:rsid w:val="00751149"/>
    <w:rsid w:val="00751349"/>
    <w:rsid w:val="00751AF4"/>
    <w:rsid w:val="00752089"/>
    <w:rsid w:val="00752C31"/>
    <w:rsid w:val="0075363E"/>
    <w:rsid w:val="0075383C"/>
    <w:rsid w:val="0075390E"/>
    <w:rsid w:val="00753981"/>
    <w:rsid w:val="00753BE1"/>
    <w:rsid w:val="00753E79"/>
    <w:rsid w:val="00754DE7"/>
    <w:rsid w:val="00755AFB"/>
    <w:rsid w:val="00756264"/>
    <w:rsid w:val="007574C2"/>
    <w:rsid w:val="007574F3"/>
    <w:rsid w:val="007578A8"/>
    <w:rsid w:val="00757D4B"/>
    <w:rsid w:val="007604A4"/>
    <w:rsid w:val="00760660"/>
    <w:rsid w:val="0076084C"/>
    <w:rsid w:val="0076088F"/>
    <w:rsid w:val="00760CB9"/>
    <w:rsid w:val="00760E5E"/>
    <w:rsid w:val="007612EF"/>
    <w:rsid w:val="00761701"/>
    <w:rsid w:val="00761A0E"/>
    <w:rsid w:val="00761A30"/>
    <w:rsid w:val="0076273B"/>
    <w:rsid w:val="00763551"/>
    <w:rsid w:val="007637A4"/>
    <w:rsid w:val="00763A43"/>
    <w:rsid w:val="00763D23"/>
    <w:rsid w:val="0076417D"/>
    <w:rsid w:val="007646FB"/>
    <w:rsid w:val="00764AE3"/>
    <w:rsid w:val="007657C6"/>
    <w:rsid w:val="00765E87"/>
    <w:rsid w:val="007670D2"/>
    <w:rsid w:val="0076732E"/>
    <w:rsid w:val="00767B02"/>
    <w:rsid w:val="007730F3"/>
    <w:rsid w:val="00773429"/>
    <w:rsid w:val="00773C36"/>
    <w:rsid w:val="00773D72"/>
    <w:rsid w:val="007741CF"/>
    <w:rsid w:val="00774664"/>
    <w:rsid w:val="00775531"/>
    <w:rsid w:val="007756C9"/>
    <w:rsid w:val="00776403"/>
    <w:rsid w:val="00777974"/>
    <w:rsid w:val="0077797D"/>
    <w:rsid w:val="00777BF6"/>
    <w:rsid w:val="00777CFC"/>
    <w:rsid w:val="007808B8"/>
    <w:rsid w:val="007811F5"/>
    <w:rsid w:val="0078169B"/>
    <w:rsid w:val="00781A06"/>
    <w:rsid w:val="00781A51"/>
    <w:rsid w:val="00781D3B"/>
    <w:rsid w:val="00782741"/>
    <w:rsid w:val="00782A2F"/>
    <w:rsid w:val="00784605"/>
    <w:rsid w:val="0078483B"/>
    <w:rsid w:val="00785693"/>
    <w:rsid w:val="007858F6"/>
    <w:rsid w:val="00785A18"/>
    <w:rsid w:val="00786A0E"/>
    <w:rsid w:val="00787099"/>
    <w:rsid w:val="00787784"/>
    <w:rsid w:val="00787790"/>
    <w:rsid w:val="00787AE6"/>
    <w:rsid w:val="0079092C"/>
    <w:rsid w:val="00790EE8"/>
    <w:rsid w:val="00791778"/>
    <w:rsid w:val="00791F72"/>
    <w:rsid w:val="00792AAE"/>
    <w:rsid w:val="00792D52"/>
    <w:rsid w:val="00792E25"/>
    <w:rsid w:val="00793D53"/>
    <w:rsid w:val="007943DE"/>
    <w:rsid w:val="007947DF"/>
    <w:rsid w:val="0079535D"/>
    <w:rsid w:val="00796439"/>
    <w:rsid w:val="00797208"/>
    <w:rsid w:val="00797506"/>
    <w:rsid w:val="007976A9"/>
    <w:rsid w:val="00797861"/>
    <w:rsid w:val="007A0A93"/>
    <w:rsid w:val="007A0EB8"/>
    <w:rsid w:val="007A0F47"/>
    <w:rsid w:val="007A1063"/>
    <w:rsid w:val="007A1538"/>
    <w:rsid w:val="007A29B3"/>
    <w:rsid w:val="007A3097"/>
    <w:rsid w:val="007A3C40"/>
    <w:rsid w:val="007A403D"/>
    <w:rsid w:val="007A4134"/>
    <w:rsid w:val="007A47A7"/>
    <w:rsid w:val="007A52C7"/>
    <w:rsid w:val="007A5C6F"/>
    <w:rsid w:val="007A6274"/>
    <w:rsid w:val="007A6290"/>
    <w:rsid w:val="007A6588"/>
    <w:rsid w:val="007A6845"/>
    <w:rsid w:val="007A6C20"/>
    <w:rsid w:val="007A7315"/>
    <w:rsid w:val="007A754A"/>
    <w:rsid w:val="007A7B13"/>
    <w:rsid w:val="007B122D"/>
    <w:rsid w:val="007B180D"/>
    <w:rsid w:val="007B1BBE"/>
    <w:rsid w:val="007B22CE"/>
    <w:rsid w:val="007B278D"/>
    <w:rsid w:val="007B3E1B"/>
    <w:rsid w:val="007B41B4"/>
    <w:rsid w:val="007B4CCD"/>
    <w:rsid w:val="007B53F8"/>
    <w:rsid w:val="007B53FE"/>
    <w:rsid w:val="007B5E8D"/>
    <w:rsid w:val="007B6338"/>
    <w:rsid w:val="007B6772"/>
    <w:rsid w:val="007B67F2"/>
    <w:rsid w:val="007B7B51"/>
    <w:rsid w:val="007B7EB6"/>
    <w:rsid w:val="007B7F39"/>
    <w:rsid w:val="007C18CB"/>
    <w:rsid w:val="007C196D"/>
    <w:rsid w:val="007C2000"/>
    <w:rsid w:val="007C29EA"/>
    <w:rsid w:val="007C2F81"/>
    <w:rsid w:val="007C323E"/>
    <w:rsid w:val="007C37AA"/>
    <w:rsid w:val="007C3A45"/>
    <w:rsid w:val="007C4466"/>
    <w:rsid w:val="007C47E1"/>
    <w:rsid w:val="007C54AC"/>
    <w:rsid w:val="007C5E7F"/>
    <w:rsid w:val="007C62C9"/>
    <w:rsid w:val="007C65DC"/>
    <w:rsid w:val="007C66C8"/>
    <w:rsid w:val="007C6A2E"/>
    <w:rsid w:val="007C6B27"/>
    <w:rsid w:val="007C7218"/>
    <w:rsid w:val="007C78C9"/>
    <w:rsid w:val="007D0E1D"/>
    <w:rsid w:val="007D13A7"/>
    <w:rsid w:val="007D1575"/>
    <w:rsid w:val="007D1DB9"/>
    <w:rsid w:val="007D1F64"/>
    <w:rsid w:val="007D4536"/>
    <w:rsid w:val="007D4961"/>
    <w:rsid w:val="007D587F"/>
    <w:rsid w:val="007D6252"/>
    <w:rsid w:val="007D633C"/>
    <w:rsid w:val="007D64D6"/>
    <w:rsid w:val="007D6CA9"/>
    <w:rsid w:val="007D6F27"/>
    <w:rsid w:val="007D6FE5"/>
    <w:rsid w:val="007D7BA1"/>
    <w:rsid w:val="007E0E1E"/>
    <w:rsid w:val="007E0F3B"/>
    <w:rsid w:val="007E11DD"/>
    <w:rsid w:val="007E158D"/>
    <w:rsid w:val="007E1F78"/>
    <w:rsid w:val="007E23D0"/>
    <w:rsid w:val="007E2547"/>
    <w:rsid w:val="007E2954"/>
    <w:rsid w:val="007E2A24"/>
    <w:rsid w:val="007E2B89"/>
    <w:rsid w:val="007E3056"/>
    <w:rsid w:val="007E3C27"/>
    <w:rsid w:val="007E3C73"/>
    <w:rsid w:val="007E3EA6"/>
    <w:rsid w:val="007E3FA4"/>
    <w:rsid w:val="007E4563"/>
    <w:rsid w:val="007E4857"/>
    <w:rsid w:val="007E4D84"/>
    <w:rsid w:val="007E4FA4"/>
    <w:rsid w:val="007E5C96"/>
    <w:rsid w:val="007E61AC"/>
    <w:rsid w:val="007E66DA"/>
    <w:rsid w:val="007E6AE5"/>
    <w:rsid w:val="007E6E65"/>
    <w:rsid w:val="007E6ED7"/>
    <w:rsid w:val="007E7222"/>
    <w:rsid w:val="007E7C6B"/>
    <w:rsid w:val="007F1378"/>
    <w:rsid w:val="007F1526"/>
    <w:rsid w:val="007F172F"/>
    <w:rsid w:val="007F196A"/>
    <w:rsid w:val="007F1C3D"/>
    <w:rsid w:val="007F2481"/>
    <w:rsid w:val="007F26D2"/>
    <w:rsid w:val="007F4C5C"/>
    <w:rsid w:val="007F4EDC"/>
    <w:rsid w:val="007F5258"/>
    <w:rsid w:val="007F6ECD"/>
    <w:rsid w:val="007F7287"/>
    <w:rsid w:val="007F74C0"/>
    <w:rsid w:val="008027F4"/>
    <w:rsid w:val="00802A12"/>
    <w:rsid w:val="00802CAD"/>
    <w:rsid w:val="00802D1D"/>
    <w:rsid w:val="008032DB"/>
    <w:rsid w:val="00803576"/>
    <w:rsid w:val="00803BB2"/>
    <w:rsid w:val="00804090"/>
    <w:rsid w:val="00804BD5"/>
    <w:rsid w:val="00804D83"/>
    <w:rsid w:val="00804E55"/>
    <w:rsid w:val="0080504A"/>
    <w:rsid w:val="0080536D"/>
    <w:rsid w:val="00806019"/>
    <w:rsid w:val="008063E6"/>
    <w:rsid w:val="00806D4C"/>
    <w:rsid w:val="00807029"/>
    <w:rsid w:val="008078B3"/>
    <w:rsid w:val="008079CE"/>
    <w:rsid w:val="008120CA"/>
    <w:rsid w:val="00812B2A"/>
    <w:rsid w:val="008136C8"/>
    <w:rsid w:val="008138B0"/>
    <w:rsid w:val="00813E50"/>
    <w:rsid w:val="00813E86"/>
    <w:rsid w:val="00814320"/>
    <w:rsid w:val="00814E80"/>
    <w:rsid w:val="00814FC9"/>
    <w:rsid w:val="00815C45"/>
    <w:rsid w:val="00815D34"/>
    <w:rsid w:val="00815D4B"/>
    <w:rsid w:val="00816730"/>
    <w:rsid w:val="00816F7C"/>
    <w:rsid w:val="0081717D"/>
    <w:rsid w:val="0081728F"/>
    <w:rsid w:val="0081755C"/>
    <w:rsid w:val="00817731"/>
    <w:rsid w:val="00817F80"/>
    <w:rsid w:val="00820827"/>
    <w:rsid w:val="00821D77"/>
    <w:rsid w:val="00822C28"/>
    <w:rsid w:val="00822F50"/>
    <w:rsid w:val="0082304B"/>
    <w:rsid w:val="00823353"/>
    <w:rsid w:val="008236A2"/>
    <w:rsid w:val="008240C0"/>
    <w:rsid w:val="0082428E"/>
    <w:rsid w:val="00826978"/>
    <w:rsid w:val="00826D8C"/>
    <w:rsid w:val="00830177"/>
    <w:rsid w:val="00830EBE"/>
    <w:rsid w:val="00831C88"/>
    <w:rsid w:val="008324A1"/>
    <w:rsid w:val="00833C57"/>
    <w:rsid w:val="00834054"/>
    <w:rsid w:val="00834092"/>
    <w:rsid w:val="0083410D"/>
    <w:rsid w:val="008345CB"/>
    <w:rsid w:val="008351ED"/>
    <w:rsid w:val="008351FF"/>
    <w:rsid w:val="0083536C"/>
    <w:rsid w:val="008359EC"/>
    <w:rsid w:val="00836034"/>
    <w:rsid w:val="00836093"/>
    <w:rsid w:val="0083632F"/>
    <w:rsid w:val="00836F6C"/>
    <w:rsid w:val="008376CC"/>
    <w:rsid w:val="008378E1"/>
    <w:rsid w:val="00837A55"/>
    <w:rsid w:val="008403D5"/>
    <w:rsid w:val="0084098E"/>
    <w:rsid w:val="00842A70"/>
    <w:rsid w:val="00842D74"/>
    <w:rsid w:val="00842ED6"/>
    <w:rsid w:val="00842F14"/>
    <w:rsid w:val="00843039"/>
    <w:rsid w:val="00843565"/>
    <w:rsid w:val="008441A7"/>
    <w:rsid w:val="00844833"/>
    <w:rsid w:val="008449C0"/>
    <w:rsid w:val="0084502E"/>
    <w:rsid w:val="00845E25"/>
    <w:rsid w:val="0084620E"/>
    <w:rsid w:val="00846875"/>
    <w:rsid w:val="00846984"/>
    <w:rsid w:val="00850323"/>
    <w:rsid w:val="00850E66"/>
    <w:rsid w:val="00850F77"/>
    <w:rsid w:val="0085104C"/>
    <w:rsid w:val="0085198D"/>
    <w:rsid w:val="00851D5C"/>
    <w:rsid w:val="0085291A"/>
    <w:rsid w:val="00853251"/>
    <w:rsid w:val="00853A91"/>
    <w:rsid w:val="00854BC5"/>
    <w:rsid w:val="00854E8F"/>
    <w:rsid w:val="00854F58"/>
    <w:rsid w:val="008559BC"/>
    <w:rsid w:val="00855F10"/>
    <w:rsid w:val="0085764D"/>
    <w:rsid w:val="00860632"/>
    <w:rsid w:val="00860B0D"/>
    <w:rsid w:val="00860B71"/>
    <w:rsid w:val="00860DEC"/>
    <w:rsid w:val="00861230"/>
    <w:rsid w:val="008614E9"/>
    <w:rsid w:val="008617D8"/>
    <w:rsid w:val="008620F1"/>
    <w:rsid w:val="008621FA"/>
    <w:rsid w:val="0086227F"/>
    <w:rsid w:val="0086234A"/>
    <w:rsid w:val="008625A0"/>
    <w:rsid w:val="00862927"/>
    <w:rsid w:val="00862B50"/>
    <w:rsid w:val="008630BE"/>
    <w:rsid w:val="00863370"/>
    <w:rsid w:val="008637B1"/>
    <w:rsid w:val="00863D75"/>
    <w:rsid w:val="00863E3E"/>
    <w:rsid w:val="008646D5"/>
    <w:rsid w:val="00865180"/>
    <w:rsid w:val="00865A08"/>
    <w:rsid w:val="00865C9C"/>
    <w:rsid w:val="00865CF3"/>
    <w:rsid w:val="008666C3"/>
    <w:rsid w:val="0086685A"/>
    <w:rsid w:val="008673B5"/>
    <w:rsid w:val="008701D2"/>
    <w:rsid w:val="008702A7"/>
    <w:rsid w:val="008706E6"/>
    <w:rsid w:val="00871926"/>
    <w:rsid w:val="008719BC"/>
    <w:rsid w:val="008721B8"/>
    <w:rsid w:val="00872AD7"/>
    <w:rsid w:val="00873055"/>
    <w:rsid w:val="00873531"/>
    <w:rsid w:val="00873823"/>
    <w:rsid w:val="00873C31"/>
    <w:rsid w:val="00873CFF"/>
    <w:rsid w:val="00873DC3"/>
    <w:rsid w:val="00873FB9"/>
    <w:rsid w:val="008740A5"/>
    <w:rsid w:val="00874CEF"/>
    <w:rsid w:val="0087568B"/>
    <w:rsid w:val="00875766"/>
    <w:rsid w:val="00875AE7"/>
    <w:rsid w:val="00875BF3"/>
    <w:rsid w:val="00875D9C"/>
    <w:rsid w:val="00875E4E"/>
    <w:rsid w:val="00876502"/>
    <w:rsid w:val="00876FA5"/>
    <w:rsid w:val="008773C7"/>
    <w:rsid w:val="008777F3"/>
    <w:rsid w:val="008779CF"/>
    <w:rsid w:val="0088053C"/>
    <w:rsid w:val="0088066C"/>
    <w:rsid w:val="00880EC4"/>
    <w:rsid w:val="0088107F"/>
    <w:rsid w:val="00881589"/>
    <w:rsid w:val="00881919"/>
    <w:rsid w:val="00882C4F"/>
    <w:rsid w:val="00883186"/>
    <w:rsid w:val="00883D11"/>
    <w:rsid w:val="008842B2"/>
    <w:rsid w:val="00884B6C"/>
    <w:rsid w:val="00885699"/>
    <w:rsid w:val="00886231"/>
    <w:rsid w:val="008863FB"/>
    <w:rsid w:val="00886752"/>
    <w:rsid w:val="00886AB0"/>
    <w:rsid w:val="0088758D"/>
    <w:rsid w:val="0088763A"/>
    <w:rsid w:val="008877DB"/>
    <w:rsid w:val="00890597"/>
    <w:rsid w:val="0089173B"/>
    <w:rsid w:val="00892649"/>
    <w:rsid w:val="00892DAB"/>
    <w:rsid w:val="00892FF0"/>
    <w:rsid w:val="008930AA"/>
    <w:rsid w:val="0089324B"/>
    <w:rsid w:val="00894424"/>
    <w:rsid w:val="008944E4"/>
    <w:rsid w:val="00894597"/>
    <w:rsid w:val="008945F2"/>
    <w:rsid w:val="00895038"/>
    <w:rsid w:val="008959EB"/>
    <w:rsid w:val="00897153"/>
    <w:rsid w:val="008971AB"/>
    <w:rsid w:val="0089739E"/>
    <w:rsid w:val="00897A1B"/>
    <w:rsid w:val="008A003B"/>
    <w:rsid w:val="008A0113"/>
    <w:rsid w:val="008A0B71"/>
    <w:rsid w:val="008A162A"/>
    <w:rsid w:val="008A20E4"/>
    <w:rsid w:val="008A33E2"/>
    <w:rsid w:val="008A33FA"/>
    <w:rsid w:val="008A3BFE"/>
    <w:rsid w:val="008A433D"/>
    <w:rsid w:val="008A4577"/>
    <w:rsid w:val="008A5631"/>
    <w:rsid w:val="008A616B"/>
    <w:rsid w:val="008A61D2"/>
    <w:rsid w:val="008A6F7B"/>
    <w:rsid w:val="008A71F8"/>
    <w:rsid w:val="008A746B"/>
    <w:rsid w:val="008A7AC7"/>
    <w:rsid w:val="008A7AD2"/>
    <w:rsid w:val="008B029C"/>
    <w:rsid w:val="008B038B"/>
    <w:rsid w:val="008B11E4"/>
    <w:rsid w:val="008B1386"/>
    <w:rsid w:val="008B18DA"/>
    <w:rsid w:val="008B2F72"/>
    <w:rsid w:val="008B4B19"/>
    <w:rsid w:val="008B5503"/>
    <w:rsid w:val="008B55D2"/>
    <w:rsid w:val="008B5D69"/>
    <w:rsid w:val="008B6439"/>
    <w:rsid w:val="008B6843"/>
    <w:rsid w:val="008B68E9"/>
    <w:rsid w:val="008B6944"/>
    <w:rsid w:val="008B6F23"/>
    <w:rsid w:val="008B700B"/>
    <w:rsid w:val="008B7283"/>
    <w:rsid w:val="008B74E7"/>
    <w:rsid w:val="008B75A8"/>
    <w:rsid w:val="008B7CEA"/>
    <w:rsid w:val="008B7E1E"/>
    <w:rsid w:val="008B7EB8"/>
    <w:rsid w:val="008C02D3"/>
    <w:rsid w:val="008C0355"/>
    <w:rsid w:val="008C120E"/>
    <w:rsid w:val="008C1337"/>
    <w:rsid w:val="008C133B"/>
    <w:rsid w:val="008C1F7E"/>
    <w:rsid w:val="008C2286"/>
    <w:rsid w:val="008C230A"/>
    <w:rsid w:val="008C25CA"/>
    <w:rsid w:val="008C25FF"/>
    <w:rsid w:val="008C2961"/>
    <w:rsid w:val="008C2B1A"/>
    <w:rsid w:val="008C45C2"/>
    <w:rsid w:val="008C47A4"/>
    <w:rsid w:val="008C4B12"/>
    <w:rsid w:val="008C545F"/>
    <w:rsid w:val="008C56C8"/>
    <w:rsid w:val="008C5D77"/>
    <w:rsid w:val="008C60F8"/>
    <w:rsid w:val="008C621D"/>
    <w:rsid w:val="008C669F"/>
    <w:rsid w:val="008C6FA6"/>
    <w:rsid w:val="008C7D53"/>
    <w:rsid w:val="008C7F5E"/>
    <w:rsid w:val="008D1328"/>
    <w:rsid w:val="008D14B4"/>
    <w:rsid w:val="008D3667"/>
    <w:rsid w:val="008D3972"/>
    <w:rsid w:val="008D3BE0"/>
    <w:rsid w:val="008D44F1"/>
    <w:rsid w:val="008D452F"/>
    <w:rsid w:val="008D4B81"/>
    <w:rsid w:val="008D5061"/>
    <w:rsid w:val="008D5321"/>
    <w:rsid w:val="008D578B"/>
    <w:rsid w:val="008D57B5"/>
    <w:rsid w:val="008D580C"/>
    <w:rsid w:val="008D5A75"/>
    <w:rsid w:val="008D5AF9"/>
    <w:rsid w:val="008D7E6F"/>
    <w:rsid w:val="008E06F3"/>
    <w:rsid w:val="008E1567"/>
    <w:rsid w:val="008E28CB"/>
    <w:rsid w:val="008E2FF6"/>
    <w:rsid w:val="008E36BF"/>
    <w:rsid w:val="008E416F"/>
    <w:rsid w:val="008E481B"/>
    <w:rsid w:val="008E48C3"/>
    <w:rsid w:val="008E52A6"/>
    <w:rsid w:val="008E6225"/>
    <w:rsid w:val="008E6872"/>
    <w:rsid w:val="008E6983"/>
    <w:rsid w:val="008E69E6"/>
    <w:rsid w:val="008E6C21"/>
    <w:rsid w:val="008E6FE5"/>
    <w:rsid w:val="008E7420"/>
    <w:rsid w:val="008E7A93"/>
    <w:rsid w:val="008F0C08"/>
    <w:rsid w:val="008F0F5C"/>
    <w:rsid w:val="008F10B2"/>
    <w:rsid w:val="008F150B"/>
    <w:rsid w:val="008F15E1"/>
    <w:rsid w:val="008F1C8D"/>
    <w:rsid w:val="008F1E57"/>
    <w:rsid w:val="008F2376"/>
    <w:rsid w:val="008F243C"/>
    <w:rsid w:val="008F26F1"/>
    <w:rsid w:val="008F27A8"/>
    <w:rsid w:val="008F284E"/>
    <w:rsid w:val="008F2B5F"/>
    <w:rsid w:val="008F35D0"/>
    <w:rsid w:val="008F370D"/>
    <w:rsid w:val="008F4C97"/>
    <w:rsid w:val="008F4CF4"/>
    <w:rsid w:val="008F51CC"/>
    <w:rsid w:val="008F5580"/>
    <w:rsid w:val="008F55E8"/>
    <w:rsid w:val="008F56AC"/>
    <w:rsid w:val="008F588E"/>
    <w:rsid w:val="008F7219"/>
    <w:rsid w:val="00900418"/>
    <w:rsid w:val="009006A0"/>
    <w:rsid w:val="009013DE"/>
    <w:rsid w:val="009015F7"/>
    <w:rsid w:val="00901B56"/>
    <w:rsid w:val="00901CC6"/>
    <w:rsid w:val="00902067"/>
    <w:rsid w:val="009022B0"/>
    <w:rsid w:val="0090315E"/>
    <w:rsid w:val="0090337D"/>
    <w:rsid w:val="00903A3F"/>
    <w:rsid w:val="00904286"/>
    <w:rsid w:val="00904401"/>
    <w:rsid w:val="0090455A"/>
    <w:rsid w:val="009051C8"/>
    <w:rsid w:val="0090550E"/>
    <w:rsid w:val="00906377"/>
    <w:rsid w:val="009068E1"/>
    <w:rsid w:val="00906965"/>
    <w:rsid w:val="0090698B"/>
    <w:rsid w:val="00906C4B"/>
    <w:rsid w:val="00906D16"/>
    <w:rsid w:val="009071D9"/>
    <w:rsid w:val="00907AA2"/>
    <w:rsid w:val="00907C0D"/>
    <w:rsid w:val="00907C0E"/>
    <w:rsid w:val="00910113"/>
    <w:rsid w:val="009106B8"/>
    <w:rsid w:val="009109E2"/>
    <w:rsid w:val="00910EF9"/>
    <w:rsid w:val="00912EB5"/>
    <w:rsid w:val="00913469"/>
    <w:rsid w:val="009145F8"/>
    <w:rsid w:val="00914A98"/>
    <w:rsid w:val="00914AA3"/>
    <w:rsid w:val="00914DE1"/>
    <w:rsid w:val="0091516A"/>
    <w:rsid w:val="0091637E"/>
    <w:rsid w:val="009166A3"/>
    <w:rsid w:val="009167DD"/>
    <w:rsid w:val="00916902"/>
    <w:rsid w:val="00917080"/>
    <w:rsid w:val="009201B1"/>
    <w:rsid w:val="009204DA"/>
    <w:rsid w:val="00920E4E"/>
    <w:rsid w:val="0092101E"/>
    <w:rsid w:val="009225A1"/>
    <w:rsid w:val="00922DE6"/>
    <w:rsid w:val="0092370C"/>
    <w:rsid w:val="009241E6"/>
    <w:rsid w:val="0092591D"/>
    <w:rsid w:val="00925ACA"/>
    <w:rsid w:val="00925C84"/>
    <w:rsid w:val="0092625D"/>
    <w:rsid w:val="009264AA"/>
    <w:rsid w:val="00926966"/>
    <w:rsid w:val="00926DC8"/>
    <w:rsid w:val="00927306"/>
    <w:rsid w:val="0092782D"/>
    <w:rsid w:val="00927DCF"/>
    <w:rsid w:val="00930091"/>
    <w:rsid w:val="00930732"/>
    <w:rsid w:val="00930B26"/>
    <w:rsid w:val="00930DA4"/>
    <w:rsid w:val="00931FA9"/>
    <w:rsid w:val="0093225A"/>
    <w:rsid w:val="00932AC0"/>
    <w:rsid w:val="0093366B"/>
    <w:rsid w:val="0093385D"/>
    <w:rsid w:val="00933991"/>
    <w:rsid w:val="00933C8B"/>
    <w:rsid w:val="00933DD9"/>
    <w:rsid w:val="00934009"/>
    <w:rsid w:val="0093402F"/>
    <w:rsid w:val="009342EC"/>
    <w:rsid w:val="00934629"/>
    <w:rsid w:val="0093462C"/>
    <w:rsid w:val="009349E3"/>
    <w:rsid w:val="00934A8D"/>
    <w:rsid w:val="00934AA0"/>
    <w:rsid w:val="00934ECE"/>
    <w:rsid w:val="0093594B"/>
    <w:rsid w:val="009364A8"/>
    <w:rsid w:val="00937811"/>
    <w:rsid w:val="0093795A"/>
    <w:rsid w:val="00940524"/>
    <w:rsid w:val="00940825"/>
    <w:rsid w:val="00941169"/>
    <w:rsid w:val="0094134A"/>
    <w:rsid w:val="00941407"/>
    <w:rsid w:val="0094146D"/>
    <w:rsid w:val="009418BD"/>
    <w:rsid w:val="00941945"/>
    <w:rsid w:val="00941AFC"/>
    <w:rsid w:val="0094271D"/>
    <w:rsid w:val="00942EB3"/>
    <w:rsid w:val="009434C5"/>
    <w:rsid w:val="00943CFD"/>
    <w:rsid w:val="009440CD"/>
    <w:rsid w:val="009440F4"/>
    <w:rsid w:val="00944881"/>
    <w:rsid w:val="00944F1F"/>
    <w:rsid w:val="00945741"/>
    <w:rsid w:val="0094630E"/>
    <w:rsid w:val="009465C9"/>
    <w:rsid w:val="00946742"/>
    <w:rsid w:val="00947415"/>
    <w:rsid w:val="009500BC"/>
    <w:rsid w:val="0095135F"/>
    <w:rsid w:val="00951471"/>
    <w:rsid w:val="00951948"/>
    <w:rsid w:val="00953786"/>
    <w:rsid w:val="009537E5"/>
    <w:rsid w:val="009552A6"/>
    <w:rsid w:val="009566F2"/>
    <w:rsid w:val="00956B98"/>
    <w:rsid w:val="00956CD0"/>
    <w:rsid w:val="00957728"/>
    <w:rsid w:val="009579EA"/>
    <w:rsid w:val="00960B43"/>
    <w:rsid w:val="009610E5"/>
    <w:rsid w:val="00961B27"/>
    <w:rsid w:val="009622C8"/>
    <w:rsid w:val="00963069"/>
    <w:rsid w:val="00963172"/>
    <w:rsid w:val="00963CDA"/>
    <w:rsid w:val="00963D57"/>
    <w:rsid w:val="009640BB"/>
    <w:rsid w:val="009641C4"/>
    <w:rsid w:val="009645D3"/>
    <w:rsid w:val="009645E7"/>
    <w:rsid w:val="00964771"/>
    <w:rsid w:val="00964835"/>
    <w:rsid w:val="00964D6E"/>
    <w:rsid w:val="0096585B"/>
    <w:rsid w:val="009659F7"/>
    <w:rsid w:val="00966B0B"/>
    <w:rsid w:val="00966C1D"/>
    <w:rsid w:val="009708A1"/>
    <w:rsid w:val="00970D7F"/>
    <w:rsid w:val="00971642"/>
    <w:rsid w:val="00971EFD"/>
    <w:rsid w:val="009721A9"/>
    <w:rsid w:val="00972253"/>
    <w:rsid w:val="009723A0"/>
    <w:rsid w:val="009730D3"/>
    <w:rsid w:val="00973EA2"/>
    <w:rsid w:val="00974033"/>
    <w:rsid w:val="0097462D"/>
    <w:rsid w:val="00974C5F"/>
    <w:rsid w:val="00975296"/>
    <w:rsid w:val="009757A9"/>
    <w:rsid w:val="009765F2"/>
    <w:rsid w:val="0097750A"/>
    <w:rsid w:val="009779E4"/>
    <w:rsid w:val="009801A6"/>
    <w:rsid w:val="009803DA"/>
    <w:rsid w:val="00980AE9"/>
    <w:rsid w:val="0098186F"/>
    <w:rsid w:val="009821A0"/>
    <w:rsid w:val="00982274"/>
    <w:rsid w:val="009822BD"/>
    <w:rsid w:val="00982DAE"/>
    <w:rsid w:val="00982DB7"/>
    <w:rsid w:val="0098467B"/>
    <w:rsid w:val="00984BFB"/>
    <w:rsid w:val="00984CA0"/>
    <w:rsid w:val="009850A0"/>
    <w:rsid w:val="00985461"/>
    <w:rsid w:val="0098566C"/>
    <w:rsid w:val="00986266"/>
    <w:rsid w:val="009862EA"/>
    <w:rsid w:val="0098661B"/>
    <w:rsid w:val="00986802"/>
    <w:rsid w:val="00986A05"/>
    <w:rsid w:val="009872FE"/>
    <w:rsid w:val="00987350"/>
    <w:rsid w:val="00987397"/>
    <w:rsid w:val="009876F7"/>
    <w:rsid w:val="009877EE"/>
    <w:rsid w:val="009879C6"/>
    <w:rsid w:val="0099081E"/>
    <w:rsid w:val="00991283"/>
    <w:rsid w:val="00991B3F"/>
    <w:rsid w:val="00991BDB"/>
    <w:rsid w:val="00991E85"/>
    <w:rsid w:val="0099219B"/>
    <w:rsid w:val="009921AD"/>
    <w:rsid w:val="00993121"/>
    <w:rsid w:val="009932D5"/>
    <w:rsid w:val="00993C21"/>
    <w:rsid w:val="00994B02"/>
    <w:rsid w:val="00994C07"/>
    <w:rsid w:val="00996215"/>
    <w:rsid w:val="0099624D"/>
    <w:rsid w:val="00996579"/>
    <w:rsid w:val="00996842"/>
    <w:rsid w:val="00996D9E"/>
    <w:rsid w:val="00997991"/>
    <w:rsid w:val="009A02C3"/>
    <w:rsid w:val="009A06F2"/>
    <w:rsid w:val="009A08AB"/>
    <w:rsid w:val="009A08E5"/>
    <w:rsid w:val="009A1A27"/>
    <w:rsid w:val="009A23EF"/>
    <w:rsid w:val="009A282C"/>
    <w:rsid w:val="009A285F"/>
    <w:rsid w:val="009A2EC8"/>
    <w:rsid w:val="009A3CB9"/>
    <w:rsid w:val="009A50D0"/>
    <w:rsid w:val="009A58F8"/>
    <w:rsid w:val="009A5E8D"/>
    <w:rsid w:val="009A690D"/>
    <w:rsid w:val="009A72D3"/>
    <w:rsid w:val="009A78F3"/>
    <w:rsid w:val="009A79CB"/>
    <w:rsid w:val="009A7B1E"/>
    <w:rsid w:val="009B0014"/>
    <w:rsid w:val="009B0464"/>
    <w:rsid w:val="009B047F"/>
    <w:rsid w:val="009B0C99"/>
    <w:rsid w:val="009B0DC0"/>
    <w:rsid w:val="009B1300"/>
    <w:rsid w:val="009B13B9"/>
    <w:rsid w:val="009B1715"/>
    <w:rsid w:val="009B20F4"/>
    <w:rsid w:val="009B2824"/>
    <w:rsid w:val="009B2F56"/>
    <w:rsid w:val="009B4073"/>
    <w:rsid w:val="009B4119"/>
    <w:rsid w:val="009B4433"/>
    <w:rsid w:val="009B49B7"/>
    <w:rsid w:val="009B4AD1"/>
    <w:rsid w:val="009B5E18"/>
    <w:rsid w:val="009B5E1B"/>
    <w:rsid w:val="009B6252"/>
    <w:rsid w:val="009B627A"/>
    <w:rsid w:val="009B701C"/>
    <w:rsid w:val="009B7270"/>
    <w:rsid w:val="009B729D"/>
    <w:rsid w:val="009B74F2"/>
    <w:rsid w:val="009B7665"/>
    <w:rsid w:val="009C023D"/>
    <w:rsid w:val="009C05BF"/>
    <w:rsid w:val="009C0A49"/>
    <w:rsid w:val="009C0A6A"/>
    <w:rsid w:val="009C0F89"/>
    <w:rsid w:val="009C29E0"/>
    <w:rsid w:val="009C3743"/>
    <w:rsid w:val="009C4559"/>
    <w:rsid w:val="009C4A1A"/>
    <w:rsid w:val="009C4FD5"/>
    <w:rsid w:val="009C504A"/>
    <w:rsid w:val="009C5413"/>
    <w:rsid w:val="009C58F6"/>
    <w:rsid w:val="009C5AB6"/>
    <w:rsid w:val="009C5C05"/>
    <w:rsid w:val="009C61FF"/>
    <w:rsid w:val="009C630D"/>
    <w:rsid w:val="009C6507"/>
    <w:rsid w:val="009C6662"/>
    <w:rsid w:val="009C7D53"/>
    <w:rsid w:val="009C7DBA"/>
    <w:rsid w:val="009D1508"/>
    <w:rsid w:val="009D1BA1"/>
    <w:rsid w:val="009D1BF1"/>
    <w:rsid w:val="009D2AA4"/>
    <w:rsid w:val="009D2CD7"/>
    <w:rsid w:val="009D322C"/>
    <w:rsid w:val="009D3973"/>
    <w:rsid w:val="009D403C"/>
    <w:rsid w:val="009D4D47"/>
    <w:rsid w:val="009D594E"/>
    <w:rsid w:val="009D5CA3"/>
    <w:rsid w:val="009D6200"/>
    <w:rsid w:val="009D62D4"/>
    <w:rsid w:val="009D6DF1"/>
    <w:rsid w:val="009D6F3B"/>
    <w:rsid w:val="009D7445"/>
    <w:rsid w:val="009D747C"/>
    <w:rsid w:val="009D7AFC"/>
    <w:rsid w:val="009D7C8E"/>
    <w:rsid w:val="009E00FD"/>
    <w:rsid w:val="009E028F"/>
    <w:rsid w:val="009E041B"/>
    <w:rsid w:val="009E058B"/>
    <w:rsid w:val="009E0F72"/>
    <w:rsid w:val="009E1800"/>
    <w:rsid w:val="009E1E05"/>
    <w:rsid w:val="009E250D"/>
    <w:rsid w:val="009E2A38"/>
    <w:rsid w:val="009E426C"/>
    <w:rsid w:val="009E4B79"/>
    <w:rsid w:val="009E4F2B"/>
    <w:rsid w:val="009E582B"/>
    <w:rsid w:val="009E799C"/>
    <w:rsid w:val="009F04E1"/>
    <w:rsid w:val="009F0C32"/>
    <w:rsid w:val="009F0CCC"/>
    <w:rsid w:val="009F128E"/>
    <w:rsid w:val="009F20CF"/>
    <w:rsid w:val="009F2CA7"/>
    <w:rsid w:val="009F3D7E"/>
    <w:rsid w:val="009F4077"/>
    <w:rsid w:val="009F43AD"/>
    <w:rsid w:val="009F456D"/>
    <w:rsid w:val="009F4822"/>
    <w:rsid w:val="009F4941"/>
    <w:rsid w:val="009F6046"/>
    <w:rsid w:val="009F67DF"/>
    <w:rsid w:val="009F6BBB"/>
    <w:rsid w:val="009F6EEF"/>
    <w:rsid w:val="009F7406"/>
    <w:rsid w:val="009F74C2"/>
    <w:rsid w:val="009F7502"/>
    <w:rsid w:val="009F7A0D"/>
    <w:rsid w:val="009F7E63"/>
    <w:rsid w:val="009F7F93"/>
    <w:rsid w:val="00A004A1"/>
    <w:rsid w:val="00A00519"/>
    <w:rsid w:val="00A00DA2"/>
    <w:rsid w:val="00A01019"/>
    <w:rsid w:val="00A02234"/>
    <w:rsid w:val="00A02676"/>
    <w:rsid w:val="00A02ACD"/>
    <w:rsid w:val="00A02C24"/>
    <w:rsid w:val="00A04280"/>
    <w:rsid w:val="00A048DC"/>
    <w:rsid w:val="00A04CC1"/>
    <w:rsid w:val="00A04DA3"/>
    <w:rsid w:val="00A05CB5"/>
    <w:rsid w:val="00A06692"/>
    <w:rsid w:val="00A07A64"/>
    <w:rsid w:val="00A07FB0"/>
    <w:rsid w:val="00A114DE"/>
    <w:rsid w:val="00A1174E"/>
    <w:rsid w:val="00A11796"/>
    <w:rsid w:val="00A11924"/>
    <w:rsid w:val="00A11DD9"/>
    <w:rsid w:val="00A12383"/>
    <w:rsid w:val="00A1334E"/>
    <w:rsid w:val="00A13A5E"/>
    <w:rsid w:val="00A13CF2"/>
    <w:rsid w:val="00A1435D"/>
    <w:rsid w:val="00A14EB4"/>
    <w:rsid w:val="00A15236"/>
    <w:rsid w:val="00A15685"/>
    <w:rsid w:val="00A15807"/>
    <w:rsid w:val="00A16B46"/>
    <w:rsid w:val="00A170C3"/>
    <w:rsid w:val="00A17236"/>
    <w:rsid w:val="00A17D32"/>
    <w:rsid w:val="00A20575"/>
    <w:rsid w:val="00A20C89"/>
    <w:rsid w:val="00A21817"/>
    <w:rsid w:val="00A21A36"/>
    <w:rsid w:val="00A22310"/>
    <w:rsid w:val="00A225BB"/>
    <w:rsid w:val="00A229E8"/>
    <w:rsid w:val="00A23258"/>
    <w:rsid w:val="00A244CC"/>
    <w:rsid w:val="00A24FA6"/>
    <w:rsid w:val="00A25213"/>
    <w:rsid w:val="00A258C3"/>
    <w:rsid w:val="00A25C46"/>
    <w:rsid w:val="00A26368"/>
    <w:rsid w:val="00A26D9F"/>
    <w:rsid w:val="00A2708D"/>
    <w:rsid w:val="00A270B9"/>
    <w:rsid w:val="00A274A6"/>
    <w:rsid w:val="00A305F5"/>
    <w:rsid w:val="00A3094C"/>
    <w:rsid w:val="00A30953"/>
    <w:rsid w:val="00A31237"/>
    <w:rsid w:val="00A31D36"/>
    <w:rsid w:val="00A32048"/>
    <w:rsid w:val="00A32526"/>
    <w:rsid w:val="00A32F1E"/>
    <w:rsid w:val="00A34A17"/>
    <w:rsid w:val="00A34A7A"/>
    <w:rsid w:val="00A34FD0"/>
    <w:rsid w:val="00A3566B"/>
    <w:rsid w:val="00A35735"/>
    <w:rsid w:val="00A36193"/>
    <w:rsid w:val="00A36DEC"/>
    <w:rsid w:val="00A372EA"/>
    <w:rsid w:val="00A3756C"/>
    <w:rsid w:val="00A37B3A"/>
    <w:rsid w:val="00A37C33"/>
    <w:rsid w:val="00A40D54"/>
    <w:rsid w:val="00A412F8"/>
    <w:rsid w:val="00A414C1"/>
    <w:rsid w:val="00A41D92"/>
    <w:rsid w:val="00A41EB0"/>
    <w:rsid w:val="00A44058"/>
    <w:rsid w:val="00A44A6C"/>
    <w:rsid w:val="00A450B7"/>
    <w:rsid w:val="00A46BC9"/>
    <w:rsid w:val="00A47B92"/>
    <w:rsid w:val="00A50925"/>
    <w:rsid w:val="00A50F37"/>
    <w:rsid w:val="00A525E1"/>
    <w:rsid w:val="00A53221"/>
    <w:rsid w:val="00A53811"/>
    <w:rsid w:val="00A551AE"/>
    <w:rsid w:val="00A553EB"/>
    <w:rsid w:val="00A555C0"/>
    <w:rsid w:val="00A55A41"/>
    <w:rsid w:val="00A55A91"/>
    <w:rsid w:val="00A56020"/>
    <w:rsid w:val="00A563FB"/>
    <w:rsid w:val="00A564E0"/>
    <w:rsid w:val="00A566E5"/>
    <w:rsid w:val="00A56E83"/>
    <w:rsid w:val="00A572BC"/>
    <w:rsid w:val="00A57FDD"/>
    <w:rsid w:val="00A60D2A"/>
    <w:rsid w:val="00A60D59"/>
    <w:rsid w:val="00A60E66"/>
    <w:rsid w:val="00A60FB9"/>
    <w:rsid w:val="00A615AD"/>
    <w:rsid w:val="00A61890"/>
    <w:rsid w:val="00A618A3"/>
    <w:rsid w:val="00A618DE"/>
    <w:rsid w:val="00A61E60"/>
    <w:rsid w:val="00A6221E"/>
    <w:rsid w:val="00A622CE"/>
    <w:rsid w:val="00A63475"/>
    <w:rsid w:val="00A63F9D"/>
    <w:rsid w:val="00A647DB"/>
    <w:rsid w:val="00A650A3"/>
    <w:rsid w:val="00A66438"/>
    <w:rsid w:val="00A66A20"/>
    <w:rsid w:val="00A70B54"/>
    <w:rsid w:val="00A70F49"/>
    <w:rsid w:val="00A714D9"/>
    <w:rsid w:val="00A717D7"/>
    <w:rsid w:val="00A7189E"/>
    <w:rsid w:val="00A7190D"/>
    <w:rsid w:val="00A7227E"/>
    <w:rsid w:val="00A729AC"/>
    <w:rsid w:val="00A72B3F"/>
    <w:rsid w:val="00A72E78"/>
    <w:rsid w:val="00A741A0"/>
    <w:rsid w:val="00A74F28"/>
    <w:rsid w:val="00A753D9"/>
    <w:rsid w:val="00A7560D"/>
    <w:rsid w:val="00A75A97"/>
    <w:rsid w:val="00A75E67"/>
    <w:rsid w:val="00A7613C"/>
    <w:rsid w:val="00A763B2"/>
    <w:rsid w:val="00A76A81"/>
    <w:rsid w:val="00A77477"/>
    <w:rsid w:val="00A7753E"/>
    <w:rsid w:val="00A800D5"/>
    <w:rsid w:val="00A8016D"/>
    <w:rsid w:val="00A805E0"/>
    <w:rsid w:val="00A80897"/>
    <w:rsid w:val="00A80D4B"/>
    <w:rsid w:val="00A8104C"/>
    <w:rsid w:val="00A81420"/>
    <w:rsid w:val="00A814A7"/>
    <w:rsid w:val="00A82013"/>
    <w:rsid w:val="00A8276B"/>
    <w:rsid w:val="00A834D5"/>
    <w:rsid w:val="00A83753"/>
    <w:rsid w:val="00A83797"/>
    <w:rsid w:val="00A837F6"/>
    <w:rsid w:val="00A839CB"/>
    <w:rsid w:val="00A83C88"/>
    <w:rsid w:val="00A8409E"/>
    <w:rsid w:val="00A84115"/>
    <w:rsid w:val="00A84A7F"/>
    <w:rsid w:val="00A862BF"/>
    <w:rsid w:val="00A86A40"/>
    <w:rsid w:val="00A86FDE"/>
    <w:rsid w:val="00A87402"/>
    <w:rsid w:val="00A874D6"/>
    <w:rsid w:val="00A87911"/>
    <w:rsid w:val="00A87AAA"/>
    <w:rsid w:val="00A87B42"/>
    <w:rsid w:val="00A90313"/>
    <w:rsid w:val="00A905B9"/>
    <w:rsid w:val="00A90E05"/>
    <w:rsid w:val="00A91608"/>
    <w:rsid w:val="00A91AD9"/>
    <w:rsid w:val="00A91CBE"/>
    <w:rsid w:val="00A91EF7"/>
    <w:rsid w:val="00A927BD"/>
    <w:rsid w:val="00A92BA3"/>
    <w:rsid w:val="00A93823"/>
    <w:rsid w:val="00A938C5"/>
    <w:rsid w:val="00A93983"/>
    <w:rsid w:val="00A94152"/>
    <w:rsid w:val="00A945E3"/>
    <w:rsid w:val="00A94663"/>
    <w:rsid w:val="00A947D5"/>
    <w:rsid w:val="00A94C6D"/>
    <w:rsid w:val="00A94E36"/>
    <w:rsid w:val="00A94E81"/>
    <w:rsid w:val="00A95604"/>
    <w:rsid w:val="00A956F7"/>
    <w:rsid w:val="00A957BA"/>
    <w:rsid w:val="00A96396"/>
    <w:rsid w:val="00A9690C"/>
    <w:rsid w:val="00A97F35"/>
    <w:rsid w:val="00AA0944"/>
    <w:rsid w:val="00AA0A8A"/>
    <w:rsid w:val="00AA1020"/>
    <w:rsid w:val="00AA1A2A"/>
    <w:rsid w:val="00AA1B1E"/>
    <w:rsid w:val="00AA1B45"/>
    <w:rsid w:val="00AA2A81"/>
    <w:rsid w:val="00AA3246"/>
    <w:rsid w:val="00AA3582"/>
    <w:rsid w:val="00AA385A"/>
    <w:rsid w:val="00AA3B47"/>
    <w:rsid w:val="00AA44AB"/>
    <w:rsid w:val="00AA4AF0"/>
    <w:rsid w:val="00AA5E3B"/>
    <w:rsid w:val="00AA6149"/>
    <w:rsid w:val="00AA633C"/>
    <w:rsid w:val="00AA67B2"/>
    <w:rsid w:val="00AA6ACE"/>
    <w:rsid w:val="00AA7DBE"/>
    <w:rsid w:val="00AB0553"/>
    <w:rsid w:val="00AB0C2F"/>
    <w:rsid w:val="00AB11A8"/>
    <w:rsid w:val="00AB16DE"/>
    <w:rsid w:val="00AB1795"/>
    <w:rsid w:val="00AB1958"/>
    <w:rsid w:val="00AB1B5A"/>
    <w:rsid w:val="00AB2CA2"/>
    <w:rsid w:val="00AB378C"/>
    <w:rsid w:val="00AB3C53"/>
    <w:rsid w:val="00AB3D86"/>
    <w:rsid w:val="00AB40BD"/>
    <w:rsid w:val="00AB435E"/>
    <w:rsid w:val="00AB46A4"/>
    <w:rsid w:val="00AB5120"/>
    <w:rsid w:val="00AB5737"/>
    <w:rsid w:val="00AB648C"/>
    <w:rsid w:val="00AB68A8"/>
    <w:rsid w:val="00AB6A13"/>
    <w:rsid w:val="00AB6F21"/>
    <w:rsid w:val="00AB77FC"/>
    <w:rsid w:val="00AC0E20"/>
    <w:rsid w:val="00AC29CF"/>
    <w:rsid w:val="00AC31A2"/>
    <w:rsid w:val="00AC32B0"/>
    <w:rsid w:val="00AC3B2B"/>
    <w:rsid w:val="00AC4591"/>
    <w:rsid w:val="00AC51A6"/>
    <w:rsid w:val="00AC55D6"/>
    <w:rsid w:val="00AC63E3"/>
    <w:rsid w:val="00AC6D87"/>
    <w:rsid w:val="00AC6E15"/>
    <w:rsid w:val="00AC7BAC"/>
    <w:rsid w:val="00AD05C9"/>
    <w:rsid w:val="00AD0EA3"/>
    <w:rsid w:val="00AD0EA5"/>
    <w:rsid w:val="00AD0FCF"/>
    <w:rsid w:val="00AD2159"/>
    <w:rsid w:val="00AD27AA"/>
    <w:rsid w:val="00AD2A5B"/>
    <w:rsid w:val="00AD2FFE"/>
    <w:rsid w:val="00AD334A"/>
    <w:rsid w:val="00AD3C6C"/>
    <w:rsid w:val="00AD3C7B"/>
    <w:rsid w:val="00AD3E1D"/>
    <w:rsid w:val="00AD4643"/>
    <w:rsid w:val="00AD567F"/>
    <w:rsid w:val="00AD666F"/>
    <w:rsid w:val="00AD6A83"/>
    <w:rsid w:val="00AD71F0"/>
    <w:rsid w:val="00AD7F76"/>
    <w:rsid w:val="00AE0AE6"/>
    <w:rsid w:val="00AE0C35"/>
    <w:rsid w:val="00AE2827"/>
    <w:rsid w:val="00AE3734"/>
    <w:rsid w:val="00AE3744"/>
    <w:rsid w:val="00AE3E94"/>
    <w:rsid w:val="00AE4EC6"/>
    <w:rsid w:val="00AE5266"/>
    <w:rsid w:val="00AE60BC"/>
    <w:rsid w:val="00AE68D1"/>
    <w:rsid w:val="00AE6B0D"/>
    <w:rsid w:val="00AF059E"/>
    <w:rsid w:val="00AF0866"/>
    <w:rsid w:val="00AF0EAA"/>
    <w:rsid w:val="00AF1A1F"/>
    <w:rsid w:val="00AF1BE7"/>
    <w:rsid w:val="00AF33A0"/>
    <w:rsid w:val="00AF357A"/>
    <w:rsid w:val="00AF3E55"/>
    <w:rsid w:val="00AF4204"/>
    <w:rsid w:val="00AF4ADF"/>
    <w:rsid w:val="00AF53A8"/>
    <w:rsid w:val="00AF7290"/>
    <w:rsid w:val="00AF7564"/>
    <w:rsid w:val="00AF77ED"/>
    <w:rsid w:val="00AF7C73"/>
    <w:rsid w:val="00B00D11"/>
    <w:rsid w:val="00B014A5"/>
    <w:rsid w:val="00B01869"/>
    <w:rsid w:val="00B01F5E"/>
    <w:rsid w:val="00B02B2E"/>
    <w:rsid w:val="00B03EAE"/>
    <w:rsid w:val="00B044DE"/>
    <w:rsid w:val="00B044FC"/>
    <w:rsid w:val="00B04811"/>
    <w:rsid w:val="00B05564"/>
    <w:rsid w:val="00B058BC"/>
    <w:rsid w:val="00B05EBF"/>
    <w:rsid w:val="00B06D05"/>
    <w:rsid w:val="00B06D44"/>
    <w:rsid w:val="00B07325"/>
    <w:rsid w:val="00B0772A"/>
    <w:rsid w:val="00B07890"/>
    <w:rsid w:val="00B07B31"/>
    <w:rsid w:val="00B108F8"/>
    <w:rsid w:val="00B10A8F"/>
    <w:rsid w:val="00B11AB6"/>
    <w:rsid w:val="00B11B7C"/>
    <w:rsid w:val="00B11FDA"/>
    <w:rsid w:val="00B120C4"/>
    <w:rsid w:val="00B1334B"/>
    <w:rsid w:val="00B133BA"/>
    <w:rsid w:val="00B1365B"/>
    <w:rsid w:val="00B13B67"/>
    <w:rsid w:val="00B13FA7"/>
    <w:rsid w:val="00B13FF3"/>
    <w:rsid w:val="00B14300"/>
    <w:rsid w:val="00B14C16"/>
    <w:rsid w:val="00B14FE1"/>
    <w:rsid w:val="00B15F4A"/>
    <w:rsid w:val="00B15FCD"/>
    <w:rsid w:val="00B1666B"/>
    <w:rsid w:val="00B17119"/>
    <w:rsid w:val="00B20E04"/>
    <w:rsid w:val="00B20FDD"/>
    <w:rsid w:val="00B215FA"/>
    <w:rsid w:val="00B21873"/>
    <w:rsid w:val="00B219EE"/>
    <w:rsid w:val="00B2207A"/>
    <w:rsid w:val="00B22DDF"/>
    <w:rsid w:val="00B23B25"/>
    <w:rsid w:val="00B240EE"/>
    <w:rsid w:val="00B24766"/>
    <w:rsid w:val="00B24E14"/>
    <w:rsid w:val="00B251D3"/>
    <w:rsid w:val="00B30324"/>
    <w:rsid w:val="00B309DB"/>
    <w:rsid w:val="00B31019"/>
    <w:rsid w:val="00B317E7"/>
    <w:rsid w:val="00B31B73"/>
    <w:rsid w:val="00B3244F"/>
    <w:rsid w:val="00B34414"/>
    <w:rsid w:val="00B34AD0"/>
    <w:rsid w:val="00B353F9"/>
    <w:rsid w:val="00B35578"/>
    <w:rsid w:val="00B35878"/>
    <w:rsid w:val="00B35893"/>
    <w:rsid w:val="00B35A4F"/>
    <w:rsid w:val="00B36D86"/>
    <w:rsid w:val="00B37838"/>
    <w:rsid w:val="00B37DFB"/>
    <w:rsid w:val="00B4074D"/>
    <w:rsid w:val="00B413B2"/>
    <w:rsid w:val="00B41E0D"/>
    <w:rsid w:val="00B420B0"/>
    <w:rsid w:val="00B42159"/>
    <w:rsid w:val="00B42699"/>
    <w:rsid w:val="00B42B06"/>
    <w:rsid w:val="00B42F1F"/>
    <w:rsid w:val="00B44853"/>
    <w:rsid w:val="00B45091"/>
    <w:rsid w:val="00B45165"/>
    <w:rsid w:val="00B4547F"/>
    <w:rsid w:val="00B45544"/>
    <w:rsid w:val="00B457E7"/>
    <w:rsid w:val="00B45821"/>
    <w:rsid w:val="00B45C5E"/>
    <w:rsid w:val="00B45F0B"/>
    <w:rsid w:val="00B46474"/>
    <w:rsid w:val="00B468B6"/>
    <w:rsid w:val="00B46BD0"/>
    <w:rsid w:val="00B46CC7"/>
    <w:rsid w:val="00B46EA1"/>
    <w:rsid w:val="00B47E22"/>
    <w:rsid w:val="00B500E9"/>
    <w:rsid w:val="00B507E4"/>
    <w:rsid w:val="00B50985"/>
    <w:rsid w:val="00B51575"/>
    <w:rsid w:val="00B51D78"/>
    <w:rsid w:val="00B521CF"/>
    <w:rsid w:val="00B522B1"/>
    <w:rsid w:val="00B5313D"/>
    <w:rsid w:val="00B5360E"/>
    <w:rsid w:val="00B5383B"/>
    <w:rsid w:val="00B538A4"/>
    <w:rsid w:val="00B5397E"/>
    <w:rsid w:val="00B544AF"/>
    <w:rsid w:val="00B5470A"/>
    <w:rsid w:val="00B5485A"/>
    <w:rsid w:val="00B5521F"/>
    <w:rsid w:val="00B55316"/>
    <w:rsid w:val="00B5552A"/>
    <w:rsid w:val="00B5553D"/>
    <w:rsid w:val="00B55875"/>
    <w:rsid w:val="00B560EB"/>
    <w:rsid w:val="00B565EC"/>
    <w:rsid w:val="00B57CF7"/>
    <w:rsid w:val="00B60145"/>
    <w:rsid w:val="00B60364"/>
    <w:rsid w:val="00B60460"/>
    <w:rsid w:val="00B60BC5"/>
    <w:rsid w:val="00B61244"/>
    <w:rsid w:val="00B613AD"/>
    <w:rsid w:val="00B61887"/>
    <w:rsid w:val="00B61C37"/>
    <w:rsid w:val="00B63709"/>
    <w:rsid w:val="00B6407A"/>
    <w:rsid w:val="00B64C67"/>
    <w:rsid w:val="00B64EE8"/>
    <w:rsid w:val="00B65368"/>
    <w:rsid w:val="00B668DD"/>
    <w:rsid w:val="00B67358"/>
    <w:rsid w:val="00B6756D"/>
    <w:rsid w:val="00B677C5"/>
    <w:rsid w:val="00B67F25"/>
    <w:rsid w:val="00B701BF"/>
    <w:rsid w:val="00B7091B"/>
    <w:rsid w:val="00B70967"/>
    <w:rsid w:val="00B71BCC"/>
    <w:rsid w:val="00B71DA4"/>
    <w:rsid w:val="00B726DE"/>
    <w:rsid w:val="00B726F7"/>
    <w:rsid w:val="00B73034"/>
    <w:rsid w:val="00B7377C"/>
    <w:rsid w:val="00B756CD"/>
    <w:rsid w:val="00B757D1"/>
    <w:rsid w:val="00B7656E"/>
    <w:rsid w:val="00B76BB9"/>
    <w:rsid w:val="00B76D9A"/>
    <w:rsid w:val="00B77C1E"/>
    <w:rsid w:val="00B80397"/>
    <w:rsid w:val="00B8095D"/>
    <w:rsid w:val="00B80F5D"/>
    <w:rsid w:val="00B81445"/>
    <w:rsid w:val="00B82D2C"/>
    <w:rsid w:val="00B831F1"/>
    <w:rsid w:val="00B8384B"/>
    <w:rsid w:val="00B83C78"/>
    <w:rsid w:val="00B83EC0"/>
    <w:rsid w:val="00B84804"/>
    <w:rsid w:val="00B84DF2"/>
    <w:rsid w:val="00B8597B"/>
    <w:rsid w:val="00B859AC"/>
    <w:rsid w:val="00B85FC7"/>
    <w:rsid w:val="00B87ED0"/>
    <w:rsid w:val="00B9014A"/>
    <w:rsid w:val="00B908A2"/>
    <w:rsid w:val="00B92C12"/>
    <w:rsid w:val="00B92E54"/>
    <w:rsid w:val="00B92F44"/>
    <w:rsid w:val="00B92FCB"/>
    <w:rsid w:val="00B94B14"/>
    <w:rsid w:val="00B950D3"/>
    <w:rsid w:val="00B95ACA"/>
    <w:rsid w:val="00B95E25"/>
    <w:rsid w:val="00B960ED"/>
    <w:rsid w:val="00B96137"/>
    <w:rsid w:val="00B96BF8"/>
    <w:rsid w:val="00B96CCC"/>
    <w:rsid w:val="00B97108"/>
    <w:rsid w:val="00B97379"/>
    <w:rsid w:val="00B973B3"/>
    <w:rsid w:val="00BA0F24"/>
    <w:rsid w:val="00BA20FC"/>
    <w:rsid w:val="00BA2692"/>
    <w:rsid w:val="00BA35C2"/>
    <w:rsid w:val="00BA4AA7"/>
    <w:rsid w:val="00BA54DA"/>
    <w:rsid w:val="00BA58FB"/>
    <w:rsid w:val="00BA6DE5"/>
    <w:rsid w:val="00BA7079"/>
    <w:rsid w:val="00BA73D0"/>
    <w:rsid w:val="00BA7BE6"/>
    <w:rsid w:val="00BA7D83"/>
    <w:rsid w:val="00BB0732"/>
    <w:rsid w:val="00BB0B64"/>
    <w:rsid w:val="00BB11B2"/>
    <w:rsid w:val="00BB17B4"/>
    <w:rsid w:val="00BB1C34"/>
    <w:rsid w:val="00BB33DE"/>
    <w:rsid w:val="00BB4FB1"/>
    <w:rsid w:val="00BB5594"/>
    <w:rsid w:val="00BB5B1C"/>
    <w:rsid w:val="00BB6674"/>
    <w:rsid w:val="00BB668A"/>
    <w:rsid w:val="00BB7780"/>
    <w:rsid w:val="00BB7C89"/>
    <w:rsid w:val="00BB7CCB"/>
    <w:rsid w:val="00BB7E26"/>
    <w:rsid w:val="00BC04D6"/>
    <w:rsid w:val="00BC0F0D"/>
    <w:rsid w:val="00BC1117"/>
    <w:rsid w:val="00BC11A6"/>
    <w:rsid w:val="00BC1FDB"/>
    <w:rsid w:val="00BC2106"/>
    <w:rsid w:val="00BC2624"/>
    <w:rsid w:val="00BC2A31"/>
    <w:rsid w:val="00BC336D"/>
    <w:rsid w:val="00BC3A47"/>
    <w:rsid w:val="00BC40DC"/>
    <w:rsid w:val="00BC4510"/>
    <w:rsid w:val="00BC479A"/>
    <w:rsid w:val="00BC5A07"/>
    <w:rsid w:val="00BC6558"/>
    <w:rsid w:val="00BC740B"/>
    <w:rsid w:val="00BC7CFE"/>
    <w:rsid w:val="00BD0367"/>
    <w:rsid w:val="00BD04A4"/>
    <w:rsid w:val="00BD16E7"/>
    <w:rsid w:val="00BD194A"/>
    <w:rsid w:val="00BD2A51"/>
    <w:rsid w:val="00BD354E"/>
    <w:rsid w:val="00BD3613"/>
    <w:rsid w:val="00BD394D"/>
    <w:rsid w:val="00BD3B8F"/>
    <w:rsid w:val="00BD409C"/>
    <w:rsid w:val="00BD40E6"/>
    <w:rsid w:val="00BD4CA8"/>
    <w:rsid w:val="00BD503B"/>
    <w:rsid w:val="00BD5292"/>
    <w:rsid w:val="00BD5B32"/>
    <w:rsid w:val="00BD5D73"/>
    <w:rsid w:val="00BD66AC"/>
    <w:rsid w:val="00BD7707"/>
    <w:rsid w:val="00BD7E0D"/>
    <w:rsid w:val="00BD7F74"/>
    <w:rsid w:val="00BE0188"/>
    <w:rsid w:val="00BE0358"/>
    <w:rsid w:val="00BE0CFA"/>
    <w:rsid w:val="00BE1981"/>
    <w:rsid w:val="00BE2547"/>
    <w:rsid w:val="00BE2730"/>
    <w:rsid w:val="00BE28DE"/>
    <w:rsid w:val="00BE2C4A"/>
    <w:rsid w:val="00BE373D"/>
    <w:rsid w:val="00BE374F"/>
    <w:rsid w:val="00BE3D0A"/>
    <w:rsid w:val="00BE40DF"/>
    <w:rsid w:val="00BE4204"/>
    <w:rsid w:val="00BE4B1F"/>
    <w:rsid w:val="00BE4D7F"/>
    <w:rsid w:val="00BE5B85"/>
    <w:rsid w:val="00BE5EFF"/>
    <w:rsid w:val="00BE5F80"/>
    <w:rsid w:val="00BE7D4B"/>
    <w:rsid w:val="00BF07D2"/>
    <w:rsid w:val="00BF0809"/>
    <w:rsid w:val="00BF0E69"/>
    <w:rsid w:val="00BF11F6"/>
    <w:rsid w:val="00BF21D8"/>
    <w:rsid w:val="00BF2D72"/>
    <w:rsid w:val="00BF30E7"/>
    <w:rsid w:val="00BF33C9"/>
    <w:rsid w:val="00BF3460"/>
    <w:rsid w:val="00BF3DC2"/>
    <w:rsid w:val="00BF44B1"/>
    <w:rsid w:val="00BF4CBA"/>
    <w:rsid w:val="00BF4CE2"/>
    <w:rsid w:val="00BF4F7F"/>
    <w:rsid w:val="00BF504D"/>
    <w:rsid w:val="00BF5C03"/>
    <w:rsid w:val="00BF5C65"/>
    <w:rsid w:val="00BF6226"/>
    <w:rsid w:val="00BF62B4"/>
    <w:rsid w:val="00BF6F4A"/>
    <w:rsid w:val="00BF72DE"/>
    <w:rsid w:val="00BF7337"/>
    <w:rsid w:val="00BF7953"/>
    <w:rsid w:val="00BF7C29"/>
    <w:rsid w:val="00BF7C9A"/>
    <w:rsid w:val="00C00839"/>
    <w:rsid w:val="00C01181"/>
    <w:rsid w:val="00C011F9"/>
    <w:rsid w:val="00C012C1"/>
    <w:rsid w:val="00C01468"/>
    <w:rsid w:val="00C017CE"/>
    <w:rsid w:val="00C03220"/>
    <w:rsid w:val="00C03426"/>
    <w:rsid w:val="00C036C3"/>
    <w:rsid w:val="00C03C14"/>
    <w:rsid w:val="00C04315"/>
    <w:rsid w:val="00C0472C"/>
    <w:rsid w:val="00C047DD"/>
    <w:rsid w:val="00C04A2E"/>
    <w:rsid w:val="00C06121"/>
    <w:rsid w:val="00C06471"/>
    <w:rsid w:val="00C06959"/>
    <w:rsid w:val="00C069DD"/>
    <w:rsid w:val="00C06D39"/>
    <w:rsid w:val="00C0769F"/>
    <w:rsid w:val="00C11138"/>
    <w:rsid w:val="00C11180"/>
    <w:rsid w:val="00C11467"/>
    <w:rsid w:val="00C11BC3"/>
    <w:rsid w:val="00C11E62"/>
    <w:rsid w:val="00C1206F"/>
    <w:rsid w:val="00C122FC"/>
    <w:rsid w:val="00C129EE"/>
    <w:rsid w:val="00C13716"/>
    <w:rsid w:val="00C13ED1"/>
    <w:rsid w:val="00C150DC"/>
    <w:rsid w:val="00C169AE"/>
    <w:rsid w:val="00C16A0D"/>
    <w:rsid w:val="00C16FF5"/>
    <w:rsid w:val="00C170C7"/>
    <w:rsid w:val="00C172B4"/>
    <w:rsid w:val="00C17507"/>
    <w:rsid w:val="00C17584"/>
    <w:rsid w:val="00C17AF1"/>
    <w:rsid w:val="00C22545"/>
    <w:rsid w:val="00C22DDB"/>
    <w:rsid w:val="00C22F07"/>
    <w:rsid w:val="00C239ED"/>
    <w:rsid w:val="00C23D64"/>
    <w:rsid w:val="00C24434"/>
    <w:rsid w:val="00C24CDB"/>
    <w:rsid w:val="00C2533C"/>
    <w:rsid w:val="00C256E8"/>
    <w:rsid w:val="00C25722"/>
    <w:rsid w:val="00C257F7"/>
    <w:rsid w:val="00C258E0"/>
    <w:rsid w:val="00C2621C"/>
    <w:rsid w:val="00C265EF"/>
    <w:rsid w:val="00C26F27"/>
    <w:rsid w:val="00C26FEC"/>
    <w:rsid w:val="00C272F7"/>
    <w:rsid w:val="00C302F0"/>
    <w:rsid w:val="00C30AA5"/>
    <w:rsid w:val="00C30BEB"/>
    <w:rsid w:val="00C31519"/>
    <w:rsid w:val="00C31762"/>
    <w:rsid w:val="00C3195F"/>
    <w:rsid w:val="00C31BD4"/>
    <w:rsid w:val="00C3243E"/>
    <w:rsid w:val="00C32839"/>
    <w:rsid w:val="00C3302D"/>
    <w:rsid w:val="00C3362E"/>
    <w:rsid w:val="00C337F4"/>
    <w:rsid w:val="00C33FD9"/>
    <w:rsid w:val="00C34989"/>
    <w:rsid w:val="00C34B97"/>
    <w:rsid w:val="00C35E7F"/>
    <w:rsid w:val="00C3622C"/>
    <w:rsid w:val="00C364B4"/>
    <w:rsid w:val="00C369A5"/>
    <w:rsid w:val="00C36D5D"/>
    <w:rsid w:val="00C40093"/>
    <w:rsid w:val="00C4048C"/>
    <w:rsid w:val="00C4061F"/>
    <w:rsid w:val="00C40A8B"/>
    <w:rsid w:val="00C40D4F"/>
    <w:rsid w:val="00C40E07"/>
    <w:rsid w:val="00C41932"/>
    <w:rsid w:val="00C41EC0"/>
    <w:rsid w:val="00C42AB7"/>
    <w:rsid w:val="00C42D84"/>
    <w:rsid w:val="00C430D6"/>
    <w:rsid w:val="00C4363A"/>
    <w:rsid w:val="00C43695"/>
    <w:rsid w:val="00C43D84"/>
    <w:rsid w:val="00C44066"/>
    <w:rsid w:val="00C44179"/>
    <w:rsid w:val="00C4571A"/>
    <w:rsid w:val="00C4612D"/>
    <w:rsid w:val="00C4673C"/>
    <w:rsid w:val="00C4685A"/>
    <w:rsid w:val="00C46D63"/>
    <w:rsid w:val="00C47631"/>
    <w:rsid w:val="00C47A45"/>
    <w:rsid w:val="00C50648"/>
    <w:rsid w:val="00C5092A"/>
    <w:rsid w:val="00C50A04"/>
    <w:rsid w:val="00C50FBC"/>
    <w:rsid w:val="00C514CA"/>
    <w:rsid w:val="00C52030"/>
    <w:rsid w:val="00C52961"/>
    <w:rsid w:val="00C53143"/>
    <w:rsid w:val="00C534AE"/>
    <w:rsid w:val="00C53BAF"/>
    <w:rsid w:val="00C547B3"/>
    <w:rsid w:val="00C55DC3"/>
    <w:rsid w:val="00C55EC3"/>
    <w:rsid w:val="00C56456"/>
    <w:rsid w:val="00C5691E"/>
    <w:rsid w:val="00C57379"/>
    <w:rsid w:val="00C579DA"/>
    <w:rsid w:val="00C57CFF"/>
    <w:rsid w:val="00C6052B"/>
    <w:rsid w:val="00C6275B"/>
    <w:rsid w:val="00C62B8A"/>
    <w:rsid w:val="00C62CB4"/>
    <w:rsid w:val="00C62EA9"/>
    <w:rsid w:val="00C65289"/>
    <w:rsid w:val="00C65D6A"/>
    <w:rsid w:val="00C65E26"/>
    <w:rsid w:val="00C6635C"/>
    <w:rsid w:val="00C66885"/>
    <w:rsid w:val="00C67267"/>
    <w:rsid w:val="00C67499"/>
    <w:rsid w:val="00C675DA"/>
    <w:rsid w:val="00C6780C"/>
    <w:rsid w:val="00C67DC1"/>
    <w:rsid w:val="00C67E9D"/>
    <w:rsid w:val="00C70612"/>
    <w:rsid w:val="00C7151E"/>
    <w:rsid w:val="00C71D24"/>
    <w:rsid w:val="00C722EF"/>
    <w:rsid w:val="00C724D6"/>
    <w:rsid w:val="00C72C99"/>
    <w:rsid w:val="00C74895"/>
    <w:rsid w:val="00C74C61"/>
    <w:rsid w:val="00C74E40"/>
    <w:rsid w:val="00C751FA"/>
    <w:rsid w:val="00C762F7"/>
    <w:rsid w:val="00C76609"/>
    <w:rsid w:val="00C76D34"/>
    <w:rsid w:val="00C76F7B"/>
    <w:rsid w:val="00C77291"/>
    <w:rsid w:val="00C774DB"/>
    <w:rsid w:val="00C77835"/>
    <w:rsid w:val="00C779B5"/>
    <w:rsid w:val="00C80056"/>
    <w:rsid w:val="00C809C6"/>
    <w:rsid w:val="00C8109A"/>
    <w:rsid w:val="00C810D6"/>
    <w:rsid w:val="00C81C4B"/>
    <w:rsid w:val="00C821EA"/>
    <w:rsid w:val="00C82553"/>
    <w:rsid w:val="00C82B47"/>
    <w:rsid w:val="00C82F49"/>
    <w:rsid w:val="00C8303B"/>
    <w:rsid w:val="00C84AB8"/>
    <w:rsid w:val="00C84D39"/>
    <w:rsid w:val="00C84ECF"/>
    <w:rsid w:val="00C853EA"/>
    <w:rsid w:val="00C857DB"/>
    <w:rsid w:val="00C85960"/>
    <w:rsid w:val="00C86742"/>
    <w:rsid w:val="00C87598"/>
    <w:rsid w:val="00C90123"/>
    <w:rsid w:val="00C90360"/>
    <w:rsid w:val="00C9097D"/>
    <w:rsid w:val="00C91031"/>
    <w:rsid w:val="00C91149"/>
    <w:rsid w:val="00C91AE1"/>
    <w:rsid w:val="00C91F21"/>
    <w:rsid w:val="00C92B04"/>
    <w:rsid w:val="00C93010"/>
    <w:rsid w:val="00C93929"/>
    <w:rsid w:val="00C93A1D"/>
    <w:rsid w:val="00C93ABC"/>
    <w:rsid w:val="00C944AA"/>
    <w:rsid w:val="00C96639"/>
    <w:rsid w:val="00C96740"/>
    <w:rsid w:val="00C969B9"/>
    <w:rsid w:val="00C96F42"/>
    <w:rsid w:val="00C975A2"/>
    <w:rsid w:val="00C97AE5"/>
    <w:rsid w:val="00C97CD8"/>
    <w:rsid w:val="00CA033E"/>
    <w:rsid w:val="00CA0865"/>
    <w:rsid w:val="00CA0CBD"/>
    <w:rsid w:val="00CA12D4"/>
    <w:rsid w:val="00CA2249"/>
    <w:rsid w:val="00CA28DD"/>
    <w:rsid w:val="00CA2F5E"/>
    <w:rsid w:val="00CA3381"/>
    <w:rsid w:val="00CA38EB"/>
    <w:rsid w:val="00CA41A5"/>
    <w:rsid w:val="00CA4722"/>
    <w:rsid w:val="00CA4996"/>
    <w:rsid w:val="00CA4E38"/>
    <w:rsid w:val="00CA50AE"/>
    <w:rsid w:val="00CA5123"/>
    <w:rsid w:val="00CA5728"/>
    <w:rsid w:val="00CA5E7E"/>
    <w:rsid w:val="00CA6282"/>
    <w:rsid w:val="00CA677B"/>
    <w:rsid w:val="00CA67F7"/>
    <w:rsid w:val="00CB10AD"/>
    <w:rsid w:val="00CB140F"/>
    <w:rsid w:val="00CB14CB"/>
    <w:rsid w:val="00CB1836"/>
    <w:rsid w:val="00CB1865"/>
    <w:rsid w:val="00CB1C8F"/>
    <w:rsid w:val="00CB299E"/>
    <w:rsid w:val="00CB2AF4"/>
    <w:rsid w:val="00CB36BE"/>
    <w:rsid w:val="00CB3915"/>
    <w:rsid w:val="00CB3E4C"/>
    <w:rsid w:val="00CB46A1"/>
    <w:rsid w:val="00CB4B5E"/>
    <w:rsid w:val="00CB5278"/>
    <w:rsid w:val="00CB5588"/>
    <w:rsid w:val="00CB5991"/>
    <w:rsid w:val="00CB5B52"/>
    <w:rsid w:val="00CB5D59"/>
    <w:rsid w:val="00CB7292"/>
    <w:rsid w:val="00CB7E05"/>
    <w:rsid w:val="00CC0035"/>
    <w:rsid w:val="00CC02CC"/>
    <w:rsid w:val="00CC0765"/>
    <w:rsid w:val="00CC1F04"/>
    <w:rsid w:val="00CC23BD"/>
    <w:rsid w:val="00CC23DB"/>
    <w:rsid w:val="00CC27A0"/>
    <w:rsid w:val="00CC2E30"/>
    <w:rsid w:val="00CC30A9"/>
    <w:rsid w:val="00CC3488"/>
    <w:rsid w:val="00CC3981"/>
    <w:rsid w:val="00CC399C"/>
    <w:rsid w:val="00CC3A57"/>
    <w:rsid w:val="00CC3FDD"/>
    <w:rsid w:val="00CC4B28"/>
    <w:rsid w:val="00CC4D84"/>
    <w:rsid w:val="00CC4EA2"/>
    <w:rsid w:val="00CC4FEC"/>
    <w:rsid w:val="00CC63B3"/>
    <w:rsid w:val="00CC693B"/>
    <w:rsid w:val="00CC6D35"/>
    <w:rsid w:val="00CC71EC"/>
    <w:rsid w:val="00CC73AF"/>
    <w:rsid w:val="00CC73C3"/>
    <w:rsid w:val="00CC74D3"/>
    <w:rsid w:val="00CC7B3B"/>
    <w:rsid w:val="00CC7CF1"/>
    <w:rsid w:val="00CC7CFC"/>
    <w:rsid w:val="00CC7F14"/>
    <w:rsid w:val="00CD2681"/>
    <w:rsid w:val="00CD2B92"/>
    <w:rsid w:val="00CD40F7"/>
    <w:rsid w:val="00CD4417"/>
    <w:rsid w:val="00CD465B"/>
    <w:rsid w:val="00CD472C"/>
    <w:rsid w:val="00CD47AD"/>
    <w:rsid w:val="00CD4CC7"/>
    <w:rsid w:val="00CD4DCD"/>
    <w:rsid w:val="00CD4FDD"/>
    <w:rsid w:val="00CD501A"/>
    <w:rsid w:val="00CD52F8"/>
    <w:rsid w:val="00CD552F"/>
    <w:rsid w:val="00CD5577"/>
    <w:rsid w:val="00CD5610"/>
    <w:rsid w:val="00CD5FDD"/>
    <w:rsid w:val="00CD66C1"/>
    <w:rsid w:val="00CD6EC9"/>
    <w:rsid w:val="00CD7011"/>
    <w:rsid w:val="00CD726C"/>
    <w:rsid w:val="00CD742F"/>
    <w:rsid w:val="00CD7CC3"/>
    <w:rsid w:val="00CD7E85"/>
    <w:rsid w:val="00CE021D"/>
    <w:rsid w:val="00CE050E"/>
    <w:rsid w:val="00CE0876"/>
    <w:rsid w:val="00CE0B2C"/>
    <w:rsid w:val="00CE1BD3"/>
    <w:rsid w:val="00CE21E7"/>
    <w:rsid w:val="00CE2E0B"/>
    <w:rsid w:val="00CE2FA5"/>
    <w:rsid w:val="00CE3992"/>
    <w:rsid w:val="00CE427B"/>
    <w:rsid w:val="00CE43B8"/>
    <w:rsid w:val="00CE463B"/>
    <w:rsid w:val="00CE49CD"/>
    <w:rsid w:val="00CE4A8D"/>
    <w:rsid w:val="00CE5819"/>
    <w:rsid w:val="00CE5DAF"/>
    <w:rsid w:val="00CE646E"/>
    <w:rsid w:val="00CE71BF"/>
    <w:rsid w:val="00CE73C3"/>
    <w:rsid w:val="00CE7587"/>
    <w:rsid w:val="00CE7BBB"/>
    <w:rsid w:val="00CE7EF2"/>
    <w:rsid w:val="00CF011C"/>
    <w:rsid w:val="00CF0C30"/>
    <w:rsid w:val="00CF14E4"/>
    <w:rsid w:val="00CF2595"/>
    <w:rsid w:val="00CF380F"/>
    <w:rsid w:val="00CF3DD3"/>
    <w:rsid w:val="00CF4378"/>
    <w:rsid w:val="00CF44F8"/>
    <w:rsid w:val="00CF47F4"/>
    <w:rsid w:val="00CF49D0"/>
    <w:rsid w:val="00CF50AC"/>
    <w:rsid w:val="00CF57B1"/>
    <w:rsid w:val="00CF5E86"/>
    <w:rsid w:val="00CF6640"/>
    <w:rsid w:val="00CF697C"/>
    <w:rsid w:val="00D012B0"/>
    <w:rsid w:val="00D01868"/>
    <w:rsid w:val="00D01BF7"/>
    <w:rsid w:val="00D01EDE"/>
    <w:rsid w:val="00D03CBE"/>
    <w:rsid w:val="00D03F96"/>
    <w:rsid w:val="00D0437F"/>
    <w:rsid w:val="00D0580E"/>
    <w:rsid w:val="00D060CE"/>
    <w:rsid w:val="00D06359"/>
    <w:rsid w:val="00D06EEA"/>
    <w:rsid w:val="00D071CB"/>
    <w:rsid w:val="00D07784"/>
    <w:rsid w:val="00D106F9"/>
    <w:rsid w:val="00D109BF"/>
    <w:rsid w:val="00D1196B"/>
    <w:rsid w:val="00D1228B"/>
    <w:rsid w:val="00D1316C"/>
    <w:rsid w:val="00D13A90"/>
    <w:rsid w:val="00D13B3C"/>
    <w:rsid w:val="00D1488F"/>
    <w:rsid w:val="00D15A79"/>
    <w:rsid w:val="00D15C2C"/>
    <w:rsid w:val="00D15F91"/>
    <w:rsid w:val="00D15FD7"/>
    <w:rsid w:val="00D16518"/>
    <w:rsid w:val="00D16DB2"/>
    <w:rsid w:val="00D16FDC"/>
    <w:rsid w:val="00D1718A"/>
    <w:rsid w:val="00D20082"/>
    <w:rsid w:val="00D20164"/>
    <w:rsid w:val="00D2071C"/>
    <w:rsid w:val="00D20E39"/>
    <w:rsid w:val="00D21009"/>
    <w:rsid w:val="00D2132F"/>
    <w:rsid w:val="00D221C0"/>
    <w:rsid w:val="00D22C86"/>
    <w:rsid w:val="00D22D4A"/>
    <w:rsid w:val="00D23435"/>
    <w:rsid w:val="00D23B3A"/>
    <w:rsid w:val="00D24C49"/>
    <w:rsid w:val="00D24D1A"/>
    <w:rsid w:val="00D25C57"/>
    <w:rsid w:val="00D26F72"/>
    <w:rsid w:val="00D27154"/>
    <w:rsid w:val="00D27258"/>
    <w:rsid w:val="00D272D0"/>
    <w:rsid w:val="00D276A2"/>
    <w:rsid w:val="00D27F30"/>
    <w:rsid w:val="00D27FC9"/>
    <w:rsid w:val="00D3171E"/>
    <w:rsid w:val="00D31A1C"/>
    <w:rsid w:val="00D32281"/>
    <w:rsid w:val="00D3371D"/>
    <w:rsid w:val="00D33F02"/>
    <w:rsid w:val="00D34D5B"/>
    <w:rsid w:val="00D34E91"/>
    <w:rsid w:val="00D35335"/>
    <w:rsid w:val="00D353E1"/>
    <w:rsid w:val="00D35B00"/>
    <w:rsid w:val="00D35E7C"/>
    <w:rsid w:val="00D36A99"/>
    <w:rsid w:val="00D37A2E"/>
    <w:rsid w:val="00D40230"/>
    <w:rsid w:val="00D40263"/>
    <w:rsid w:val="00D4037C"/>
    <w:rsid w:val="00D40C99"/>
    <w:rsid w:val="00D40DEA"/>
    <w:rsid w:val="00D4108C"/>
    <w:rsid w:val="00D4204F"/>
    <w:rsid w:val="00D421F5"/>
    <w:rsid w:val="00D424E4"/>
    <w:rsid w:val="00D42A19"/>
    <w:rsid w:val="00D42CBA"/>
    <w:rsid w:val="00D43141"/>
    <w:rsid w:val="00D43172"/>
    <w:rsid w:val="00D431A6"/>
    <w:rsid w:val="00D438B0"/>
    <w:rsid w:val="00D43B01"/>
    <w:rsid w:val="00D43E50"/>
    <w:rsid w:val="00D45BED"/>
    <w:rsid w:val="00D469FB"/>
    <w:rsid w:val="00D46D9A"/>
    <w:rsid w:val="00D47328"/>
    <w:rsid w:val="00D479AD"/>
    <w:rsid w:val="00D504B7"/>
    <w:rsid w:val="00D5065D"/>
    <w:rsid w:val="00D506F3"/>
    <w:rsid w:val="00D5085F"/>
    <w:rsid w:val="00D50F0A"/>
    <w:rsid w:val="00D510AF"/>
    <w:rsid w:val="00D512CE"/>
    <w:rsid w:val="00D514A7"/>
    <w:rsid w:val="00D514EE"/>
    <w:rsid w:val="00D51BE7"/>
    <w:rsid w:val="00D52529"/>
    <w:rsid w:val="00D535A6"/>
    <w:rsid w:val="00D53A82"/>
    <w:rsid w:val="00D54264"/>
    <w:rsid w:val="00D5451E"/>
    <w:rsid w:val="00D56AE8"/>
    <w:rsid w:val="00D56BB1"/>
    <w:rsid w:val="00D57615"/>
    <w:rsid w:val="00D578C2"/>
    <w:rsid w:val="00D6018B"/>
    <w:rsid w:val="00D60914"/>
    <w:rsid w:val="00D6158F"/>
    <w:rsid w:val="00D6196F"/>
    <w:rsid w:val="00D619B4"/>
    <w:rsid w:val="00D61A9C"/>
    <w:rsid w:val="00D62439"/>
    <w:rsid w:val="00D62F37"/>
    <w:rsid w:val="00D635DF"/>
    <w:rsid w:val="00D63ABD"/>
    <w:rsid w:val="00D64329"/>
    <w:rsid w:val="00D64EC5"/>
    <w:rsid w:val="00D65B53"/>
    <w:rsid w:val="00D65D2B"/>
    <w:rsid w:val="00D65F5D"/>
    <w:rsid w:val="00D66830"/>
    <w:rsid w:val="00D671A2"/>
    <w:rsid w:val="00D677B2"/>
    <w:rsid w:val="00D67C9F"/>
    <w:rsid w:val="00D67D1F"/>
    <w:rsid w:val="00D704DB"/>
    <w:rsid w:val="00D72317"/>
    <w:rsid w:val="00D726FE"/>
    <w:rsid w:val="00D7296B"/>
    <w:rsid w:val="00D73244"/>
    <w:rsid w:val="00D739DB"/>
    <w:rsid w:val="00D73E0E"/>
    <w:rsid w:val="00D73F9C"/>
    <w:rsid w:val="00D745F7"/>
    <w:rsid w:val="00D7491F"/>
    <w:rsid w:val="00D75A64"/>
    <w:rsid w:val="00D7608C"/>
    <w:rsid w:val="00D76799"/>
    <w:rsid w:val="00D767DE"/>
    <w:rsid w:val="00D77717"/>
    <w:rsid w:val="00D779A9"/>
    <w:rsid w:val="00D801EE"/>
    <w:rsid w:val="00D8062C"/>
    <w:rsid w:val="00D8065B"/>
    <w:rsid w:val="00D808A3"/>
    <w:rsid w:val="00D809F2"/>
    <w:rsid w:val="00D80E27"/>
    <w:rsid w:val="00D81074"/>
    <w:rsid w:val="00D81319"/>
    <w:rsid w:val="00D8185C"/>
    <w:rsid w:val="00D81D3C"/>
    <w:rsid w:val="00D81DD6"/>
    <w:rsid w:val="00D8245A"/>
    <w:rsid w:val="00D82992"/>
    <w:rsid w:val="00D82ADE"/>
    <w:rsid w:val="00D82BB7"/>
    <w:rsid w:val="00D83BA2"/>
    <w:rsid w:val="00D840C2"/>
    <w:rsid w:val="00D84AA2"/>
    <w:rsid w:val="00D84DF0"/>
    <w:rsid w:val="00D84EA1"/>
    <w:rsid w:val="00D85195"/>
    <w:rsid w:val="00D85C9B"/>
    <w:rsid w:val="00D86250"/>
    <w:rsid w:val="00D866DE"/>
    <w:rsid w:val="00D869D1"/>
    <w:rsid w:val="00D873AC"/>
    <w:rsid w:val="00D87B96"/>
    <w:rsid w:val="00D912D0"/>
    <w:rsid w:val="00D914EA"/>
    <w:rsid w:val="00D91FA9"/>
    <w:rsid w:val="00D92458"/>
    <w:rsid w:val="00D92615"/>
    <w:rsid w:val="00D9306F"/>
    <w:rsid w:val="00D9372C"/>
    <w:rsid w:val="00D93A70"/>
    <w:rsid w:val="00D93C68"/>
    <w:rsid w:val="00D94D84"/>
    <w:rsid w:val="00D95611"/>
    <w:rsid w:val="00D95811"/>
    <w:rsid w:val="00D95907"/>
    <w:rsid w:val="00D97A04"/>
    <w:rsid w:val="00DA0483"/>
    <w:rsid w:val="00DA23EF"/>
    <w:rsid w:val="00DA32F0"/>
    <w:rsid w:val="00DA341C"/>
    <w:rsid w:val="00DA3DEA"/>
    <w:rsid w:val="00DA409D"/>
    <w:rsid w:val="00DA4801"/>
    <w:rsid w:val="00DA4B24"/>
    <w:rsid w:val="00DA55CF"/>
    <w:rsid w:val="00DA5F54"/>
    <w:rsid w:val="00DA6F0C"/>
    <w:rsid w:val="00DA6FAD"/>
    <w:rsid w:val="00DA743D"/>
    <w:rsid w:val="00DA78B8"/>
    <w:rsid w:val="00DA78F7"/>
    <w:rsid w:val="00DA7B3D"/>
    <w:rsid w:val="00DA7F25"/>
    <w:rsid w:val="00DB0840"/>
    <w:rsid w:val="00DB0BE7"/>
    <w:rsid w:val="00DB173C"/>
    <w:rsid w:val="00DB17AC"/>
    <w:rsid w:val="00DB2141"/>
    <w:rsid w:val="00DB22A2"/>
    <w:rsid w:val="00DB2A0E"/>
    <w:rsid w:val="00DB4C7C"/>
    <w:rsid w:val="00DB4FA2"/>
    <w:rsid w:val="00DB5221"/>
    <w:rsid w:val="00DB5605"/>
    <w:rsid w:val="00DB5BF9"/>
    <w:rsid w:val="00DB681C"/>
    <w:rsid w:val="00DB6924"/>
    <w:rsid w:val="00DB6CC7"/>
    <w:rsid w:val="00DB727A"/>
    <w:rsid w:val="00DB7930"/>
    <w:rsid w:val="00DC000C"/>
    <w:rsid w:val="00DC05D9"/>
    <w:rsid w:val="00DC0AA6"/>
    <w:rsid w:val="00DC0CAA"/>
    <w:rsid w:val="00DC0CD1"/>
    <w:rsid w:val="00DC0D2C"/>
    <w:rsid w:val="00DC1059"/>
    <w:rsid w:val="00DC1332"/>
    <w:rsid w:val="00DC16CE"/>
    <w:rsid w:val="00DC180C"/>
    <w:rsid w:val="00DC1A1D"/>
    <w:rsid w:val="00DC1DDE"/>
    <w:rsid w:val="00DC1E25"/>
    <w:rsid w:val="00DC1F09"/>
    <w:rsid w:val="00DC21BF"/>
    <w:rsid w:val="00DC2302"/>
    <w:rsid w:val="00DC271C"/>
    <w:rsid w:val="00DC2C2D"/>
    <w:rsid w:val="00DC311D"/>
    <w:rsid w:val="00DC3204"/>
    <w:rsid w:val="00DC32E5"/>
    <w:rsid w:val="00DC3541"/>
    <w:rsid w:val="00DC3704"/>
    <w:rsid w:val="00DC3DCF"/>
    <w:rsid w:val="00DC491A"/>
    <w:rsid w:val="00DC4C67"/>
    <w:rsid w:val="00DC4D3E"/>
    <w:rsid w:val="00DC4F6A"/>
    <w:rsid w:val="00DC568C"/>
    <w:rsid w:val="00DC66CA"/>
    <w:rsid w:val="00DC68CA"/>
    <w:rsid w:val="00DC68F9"/>
    <w:rsid w:val="00DC6EB0"/>
    <w:rsid w:val="00DC704C"/>
    <w:rsid w:val="00DC7A55"/>
    <w:rsid w:val="00DC7C29"/>
    <w:rsid w:val="00DD0681"/>
    <w:rsid w:val="00DD06F7"/>
    <w:rsid w:val="00DD08E5"/>
    <w:rsid w:val="00DD0CF9"/>
    <w:rsid w:val="00DD1985"/>
    <w:rsid w:val="00DD1C19"/>
    <w:rsid w:val="00DD1D4C"/>
    <w:rsid w:val="00DD2348"/>
    <w:rsid w:val="00DD26DD"/>
    <w:rsid w:val="00DD292A"/>
    <w:rsid w:val="00DD335B"/>
    <w:rsid w:val="00DD346C"/>
    <w:rsid w:val="00DD3758"/>
    <w:rsid w:val="00DD3E33"/>
    <w:rsid w:val="00DD4023"/>
    <w:rsid w:val="00DD418B"/>
    <w:rsid w:val="00DD440A"/>
    <w:rsid w:val="00DD44EA"/>
    <w:rsid w:val="00DD457F"/>
    <w:rsid w:val="00DD45FD"/>
    <w:rsid w:val="00DD4EF4"/>
    <w:rsid w:val="00DD57EA"/>
    <w:rsid w:val="00DD5BDA"/>
    <w:rsid w:val="00DD6150"/>
    <w:rsid w:val="00DD62F3"/>
    <w:rsid w:val="00DD6C69"/>
    <w:rsid w:val="00DD79CE"/>
    <w:rsid w:val="00DD7BD8"/>
    <w:rsid w:val="00DE0890"/>
    <w:rsid w:val="00DE0C9B"/>
    <w:rsid w:val="00DE0F3A"/>
    <w:rsid w:val="00DE109B"/>
    <w:rsid w:val="00DE19FF"/>
    <w:rsid w:val="00DE3153"/>
    <w:rsid w:val="00DE31EA"/>
    <w:rsid w:val="00DE3542"/>
    <w:rsid w:val="00DE355D"/>
    <w:rsid w:val="00DE4642"/>
    <w:rsid w:val="00DE4915"/>
    <w:rsid w:val="00DE53A1"/>
    <w:rsid w:val="00DE5CCF"/>
    <w:rsid w:val="00DE6072"/>
    <w:rsid w:val="00DE6A15"/>
    <w:rsid w:val="00DE6B95"/>
    <w:rsid w:val="00DE7BBD"/>
    <w:rsid w:val="00DF0357"/>
    <w:rsid w:val="00DF07DF"/>
    <w:rsid w:val="00DF0B09"/>
    <w:rsid w:val="00DF0BB7"/>
    <w:rsid w:val="00DF0DA1"/>
    <w:rsid w:val="00DF12EB"/>
    <w:rsid w:val="00DF2103"/>
    <w:rsid w:val="00DF2894"/>
    <w:rsid w:val="00DF2C9E"/>
    <w:rsid w:val="00DF2CF8"/>
    <w:rsid w:val="00DF2D7C"/>
    <w:rsid w:val="00DF393F"/>
    <w:rsid w:val="00DF3F59"/>
    <w:rsid w:val="00DF502A"/>
    <w:rsid w:val="00DF53A2"/>
    <w:rsid w:val="00DF6008"/>
    <w:rsid w:val="00DF6254"/>
    <w:rsid w:val="00DF660D"/>
    <w:rsid w:val="00DF66FB"/>
    <w:rsid w:val="00E01839"/>
    <w:rsid w:val="00E01D82"/>
    <w:rsid w:val="00E02413"/>
    <w:rsid w:val="00E03503"/>
    <w:rsid w:val="00E0432F"/>
    <w:rsid w:val="00E0440C"/>
    <w:rsid w:val="00E04F01"/>
    <w:rsid w:val="00E050A5"/>
    <w:rsid w:val="00E051CB"/>
    <w:rsid w:val="00E05516"/>
    <w:rsid w:val="00E05ECD"/>
    <w:rsid w:val="00E07E4D"/>
    <w:rsid w:val="00E07EC7"/>
    <w:rsid w:val="00E10482"/>
    <w:rsid w:val="00E10841"/>
    <w:rsid w:val="00E10BC9"/>
    <w:rsid w:val="00E11053"/>
    <w:rsid w:val="00E110F7"/>
    <w:rsid w:val="00E11501"/>
    <w:rsid w:val="00E115FB"/>
    <w:rsid w:val="00E11D7D"/>
    <w:rsid w:val="00E11DFA"/>
    <w:rsid w:val="00E11F2B"/>
    <w:rsid w:val="00E14837"/>
    <w:rsid w:val="00E149A0"/>
    <w:rsid w:val="00E14A5D"/>
    <w:rsid w:val="00E171C6"/>
    <w:rsid w:val="00E175F6"/>
    <w:rsid w:val="00E2030B"/>
    <w:rsid w:val="00E20D5A"/>
    <w:rsid w:val="00E20ECA"/>
    <w:rsid w:val="00E21309"/>
    <w:rsid w:val="00E2138F"/>
    <w:rsid w:val="00E219AE"/>
    <w:rsid w:val="00E22005"/>
    <w:rsid w:val="00E229E5"/>
    <w:rsid w:val="00E23004"/>
    <w:rsid w:val="00E23AC5"/>
    <w:rsid w:val="00E23DD5"/>
    <w:rsid w:val="00E23FFB"/>
    <w:rsid w:val="00E24662"/>
    <w:rsid w:val="00E2485F"/>
    <w:rsid w:val="00E24E6D"/>
    <w:rsid w:val="00E2568C"/>
    <w:rsid w:val="00E25F47"/>
    <w:rsid w:val="00E26A0C"/>
    <w:rsid w:val="00E26FA0"/>
    <w:rsid w:val="00E272DB"/>
    <w:rsid w:val="00E276C5"/>
    <w:rsid w:val="00E27C89"/>
    <w:rsid w:val="00E304A2"/>
    <w:rsid w:val="00E30A0B"/>
    <w:rsid w:val="00E317A0"/>
    <w:rsid w:val="00E3189E"/>
    <w:rsid w:val="00E31C49"/>
    <w:rsid w:val="00E32122"/>
    <w:rsid w:val="00E3216E"/>
    <w:rsid w:val="00E3262B"/>
    <w:rsid w:val="00E32E32"/>
    <w:rsid w:val="00E32E71"/>
    <w:rsid w:val="00E32E93"/>
    <w:rsid w:val="00E33BE7"/>
    <w:rsid w:val="00E343EB"/>
    <w:rsid w:val="00E34B62"/>
    <w:rsid w:val="00E34C2D"/>
    <w:rsid w:val="00E34C9F"/>
    <w:rsid w:val="00E35231"/>
    <w:rsid w:val="00E359CD"/>
    <w:rsid w:val="00E35A0D"/>
    <w:rsid w:val="00E3665B"/>
    <w:rsid w:val="00E36CA3"/>
    <w:rsid w:val="00E371D2"/>
    <w:rsid w:val="00E379A4"/>
    <w:rsid w:val="00E37D42"/>
    <w:rsid w:val="00E37EF1"/>
    <w:rsid w:val="00E40053"/>
    <w:rsid w:val="00E41D1A"/>
    <w:rsid w:val="00E41EBF"/>
    <w:rsid w:val="00E4214B"/>
    <w:rsid w:val="00E42464"/>
    <w:rsid w:val="00E4350B"/>
    <w:rsid w:val="00E4395E"/>
    <w:rsid w:val="00E43CAF"/>
    <w:rsid w:val="00E43D70"/>
    <w:rsid w:val="00E449F4"/>
    <w:rsid w:val="00E44B1A"/>
    <w:rsid w:val="00E44F44"/>
    <w:rsid w:val="00E45447"/>
    <w:rsid w:val="00E461A5"/>
    <w:rsid w:val="00E47024"/>
    <w:rsid w:val="00E477EB"/>
    <w:rsid w:val="00E47A75"/>
    <w:rsid w:val="00E47B99"/>
    <w:rsid w:val="00E50C06"/>
    <w:rsid w:val="00E510EC"/>
    <w:rsid w:val="00E51DB7"/>
    <w:rsid w:val="00E520E5"/>
    <w:rsid w:val="00E527FE"/>
    <w:rsid w:val="00E535C2"/>
    <w:rsid w:val="00E5385E"/>
    <w:rsid w:val="00E539A1"/>
    <w:rsid w:val="00E54543"/>
    <w:rsid w:val="00E54BDB"/>
    <w:rsid w:val="00E55DD4"/>
    <w:rsid w:val="00E56068"/>
    <w:rsid w:val="00E56299"/>
    <w:rsid w:val="00E5654A"/>
    <w:rsid w:val="00E5720D"/>
    <w:rsid w:val="00E5750E"/>
    <w:rsid w:val="00E5761D"/>
    <w:rsid w:val="00E57E11"/>
    <w:rsid w:val="00E60EF0"/>
    <w:rsid w:val="00E61239"/>
    <w:rsid w:val="00E61994"/>
    <w:rsid w:val="00E61A35"/>
    <w:rsid w:val="00E61F72"/>
    <w:rsid w:val="00E621AC"/>
    <w:rsid w:val="00E62336"/>
    <w:rsid w:val="00E624FD"/>
    <w:rsid w:val="00E6356E"/>
    <w:rsid w:val="00E63782"/>
    <w:rsid w:val="00E6406D"/>
    <w:rsid w:val="00E64E26"/>
    <w:rsid w:val="00E64EF6"/>
    <w:rsid w:val="00E65A1C"/>
    <w:rsid w:val="00E65B4F"/>
    <w:rsid w:val="00E66FB6"/>
    <w:rsid w:val="00E67063"/>
    <w:rsid w:val="00E67B46"/>
    <w:rsid w:val="00E7061C"/>
    <w:rsid w:val="00E706AA"/>
    <w:rsid w:val="00E708CF"/>
    <w:rsid w:val="00E70EF1"/>
    <w:rsid w:val="00E714CC"/>
    <w:rsid w:val="00E72987"/>
    <w:rsid w:val="00E729FF"/>
    <w:rsid w:val="00E730CD"/>
    <w:rsid w:val="00E73445"/>
    <w:rsid w:val="00E75AAE"/>
    <w:rsid w:val="00E75C70"/>
    <w:rsid w:val="00E76F9B"/>
    <w:rsid w:val="00E77B1C"/>
    <w:rsid w:val="00E77D22"/>
    <w:rsid w:val="00E80134"/>
    <w:rsid w:val="00E80AF4"/>
    <w:rsid w:val="00E8148E"/>
    <w:rsid w:val="00E816C2"/>
    <w:rsid w:val="00E81878"/>
    <w:rsid w:val="00E82B29"/>
    <w:rsid w:val="00E83849"/>
    <w:rsid w:val="00E839FB"/>
    <w:rsid w:val="00E83AB6"/>
    <w:rsid w:val="00E84DA7"/>
    <w:rsid w:val="00E85382"/>
    <w:rsid w:val="00E85625"/>
    <w:rsid w:val="00E85990"/>
    <w:rsid w:val="00E85BFC"/>
    <w:rsid w:val="00E86132"/>
    <w:rsid w:val="00E86A09"/>
    <w:rsid w:val="00E87B0F"/>
    <w:rsid w:val="00E87EC2"/>
    <w:rsid w:val="00E90725"/>
    <w:rsid w:val="00E91275"/>
    <w:rsid w:val="00E91F29"/>
    <w:rsid w:val="00E91FF0"/>
    <w:rsid w:val="00E92017"/>
    <w:rsid w:val="00E92340"/>
    <w:rsid w:val="00E92C1C"/>
    <w:rsid w:val="00E92F55"/>
    <w:rsid w:val="00E9415E"/>
    <w:rsid w:val="00E94290"/>
    <w:rsid w:val="00E946C2"/>
    <w:rsid w:val="00E95529"/>
    <w:rsid w:val="00E9593E"/>
    <w:rsid w:val="00E95C29"/>
    <w:rsid w:val="00E95EC9"/>
    <w:rsid w:val="00E9664B"/>
    <w:rsid w:val="00E972B7"/>
    <w:rsid w:val="00E97448"/>
    <w:rsid w:val="00EA0AEC"/>
    <w:rsid w:val="00EA0CC7"/>
    <w:rsid w:val="00EA127A"/>
    <w:rsid w:val="00EA1ADF"/>
    <w:rsid w:val="00EA1F58"/>
    <w:rsid w:val="00EA21CB"/>
    <w:rsid w:val="00EA2323"/>
    <w:rsid w:val="00EA2471"/>
    <w:rsid w:val="00EA2596"/>
    <w:rsid w:val="00EA267A"/>
    <w:rsid w:val="00EA2C2F"/>
    <w:rsid w:val="00EA475E"/>
    <w:rsid w:val="00EA4A79"/>
    <w:rsid w:val="00EA54E6"/>
    <w:rsid w:val="00EA61A8"/>
    <w:rsid w:val="00EA6BA5"/>
    <w:rsid w:val="00EA70CC"/>
    <w:rsid w:val="00EA72B1"/>
    <w:rsid w:val="00EA7B39"/>
    <w:rsid w:val="00EA7D96"/>
    <w:rsid w:val="00EB070C"/>
    <w:rsid w:val="00EB089B"/>
    <w:rsid w:val="00EB0B3A"/>
    <w:rsid w:val="00EB0F16"/>
    <w:rsid w:val="00EB0F8C"/>
    <w:rsid w:val="00EB106F"/>
    <w:rsid w:val="00EB1070"/>
    <w:rsid w:val="00EB1264"/>
    <w:rsid w:val="00EB1CD2"/>
    <w:rsid w:val="00EB2DF9"/>
    <w:rsid w:val="00EB3E6C"/>
    <w:rsid w:val="00EB40C8"/>
    <w:rsid w:val="00EB4549"/>
    <w:rsid w:val="00EB45DC"/>
    <w:rsid w:val="00EB4D8C"/>
    <w:rsid w:val="00EB5CEA"/>
    <w:rsid w:val="00EB6C05"/>
    <w:rsid w:val="00EB721F"/>
    <w:rsid w:val="00EB73DC"/>
    <w:rsid w:val="00EB7A1A"/>
    <w:rsid w:val="00EC0182"/>
    <w:rsid w:val="00EC02A3"/>
    <w:rsid w:val="00EC133A"/>
    <w:rsid w:val="00EC2A4A"/>
    <w:rsid w:val="00EC3F8D"/>
    <w:rsid w:val="00EC4779"/>
    <w:rsid w:val="00EC56DA"/>
    <w:rsid w:val="00EC573B"/>
    <w:rsid w:val="00EC63E4"/>
    <w:rsid w:val="00EC67CB"/>
    <w:rsid w:val="00EC6877"/>
    <w:rsid w:val="00EC6E25"/>
    <w:rsid w:val="00EC70B4"/>
    <w:rsid w:val="00ED0C47"/>
    <w:rsid w:val="00ED165D"/>
    <w:rsid w:val="00ED192A"/>
    <w:rsid w:val="00ED1B75"/>
    <w:rsid w:val="00ED212A"/>
    <w:rsid w:val="00ED3771"/>
    <w:rsid w:val="00ED3934"/>
    <w:rsid w:val="00ED3BD4"/>
    <w:rsid w:val="00ED40B4"/>
    <w:rsid w:val="00ED5326"/>
    <w:rsid w:val="00ED5949"/>
    <w:rsid w:val="00ED599B"/>
    <w:rsid w:val="00ED649A"/>
    <w:rsid w:val="00ED6575"/>
    <w:rsid w:val="00ED6908"/>
    <w:rsid w:val="00ED7692"/>
    <w:rsid w:val="00ED7952"/>
    <w:rsid w:val="00EE0453"/>
    <w:rsid w:val="00EE08F6"/>
    <w:rsid w:val="00EE0A77"/>
    <w:rsid w:val="00EE1582"/>
    <w:rsid w:val="00EE2141"/>
    <w:rsid w:val="00EE2C4B"/>
    <w:rsid w:val="00EE38DE"/>
    <w:rsid w:val="00EE48D9"/>
    <w:rsid w:val="00EE572E"/>
    <w:rsid w:val="00EE6429"/>
    <w:rsid w:val="00EE6916"/>
    <w:rsid w:val="00EE6C4D"/>
    <w:rsid w:val="00EE749B"/>
    <w:rsid w:val="00EE75F9"/>
    <w:rsid w:val="00EE7814"/>
    <w:rsid w:val="00EF1E96"/>
    <w:rsid w:val="00EF20D9"/>
    <w:rsid w:val="00EF2D42"/>
    <w:rsid w:val="00EF2E8E"/>
    <w:rsid w:val="00EF2F78"/>
    <w:rsid w:val="00EF2F80"/>
    <w:rsid w:val="00EF3039"/>
    <w:rsid w:val="00EF4224"/>
    <w:rsid w:val="00EF4327"/>
    <w:rsid w:val="00EF4603"/>
    <w:rsid w:val="00EF4C6A"/>
    <w:rsid w:val="00EF4FF2"/>
    <w:rsid w:val="00EF54EC"/>
    <w:rsid w:val="00EF585B"/>
    <w:rsid w:val="00EF6034"/>
    <w:rsid w:val="00EF655A"/>
    <w:rsid w:val="00EF6DC1"/>
    <w:rsid w:val="00EF7220"/>
    <w:rsid w:val="00EF7465"/>
    <w:rsid w:val="00EF74D8"/>
    <w:rsid w:val="00F00139"/>
    <w:rsid w:val="00F00D74"/>
    <w:rsid w:val="00F013AD"/>
    <w:rsid w:val="00F01C25"/>
    <w:rsid w:val="00F01C80"/>
    <w:rsid w:val="00F0204D"/>
    <w:rsid w:val="00F0214E"/>
    <w:rsid w:val="00F02576"/>
    <w:rsid w:val="00F0346B"/>
    <w:rsid w:val="00F03658"/>
    <w:rsid w:val="00F0427C"/>
    <w:rsid w:val="00F044CD"/>
    <w:rsid w:val="00F047F1"/>
    <w:rsid w:val="00F04CA1"/>
    <w:rsid w:val="00F057A5"/>
    <w:rsid w:val="00F05B49"/>
    <w:rsid w:val="00F05E18"/>
    <w:rsid w:val="00F05E9C"/>
    <w:rsid w:val="00F06283"/>
    <w:rsid w:val="00F062C9"/>
    <w:rsid w:val="00F0675F"/>
    <w:rsid w:val="00F06DA6"/>
    <w:rsid w:val="00F07336"/>
    <w:rsid w:val="00F07A2C"/>
    <w:rsid w:val="00F10488"/>
    <w:rsid w:val="00F1147E"/>
    <w:rsid w:val="00F114F9"/>
    <w:rsid w:val="00F117F3"/>
    <w:rsid w:val="00F11FDA"/>
    <w:rsid w:val="00F124D2"/>
    <w:rsid w:val="00F12BEA"/>
    <w:rsid w:val="00F12C4B"/>
    <w:rsid w:val="00F136B5"/>
    <w:rsid w:val="00F13A09"/>
    <w:rsid w:val="00F140C3"/>
    <w:rsid w:val="00F142E3"/>
    <w:rsid w:val="00F143AA"/>
    <w:rsid w:val="00F14D01"/>
    <w:rsid w:val="00F14F43"/>
    <w:rsid w:val="00F15018"/>
    <w:rsid w:val="00F15AAE"/>
    <w:rsid w:val="00F15F95"/>
    <w:rsid w:val="00F16206"/>
    <w:rsid w:val="00F165D6"/>
    <w:rsid w:val="00F169A9"/>
    <w:rsid w:val="00F169DB"/>
    <w:rsid w:val="00F169E6"/>
    <w:rsid w:val="00F20568"/>
    <w:rsid w:val="00F20971"/>
    <w:rsid w:val="00F21C6B"/>
    <w:rsid w:val="00F22435"/>
    <w:rsid w:val="00F224F5"/>
    <w:rsid w:val="00F22F71"/>
    <w:rsid w:val="00F233E3"/>
    <w:rsid w:val="00F23A19"/>
    <w:rsid w:val="00F24CFD"/>
    <w:rsid w:val="00F25E51"/>
    <w:rsid w:val="00F26340"/>
    <w:rsid w:val="00F2708D"/>
    <w:rsid w:val="00F2716B"/>
    <w:rsid w:val="00F273A9"/>
    <w:rsid w:val="00F27466"/>
    <w:rsid w:val="00F27F8F"/>
    <w:rsid w:val="00F301BA"/>
    <w:rsid w:val="00F3140E"/>
    <w:rsid w:val="00F325FA"/>
    <w:rsid w:val="00F330C7"/>
    <w:rsid w:val="00F338D2"/>
    <w:rsid w:val="00F33BD9"/>
    <w:rsid w:val="00F33E42"/>
    <w:rsid w:val="00F33F87"/>
    <w:rsid w:val="00F33FAA"/>
    <w:rsid w:val="00F35C8E"/>
    <w:rsid w:val="00F374E8"/>
    <w:rsid w:val="00F3797E"/>
    <w:rsid w:val="00F37B8D"/>
    <w:rsid w:val="00F40246"/>
    <w:rsid w:val="00F402BE"/>
    <w:rsid w:val="00F412F7"/>
    <w:rsid w:val="00F4166F"/>
    <w:rsid w:val="00F429B0"/>
    <w:rsid w:val="00F43D7E"/>
    <w:rsid w:val="00F440E4"/>
    <w:rsid w:val="00F4435D"/>
    <w:rsid w:val="00F444D9"/>
    <w:rsid w:val="00F445E7"/>
    <w:rsid w:val="00F44A93"/>
    <w:rsid w:val="00F45A10"/>
    <w:rsid w:val="00F45D8D"/>
    <w:rsid w:val="00F475F3"/>
    <w:rsid w:val="00F4761E"/>
    <w:rsid w:val="00F47AD7"/>
    <w:rsid w:val="00F47F34"/>
    <w:rsid w:val="00F500D2"/>
    <w:rsid w:val="00F507D9"/>
    <w:rsid w:val="00F50F54"/>
    <w:rsid w:val="00F51102"/>
    <w:rsid w:val="00F51BE8"/>
    <w:rsid w:val="00F51DF2"/>
    <w:rsid w:val="00F51E7B"/>
    <w:rsid w:val="00F529F0"/>
    <w:rsid w:val="00F52EAD"/>
    <w:rsid w:val="00F53057"/>
    <w:rsid w:val="00F5324F"/>
    <w:rsid w:val="00F53797"/>
    <w:rsid w:val="00F53A6E"/>
    <w:rsid w:val="00F5441A"/>
    <w:rsid w:val="00F54503"/>
    <w:rsid w:val="00F54651"/>
    <w:rsid w:val="00F550CB"/>
    <w:rsid w:val="00F55E28"/>
    <w:rsid w:val="00F566DD"/>
    <w:rsid w:val="00F568BC"/>
    <w:rsid w:val="00F56ED0"/>
    <w:rsid w:val="00F5725F"/>
    <w:rsid w:val="00F5736A"/>
    <w:rsid w:val="00F5752A"/>
    <w:rsid w:val="00F576D1"/>
    <w:rsid w:val="00F60753"/>
    <w:rsid w:val="00F61B74"/>
    <w:rsid w:val="00F62006"/>
    <w:rsid w:val="00F6253B"/>
    <w:rsid w:val="00F644B7"/>
    <w:rsid w:val="00F6479F"/>
    <w:rsid w:val="00F6484F"/>
    <w:rsid w:val="00F64D81"/>
    <w:rsid w:val="00F65EC3"/>
    <w:rsid w:val="00F66630"/>
    <w:rsid w:val="00F670FA"/>
    <w:rsid w:val="00F675EF"/>
    <w:rsid w:val="00F701F8"/>
    <w:rsid w:val="00F7079E"/>
    <w:rsid w:val="00F70832"/>
    <w:rsid w:val="00F7121E"/>
    <w:rsid w:val="00F7169F"/>
    <w:rsid w:val="00F71D6A"/>
    <w:rsid w:val="00F71E0B"/>
    <w:rsid w:val="00F71E50"/>
    <w:rsid w:val="00F7262A"/>
    <w:rsid w:val="00F727BD"/>
    <w:rsid w:val="00F72A9E"/>
    <w:rsid w:val="00F72B6E"/>
    <w:rsid w:val="00F73BD2"/>
    <w:rsid w:val="00F73D93"/>
    <w:rsid w:val="00F73E10"/>
    <w:rsid w:val="00F74314"/>
    <w:rsid w:val="00F745CE"/>
    <w:rsid w:val="00F748A8"/>
    <w:rsid w:val="00F75128"/>
    <w:rsid w:val="00F751B5"/>
    <w:rsid w:val="00F75B7F"/>
    <w:rsid w:val="00F75D5C"/>
    <w:rsid w:val="00F761B4"/>
    <w:rsid w:val="00F76781"/>
    <w:rsid w:val="00F76F2B"/>
    <w:rsid w:val="00F7740A"/>
    <w:rsid w:val="00F776D4"/>
    <w:rsid w:val="00F778B2"/>
    <w:rsid w:val="00F77D4D"/>
    <w:rsid w:val="00F77EDB"/>
    <w:rsid w:val="00F8022E"/>
    <w:rsid w:val="00F80681"/>
    <w:rsid w:val="00F80686"/>
    <w:rsid w:val="00F8105F"/>
    <w:rsid w:val="00F819C2"/>
    <w:rsid w:val="00F825D4"/>
    <w:rsid w:val="00F82900"/>
    <w:rsid w:val="00F82C37"/>
    <w:rsid w:val="00F831E8"/>
    <w:rsid w:val="00F8447E"/>
    <w:rsid w:val="00F84733"/>
    <w:rsid w:val="00F84EC7"/>
    <w:rsid w:val="00F853DA"/>
    <w:rsid w:val="00F85912"/>
    <w:rsid w:val="00F85D5C"/>
    <w:rsid w:val="00F86DD2"/>
    <w:rsid w:val="00F87876"/>
    <w:rsid w:val="00F87E97"/>
    <w:rsid w:val="00F87EDD"/>
    <w:rsid w:val="00F9170C"/>
    <w:rsid w:val="00F917FA"/>
    <w:rsid w:val="00F93797"/>
    <w:rsid w:val="00F94C63"/>
    <w:rsid w:val="00F95A76"/>
    <w:rsid w:val="00F9682B"/>
    <w:rsid w:val="00F96A8E"/>
    <w:rsid w:val="00F97B7B"/>
    <w:rsid w:val="00FA0022"/>
    <w:rsid w:val="00FA05A6"/>
    <w:rsid w:val="00FA1531"/>
    <w:rsid w:val="00FA27FC"/>
    <w:rsid w:val="00FA378A"/>
    <w:rsid w:val="00FA3A71"/>
    <w:rsid w:val="00FA3E0A"/>
    <w:rsid w:val="00FA4222"/>
    <w:rsid w:val="00FA4E4E"/>
    <w:rsid w:val="00FA5BE2"/>
    <w:rsid w:val="00FA5CF4"/>
    <w:rsid w:val="00FA62DF"/>
    <w:rsid w:val="00FA6B95"/>
    <w:rsid w:val="00FA6DE5"/>
    <w:rsid w:val="00FA7E9E"/>
    <w:rsid w:val="00FB0B43"/>
    <w:rsid w:val="00FB1ADF"/>
    <w:rsid w:val="00FB1B8F"/>
    <w:rsid w:val="00FB1D1A"/>
    <w:rsid w:val="00FB284F"/>
    <w:rsid w:val="00FB4342"/>
    <w:rsid w:val="00FB4688"/>
    <w:rsid w:val="00FB4700"/>
    <w:rsid w:val="00FB4885"/>
    <w:rsid w:val="00FB5696"/>
    <w:rsid w:val="00FB632A"/>
    <w:rsid w:val="00FB77EA"/>
    <w:rsid w:val="00FB783A"/>
    <w:rsid w:val="00FB78EE"/>
    <w:rsid w:val="00FB7B51"/>
    <w:rsid w:val="00FB7CAB"/>
    <w:rsid w:val="00FC0A63"/>
    <w:rsid w:val="00FC0CF0"/>
    <w:rsid w:val="00FC0F56"/>
    <w:rsid w:val="00FC167B"/>
    <w:rsid w:val="00FC1A20"/>
    <w:rsid w:val="00FC1B53"/>
    <w:rsid w:val="00FC25D5"/>
    <w:rsid w:val="00FC2AA0"/>
    <w:rsid w:val="00FC37A1"/>
    <w:rsid w:val="00FC4590"/>
    <w:rsid w:val="00FC482B"/>
    <w:rsid w:val="00FC485D"/>
    <w:rsid w:val="00FC4898"/>
    <w:rsid w:val="00FC48DE"/>
    <w:rsid w:val="00FC49EC"/>
    <w:rsid w:val="00FC4B03"/>
    <w:rsid w:val="00FC4DFA"/>
    <w:rsid w:val="00FC583D"/>
    <w:rsid w:val="00FC6815"/>
    <w:rsid w:val="00FC6A7D"/>
    <w:rsid w:val="00FC6ADD"/>
    <w:rsid w:val="00FC76D0"/>
    <w:rsid w:val="00FC792A"/>
    <w:rsid w:val="00FC79D2"/>
    <w:rsid w:val="00FC7D70"/>
    <w:rsid w:val="00FD05D6"/>
    <w:rsid w:val="00FD0637"/>
    <w:rsid w:val="00FD11C5"/>
    <w:rsid w:val="00FD2093"/>
    <w:rsid w:val="00FD2864"/>
    <w:rsid w:val="00FD2A4F"/>
    <w:rsid w:val="00FD2CAB"/>
    <w:rsid w:val="00FD2E05"/>
    <w:rsid w:val="00FD3B73"/>
    <w:rsid w:val="00FD3BB1"/>
    <w:rsid w:val="00FD3C37"/>
    <w:rsid w:val="00FD3C99"/>
    <w:rsid w:val="00FD4188"/>
    <w:rsid w:val="00FD41F0"/>
    <w:rsid w:val="00FD445F"/>
    <w:rsid w:val="00FD4577"/>
    <w:rsid w:val="00FD46AC"/>
    <w:rsid w:val="00FD474B"/>
    <w:rsid w:val="00FD5091"/>
    <w:rsid w:val="00FD6586"/>
    <w:rsid w:val="00FD6A8E"/>
    <w:rsid w:val="00FD716D"/>
    <w:rsid w:val="00FD73C3"/>
    <w:rsid w:val="00FD7560"/>
    <w:rsid w:val="00FD7B83"/>
    <w:rsid w:val="00FE014F"/>
    <w:rsid w:val="00FE062E"/>
    <w:rsid w:val="00FE22D3"/>
    <w:rsid w:val="00FE45BD"/>
    <w:rsid w:val="00FE4651"/>
    <w:rsid w:val="00FE497E"/>
    <w:rsid w:val="00FE4A68"/>
    <w:rsid w:val="00FE56BC"/>
    <w:rsid w:val="00FE5822"/>
    <w:rsid w:val="00FE5B10"/>
    <w:rsid w:val="00FE6958"/>
    <w:rsid w:val="00FE6AAC"/>
    <w:rsid w:val="00FE6C3B"/>
    <w:rsid w:val="00FE7245"/>
    <w:rsid w:val="00FF10C3"/>
    <w:rsid w:val="00FF127E"/>
    <w:rsid w:val="00FF1676"/>
    <w:rsid w:val="00FF1D93"/>
    <w:rsid w:val="00FF1DA7"/>
    <w:rsid w:val="00FF2399"/>
    <w:rsid w:val="00FF2408"/>
    <w:rsid w:val="00FF26D2"/>
    <w:rsid w:val="00FF26FB"/>
    <w:rsid w:val="00FF2CAC"/>
    <w:rsid w:val="00FF319E"/>
    <w:rsid w:val="00FF32A7"/>
    <w:rsid w:val="00FF34BE"/>
    <w:rsid w:val="00FF36EA"/>
    <w:rsid w:val="00FF3D04"/>
    <w:rsid w:val="00FF4E53"/>
    <w:rsid w:val="00FF513F"/>
    <w:rsid w:val="00FF55E0"/>
    <w:rsid w:val="00FF60D9"/>
    <w:rsid w:val="00FF6CAB"/>
    <w:rsid w:val="00FF7508"/>
    <w:rsid w:val="00FF76F6"/>
    <w:rsid w:val="08343995"/>
    <w:rsid w:val="0DA63540"/>
    <w:rsid w:val="30723C5F"/>
    <w:rsid w:val="403B36D6"/>
    <w:rsid w:val="62686A4D"/>
    <w:rsid w:val="6E0E333F"/>
    <w:rsid w:val="70EF759B"/>
    <w:rsid w:val="7597252E"/>
    <w:rsid w:val="797276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iPriority="1" w:semiHidden="0" w:name="heading 4"/>
    <w:lsdException w:qFormat="1" w:uiPriority="9" w:semiHidden="0" w:name="heading 5"/>
    <w:lsdException w:qFormat="1" w:unhideWhenUsed="0" w:uiPriority="1" w:semiHidden="0" w:name="heading 6"/>
    <w:lsdException w:qFormat="1" w:unhideWhenUsed="0" w:uiPriority="1"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qFormat="1"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iPriority="99"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99" w:semiHidden="0" w:name="Body Text First Indent"/>
    <w:lsdException w:qFormat="1" w:uiPriority="99" w:semiHidden="0" w:name="Body Text First Indent 2"/>
    <w:lsdException w:uiPriority="99" w:name="Note Heading"/>
    <w:lsdException w:uiPriority="99" w:name="Body Text 2"/>
    <w:lsdException w:qFormat="1" w:unhideWhenUsed="0" w:uiPriority="0" w:semiHidden="0" w:name="Body Text 3"/>
    <w:lsdException w:qFormat="1" w:unhideWhenUsed="0" w:uiPriority="99" w:semiHidden="0" w:name="Body Text Indent 2"/>
    <w:lsdException w:qFormat="1" w:uiPriority="99" w:semiHidden="0"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qFormat="1" w:uiPriority="99"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6">
    <w:name w:val="heading 1"/>
    <w:basedOn w:val="1"/>
    <w:next w:val="1"/>
    <w:link w:val="51"/>
    <w:qFormat/>
    <w:uiPriority w:val="9"/>
    <w:pPr>
      <w:keepNext/>
      <w:keepLines/>
      <w:spacing w:before="340" w:after="330" w:line="578" w:lineRule="auto"/>
      <w:outlineLvl w:val="0"/>
    </w:pPr>
    <w:rPr>
      <w:b/>
      <w:bCs/>
      <w:kern w:val="44"/>
      <w:sz w:val="44"/>
      <w:szCs w:val="44"/>
    </w:rPr>
  </w:style>
  <w:style w:type="paragraph" w:styleId="7">
    <w:name w:val="heading 2"/>
    <w:basedOn w:val="1"/>
    <w:next w:val="1"/>
    <w:link w:val="52"/>
    <w:unhideWhenUsed/>
    <w:qFormat/>
    <w:uiPriority w:val="9"/>
    <w:pPr>
      <w:keepNext/>
      <w:keepLines/>
      <w:spacing w:before="260" w:after="260" w:line="416" w:lineRule="auto"/>
      <w:outlineLvl w:val="1"/>
    </w:pPr>
    <w:rPr>
      <w:rFonts w:ascii="Cambria" w:hAnsi="Cambria"/>
      <w:b/>
      <w:bCs/>
      <w:sz w:val="32"/>
      <w:szCs w:val="32"/>
    </w:rPr>
  </w:style>
  <w:style w:type="paragraph" w:styleId="8">
    <w:name w:val="heading 3"/>
    <w:next w:val="1"/>
    <w:link w:val="48"/>
    <w:autoRedefine/>
    <w:qFormat/>
    <w:uiPriority w:val="9"/>
    <w:pPr>
      <w:tabs>
        <w:tab w:val="left" w:pos="240"/>
        <w:tab w:val="left" w:pos="720"/>
      </w:tabs>
      <w:adjustRightInd w:val="0"/>
      <w:snapToGrid w:val="0"/>
      <w:spacing w:before="120" w:after="120" w:line="360" w:lineRule="auto"/>
      <w:outlineLvl w:val="2"/>
    </w:pPr>
    <w:rPr>
      <w:rFonts w:ascii="Calibri" w:hAnsi="Calibri" w:eastAsiaTheme="minorEastAsia" w:cstheme="minorBidi"/>
      <w:b/>
      <w:bCs/>
      <w:kern w:val="44"/>
      <w:sz w:val="28"/>
      <w:szCs w:val="32"/>
      <w:lang w:val="en-US" w:eastAsia="zh-CN" w:bidi="ar-SA"/>
    </w:rPr>
  </w:style>
  <w:style w:type="paragraph" w:styleId="9">
    <w:name w:val="heading 4"/>
    <w:basedOn w:val="1"/>
    <w:next w:val="1"/>
    <w:link w:val="53"/>
    <w:unhideWhenUsed/>
    <w:qFormat/>
    <w:uiPriority w:val="1"/>
    <w:pPr>
      <w:keepNext/>
      <w:keepLines/>
      <w:spacing w:before="280" w:after="290" w:line="376" w:lineRule="auto"/>
      <w:outlineLvl w:val="3"/>
    </w:pPr>
    <w:rPr>
      <w:rFonts w:ascii="Cambria" w:hAnsi="Cambria"/>
      <w:b/>
      <w:bCs/>
      <w:sz w:val="28"/>
      <w:szCs w:val="28"/>
    </w:rPr>
  </w:style>
  <w:style w:type="paragraph" w:styleId="10">
    <w:name w:val="heading 5"/>
    <w:basedOn w:val="1"/>
    <w:next w:val="1"/>
    <w:link w:val="54"/>
    <w:unhideWhenUsed/>
    <w:qFormat/>
    <w:uiPriority w:val="9"/>
    <w:pPr>
      <w:keepNext/>
      <w:keepLines/>
      <w:spacing w:before="280" w:after="290" w:line="376" w:lineRule="auto"/>
      <w:outlineLvl w:val="4"/>
    </w:pPr>
    <w:rPr>
      <w:b/>
      <w:bCs/>
      <w:sz w:val="28"/>
      <w:szCs w:val="28"/>
    </w:rPr>
  </w:style>
  <w:style w:type="paragraph" w:styleId="11">
    <w:name w:val="heading 6"/>
    <w:basedOn w:val="1"/>
    <w:next w:val="1"/>
    <w:link w:val="55"/>
    <w:qFormat/>
    <w:uiPriority w:val="1"/>
    <w:pPr>
      <w:autoSpaceDE w:val="0"/>
      <w:autoSpaceDN w:val="0"/>
      <w:adjustRightInd w:val="0"/>
      <w:spacing w:before="25"/>
      <w:ind w:left="250"/>
      <w:jc w:val="left"/>
      <w:outlineLvl w:val="5"/>
    </w:pPr>
    <w:rPr>
      <w:rFonts w:ascii="宋体" w:cs="宋体"/>
      <w:kern w:val="0"/>
      <w:sz w:val="25"/>
      <w:szCs w:val="25"/>
    </w:rPr>
  </w:style>
  <w:style w:type="paragraph" w:styleId="12">
    <w:name w:val="heading 7"/>
    <w:basedOn w:val="1"/>
    <w:next w:val="1"/>
    <w:link w:val="56"/>
    <w:qFormat/>
    <w:uiPriority w:val="1"/>
    <w:pPr>
      <w:autoSpaceDE w:val="0"/>
      <w:autoSpaceDN w:val="0"/>
      <w:adjustRightInd w:val="0"/>
      <w:spacing w:before="10"/>
      <w:jc w:val="left"/>
      <w:outlineLvl w:val="6"/>
    </w:pPr>
    <w:rPr>
      <w:rFonts w:ascii="Courier New" w:hAnsi="Courier New" w:cs="Courier New"/>
      <w:i/>
      <w:iCs/>
      <w:kern w:val="0"/>
      <w:sz w:val="25"/>
      <w:szCs w:val="25"/>
    </w:rPr>
  </w:style>
  <w:style w:type="character" w:default="1" w:styleId="42">
    <w:name w:val="Default Paragraph Font"/>
    <w:semiHidden/>
    <w:unhideWhenUsed/>
    <w:uiPriority w:val="1"/>
  </w:style>
  <w:style w:type="table" w:default="1" w:styleId="39">
    <w:name w:val="Normal Table"/>
    <w:semiHidden/>
    <w:unhideWhenUsed/>
    <w:uiPriority w:val="99"/>
    <w:tblPr>
      <w:tblCellMar>
        <w:top w:w="0" w:type="dxa"/>
        <w:left w:w="108" w:type="dxa"/>
        <w:bottom w:w="0" w:type="dxa"/>
        <w:right w:w="108" w:type="dxa"/>
      </w:tblCellMar>
    </w:tblPr>
  </w:style>
  <w:style w:type="paragraph" w:styleId="2">
    <w:name w:val="Body Text First Indent 2"/>
    <w:basedOn w:val="3"/>
    <w:next w:val="5"/>
    <w:link w:val="262"/>
    <w:autoRedefine/>
    <w:unhideWhenUsed/>
    <w:qFormat/>
    <w:uiPriority w:val="99"/>
    <w:pPr>
      <w:ind w:firstLine="420" w:firstLineChars="200"/>
    </w:pPr>
    <w:rPr>
      <w:szCs w:val="21"/>
    </w:rPr>
  </w:style>
  <w:style w:type="paragraph" w:styleId="3">
    <w:name w:val="Body Text Indent"/>
    <w:basedOn w:val="1"/>
    <w:next w:val="4"/>
    <w:link w:val="116"/>
    <w:unhideWhenUsed/>
    <w:qFormat/>
    <w:uiPriority w:val="99"/>
    <w:pPr>
      <w:spacing w:after="120"/>
      <w:ind w:left="420" w:leftChars="200"/>
    </w:pPr>
  </w:style>
  <w:style w:type="paragraph" w:styleId="4">
    <w:name w:val="Body Text Indent 2"/>
    <w:basedOn w:val="1"/>
    <w:link w:val="58"/>
    <w:qFormat/>
    <w:uiPriority w:val="99"/>
    <w:pPr>
      <w:spacing w:after="120" w:line="480" w:lineRule="auto"/>
      <w:ind w:left="420" w:leftChars="200"/>
    </w:pPr>
    <w:rPr>
      <w:rFonts w:asciiTheme="minorHAnsi" w:hAnsiTheme="minorHAnsi" w:eastAsiaTheme="minorEastAsia" w:cstheme="minorBidi"/>
      <w:szCs w:val="24"/>
    </w:rPr>
  </w:style>
  <w:style w:type="paragraph" w:customStyle="1" w:styleId="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13">
    <w:name w:val="List 3"/>
    <w:basedOn w:val="1"/>
    <w:unhideWhenUsed/>
    <w:qFormat/>
    <w:uiPriority w:val="99"/>
    <w:pPr>
      <w:ind w:left="100" w:leftChars="400" w:hanging="200" w:hangingChars="200"/>
      <w:contextualSpacing/>
    </w:pPr>
  </w:style>
  <w:style w:type="paragraph" w:styleId="14">
    <w:name w:val="toc 7"/>
    <w:basedOn w:val="1"/>
    <w:next w:val="1"/>
    <w:autoRedefine/>
    <w:unhideWhenUsed/>
    <w:qFormat/>
    <w:uiPriority w:val="39"/>
    <w:pPr>
      <w:ind w:left="1260"/>
      <w:jc w:val="left"/>
    </w:pPr>
    <w:rPr>
      <w:rFonts w:ascii="Calibri" w:hAnsi="Calibri" w:cs="Calibri"/>
      <w:sz w:val="18"/>
      <w:szCs w:val="18"/>
    </w:rPr>
  </w:style>
  <w:style w:type="paragraph" w:styleId="15">
    <w:name w:val="Normal Indent"/>
    <w:basedOn w:val="1"/>
    <w:link w:val="68"/>
    <w:autoRedefine/>
    <w:unhideWhenUsed/>
    <w:qFormat/>
    <w:uiPriority w:val="0"/>
    <w:pPr>
      <w:spacing w:line="360" w:lineRule="auto"/>
      <w:ind w:firstLine="420" w:firstLineChars="200"/>
    </w:pPr>
    <w:rPr>
      <w:sz w:val="24"/>
      <w:szCs w:val="22"/>
    </w:rPr>
  </w:style>
  <w:style w:type="paragraph" w:styleId="16">
    <w:name w:val="caption"/>
    <w:basedOn w:val="1"/>
    <w:next w:val="1"/>
    <w:link w:val="270"/>
    <w:qFormat/>
    <w:uiPriority w:val="35"/>
    <w:rPr>
      <w:rFonts w:ascii="Arial" w:hAnsi="Arial" w:eastAsia="黑体" w:cs="Arial"/>
      <w:sz w:val="20"/>
    </w:rPr>
  </w:style>
  <w:style w:type="paragraph" w:styleId="17">
    <w:name w:val="Document Map"/>
    <w:basedOn w:val="1"/>
    <w:link w:val="89"/>
    <w:unhideWhenUsed/>
    <w:qFormat/>
    <w:uiPriority w:val="99"/>
    <w:rPr>
      <w:rFonts w:ascii="宋体"/>
      <w:sz w:val="18"/>
      <w:szCs w:val="18"/>
    </w:rPr>
  </w:style>
  <w:style w:type="paragraph" w:styleId="18">
    <w:name w:val="annotation text"/>
    <w:basedOn w:val="1"/>
    <w:link w:val="117"/>
    <w:unhideWhenUsed/>
    <w:qFormat/>
    <w:uiPriority w:val="0"/>
    <w:pPr>
      <w:spacing w:line="360" w:lineRule="auto"/>
      <w:ind w:firstLine="200" w:firstLineChars="200"/>
      <w:jc w:val="left"/>
    </w:pPr>
    <w:rPr>
      <w:sz w:val="24"/>
      <w:szCs w:val="22"/>
    </w:rPr>
  </w:style>
  <w:style w:type="paragraph" w:styleId="19">
    <w:name w:val="Body Text 3"/>
    <w:basedOn w:val="1"/>
    <w:link w:val="203"/>
    <w:qFormat/>
    <w:uiPriority w:val="0"/>
    <w:pPr>
      <w:spacing w:after="120"/>
    </w:pPr>
    <w:rPr>
      <w:sz w:val="16"/>
      <w:szCs w:val="16"/>
    </w:rPr>
  </w:style>
  <w:style w:type="paragraph" w:styleId="20">
    <w:name w:val="Body Text"/>
    <w:basedOn w:val="1"/>
    <w:link w:val="65"/>
    <w:unhideWhenUsed/>
    <w:qFormat/>
    <w:uiPriority w:val="0"/>
    <w:pPr>
      <w:spacing w:after="120"/>
    </w:pPr>
  </w:style>
  <w:style w:type="paragraph" w:styleId="21">
    <w:name w:val="toc 5"/>
    <w:basedOn w:val="1"/>
    <w:next w:val="1"/>
    <w:unhideWhenUsed/>
    <w:qFormat/>
    <w:uiPriority w:val="39"/>
    <w:pPr>
      <w:ind w:left="840"/>
      <w:jc w:val="left"/>
    </w:pPr>
    <w:rPr>
      <w:rFonts w:ascii="Calibri" w:hAnsi="Calibri" w:cs="Calibri"/>
      <w:sz w:val="18"/>
      <w:szCs w:val="18"/>
    </w:rPr>
  </w:style>
  <w:style w:type="paragraph" w:styleId="22">
    <w:name w:val="toc 3"/>
    <w:basedOn w:val="1"/>
    <w:next w:val="1"/>
    <w:unhideWhenUsed/>
    <w:qFormat/>
    <w:uiPriority w:val="39"/>
    <w:pPr>
      <w:ind w:left="420"/>
      <w:jc w:val="left"/>
    </w:pPr>
    <w:rPr>
      <w:rFonts w:ascii="Calibri" w:hAnsi="Calibri" w:cs="Calibri"/>
      <w:i/>
      <w:iCs/>
      <w:sz w:val="20"/>
    </w:rPr>
  </w:style>
  <w:style w:type="paragraph" w:styleId="23">
    <w:name w:val="Plain Text"/>
    <w:basedOn w:val="1"/>
    <w:link w:val="85"/>
    <w:autoRedefine/>
    <w:qFormat/>
    <w:uiPriority w:val="0"/>
    <w:pPr>
      <w:widowControl/>
      <w:jc w:val="left"/>
    </w:pPr>
    <w:rPr>
      <w:rFonts w:ascii="宋体" w:hAnsi="Courier New"/>
      <w:color w:val="000000"/>
      <w:kern w:val="0"/>
      <w:sz w:val="20"/>
    </w:rPr>
  </w:style>
  <w:style w:type="paragraph" w:styleId="24">
    <w:name w:val="toc 8"/>
    <w:basedOn w:val="1"/>
    <w:next w:val="1"/>
    <w:unhideWhenUsed/>
    <w:qFormat/>
    <w:uiPriority w:val="39"/>
    <w:pPr>
      <w:ind w:left="1470"/>
      <w:jc w:val="left"/>
    </w:pPr>
    <w:rPr>
      <w:rFonts w:ascii="Calibri" w:hAnsi="Calibri" w:cs="Calibri"/>
      <w:sz w:val="18"/>
      <w:szCs w:val="18"/>
    </w:rPr>
  </w:style>
  <w:style w:type="paragraph" w:styleId="25">
    <w:name w:val="Date"/>
    <w:basedOn w:val="1"/>
    <w:next w:val="1"/>
    <w:link w:val="257"/>
    <w:autoRedefine/>
    <w:unhideWhenUsed/>
    <w:qFormat/>
    <w:uiPriority w:val="99"/>
    <w:pPr>
      <w:ind w:left="100" w:leftChars="2500"/>
    </w:pPr>
  </w:style>
  <w:style w:type="paragraph" w:styleId="26">
    <w:name w:val="Balloon Text"/>
    <w:basedOn w:val="1"/>
    <w:link w:val="63"/>
    <w:unhideWhenUsed/>
    <w:qFormat/>
    <w:uiPriority w:val="0"/>
    <w:rPr>
      <w:sz w:val="18"/>
      <w:szCs w:val="18"/>
    </w:rPr>
  </w:style>
  <w:style w:type="paragraph" w:styleId="27">
    <w:name w:val="footer"/>
    <w:basedOn w:val="1"/>
    <w:link w:val="50"/>
    <w:unhideWhenUsed/>
    <w:qFormat/>
    <w:uiPriority w:val="99"/>
    <w:pPr>
      <w:tabs>
        <w:tab w:val="center" w:pos="4153"/>
        <w:tab w:val="right" w:pos="8306"/>
      </w:tabs>
      <w:snapToGrid w:val="0"/>
      <w:jc w:val="left"/>
    </w:pPr>
    <w:rPr>
      <w:sz w:val="18"/>
      <w:szCs w:val="18"/>
    </w:rPr>
  </w:style>
  <w:style w:type="paragraph" w:styleId="28">
    <w:name w:val="header"/>
    <w:basedOn w:val="1"/>
    <w:link w:val="49"/>
    <w:unhideWhenUsed/>
    <w:qFormat/>
    <w:uiPriority w:val="99"/>
    <w:pPr>
      <w:pBdr>
        <w:bottom w:val="single" w:color="auto" w:sz="6" w:space="1"/>
      </w:pBdr>
      <w:tabs>
        <w:tab w:val="center" w:pos="4153"/>
        <w:tab w:val="right" w:pos="8306"/>
      </w:tabs>
      <w:snapToGrid w:val="0"/>
      <w:jc w:val="center"/>
    </w:pPr>
    <w:rPr>
      <w:sz w:val="18"/>
      <w:szCs w:val="18"/>
    </w:rPr>
  </w:style>
  <w:style w:type="paragraph" w:styleId="29">
    <w:name w:val="toc 1"/>
    <w:basedOn w:val="1"/>
    <w:next w:val="1"/>
    <w:unhideWhenUsed/>
    <w:qFormat/>
    <w:uiPriority w:val="39"/>
    <w:pPr>
      <w:spacing w:before="120" w:after="120"/>
      <w:jc w:val="left"/>
    </w:pPr>
    <w:rPr>
      <w:rFonts w:ascii="Calibri" w:hAnsi="Calibri" w:cs="Calibri"/>
      <w:b/>
      <w:bCs/>
      <w:caps/>
      <w:sz w:val="20"/>
    </w:rPr>
  </w:style>
  <w:style w:type="paragraph" w:styleId="30">
    <w:name w:val="toc 4"/>
    <w:basedOn w:val="1"/>
    <w:next w:val="1"/>
    <w:autoRedefine/>
    <w:unhideWhenUsed/>
    <w:qFormat/>
    <w:uiPriority w:val="39"/>
    <w:pPr>
      <w:ind w:left="630"/>
      <w:jc w:val="left"/>
    </w:pPr>
    <w:rPr>
      <w:rFonts w:ascii="Calibri" w:hAnsi="Calibri" w:cs="Calibri"/>
      <w:sz w:val="18"/>
      <w:szCs w:val="18"/>
    </w:rPr>
  </w:style>
  <w:style w:type="paragraph" w:styleId="31">
    <w:name w:val="toc 6"/>
    <w:basedOn w:val="1"/>
    <w:next w:val="1"/>
    <w:unhideWhenUsed/>
    <w:qFormat/>
    <w:uiPriority w:val="39"/>
    <w:pPr>
      <w:ind w:left="1050"/>
      <w:jc w:val="left"/>
    </w:pPr>
    <w:rPr>
      <w:rFonts w:ascii="Calibri" w:hAnsi="Calibri" w:cs="Calibri"/>
      <w:sz w:val="18"/>
      <w:szCs w:val="18"/>
    </w:rPr>
  </w:style>
  <w:style w:type="paragraph" w:styleId="32">
    <w:name w:val="Body Text Indent 3"/>
    <w:basedOn w:val="1"/>
    <w:link w:val="78"/>
    <w:unhideWhenUsed/>
    <w:qFormat/>
    <w:uiPriority w:val="99"/>
    <w:pPr>
      <w:spacing w:after="120"/>
      <w:ind w:left="420" w:leftChars="200"/>
    </w:pPr>
    <w:rPr>
      <w:sz w:val="16"/>
      <w:szCs w:val="16"/>
    </w:rPr>
  </w:style>
  <w:style w:type="paragraph" w:styleId="33">
    <w:name w:val="index 9"/>
    <w:basedOn w:val="1"/>
    <w:next w:val="1"/>
    <w:qFormat/>
    <w:uiPriority w:val="0"/>
    <w:pPr>
      <w:widowControl/>
      <w:ind w:left="1600" w:leftChars="1600"/>
      <w:jc w:val="left"/>
    </w:pPr>
    <w:rPr>
      <w:color w:val="000000"/>
      <w:kern w:val="0"/>
      <w:sz w:val="24"/>
      <w:szCs w:val="24"/>
    </w:rPr>
  </w:style>
  <w:style w:type="paragraph" w:styleId="34">
    <w:name w:val="toc 2"/>
    <w:basedOn w:val="1"/>
    <w:next w:val="1"/>
    <w:unhideWhenUsed/>
    <w:qFormat/>
    <w:uiPriority w:val="39"/>
    <w:pPr>
      <w:tabs>
        <w:tab w:val="left" w:pos="840"/>
        <w:tab w:val="right" w:leader="dot" w:pos="8296"/>
      </w:tabs>
      <w:ind w:left="210"/>
      <w:jc w:val="left"/>
    </w:pPr>
    <w:rPr>
      <w:rFonts w:ascii="Calibri" w:hAnsi="Calibri" w:cs="Calibri"/>
      <w:smallCaps/>
      <w:sz w:val="20"/>
    </w:rPr>
  </w:style>
  <w:style w:type="paragraph" w:styleId="35">
    <w:name w:val="toc 9"/>
    <w:basedOn w:val="1"/>
    <w:next w:val="1"/>
    <w:unhideWhenUsed/>
    <w:qFormat/>
    <w:uiPriority w:val="39"/>
    <w:pPr>
      <w:ind w:left="1680"/>
      <w:jc w:val="left"/>
    </w:pPr>
    <w:rPr>
      <w:rFonts w:ascii="Calibri" w:hAnsi="Calibri" w:cs="Calibri"/>
      <w:sz w:val="18"/>
      <w:szCs w:val="18"/>
    </w:rPr>
  </w:style>
  <w:style w:type="paragraph" w:styleId="36">
    <w:name w:val="Normal (Web)"/>
    <w:basedOn w:val="1"/>
    <w:link w:val="272"/>
    <w:autoRedefine/>
    <w:unhideWhenUsed/>
    <w:qFormat/>
    <w:uiPriority w:val="99"/>
    <w:pPr>
      <w:widowControl/>
      <w:spacing w:before="100" w:beforeAutospacing="1" w:after="100" w:afterAutospacing="1" w:line="360" w:lineRule="auto"/>
      <w:ind w:firstLine="200" w:firstLineChars="200"/>
      <w:jc w:val="left"/>
    </w:pPr>
    <w:rPr>
      <w:rFonts w:ascii="宋体" w:hAnsi="宋体" w:cs="宋体"/>
      <w:kern w:val="0"/>
      <w:sz w:val="24"/>
      <w:szCs w:val="24"/>
    </w:rPr>
  </w:style>
  <w:style w:type="paragraph" w:styleId="37">
    <w:name w:val="annotation subject"/>
    <w:basedOn w:val="18"/>
    <w:next w:val="18"/>
    <w:link w:val="171"/>
    <w:unhideWhenUsed/>
    <w:qFormat/>
    <w:uiPriority w:val="99"/>
    <w:pPr>
      <w:spacing w:line="240" w:lineRule="auto"/>
      <w:ind w:firstLine="0" w:firstLineChars="0"/>
    </w:pPr>
    <w:rPr>
      <w:b/>
      <w:bCs/>
      <w:sz w:val="21"/>
      <w:szCs w:val="20"/>
    </w:rPr>
  </w:style>
  <w:style w:type="paragraph" w:styleId="38">
    <w:name w:val="Body Text First Indent"/>
    <w:basedOn w:val="20"/>
    <w:link w:val="293"/>
    <w:unhideWhenUsed/>
    <w:qFormat/>
    <w:uiPriority w:val="99"/>
    <w:pPr>
      <w:spacing w:line="360" w:lineRule="auto"/>
      <w:ind w:firstLine="420" w:firstLineChars="100"/>
    </w:pPr>
    <w:rPr>
      <w:rFonts w:asciiTheme="minorHAnsi" w:hAnsiTheme="minorHAnsi" w:cstheme="minorBidi"/>
      <w:sz w:val="24"/>
      <w:szCs w:val="21"/>
    </w:rPr>
  </w:style>
  <w:style w:type="table" w:styleId="40">
    <w:name w:val="Table Grid"/>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Theme"/>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character" w:styleId="43">
    <w:name w:val="Strong"/>
    <w:basedOn w:val="42"/>
    <w:qFormat/>
    <w:uiPriority w:val="22"/>
    <w:rPr>
      <w:b/>
      <w:bCs/>
    </w:rPr>
  </w:style>
  <w:style w:type="character" w:styleId="44">
    <w:name w:val="page number"/>
    <w:qFormat/>
    <w:uiPriority w:val="0"/>
  </w:style>
  <w:style w:type="character" w:styleId="45">
    <w:name w:val="FollowedHyperlink"/>
    <w:autoRedefine/>
    <w:unhideWhenUsed/>
    <w:qFormat/>
    <w:uiPriority w:val="99"/>
    <w:rPr>
      <w:color w:val="800080"/>
      <w:u w:val="single"/>
    </w:rPr>
  </w:style>
  <w:style w:type="character" w:styleId="46">
    <w:name w:val="Hyperlink"/>
    <w:autoRedefine/>
    <w:unhideWhenUsed/>
    <w:qFormat/>
    <w:uiPriority w:val="99"/>
    <w:rPr>
      <w:color w:val="0000FF"/>
      <w:u w:val="single"/>
    </w:rPr>
  </w:style>
  <w:style w:type="character" w:styleId="47">
    <w:name w:val="annotation reference"/>
    <w:autoRedefine/>
    <w:unhideWhenUsed/>
    <w:qFormat/>
    <w:uiPriority w:val="99"/>
    <w:rPr>
      <w:sz w:val="21"/>
      <w:szCs w:val="21"/>
    </w:rPr>
  </w:style>
  <w:style w:type="character" w:customStyle="1" w:styleId="48">
    <w:name w:val="标题 3 字符1"/>
    <w:link w:val="8"/>
    <w:autoRedefine/>
    <w:qFormat/>
    <w:uiPriority w:val="9"/>
    <w:rPr>
      <w:rFonts w:ascii="Calibri" w:hAnsi="Calibri"/>
      <w:b/>
      <w:bCs/>
      <w:kern w:val="44"/>
      <w:sz w:val="28"/>
      <w:szCs w:val="32"/>
    </w:rPr>
  </w:style>
  <w:style w:type="character" w:customStyle="1" w:styleId="49">
    <w:name w:val="页眉 字符"/>
    <w:basedOn w:val="42"/>
    <w:link w:val="28"/>
    <w:autoRedefine/>
    <w:qFormat/>
    <w:uiPriority w:val="99"/>
    <w:rPr>
      <w:sz w:val="18"/>
      <w:szCs w:val="18"/>
    </w:rPr>
  </w:style>
  <w:style w:type="character" w:customStyle="1" w:styleId="50">
    <w:name w:val="页脚 字符"/>
    <w:basedOn w:val="42"/>
    <w:link w:val="27"/>
    <w:autoRedefine/>
    <w:qFormat/>
    <w:uiPriority w:val="99"/>
    <w:rPr>
      <w:sz w:val="18"/>
      <w:szCs w:val="18"/>
    </w:rPr>
  </w:style>
  <w:style w:type="character" w:customStyle="1" w:styleId="51">
    <w:name w:val="标题 1 字符1"/>
    <w:basedOn w:val="42"/>
    <w:link w:val="6"/>
    <w:autoRedefine/>
    <w:qFormat/>
    <w:uiPriority w:val="9"/>
    <w:rPr>
      <w:rFonts w:ascii="Times New Roman" w:hAnsi="Times New Roman" w:eastAsia="宋体" w:cs="Times New Roman"/>
      <w:b/>
      <w:bCs/>
      <w:kern w:val="44"/>
      <w:sz w:val="44"/>
      <w:szCs w:val="44"/>
    </w:rPr>
  </w:style>
  <w:style w:type="character" w:customStyle="1" w:styleId="52">
    <w:name w:val="标题 2 字符1"/>
    <w:basedOn w:val="42"/>
    <w:link w:val="7"/>
    <w:autoRedefine/>
    <w:qFormat/>
    <w:uiPriority w:val="9"/>
    <w:rPr>
      <w:rFonts w:ascii="Cambria" w:hAnsi="Cambria" w:eastAsia="宋体" w:cs="Times New Roman"/>
      <w:b/>
      <w:bCs/>
      <w:sz w:val="32"/>
      <w:szCs w:val="32"/>
    </w:rPr>
  </w:style>
  <w:style w:type="character" w:customStyle="1" w:styleId="53">
    <w:name w:val="标题 4 字符"/>
    <w:basedOn w:val="42"/>
    <w:link w:val="9"/>
    <w:autoRedefine/>
    <w:qFormat/>
    <w:uiPriority w:val="1"/>
    <w:rPr>
      <w:rFonts w:ascii="Cambria" w:hAnsi="Cambria" w:eastAsia="宋体" w:cs="Times New Roman"/>
      <w:b/>
      <w:bCs/>
      <w:sz w:val="28"/>
      <w:szCs w:val="28"/>
    </w:rPr>
  </w:style>
  <w:style w:type="character" w:customStyle="1" w:styleId="54">
    <w:name w:val="标题 5 字符1"/>
    <w:basedOn w:val="42"/>
    <w:link w:val="10"/>
    <w:autoRedefine/>
    <w:qFormat/>
    <w:uiPriority w:val="9"/>
    <w:rPr>
      <w:rFonts w:ascii="Times New Roman" w:hAnsi="Times New Roman" w:eastAsia="宋体" w:cs="Times New Roman"/>
      <w:b/>
      <w:bCs/>
      <w:sz w:val="28"/>
      <w:szCs w:val="28"/>
    </w:rPr>
  </w:style>
  <w:style w:type="character" w:customStyle="1" w:styleId="55">
    <w:name w:val="标题 6 字符"/>
    <w:basedOn w:val="42"/>
    <w:link w:val="11"/>
    <w:autoRedefine/>
    <w:qFormat/>
    <w:uiPriority w:val="1"/>
    <w:rPr>
      <w:rFonts w:ascii="宋体" w:hAnsi="Times New Roman" w:eastAsia="宋体" w:cs="宋体"/>
      <w:kern w:val="0"/>
      <w:sz w:val="25"/>
      <w:szCs w:val="25"/>
    </w:rPr>
  </w:style>
  <w:style w:type="character" w:customStyle="1" w:styleId="56">
    <w:name w:val="标题 7 字符"/>
    <w:basedOn w:val="42"/>
    <w:link w:val="12"/>
    <w:autoRedefine/>
    <w:qFormat/>
    <w:uiPriority w:val="1"/>
    <w:rPr>
      <w:rFonts w:ascii="Courier New" w:hAnsi="Courier New" w:eastAsia="宋体" w:cs="Courier New"/>
      <w:i/>
      <w:iCs/>
      <w:kern w:val="0"/>
      <w:sz w:val="25"/>
      <w:szCs w:val="25"/>
    </w:rPr>
  </w:style>
  <w:style w:type="paragraph" w:customStyle="1" w:styleId="57">
    <w:name w:val="Char1 Char Char Char Char Char"/>
    <w:basedOn w:val="1"/>
    <w:autoRedefine/>
    <w:qFormat/>
    <w:uiPriority w:val="0"/>
    <w:pPr>
      <w:spacing w:line="360" w:lineRule="auto"/>
      <w:ind w:firstLine="200" w:firstLineChars="200"/>
    </w:pPr>
    <w:rPr>
      <w:rFonts w:ascii="宋体" w:hAnsi="宋体" w:cs="宋体"/>
      <w:sz w:val="24"/>
      <w:szCs w:val="24"/>
    </w:rPr>
  </w:style>
  <w:style w:type="character" w:customStyle="1" w:styleId="58">
    <w:name w:val="正文文本缩进 2 字符1"/>
    <w:link w:val="4"/>
    <w:autoRedefine/>
    <w:qFormat/>
    <w:uiPriority w:val="99"/>
    <w:rPr>
      <w:szCs w:val="24"/>
    </w:rPr>
  </w:style>
  <w:style w:type="character" w:customStyle="1" w:styleId="59">
    <w:name w:val="正文文本缩进 2 Char1"/>
    <w:basedOn w:val="42"/>
    <w:autoRedefine/>
    <w:semiHidden/>
    <w:qFormat/>
    <w:uiPriority w:val="99"/>
    <w:rPr>
      <w:rFonts w:ascii="Times New Roman" w:hAnsi="Times New Roman" w:eastAsia="宋体" w:cs="Times New Roman"/>
      <w:szCs w:val="20"/>
    </w:rPr>
  </w:style>
  <w:style w:type="paragraph" w:customStyle="1" w:styleId="60">
    <w:name w:val="样式 标题 1 + (中文) 宋体 小三 行距: 多倍行距 1.35 字行"/>
    <w:basedOn w:val="6"/>
    <w:autoRedefine/>
    <w:qFormat/>
    <w:uiPriority w:val="0"/>
    <w:pPr>
      <w:tabs>
        <w:tab w:val="left" w:pos="432"/>
      </w:tabs>
      <w:snapToGrid w:val="0"/>
      <w:spacing w:before="50" w:after="50" w:line="360" w:lineRule="auto"/>
      <w:ind w:left="432" w:hanging="432"/>
    </w:pPr>
    <w:rPr>
      <w:rFonts w:ascii="宋体" w:hAnsi="宋体"/>
      <w:sz w:val="32"/>
      <w:szCs w:val="32"/>
    </w:rPr>
  </w:style>
  <w:style w:type="paragraph" w:customStyle="1" w:styleId="61">
    <w:name w:val="样式 样式 标题 2节 + (西文) Times New Roman (中文) 宋体 四号 段前: 0.5 行 段后: 0......"/>
    <w:basedOn w:val="1"/>
    <w:autoRedefine/>
    <w:qFormat/>
    <w:uiPriority w:val="0"/>
    <w:pPr>
      <w:keepNext/>
      <w:keepLines/>
      <w:tabs>
        <w:tab w:val="left" w:pos="432"/>
        <w:tab w:val="left" w:pos="720"/>
      </w:tabs>
      <w:adjustRightInd w:val="0"/>
      <w:snapToGrid w:val="0"/>
      <w:spacing w:beforeLines="50" w:afterLines="50" w:line="360" w:lineRule="auto"/>
      <w:ind w:left="397" w:hanging="397"/>
      <w:outlineLvl w:val="1"/>
    </w:pPr>
    <w:rPr>
      <w:rFonts w:ascii="宋体" w:hAnsi="宋体"/>
      <w:b/>
      <w:bCs/>
      <w:sz w:val="30"/>
      <w:szCs w:val="30"/>
    </w:rPr>
  </w:style>
  <w:style w:type="paragraph" w:customStyle="1" w:styleId="62">
    <w:name w:val="样式 标题 3 + (西文) Times New Roman (中文) 宋体 小四 加粗"/>
    <w:basedOn w:val="8"/>
    <w:autoRedefine/>
    <w:qFormat/>
    <w:uiPriority w:val="0"/>
    <w:pPr>
      <w:keepNext/>
      <w:keepLines/>
      <w:widowControl w:val="0"/>
      <w:tabs>
        <w:tab w:val="left" w:pos="432"/>
        <w:tab w:val="left" w:pos="1021"/>
        <w:tab w:val="clear" w:pos="240"/>
        <w:tab w:val="clear" w:pos="720"/>
      </w:tabs>
      <w:spacing w:before="260" w:beforeLines="50" w:after="260" w:afterLines="50"/>
      <w:ind w:left="1021" w:hanging="1021"/>
    </w:pPr>
    <w:rPr>
      <w:rFonts w:ascii="宋体" w:hAnsi="宋体" w:eastAsia="宋体" w:cs="Times New Roman"/>
      <w:snapToGrid w:val="0"/>
      <w:kern w:val="2"/>
      <w:szCs w:val="28"/>
    </w:rPr>
  </w:style>
  <w:style w:type="character" w:customStyle="1" w:styleId="63">
    <w:name w:val="批注框文本 字符1"/>
    <w:basedOn w:val="42"/>
    <w:link w:val="26"/>
    <w:autoRedefine/>
    <w:qFormat/>
    <w:uiPriority w:val="0"/>
    <w:rPr>
      <w:rFonts w:ascii="Times New Roman" w:hAnsi="Times New Roman" w:eastAsia="宋体" w:cs="Times New Roman"/>
      <w:sz w:val="18"/>
      <w:szCs w:val="18"/>
    </w:rPr>
  </w:style>
  <w:style w:type="character" w:customStyle="1" w:styleId="64">
    <w:name w:val="正文文本 Char"/>
    <w:basedOn w:val="42"/>
    <w:autoRedefine/>
    <w:qFormat/>
    <w:uiPriority w:val="1"/>
    <w:rPr>
      <w:rFonts w:ascii="Times New Roman" w:hAnsi="Times New Roman" w:eastAsia="宋体" w:cs="Times New Roman"/>
      <w:szCs w:val="20"/>
    </w:rPr>
  </w:style>
  <w:style w:type="character" w:customStyle="1" w:styleId="65">
    <w:name w:val="正文文本 字符1"/>
    <w:link w:val="20"/>
    <w:autoRedefine/>
    <w:qFormat/>
    <w:uiPriority w:val="0"/>
    <w:rPr>
      <w:rFonts w:ascii="Times New Roman" w:hAnsi="Times New Roman" w:eastAsia="宋体" w:cs="Times New Roman"/>
      <w:szCs w:val="20"/>
    </w:rPr>
  </w:style>
  <w:style w:type="table" w:customStyle="1" w:styleId="66">
    <w:name w:val="Table Normal"/>
    <w:autoRedefine/>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paragraph" w:customStyle="1" w:styleId="67">
    <w:name w:val="Table Paragraph"/>
    <w:basedOn w:val="1"/>
    <w:autoRedefine/>
    <w:qFormat/>
    <w:uiPriority w:val="1"/>
    <w:pPr>
      <w:jc w:val="left"/>
    </w:pPr>
    <w:rPr>
      <w:rFonts w:ascii="Calibri" w:hAnsi="Calibri"/>
      <w:kern w:val="0"/>
      <w:sz w:val="22"/>
      <w:szCs w:val="22"/>
      <w:lang w:eastAsia="en-US"/>
    </w:rPr>
  </w:style>
  <w:style w:type="character" w:customStyle="1" w:styleId="68">
    <w:name w:val="正文缩进 字符1"/>
    <w:link w:val="15"/>
    <w:autoRedefine/>
    <w:qFormat/>
    <w:uiPriority w:val="0"/>
    <w:rPr>
      <w:rFonts w:ascii="Times New Roman" w:hAnsi="Times New Roman" w:eastAsia="宋体" w:cs="Times New Roman"/>
      <w:sz w:val="24"/>
    </w:rPr>
  </w:style>
  <w:style w:type="character" w:customStyle="1" w:styleId="69">
    <w:name w:val="表格正文样式1 Char"/>
    <w:link w:val="70"/>
    <w:autoRedefine/>
    <w:qFormat/>
    <w:uiPriority w:val="0"/>
    <w:rPr>
      <w:szCs w:val="21"/>
    </w:rPr>
  </w:style>
  <w:style w:type="paragraph" w:customStyle="1" w:styleId="70">
    <w:name w:val="表格正文样式1"/>
    <w:basedOn w:val="1"/>
    <w:link w:val="69"/>
    <w:autoRedefine/>
    <w:qFormat/>
    <w:uiPriority w:val="0"/>
    <w:pPr>
      <w:adjustRightInd w:val="0"/>
      <w:snapToGrid w:val="0"/>
      <w:jc w:val="center"/>
    </w:pPr>
    <w:rPr>
      <w:rFonts w:asciiTheme="minorHAnsi" w:hAnsiTheme="minorHAnsi" w:eastAsiaTheme="minorEastAsia" w:cstheme="minorBidi"/>
      <w:szCs w:val="21"/>
    </w:rPr>
  </w:style>
  <w:style w:type="paragraph" w:customStyle="1" w:styleId="71">
    <w:name w:val="表标题"/>
    <w:basedOn w:val="1"/>
    <w:next w:val="1"/>
    <w:link w:val="259"/>
    <w:autoRedefine/>
    <w:qFormat/>
    <w:uiPriority w:val="0"/>
    <w:pPr>
      <w:numPr>
        <w:ilvl w:val="0"/>
        <w:numId w:val="1"/>
      </w:numPr>
      <w:adjustRightInd w:val="0"/>
      <w:snapToGrid w:val="0"/>
      <w:spacing w:beforeLines="50" w:line="360" w:lineRule="auto"/>
      <w:jc w:val="center"/>
    </w:pPr>
    <w:rPr>
      <w:rFonts w:ascii="黑体" w:eastAsia="黑体"/>
      <w:snapToGrid w:val="0"/>
      <w:kern w:val="0"/>
      <w:sz w:val="24"/>
      <w:szCs w:val="21"/>
    </w:rPr>
  </w:style>
  <w:style w:type="character" w:customStyle="1" w:styleId="72">
    <w:name w:val="正文文本 2 Char"/>
    <w:link w:val="73"/>
    <w:autoRedefine/>
    <w:qFormat/>
    <w:uiPriority w:val="0"/>
    <w:rPr>
      <w:szCs w:val="24"/>
    </w:rPr>
  </w:style>
  <w:style w:type="paragraph" w:customStyle="1" w:styleId="73">
    <w:name w:val="正文文本 21"/>
    <w:basedOn w:val="1"/>
    <w:link w:val="72"/>
    <w:autoRedefine/>
    <w:qFormat/>
    <w:uiPriority w:val="0"/>
    <w:pPr>
      <w:spacing w:after="120" w:line="480" w:lineRule="auto"/>
    </w:pPr>
    <w:rPr>
      <w:rFonts w:asciiTheme="minorHAnsi" w:hAnsiTheme="minorHAnsi" w:eastAsiaTheme="minorEastAsia" w:cstheme="minorBidi"/>
      <w:szCs w:val="24"/>
    </w:rPr>
  </w:style>
  <w:style w:type="paragraph" w:customStyle="1" w:styleId="74">
    <w:name w:val="表格"/>
    <w:basedOn w:val="1"/>
    <w:link w:val="75"/>
    <w:autoRedefine/>
    <w:qFormat/>
    <w:uiPriority w:val="0"/>
    <w:pPr>
      <w:widowControl/>
      <w:snapToGrid w:val="0"/>
      <w:spacing w:line="280" w:lineRule="atLeast"/>
      <w:jc w:val="center"/>
    </w:pPr>
    <w:rPr>
      <w:rFonts w:ascii="宋体" w:hAnsi="宋体"/>
      <w:kern w:val="0"/>
    </w:rPr>
  </w:style>
  <w:style w:type="character" w:customStyle="1" w:styleId="75">
    <w:name w:val="纯文本 Char Char Char Char Char Char Char Char Char"/>
    <w:link w:val="74"/>
    <w:autoRedefine/>
    <w:qFormat/>
    <w:uiPriority w:val="0"/>
    <w:rPr>
      <w:rFonts w:ascii="宋体" w:hAnsi="宋体" w:eastAsia="宋体" w:cs="Times New Roman"/>
      <w:kern w:val="0"/>
      <w:szCs w:val="20"/>
    </w:rPr>
  </w:style>
  <w:style w:type="paragraph" w:styleId="76">
    <w:name w:val="List Paragraph"/>
    <w:basedOn w:val="1"/>
    <w:link w:val="271"/>
    <w:autoRedefine/>
    <w:qFormat/>
    <w:uiPriority w:val="34"/>
    <w:pPr>
      <w:ind w:firstLine="420" w:firstLineChars="200"/>
    </w:pPr>
  </w:style>
  <w:style w:type="paragraph" w:customStyle="1" w:styleId="77">
    <w:name w:val="8"/>
    <w:basedOn w:val="1"/>
    <w:next w:val="32"/>
    <w:autoRedefine/>
    <w:qFormat/>
    <w:uiPriority w:val="0"/>
    <w:pPr>
      <w:spacing w:line="360" w:lineRule="auto"/>
      <w:ind w:firstLine="425"/>
    </w:pPr>
    <w:rPr>
      <w:color w:val="000000"/>
      <w:sz w:val="24"/>
    </w:rPr>
  </w:style>
  <w:style w:type="character" w:customStyle="1" w:styleId="78">
    <w:name w:val="正文文本缩进 3 字符1"/>
    <w:basedOn w:val="42"/>
    <w:link w:val="32"/>
    <w:autoRedefine/>
    <w:qFormat/>
    <w:uiPriority w:val="99"/>
    <w:rPr>
      <w:rFonts w:ascii="Times New Roman" w:hAnsi="Times New Roman" w:eastAsia="宋体" w:cs="Times New Roman"/>
      <w:sz w:val="16"/>
      <w:szCs w:val="16"/>
    </w:rPr>
  </w:style>
  <w:style w:type="paragraph" w:customStyle="1" w:styleId="79">
    <w:name w:val="正文---000"/>
    <w:basedOn w:val="1"/>
    <w:autoRedefine/>
    <w:qFormat/>
    <w:uiPriority w:val="0"/>
    <w:pPr>
      <w:spacing w:line="360" w:lineRule="auto"/>
      <w:ind w:firstLine="200" w:firstLineChars="200"/>
    </w:pPr>
    <w:rPr>
      <w:sz w:val="24"/>
      <w:szCs w:val="24"/>
    </w:rPr>
  </w:style>
  <w:style w:type="character" w:customStyle="1" w:styleId="80">
    <w:name w:val="1-正文 Char"/>
    <w:link w:val="81"/>
    <w:autoRedefine/>
    <w:qFormat/>
    <w:locked/>
    <w:uiPriority w:val="0"/>
    <w:rPr>
      <w:sz w:val="24"/>
      <w:szCs w:val="24"/>
    </w:rPr>
  </w:style>
  <w:style w:type="paragraph" w:customStyle="1" w:styleId="81">
    <w:name w:val="1-正文"/>
    <w:basedOn w:val="1"/>
    <w:link w:val="80"/>
    <w:autoRedefine/>
    <w:qFormat/>
    <w:uiPriority w:val="0"/>
    <w:pPr>
      <w:widowControl/>
      <w:spacing w:line="360" w:lineRule="auto"/>
      <w:ind w:firstLine="200" w:firstLineChars="200"/>
      <w:jc w:val="left"/>
    </w:pPr>
    <w:rPr>
      <w:rFonts w:asciiTheme="minorHAnsi" w:hAnsiTheme="minorHAnsi" w:eastAsiaTheme="minorEastAsia" w:cstheme="minorBidi"/>
      <w:sz w:val="24"/>
      <w:szCs w:val="24"/>
    </w:rPr>
  </w:style>
  <w:style w:type="character" w:customStyle="1" w:styleId="82">
    <w:name w:val="cucd-TB Char"/>
    <w:link w:val="83"/>
    <w:autoRedefine/>
    <w:qFormat/>
    <w:uiPriority w:val="0"/>
    <w:rPr>
      <w:szCs w:val="24"/>
    </w:rPr>
  </w:style>
  <w:style w:type="paragraph" w:customStyle="1" w:styleId="83">
    <w:name w:val="cucd-TB"/>
    <w:link w:val="82"/>
    <w:autoRedefine/>
    <w:qFormat/>
    <w:uiPriority w:val="0"/>
    <w:pPr>
      <w:spacing w:line="360" w:lineRule="auto"/>
      <w:jc w:val="center"/>
    </w:pPr>
    <w:rPr>
      <w:rFonts w:asciiTheme="minorHAnsi" w:hAnsiTheme="minorHAnsi" w:eastAsiaTheme="minorEastAsia" w:cstheme="minorBidi"/>
      <w:kern w:val="2"/>
      <w:sz w:val="21"/>
      <w:szCs w:val="24"/>
      <w:lang w:val="en-US" w:eastAsia="zh-CN" w:bidi="ar-SA"/>
    </w:rPr>
  </w:style>
  <w:style w:type="character" w:customStyle="1" w:styleId="84">
    <w:name w:val="hangju"/>
    <w:autoRedefine/>
    <w:qFormat/>
    <w:uiPriority w:val="0"/>
  </w:style>
  <w:style w:type="character" w:customStyle="1" w:styleId="85">
    <w:name w:val="纯文本 字符1"/>
    <w:basedOn w:val="42"/>
    <w:link w:val="23"/>
    <w:autoRedefine/>
    <w:qFormat/>
    <w:uiPriority w:val="0"/>
    <w:rPr>
      <w:rFonts w:ascii="宋体" w:hAnsi="Courier New" w:eastAsia="宋体" w:cs="Times New Roman"/>
      <w:color w:val="000000"/>
      <w:kern w:val="0"/>
      <w:sz w:val="20"/>
      <w:szCs w:val="20"/>
    </w:rPr>
  </w:style>
  <w:style w:type="character" w:customStyle="1" w:styleId="86">
    <w:name w:val="cucd-0 Char"/>
    <w:link w:val="87"/>
    <w:autoRedefine/>
    <w:qFormat/>
    <w:uiPriority w:val="0"/>
    <w:rPr>
      <w:sz w:val="24"/>
      <w:szCs w:val="24"/>
    </w:rPr>
  </w:style>
  <w:style w:type="paragraph" w:customStyle="1" w:styleId="87">
    <w:name w:val="cucd-0"/>
    <w:link w:val="86"/>
    <w:autoRedefine/>
    <w:qFormat/>
    <w:uiPriority w:val="0"/>
    <w:pPr>
      <w:spacing w:line="360" w:lineRule="auto"/>
      <w:ind w:firstLine="480" w:firstLineChars="200"/>
    </w:pPr>
    <w:rPr>
      <w:rFonts w:asciiTheme="minorHAnsi" w:hAnsiTheme="minorHAnsi" w:eastAsiaTheme="minorEastAsia" w:cstheme="minorBidi"/>
      <w:kern w:val="2"/>
      <w:sz w:val="24"/>
      <w:szCs w:val="24"/>
      <w:lang w:val="en-US" w:eastAsia="zh-CN" w:bidi="ar-SA"/>
    </w:rPr>
  </w:style>
  <w:style w:type="character" w:customStyle="1" w:styleId="88">
    <w:name w:val="zi"/>
    <w:autoRedefine/>
    <w:qFormat/>
    <w:uiPriority w:val="0"/>
  </w:style>
  <w:style w:type="character" w:customStyle="1" w:styleId="89">
    <w:name w:val="文档结构图 字符1"/>
    <w:basedOn w:val="42"/>
    <w:link w:val="17"/>
    <w:autoRedefine/>
    <w:qFormat/>
    <w:uiPriority w:val="99"/>
    <w:rPr>
      <w:rFonts w:ascii="宋体" w:hAnsi="Times New Roman" w:eastAsia="宋体" w:cs="Times New Roman"/>
      <w:sz w:val="18"/>
      <w:szCs w:val="18"/>
    </w:rPr>
  </w:style>
  <w:style w:type="character" w:customStyle="1" w:styleId="90">
    <w:name w:val="cucd-4 Char"/>
    <w:link w:val="91"/>
    <w:autoRedefine/>
    <w:qFormat/>
    <w:uiPriority w:val="0"/>
    <w:rPr>
      <w:b/>
      <w:sz w:val="24"/>
      <w:szCs w:val="24"/>
    </w:rPr>
  </w:style>
  <w:style w:type="paragraph" w:customStyle="1" w:styleId="91">
    <w:name w:val="cucd-4"/>
    <w:next w:val="87"/>
    <w:link w:val="90"/>
    <w:autoRedefine/>
    <w:qFormat/>
    <w:uiPriority w:val="0"/>
    <w:pPr>
      <w:numPr>
        <w:ilvl w:val="3"/>
        <w:numId w:val="2"/>
      </w:numPr>
      <w:spacing w:line="360" w:lineRule="auto"/>
      <w:outlineLvl w:val="3"/>
    </w:pPr>
    <w:rPr>
      <w:rFonts w:asciiTheme="minorHAnsi" w:hAnsiTheme="minorHAnsi" w:eastAsiaTheme="minorEastAsia" w:cstheme="minorBidi"/>
      <w:b/>
      <w:kern w:val="2"/>
      <w:sz w:val="24"/>
      <w:szCs w:val="24"/>
      <w:lang w:val="en-US" w:eastAsia="zh-CN" w:bidi="ar-SA"/>
    </w:rPr>
  </w:style>
  <w:style w:type="character" w:customStyle="1" w:styleId="92">
    <w:name w:val="正文文字 Char"/>
    <w:link w:val="93"/>
    <w:autoRedefine/>
    <w:qFormat/>
    <w:uiPriority w:val="0"/>
    <w:rPr>
      <w:rFonts w:cs="仿宋"/>
      <w:bCs/>
      <w:sz w:val="28"/>
      <w:szCs w:val="28"/>
    </w:rPr>
  </w:style>
  <w:style w:type="paragraph" w:customStyle="1" w:styleId="93">
    <w:name w:val="正文文字"/>
    <w:link w:val="92"/>
    <w:autoRedefine/>
    <w:qFormat/>
    <w:uiPriority w:val="0"/>
    <w:pPr>
      <w:spacing w:line="360" w:lineRule="auto"/>
      <w:ind w:firstLine="560" w:firstLineChars="200"/>
      <w:jc w:val="both"/>
    </w:pPr>
    <w:rPr>
      <w:rFonts w:cs="仿宋" w:asciiTheme="minorHAnsi" w:hAnsiTheme="minorHAnsi" w:eastAsiaTheme="minorEastAsia"/>
      <w:bCs/>
      <w:kern w:val="2"/>
      <w:sz w:val="28"/>
      <w:szCs w:val="28"/>
      <w:lang w:val="en-US" w:eastAsia="zh-CN" w:bidi="ar-SA"/>
    </w:rPr>
  </w:style>
  <w:style w:type="paragraph" w:customStyle="1" w:styleId="94">
    <w:name w:val="cucd-2"/>
    <w:next w:val="95"/>
    <w:autoRedefine/>
    <w:qFormat/>
    <w:uiPriority w:val="0"/>
    <w:pPr>
      <w:numPr>
        <w:ilvl w:val="1"/>
        <w:numId w:val="2"/>
      </w:numPr>
      <w:spacing w:line="360" w:lineRule="auto"/>
      <w:outlineLvl w:val="1"/>
    </w:pPr>
    <w:rPr>
      <w:rFonts w:ascii="Times New Roman" w:hAnsi="Times New Roman" w:eastAsia="黑体" w:cs="Times New Roman"/>
      <w:b/>
      <w:kern w:val="2"/>
      <w:sz w:val="30"/>
      <w:szCs w:val="24"/>
      <w:lang w:val="en-US" w:eastAsia="zh-CN" w:bidi="ar-SA"/>
    </w:rPr>
  </w:style>
  <w:style w:type="paragraph" w:customStyle="1" w:styleId="95">
    <w:name w:val="cucd-3"/>
    <w:next w:val="91"/>
    <w:autoRedefine/>
    <w:qFormat/>
    <w:uiPriority w:val="0"/>
    <w:pPr>
      <w:numPr>
        <w:ilvl w:val="2"/>
        <w:numId w:val="2"/>
      </w:numPr>
      <w:spacing w:line="360" w:lineRule="auto"/>
      <w:outlineLvl w:val="2"/>
    </w:pPr>
    <w:rPr>
      <w:rFonts w:ascii="Times New Roman" w:hAnsi="Times New Roman" w:eastAsia="宋体" w:cs="Times New Roman"/>
      <w:b/>
      <w:kern w:val="2"/>
      <w:sz w:val="28"/>
      <w:szCs w:val="24"/>
      <w:lang w:val="en-US" w:eastAsia="zh-CN" w:bidi="ar-SA"/>
    </w:rPr>
  </w:style>
  <w:style w:type="paragraph" w:customStyle="1" w:styleId="96">
    <w:name w:val="cucd-1"/>
    <w:next w:val="94"/>
    <w:autoRedefine/>
    <w:qFormat/>
    <w:uiPriority w:val="0"/>
    <w:pPr>
      <w:pageBreakBefore/>
      <w:numPr>
        <w:ilvl w:val="0"/>
        <w:numId w:val="2"/>
      </w:numPr>
      <w:spacing w:beforeLines="100" w:afterLines="50" w:line="360" w:lineRule="auto"/>
      <w:jc w:val="center"/>
      <w:outlineLvl w:val="0"/>
    </w:pPr>
    <w:rPr>
      <w:rFonts w:ascii="Times New Roman" w:hAnsi="Times New Roman" w:eastAsia="黑体" w:cs="Times New Roman"/>
      <w:b/>
      <w:kern w:val="2"/>
      <w:sz w:val="36"/>
      <w:szCs w:val="24"/>
      <w:lang w:val="en-US" w:eastAsia="zh-CN" w:bidi="ar-SA"/>
    </w:rPr>
  </w:style>
  <w:style w:type="character" w:customStyle="1" w:styleId="97">
    <w:name w:val="tit1"/>
    <w:autoRedefine/>
    <w:qFormat/>
    <w:uiPriority w:val="0"/>
    <w:rPr>
      <w:rFonts w:hint="eastAsia" w:ascii="宋体" w:hAnsi="宋体" w:eastAsia="宋体"/>
      <w:sz w:val="21"/>
      <w:szCs w:val="21"/>
    </w:rPr>
  </w:style>
  <w:style w:type="paragraph" w:customStyle="1" w:styleId="98">
    <w:name w:val="正文00"/>
    <w:basedOn w:val="1"/>
    <w:link w:val="99"/>
    <w:autoRedefine/>
    <w:qFormat/>
    <w:uiPriority w:val="0"/>
    <w:pPr>
      <w:adjustRightInd w:val="0"/>
      <w:snapToGrid w:val="0"/>
      <w:spacing w:before="120" w:line="300" w:lineRule="auto"/>
      <w:ind w:firstLine="480" w:firstLineChars="200"/>
    </w:pPr>
    <w:rPr>
      <w:rFonts w:hAnsi="宋体"/>
      <w:snapToGrid w:val="0"/>
      <w:color w:val="000000"/>
      <w:sz w:val="24"/>
      <w:szCs w:val="24"/>
    </w:rPr>
  </w:style>
  <w:style w:type="character" w:customStyle="1" w:styleId="99">
    <w:name w:val="正文00 Char Char"/>
    <w:link w:val="98"/>
    <w:autoRedefine/>
    <w:qFormat/>
    <w:uiPriority w:val="0"/>
    <w:rPr>
      <w:rFonts w:ascii="Times New Roman" w:hAnsi="宋体" w:eastAsia="宋体" w:cs="Times New Roman"/>
      <w:snapToGrid w:val="0"/>
      <w:color w:val="000000"/>
      <w:sz w:val="24"/>
      <w:szCs w:val="24"/>
    </w:rPr>
  </w:style>
  <w:style w:type="character" w:customStyle="1" w:styleId="100">
    <w:name w:val="君邦正文 Char2"/>
    <w:link w:val="101"/>
    <w:autoRedefine/>
    <w:qFormat/>
    <w:uiPriority w:val="0"/>
    <w:rPr>
      <w:sz w:val="24"/>
    </w:rPr>
  </w:style>
  <w:style w:type="paragraph" w:customStyle="1" w:styleId="101">
    <w:name w:val="君邦正文"/>
    <w:basedOn w:val="1"/>
    <w:link w:val="100"/>
    <w:autoRedefine/>
    <w:qFormat/>
    <w:uiPriority w:val="0"/>
    <w:pPr>
      <w:spacing w:after="60" w:line="360" w:lineRule="auto"/>
      <w:ind w:firstLine="200" w:firstLineChars="200"/>
    </w:pPr>
    <w:rPr>
      <w:rFonts w:asciiTheme="minorHAnsi" w:hAnsiTheme="minorHAnsi" w:eastAsiaTheme="minorEastAsia" w:cstheme="minorBidi"/>
      <w:sz w:val="24"/>
      <w:szCs w:val="22"/>
    </w:rPr>
  </w:style>
  <w:style w:type="character" w:customStyle="1" w:styleId="102">
    <w:name w:val="新正文 Char"/>
    <w:link w:val="103"/>
    <w:autoRedefine/>
    <w:qFormat/>
    <w:uiPriority w:val="0"/>
    <w:rPr>
      <w:rFonts w:ascii="Times New Roman" w:hAnsi="Times New Roman"/>
      <w:sz w:val="24"/>
      <w:szCs w:val="24"/>
    </w:rPr>
  </w:style>
  <w:style w:type="paragraph" w:customStyle="1" w:styleId="103">
    <w:name w:val="新正文"/>
    <w:basedOn w:val="1"/>
    <w:link w:val="102"/>
    <w:autoRedefine/>
    <w:qFormat/>
    <w:uiPriority w:val="0"/>
    <w:pPr>
      <w:tabs>
        <w:tab w:val="left" w:pos="8295"/>
      </w:tabs>
      <w:spacing w:line="440" w:lineRule="exact"/>
      <w:ind w:firstLine="200" w:firstLineChars="200"/>
    </w:pPr>
    <w:rPr>
      <w:rFonts w:eastAsiaTheme="minorEastAsia" w:cstheme="minorBidi"/>
      <w:sz w:val="24"/>
      <w:szCs w:val="24"/>
    </w:rPr>
  </w:style>
  <w:style w:type="paragraph" w:customStyle="1" w:styleId="104">
    <w:name w:val="表格下方正文"/>
    <w:basedOn w:val="1"/>
    <w:autoRedefine/>
    <w:qFormat/>
    <w:uiPriority w:val="0"/>
    <w:pPr>
      <w:spacing w:before="300" w:line="460" w:lineRule="exact"/>
      <w:ind w:firstLine="200" w:firstLineChars="200"/>
    </w:pPr>
    <w:rPr>
      <w:sz w:val="24"/>
    </w:rPr>
  </w:style>
  <w:style w:type="character" w:customStyle="1" w:styleId="105">
    <w:name w:val="表格标题 Char Char"/>
    <w:link w:val="106"/>
    <w:autoRedefine/>
    <w:qFormat/>
    <w:locked/>
    <w:uiPriority w:val="0"/>
    <w:rPr>
      <w:b/>
      <w:sz w:val="24"/>
      <w:szCs w:val="24"/>
    </w:rPr>
  </w:style>
  <w:style w:type="paragraph" w:customStyle="1" w:styleId="106">
    <w:name w:val="表格标题"/>
    <w:basedOn w:val="1"/>
    <w:link w:val="105"/>
    <w:autoRedefine/>
    <w:qFormat/>
    <w:uiPriority w:val="0"/>
    <w:pPr>
      <w:wordWrap w:val="0"/>
      <w:spacing w:line="500" w:lineRule="exact"/>
      <w:ind w:firstLine="200" w:firstLineChars="200"/>
      <w:jc w:val="center"/>
    </w:pPr>
    <w:rPr>
      <w:rFonts w:asciiTheme="minorHAnsi" w:hAnsiTheme="minorHAnsi" w:eastAsiaTheme="minorEastAsia" w:cstheme="minorBidi"/>
      <w:b/>
      <w:sz w:val="24"/>
      <w:szCs w:val="24"/>
    </w:rPr>
  </w:style>
  <w:style w:type="character" w:customStyle="1" w:styleId="107">
    <w:name w:val="无间隔 字符"/>
    <w:link w:val="108"/>
    <w:autoRedefine/>
    <w:qFormat/>
    <w:uiPriority w:val="0"/>
    <w:rPr>
      <w:sz w:val="22"/>
    </w:rPr>
  </w:style>
  <w:style w:type="paragraph" w:styleId="108">
    <w:name w:val="No Spacing"/>
    <w:link w:val="107"/>
    <w:autoRedefine/>
    <w:qFormat/>
    <w:uiPriority w:val="0"/>
    <w:rPr>
      <w:rFonts w:asciiTheme="minorHAnsi" w:hAnsiTheme="minorHAnsi" w:eastAsiaTheme="minorEastAsia" w:cstheme="minorBidi"/>
      <w:kern w:val="2"/>
      <w:sz w:val="22"/>
      <w:szCs w:val="22"/>
      <w:lang w:val="en-US" w:eastAsia="zh-CN" w:bidi="ar-SA"/>
    </w:rPr>
  </w:style>
  <w:style w:type="paragraph" w:customStyle="1" w:styleId="109">
    <w:name w:val="表格正文"/>
    <w:basedOn w:val="1"/>
    <w:link w:val="112"/>
    <w:autoRedefine/>
    <w:qFormat/>
    <w:uiPriority w:val="0"/>
    <w:pPr>
      <w:spacing w:line="300" w:lineRule="exact"/>
      <w:jc w:val="center"/>
    </w:pPr>
    <w:rPr>
      <w:rFonts w:cs="宋体"/>
    </w:rPr>
  </w:style>
  <w:style w:type="character" w:customStyle="1" w:styleId="110">
    <w:name w:val="表头名称 Char"/>
    <w:link w:val="111"/>
    <w:autoRedefine/>
    <w:qFormat/>
    <w:locked/>
    <w:uiPriority w:val="0"/>
    <w:rPr>
      <w:rFonts w:ascii="Times New Roman" w:hAnsi="Times New Roman" w:cs="Times New Roman"/>
      <w:sz w:val="24"/>
      <w:szCs w:val="24"/>
      <w:lang w:val="zh-CN"/>
    </w:rPr>
  </w:style>
  <w:style w:type="paragraph" w:customStyle="1" w:styleId="111">
    <w:name w:val="表头名称"/>
    <w:basedOn w:val="15"/>
    <w:link w:val="110"/>
    <w:autoRedefine/>
    <w:qFormat/>
    <w:uiPriority w:val="0"/>
    <w:pPr>
      <w:tabs>
        <w:tab w:val="left" w:pos="3600"/>
      </w:tabs>
      <w:autoSpaceDE w:val="0"/>
      <w:autoSpaceDN w:val="0"/>
      <w:adjustRightInd w:val="0"/>
      <w:spacing w:beforeLines="50" w:line="240" w:lineRule="auto"/>
      <w:ind w:firstLine="561" w:firstLineChars="0"/>
      <w:jc w:val="center"/>
    </w:pPr>
    <w:rPr>
      <w:rFonts w:eastAsiaTheme="minorEastAsia"/>
      <w:szCs w:val="24"/>
      <w:lang w:val="zh-CN"/>
    </w:rPr>
  </w:style>
  <w:style w:type="character" w:customStyle="1" w:styleId="112">
    <w:name w:val="表格正文 Char"/>
    <w:link w:val="109"/>
    <w:autoRedefine/>
    <w:qFormat/>
    <w:uiPriority w:val="0"/>
    <w:rPr>
      <w:rFonts w:ascii="Times New Roman" w:hAnsi="Times New Roman" w:eastAsia="宋体" w:cs="宋体"/>
      <w:szCs w:val="20"/>
    </w:rPr>
  </w:style>
  <w:style w:type="character" w:customStyle="1" w:styleId="113">
    <w:name w:val="我的正文 Char"/>
    <w:link w:val="114"/>
    <w:autoRedefine/>
    <w:qFormat/>
    <w:uiPriority w:val="0"/>
    <w:rPr>
      <w:rFonts w:ascii="宋体" w:hAnsi="宋体" w:cs="宋体"/>
      <w:sz w:val="24"/>
      <w:szCs w:val="24"/>
    </w:rPr>
  </w:style>
  <w:style w:type="paragraph" w:customStyle="1" w:styleId="114">
    <w:name w:val="我的正文"/>
    <w:basedOn w:val="1"/>
    <w:link w:val="113"/>
    <w:autoRedefine/>
    <w:qFormat/>
    <w:uiPriority w:val="0"/>
    <w:pPr>
      <w:spacing w:line="360" w:lineRule="auto"/>
      <w:ind w:firstLine="480" w:firstLineChars="200"/>
    </w:pPr>
    <w:rPr>
      <w:rFonts w:ascii="宋体" w:hAnsi="宋体" w:cs="宋体" w:eastAsiaTheme="minorEastAsia"/>
      <w:sz w:val="24"/>
      <w:szCs w:val="24"/>
    </w:rPr>
  </w:style>
  <w:style w:type="character" w:customStyle="1" w:styleId="115">
    <w:name w:val="ca-3"/>
    <w:autoRedefine/>
    <w:qFormat/>
    <w:uiPriority w:val="0"/>
  </w:style>
  <w:style w:type="character" w:customStyle="1" w:styleId="116">
    <w:name w:val="正文文本缩进 字符1"/>
    <w:basedOn w:val="42"/>
    <w:link w:val="3"/>
    <w:autoRedefine/>
    <w:qFormat/>
    <w:uiPriority w:val="99"/>
    <w:rPr>
      <w:rFonts w:ascii="Times New Roman" w:hAnsi="Times New Roman" w:eastAsia="宋体" w:cs="Times New Roman"/>
      <w:szCs w:val="20"/>
    </w:rPr>
  </w:style>
  <w:style w:type="character" w:customStyle="1" w:styleId="117">
    <w:name w:val="批注文字 字符1"/>
    <w:link w:val="18"/>
    <w:autoRedefine/>
    <w:qFormat/>
    <w:uiPriority w:val="99"/>
    <w:rPr>
      <w:rFonts w:ascii="Times New Roman" w:hAnsi="Times New Roman" w:eastAsia="宋体" w:cs="Times New Roman"/>
      <w:sz w:val="24"/>
    </w:rPr>
  </w:style>
  <w:style w:type="character" w:customStyle="1" w:styleId="118">
    <w:name w:val="批注文字 Char1"/>
    <w:basedOn w:val="42"/>
    <w:autoRedefine/>
    <w:semiHidden/>
    <w:qFormat/>
    <w:uiPriority w:val="99"/>
    <w:rPr>
      <w:rFonts w:ascii="Times New Roman" w:hAnsi="Times New Roman" w:eastAsia="宋体" w:cs="Times New Roman"/>
      <w:szCs w:val="20"/>
    </w:rPr>
  </w:style>
  <w:style w:type="paragraph" w:customStyle="1" w:styleId="119">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20">
    <w:name w:val="font6"/>
    <w:basedOn w:val="1"/>
    <w:autoRedefine/>
    <w:qFormat/>
    <w:uiPriority w:val="0"/>
    <w:pPr>
      <w:widowControl/>
      <w:spacing w:before="100" w:beforeAutospacing="1" w:after="100" w:afterAutospacing="1"/>
      <w:jc w:val="left"/>
    </w:pPr>
    <w:rPr>
      <w:rFonts w:ascii="宋体" w:hAnsi="宋体" w:cs="宋体"/>
      <w:color w:val="000000"/>
      <w:kern w:val="0"/>
      <w:szCs w:val="21"/>
    </w:rPr>
  </w:style>
  <w:style w:type="paragraph" w:customStyle="1" w:styleId="121">
    <w:name w:val="font7"/>
    <w:basedOn w:val="1"/>
    <w:autoRedefine/>
    <w:qFormat/>
    <w:uiPriority w:val="0"/>
    <w:pPr>
      <w:widowControl/>
      <w:spacing w:before="100" w:beforeAutospacing="1" w:after="100" w:afterAutospacing="1"/>
      <w:jc w:val="left"/>
    </w:pPr>
    <w:rPr>
      <w:color w:val="000000"/>
      <w:kern w:val="0"/>
      <w:szCs w:val="21"/>
    </w:rPr>
  </w:style>
  <w:style w:type="paragraph" w:customStyle="1" w:styleId="122">
    <w:name w:val="font8"/>
    <w:basedOn w:val="1"/>
    <w:autoRedefine/>
    <w:qFormat/>
    <w:uiPriority w:val="0"/>
    <w:pPr>
      <w:widowControl/>
      <w:spacing w:before="100" w:beforeAutospacing="1" w:after="100" w:afterAutospacing="1"/>
      <w:jc w:val="left"/>
    </w:pPr>
    <w:rPr>
      <w:color w:val="000000"/>
      <w:kern w:val="0"/>
      <w:szCs w:val="21"/>
    </w:rPr>
  </w:style>
  <w:style w:type="paragraph" w:customStyle="1" w:styleId="123">
    <w:name w:val="font9"/>
    <w:basedOn w:val="1"/>
    <w:autoRedefine/>
    <w:qFormat/>
    <w:uiPriority w:val="0"/>
    <w:pPr>
      <w:widowControl/>
      <w:spacing w:before="100" w:beforeAutospacing="1" w:after="100" w:afterAutospacing="1"/>
      <w:jc w:val="left"/>
    </w:pPr>
    <w:rPr>
      <w:color w:val="000000"/>
      <w:kern w:val="0"/>
      <w:szCs w:val="21"/>
    </w:rPr>
  </w:style>
  <w:style w:type="paragraph" w:customStyle="1" w:styleId="124">
    <w:name w:val="font10"/>
    <w:basedOn w:val="1"/>
    <w:autoRedefine/>
    <w:qFormat/>
    <w:uiPriority w:val="0"/>
    <w:pPr>
      <w:widowControl/>
      <w:spacing w:before="100" w:beforeAutospacing="1" w:after="100" w:afterAutospacing="1"/>
      <w:jc w:val="left"/>
    </w:pPr>
    <w:rPr>
      <w:rFonts w:ascii="宋体" w:hAnsi="宋体" w:cs="宋体"/>
      <w:color w:val="000000"/>
      <w:kern w:val="0"/>
      <w:szCs w:val="21"/>
    </w:rPr>
  </w:style>
  <w:style w:type="paragraph" w:customStyle="1" w:styleId="125">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26">
    <w:name w:val="xl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paragraph" w:customStyle="1" w:styleId="127">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28">
    <w:name w:val="xl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29">
    <w:name w:val="xl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30">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31">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32">
    <w:name w:val="TOC 标题1"/>
    <w:basedOn w:val="6"/>
    <w:next w:val="1"/>
    <w:autoRedefine/>
    <w:unhideWhenUsed/>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133">
    <w:name w:val="表格样式1"/>
    <w:basedOn w:val="15"/>
    <w:link w:val="134"/>
    <w:autoRedefine/>
    <w:qFormat/>
    <w:uiPriority w:val="0"/>
    <w:pPr>
      <w:spacing w:line="320" w:lineRule="exact"/>
      <w:ind w:firstLine="0" w:firstLineChars="0"/>
      <w:jc w:val="center"/>
    </w:pPr>
    <w:rPr>
      <w:rFonts w:eastAsia="仿宋_GB2312"/>
      <w:szCs w:val="24"/>
    </w:rPr>
  </w:style>
  <w:style w:type="character" w:customStyle="1" w:styleId="134">
    <w:name w:val="表格样式1 Char"/>
    <w:link w:val="133"/>
    <w:autoRedefine/>
    <w:qFormat/>
    <w:uiPriority w:val="0"/>
    <w:rPr>
      <w:rFonts w:ascii="Times New Roman" w:hAnsi="Times New Roman" w:eastAsia="仿宋_GB2312" w:cs="Times New Roman"/>
      <w:sz w:val="24"/>
      <w:szCs w:val="24"/>
    </w:rPr>
  </w:style>
  <w:style w:type="paragraph" w:customStyle="1" w:styleId="135">
    <w:name w:val="默认段落字体 Para Char Char Char Char"/>
    <w:basedOn w:val="1"/>
    <w:autoRedefine/>
    <w:qFormat/>
    <w:uiPriority w:val="0"/>
    <w:rPr>
      <w:sz w:val="24"/>
      <w:szCs w:val="24"/>
    </w:rPr>
  </w:style>
  <w:style w:type="paragraph" w:customStyle="1" w:styleId="136">
    <w:name w:val="p15"/>
    <w:basedOn w:val="1"/>
    <w:autoRedefine/>
    <w:qFormat/>
    <w:uiPriority w:val="0"/>
    <w:pPr>
      <w:widowControl/>
    </w:pPr>
    <w:rPr>
      <w:kern w:val="0"/>
      <w:sz w:val="20"/>
      <w:szCs w:val="24"/>
    </w:rPr>
  </w:style>
  <w:style w:type="paragraph" w:customStyle="1" w:styleId="137">
    <w:name w:val="Char1 Char Char Char"/>
    <w:basedOn w:val="1"/>
    <w:autoRedefine/>
    <w:qFormat/>
    <w:uiPriority w:val="0"/>
    <w:pPr>
      <w:spacing w:line="360" w:lineRule="auto"/>
      <w:ind w:firstLine="200" w:firstLineChars="200"/>
    </w:pPr>
    <w:rPr>
      <w:rFonts w:ascii="宋体" w:hAnsi="宋体" w:cs="宋体"/>
      <w:sz w:val="24"/>
      <w:szCs w:val="24"/>
    </w:rPr>
  </w:style>
  <w:style w:type="paragraph" w:customStyle="1" w:styleId="138">
    <w:name w:val="Char1 Char Char Char1"/>
    <w:basedOn w:val="1"/>
    <w:autoRedefine/>
    <w:qFormat/>
    <w:uiPriority w:val="0"/>
    <w:pPr>
      <w:spacing w:line="360" w:lineRule="auto"/>
      <w:ind w:firstLine="200" w:firstLineChars="200"/>
    </w:pPr>
    <w:rPr>
      <w:rFonts w:ascii="宋体" w:hAnsi="宋体" w:cs="宋体"/>
      <w:sz w:val="24"/>
      <w:szCs w:val="24"/>
    </w:rPr>
  </w:style>
  <w:style w:type="paragraph" w:customStyle="1" w:styleId="139">
    <w:name w:val="G-0"/>
    <w:basedOn w:val="1"/>
    <w:link w:val="140"/>
    <w:autoRedefine/>
    <w:qFormat/>
    <w:uiPriority w:val="0"/>
    <w:pPr>
      <w:adjustRightInd w:val="0"/>
      <w:snapToGrid w:val="0"/>
      <w:spacing w:line="360" w:lineRule="auto"/>
      <w:ind w:firstLine="420" w:firstLineChars="200"/>
      <w:textAlignment w:val="baseline"/>
    </w:pPr>
    <w:rPr>
      <w:sz w:val="24"/>
    </w:rPr>
  </w:style>
  <w:style w:type="character" w:customStyle="1" w:styleId="140">
    <w:name w:val="G-0 Char"/>
    <w:link w:val="139"/>
    <w:autoRedefine/>
    <w:qFormat/>
    <w:uiPriority w:val="0"/>
    <w:rPr>
      <w:rFonts w:ascii="Times New Roman" w:hAnsi="Times New Roman" w:eastAsia="宋体" w:cs="Times New Roman"/>
      <w:sz w:val="24"/>
      <w:szCs w:val="20"/>
    </w:rPr>
  </w:style>
  <w:style w:type="paragraph" w:customStyle="1" w:styleId="141">
    <w:name w:val="报告正文"/>
    <w:next w:val="5"/>
    <w:link w:val="142"/>
    <w:autoRedefine/>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character" w:customStyle="1" w:styleId="142">
    <w:name w:val="报告正文 Char"/>
    <w:link w:val="141"/>
    <w:autoRedefine/>
    <w:qFormat/>
    <w:uiPriority w:val="0"/>
    <w:rPr>
      <w:rFonts w:ascii="Times New Roman" w:hAnsi="Times New Roman" w:eastAsia="宋体" w:cs="Times New Roman"/>
      <w:sz w:val="24"/>
      <w:szCs w:val="24"/>
    </w:rPr>
  </w:style>
  <w:style w:type="character" w:customStyle="1" w:styleId="143">
    <w:name w:val="p141"/>
    <w:autoRedefine/>
    <w:qFormat/>
    <w:uiPriority w:val="0"/>
    <w:rPr>
      <w:color w:val="333333"/>
      <w:sz w:val="21"/>
      <w:szCs w:val="21"/>
    </w:rPr>
  </w:style>
  <w:style w:type="paragraph" w:customStyle="1" w:styleId="144">
    <w:name w:val="图编号"/>
    <w:basedOn w:val="1"/>
    <w:autoRedefine/>
    <w:qFormat/>
    <w:uiPriority w:val="0"/>
    <w:pPr>
      <w:widowControl/>
      <w:numPr>
        <w:ilvl w:val="1"/>
        <w:numId w:val="3"/>
      </w:numPr>
      <w:adjustRightInd w:val="0"/>
      <w:snapToGrid w:val="0"/>
      <w:jc w:val="center"/>
    </w:pPr>
    <w:rPr>
      <w:color w:val="000000"/>
      <w:kern w:val="0"/>
      <w:sz w:val="24"/>
      <w:szCs w:val="24"/>
    </w:rPr>
  </w:style>
  <w:style w:type="paragraph" w:customStyle="1" w:styleId="145">
    <w:name w:val="样式 图编号 + Times New Roman"/>
    <w:basedOn w:val="144"/>
    <w:autoRedefine/>
    <w:qFormat/>
    <w:uiPriority w:val="0"/>
    <w:pPr>
      <w:numPr>
        <w:ilvl w:val="0"/>
      </w:numPr>
    </w:pPr>
  </w:style>
  <w:style w:type="paragraph" w:customStyle="1" w:styleId="146">
    <w:name w:val="徐-正文"/>
    <w:basedOn w:val="1"/>
    <w:link w:val="147"/>
    <w:autoRedefine/>
    <w:qFormat/>
    <w:uiPriority w:val="0"/>
    <w:pPr>
      <w:adjustRightInd w:val="0"/>
      <w:snapToGrid w:val="0"/>
      <w:spacing w:line="360" w:lineRule="auto"/>
      <w:ind w:firstLine="420" w:firstLineChars="200"/>
      <w:textAlignment w:val="baseline"/>
    </w:pPr>
    <w:rPr>
      <w:sz w:val="24"/>
    </w:rPr>
  </w:style>
  <w:style w:type="character" w:customStyle="1" w:styleId="147">
    <w:name w:val="徐-正文 Char"/>
    <w:link w:val="146"/>
    <w:autoRedefine/>
    <w:qFormat/>
    <w:uiPriority w:val="0"/>
    <w:rPr>
      <w:rFonts w:ascii="Times New Roman" w:hAnsi="Times New Roman" w:eastAsia="宋体" w:cs="Times New Roman"/>
      <w:sz w:val="24"/>
      <w:szCs w:val="20"/>
    </w:rPr>
  </w:style>
  <w:style w:type="character" w:customStyle="1" w:styleId="148">
    <w:name w:val="正文格式 Char"/>
    <w:link w:val="149"/>
    <w:autoRedefine/>
    <w:qFormat/>
    <w:uiPriority w:val="0"/>
    <w:rPr>
      <w:rFonts w:ascii="宋体" w:hAnsi="Times New Roman" w:eastAsia="宋体" w:cs="Times New Roman"/>
      <w:sz w:val="24"/>
      <w:szCs w:val="24"/>
    </w:rPr>
  </w:style>
  <w:style w:type="paragraph" w:customStyle="1" w:styleId="149">
    <w:name w:val="正文格式"/>
    <w:basedOn w:val="1"/>
    <w:link w:val="148"/>
    <w:autoRedefine/>
    <w:qFormat/>
    <w:uiPriority w:val="0"/>
    <w:pPr>
      <w:spacing w:line="360" w:lineRule="auto"/>
      <w:ind w:firstLine="482"/>
    </w:pPr>
    <w:rPr>
      <w:rFonts w:ascii="宋体"/>
      <w:sz w:val="24"/>
      <w:szCs w:val="24"/>
    </w:rPr>
  </w:style>
  <w:style w:type="character" w:customStyle="1" w:styleId="150">
    <w:name w:val="页脚 Char1"/>
    <w:autoRedefine/>
    <w:qFormat/>
    <w:uiPriority w:val="99"/>
    <w:rPr>
      <w:rFonts w:ascii="Times New Roman" w:hAnsi="Times New Roman" w:eastAsia="宋体" w:cs="Times New Roman"/>
      <w:sz w:val="18"/>
      <w:szCs w:val="18"/>
    </w:rPr>
  </w:style>
  <w:style w:type="character" w:customStyle="1" w:styleId="151">
    <w:name w:val="正文文本 Char1"/>
    <w:autoRedefine/>
    <w:semiHidden/>
    <w:qFormat/>
    <w:uiPriority w:val="0"/>
    <w:rPr>
      <w:rFonts w:ascii="Times New Roman" w:hAnsi="Times New Roman" w:eastAsia="宋体" w:cs="Times New Roman"/>
      <w:szCs w:val="20"/>
    </w:rPr>
  </w:style>
  <w:style w:type="character" w:customStyle="1" w:styleId="152">
    <w:name w:val="正文文本缩进 3 Char1"/>
    <w:autoRedefine/>
    <w:semiHidden/>
    <w:qFormat/>
    <w:uiPriority w:val="99"/>
    <w:rPr>
      <w:rFonts w:ascii="Times New Roman" w:hAnsi="Times New Roman" w:eastAsia="宋体" w:cs="Times New Roman"/>
      <w:sz w:val="16"/>
      <w:szCs w:val="16"/>
    </w:rPr>
  </w:style>
  <w:style w:type="character" w:customStyle="1" w:styleId="153">
    <w:name w:val="页眉 Char1"/>
    <w:autoRedefine/>
    <w:qFormat/>
    <w:uiPriority w:val="99"/>
    <w:rPr>
      <w:rFonts w:ascii="Times New Roman" w:hAnsi="Times New Roman" w:eastAsia="宋体" w:cs="Times New Roman"/>
      <w:sz w:val="18"/>
      <w:szCs w:val="18"/>
    </w:rPr>
  </w:style>
  <w:style w:type="character" w:customStyle="1" w:styleId="154">
    <w:name w:val="批注框文本 Char1"/>
    <w:autoRedefine/>
    <w:semiHidden/>
    <w:qFormat/>
    <w:uiPriority w:val="0"/>
    <w:rPr>
      <w:rFonts w:ascii="Times New Roman" w:hAnsi="Times New Roman" w:eastAsia="宋体" w:cs="Times New Roman"/>
      <w:sz w:val="18"/>
      <w:szCs w:val="18"/>
    </w:rPr>
  </w:style>
  <w:style w:type="character" w:customStyle="1" w:styleId="155">
    <w:name w:val="文档结构图 Char1"/>
    <w:autoRedefine/>
    <w:semiHidden/>
    <w:qFormat/>
    <w:uiPriority w:val="99"/>
    <w:rPr>
      <w:rFonts w:ascii="宋体" w:hAnsi="Times New Roman" w:eastAsia="宋体" w:cs="Times New Roman"/>
      <w:sz w:val="18"/>
      <w:szCs w:val="18"/>
    </w:rPr>
  </w:style>
  <w:style w:type="character" w:customStyle="1" w:styleId="156">
    <w:name w:val="正文文本缩进 Char1"/>
    <w:autoRedefine/>
    <w:semiHidden/>
    <w:qFormat/>
    <w:uiPriority w:val="99"/>
    <w:rPr>
      <w:rFonts w:ascii="Times New Roman" w:hAnsi="Times New Roman" w:eastAsia="宋体" w:cs="Times New Roman"/>
      <w:szCs w:val="20"/>
    </w:rPr>
  </w:style>
  <w:style w:type="table" w:customStyle="1" w:styleId="157">
    <w:name w:val="网格型1"/>
    <w:basedOn w:val="39"/>
    <w:autoRedefine/>
    <w:qFormat/>
    <w:uiPriority w:val="0"/>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8">
    <w:name w:val="Table Normal1"/>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159">
    <w:name w:val="网格型2"/>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0">
    <w:name w:val="Table Normal2"/>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paragraph" w:customStyle="1" w:styleId="161">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Cs w:val="21"/>
    </w:rPr>
  </w:style>
  <w:style w:type="paragraph" w:customStyle="1" w:styleId="162">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Cs w:val="21"/>
    </w:rPr>
  </w:style>
  <w:style w:type="paragraph" w:customStyle="1" w:styleId="163">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szCs w:val="24"/>
    </w:rPr>
  </w:style>
  <w:style w:type="paragraph" w:customStyle="1" w:styleId="164">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65">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66">
    <w:name w:val="xl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paragraph" w:customStyle="1" w:styleId="167">
    <w:name w:val="xl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68">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paragraph" w:customStyle="1" w:styleId="169">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70">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character" w:customStyle="1" w:styleId="171">
    <w:name w:val="批注主题 字符1"/>
    <w:basedOn w:val="118"/>
    <w:link w:val="37"/>
    <w:qFormat/>
    <w:uiPriority w:val="99"/>
    <w:rPr>
      <w:rFonts w:ascii="Times New Roman" w:hAnsi="Times New Roman" w:eastAsia="宋体" w:cs="Times New Roman"/>
      <w:b/>
      <w:bCs/>
      <w:szCs w:val="20"/>
    </w:rPr>
  </w:style>
  <w:style w:type="table" w:customStyle="1" w:styleId="172">
    <w:name w:val="Table Normal3"/>
    <w:autoRedefine/>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paragraph" w:customStyle="1" w:styleId="173">
    <w:name w:val="表格内容"/>
    <w:next w:val="5"/>
    <w:link w:val="174"/>
    <w:qFormat/>
    <w:uiPriority w:val="0"/>
    <w:pPr>
      <w:jc w:val="center"/>
    </w:pPr>
    <w:rPr>
      <w:rFonts w:ascii="Times New Roman" w:hAnsi="Times New Roman" w:eastAsia="宋体" w:cs="Times New Roman"/>
      <w:kern w:val="2"/>
      <w:position w:val="-3"/>
      <w:sz w:val="21"/>
      <w:szCs w:val="21"/>
      <w:lang w:val="en-US" w:eastAsia="zh-CN" w:bidi="ar-SA"/>
    </w:rPr>
  </w:style>
  <w:style w:type="character" w:customStyle="1" w:styleId="174">
    <w:name w:val="表格内容 Char"/>
    <w:link w:val="173"/>
    <w:autoRedefine/>
    <w:qFormat/>
    <w:uiPriority w:val="0"/>
    <w:rPr>
      <w:rFonts w:ascii="Times New Roman" w:hAnsi="Times New Roman" w:eastAsia="宋体" w:cs="Times New Roman"/>
      <w:position w:val="-3"/>
      <w:szCs w:val="21"/>
    </w:rPr>
  </w:style>
  <w:style w:type="paragraph" w:customStyle="1" w:styleId="175">
    <w:name w:val="p0"/>
    <w:basedOn w:val="1"/>
    <w:autoRedefine/>
    <w:qFormat/>
    <w:uiPriority w:val="0"/>
    <w:pPr>
      <w:widowControl/>
    </w:pPr>
    <w:rPr>
      <w:kern w:val="0"/>
      <w:sz w:val="32"/>
      <w:szCs w:val="32"/>
    </w:rPr>
  </w:style>
  <w:style w:type="paragraph" w:customStyle="1" w:styleId="176">
    <w:name w:val="msonormal"/>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177">
    <w:name w:val="xl8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78">
    <w:name w:val="xl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79">
    <w:name w:val="xl8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80">
    <w:name w:val="xl83"/>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81">
    <w:name w:val="xl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Cs w:val="21"/>
    </w:rPr>
  </w:style>
  <w:style w:type="paragraph" w:customStyle="1" w:styleId="182">
    <w:name w:val="xl85"/>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paragraph" w:customStyle="1" w:styleId="183">
    <w:name w:val="xl86"/>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paragraph" w:customStyle="1" w:styleId="184">
    <w:name w:val="xl8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Cs w:val="21"/>
    </w:rPr>
  </w:style>
  <w:style w:type="character" w:customStyle="1" w:styleId="185">
    <w:name w:val="表格1 Char1"/>
    <w:link w:val="186"/>
    <w:autoRedefine/>
    <w:qFormat/>
    <w:uiPriority w:val="0"/>
    <w:rPr>
      <w:rFonts w:ascii="仿宋体"/>
      <w:color w:val="000000"/>
      <w:sz w:val="24"/>
      <w:szCs w:val="21"/>
    </w:rPr>
  </w:style>
  <w:style w:type="paragraph" w:customStyle="1" w:styleId="186">
    <w:name w:val="表格1"/>
    <w:basedOn w:val="1"/>
    <w:next w:val="1"/>
    <w:link w:val="185"/>
    <w:autoRedefine/>
    <w:qFormat/>
    <w:uiPriority w:val="0"/>
    <w:pPr>
      <w:widowControl/>
      <w:adjustRightInd w:val="0"/>
      <w:snapToGrid w:val="0"/>
      <w:spacing w:line="20" w:lineRule="atLeast"/>
      <w:jc w:val="center"/>
      <w:textAlignment w:val="baseline"/>
    </w:pPr>
    <w:rPr>
      <w:rFonts w:ascii="仿宋体" w:hAnsiTheme="minorHAnsi" w:eastAsiaTheme="minorEastAsia" w:cstheme="minorBidi"/>
      <w:color w:val="000000"/>
      <w:sz w:val="24"/>
      <w:szCs w:val="21"/>
    </w:rPr>
  </w:style>
  <w:style w:type="character" w:customStyle="1" w:styleId="187">
    <w:name w:val="0正文内容 Char Char"/>
    <w:link w:val="188"/>
    <w:autoRedefine/>
    <w:qFormat/>
    <w:locked/>
    <w:uiPriority w:val="0"/>
    <w:rPr>
      <w:rFonts w:ascii="Times New Roman" w:hAnsi="Times New Roman"/>
      <w:sz w:val="24"/>
      <w:lang w:val="zh-CN"/>
    </w:rPr>
  </w:style>
  <w:style w:type="paragraph" w:customStyle="1" w:styleId="188">
    <w:name w:val="0正文内容"/>
    <w:basedOn w:val="1"/>
    <w:link w:val="187"/>
    <w:autoRedefine/>
    <w:qFormat/>
    <w:uiPriority w:val="0"/>
    <w:pPr>
      <w:topLinePunct/>
      <w:adjustRightInd w:val="0"/>
      <w:snapToGrid w:val="0"/>
      <w:spacing w:line="360" w:lineRule="auto"/>
      <w:ind w:firstLine="200" w:firstLineChars="200"/>
      <w:jc w:val="left"/>
    </w:pPr>
    <w:rPr>
      <w:rFonts w:eastAsiaTheme="minorEastAsia" w:cstheme="minorBidi"/>
      <w:sz w:val="24"/>
      <w:szCs w:val="22"/>
      <w:lang w:val="zh-CN"/>
    </w:rPr>
  </w:style>
  <w:style w:type="character" w:customStyle="1" w:styleId="189">
    <w:name w:val="副标题 Char"/>
    <w:qFormat/>
    <w:uiPriority w:val="0"/>
    <w:rPr>
      <w:rFonts w:ascii="Times New Roman" w:hAnsi="Times New Roman" w:eastAsia="宋体" w:cs="Times New Roman"/>
      <w:b/>
      <w:bCs/>
      <w:kern w:val="28"/>
      <w:sz w:val="24"/>
      <w:szCs w:val="32"/>
    </w:rPr>
  </w:style>
  <w:style w:type="character" w:customStyle="1" w:styleId="190">
    <w:name w:val="表头 Char"/>
    <w:link w:val="191"/>
    <w:autoRedefine/>
    <w:qFormat/>
    <w:locked/>
    <w:uiPriority w:val="0"/>
    <w:rPr>
      <w:rFonts w:ascii="Calibri" w:hAnsi="Calibri" w:eastAsia="黑体" w:cs="Times New Roman"/>
      <w:kern w:val="24"/>
      <w:sz w:val="24"/>
    </w:rPr>
  </w:style>
  <w:style w:type="paragraph" w:customStyle="1" w:styleId="191">
    <w:name w:val="表头"/>
    <w:basedOn w:val="13"/>
    <w:next w:val="74"/>
    <w:link w:val="190"/>
    <w:qFormat/>
    <w:uiPriority w:val="0"/>
    <w:pPr>
      <w:keepNext/>
      <w:autoSpaceDE w:val="0"/>
      <w:autoSpaceDN w:val="0"/>
      <w:adjustRightInd w:val="0"/>
      <w:ind w:left="0" w:leftChars="0" w:firstLine="0" w:firstLineChars="0"/>
      <w:contextualSpacing w:val="0"/>
      <w:jc w:val="center"/>
      <w:textAlignment w:val="baseline"/>
    </w:pPr>
    <w:rPr>
      <w:rFonts w:ascii="Calibri" w:hAnsi="Calibri" w:eastAsia="黑体"/>
      <w:kern w:val="24"/>
      <w:sz w:val="24"/>
      <w:szCs w:val="22"/>
    </w:rPr>
  </w:style>
  <w:style w:type="table" w:customStyle="1" w:styleId="192">
    <w:name w:val="Table Normal4"/>
    <w:autoRedefine/>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character" w:customStyle="1" w:styleId="193">
    <w:name w:val="正文(首行缩进) Char"/>
    <w:link w:val="194"/>
    <w:qFormat/>
    <w:uiPriority w:val="0"/>
    <w:rPr>
      <w:rFonts w:eastAsia="宋体"/>
      <w:snapToGrid w:val="0"/>
      <w:sz w:val="24"/>
      <w:szCs w:val="24"/>
    </w:rPr>
  </w:style>
  <w:style w:type="paragraph" w:customStyle="1" w:styleId="194">
    <w:name w:val="正文(首行缩进)"/>
    <w:basedOn w:val="1"/>
    <w:link w:val="193"/>
    <w:autoRedefine/>
    <w:qFormat/>
    <w:uiPriority w:val="0"/>
    <w:pPr>
      <w:adjustRightInd w:val="0"/>
      <w:snapToGrid w:val="0"/>
      <w:spacing w:line="360" w:lineRule="auto"/>
      <w:ind w:firstLine="200" w:firstLineChars="200"/>
    </w:pPr>
    <w:rPr>
      <w:rFonts w:asciiTheme="minorHAnsi" w:hAnsiTheme="minorHAnsi" w:cstheme="minorBidi"/>
      <w:snapToGrid w:val="0"/>
      <w:sz w:val="24"/>
      <w:szCs w:val="24"/>
    </w:rPr>
  </w:style>
  <w:style w:type="table" w:customStyle="1" w:styleId="195">
    <w:name w:val="网格型3"/>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6">
    <w:name w:val="网格型3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
    <w:name w:val="网格型4"/>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
    <w:name w:val="网格型5"/>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
    <w:name w:val="网格型6"/>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
    <w:name w:val="网格型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1">
    <w:name w:val="5-正文 Char"/>
    <w:link w:val="202"/>
    <w:autoRedefine/>
    <w:qFormat/>
    <w:uiPriority w:val="0"/>
    <w:rPr>
      <w:rFonts w:ascii="Times New Roman" w:hAnsi="Times New Roman" w:eastAsia="宋体"/>
      <w:color w:val="FF00FF"/>
      <w:sz w:val="24"/>
    </w:rPr>
  </w:style>
  <w:style w:type="paragraph" w:customStyle="1" w:styleId="202">
    <w:name w:val="5-正文"/>
    <w:basedOn w:val="1"/>
    <w:link w:val="201"/>
    <w:autoRedefine/>
    <w:qFormat/>
    <w:uiPriority w:val="0"/>
    <w:pPr>
      <w:snapToGrid w:val="0"/>
      <w:spacing w:line="500" w:lineRule="exact"/>
      <w:ind w:firstLine="200" w:firstLineChars="200"/>
    </w:pPr>
    <w:rPr>
      <w:rFonts w:cstheme="minorBidi"/>
      <w:color w:val="FF00FF"/>
      <w:sz w:val="24"/>
      <w:szCs w:val="22"/>
    </w:rPr>
  </w:style>
  <w:style w:type="character" w:customStyle="1" w:styleId="203">
    <w:name w:val="正文文本 3 字符1"/>
    <w:basedOn w:val="42"/>
    <w:link w:val="19"/>
    <w:qFormat/>
    <w:uiPriority w:val="0"/>
    <w:rPr>
      <w:rFonts w:ascii="Times New Roman" w:hAnsi="Times New Roman" w:eastAsia="宋体" w:cs="Times New Roman"/>
      <w:sz w:val="16"/>
      <w:szCs w:val="16"/>
    </w:rPr>
  </w:style>
  <w:style w:type="character" w:customStyle="1" w:styleId="204">
    <w:name w:val="正文文本 3 字符"/>
    <w:semiHidden/>
    <w:qFormat/>
    <w:uiPriority w:val="99"/>
    <w:rPr>
      <w:rFonts w:ascii="Times New Roman" w:hAnsi="Times New Roman" w:eastAsia="宋体" w:cs="Times New Roman"/>
      <w:sz w:val="16"/>
      <w:szCs w:val="16"/>
    </w:rPr>
  </w:style>
  <w:style w:type="character" w:customStyle="1" w:styleId="205">
    <w:name w:val="Body text_"/>
    <w:link w:val="206"/>
    <w:autoRedefine/>
    <w:qFormat/>
    <w:uiPriority w:val="0"/>
    <w:rPr>
      <w:rFonts w:ascii="MingLiU" w:hAnsi="MingLiU" w:eastAsia="MingLiU" w:cs="MingLiU"/>
      <w:sz w:val="19"/>
      <w:szCs w:val="19"/>
      <w:shd w:val="clear" w:color="auto" w:fill="FFFFFF"/>
    </w:rPr>
  </w:style>
  <w:style w:type="paragraph" w:customStyle="1" w:styleId="206">
    <w:name w:val="正文文本5"/>
    <w:basedOn w:val="1"/>
    <w:link w:val="205"/>
    <w:qFormat/>
    <w:uiPriority w:val="0"/>
    <w:pPr>
      <w:shd w:val="clear" w:color="auto" w:fill="FFFFFF"/>
      <w:spacing w:after="960" w:line="0" w:lineRule="atLeast"/>
      <w:jc w:val="center"/>
    </w:pPr>
    <w:rPr>
      <w:rFonts w:ascii="MingLiU" w:hAnsi="MingLiU" w:eastAsia="MingLiU" w:cs="MingLiU"/>
      <w:sz w:val="19"/>
      <w:szCs w:val="19"/>
    </w:rPr>
  </w:style>
  <w:style w:type="character" w:customStyle="1" w:styleId="207">
    <w:name w:val="正文文本2"/>
    <w:autoRedefine/>
    <w:qFormat/>
    <w:uiPriority w:val="0"/>
    <w:rPr>
      <w:rFonts w:ascii="MingLiU" w:hAnsi="MingLiU" w:eastAsia="MingLiU" w:cs="MingLiU"/>
      <w:color w:val="000000"/>
      <w:spacing w:val="0"/>
      <w:w w:val="100"/>
      <w:position w:val="0"/>
      <w:sz w:val="19"/>
      <w:szCs w:val="19"/>
      <w:u w:val="none"/>
      <w:shd w:val="clear" w:color="auto" w:fill="FFFFFF"/>
      <w:lang w:val="zh-TW"/>
    </w:rPr>
  </w:style>
  <w:style w:type="table" w:customStyle="1" w:styleId="208">
    <w:name w:val="网格型8"/>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9">
    <w:name w:val="未处理的提及1"/>
    <w:unhideWhenUsed/>
    <w:qFormat/>
    <w:uiPriority w:val="99"/>
    <w:rPr>
      <w:color w:val="605E5C"/>
      <w:shd w:val="clear" w:color="auto" w:fill="E1DFDD"/>
    </w:rPr>
  </w:style>
  <w:style w:type="paragraph" w:customStyle="1" w:styleId="210">
    <w:name w:val="TOC 标题11"/>
    <w:basedOn w:val="6"/>
    <w:next w:val="1"/>
    <w:autoRedefine/>
    <w:unhideWhenUsed/>
    <w:qFormat/>
    <w:uiPriority w:val="39"/>
    <w:pPr>
      <w:widowControl/>
      <w:spacing w:before="480" w:after="0" w:line="276" w:lineRule="auto"/>
      <w:jc w:val="left"/>
      <w:outlineLvl w:val="9"/>
    </w:pPr>
    <w:rPr>
      <w:rFonts w:ascii="Cambria" w:hAnsi="Cambria"/>
      <w:color w:val="365F91"/>
      <w:kern w:val="0"/>
      <w:sz w:val="28"/>
      <w:szCs w:val="28"/>
    </w:rPr>
  </w:style>
  <w:style w:type="character" w:customStyle="1" w:styleId="211">
    <w:name w:val="未处理的提及11"/>
    <w:unhideWhenUsed/>
    <w:qFormat/>
    <w:uiPriority w:val="99"/>
    <w:rPr>
      <w:color w:val="605E5C"/>
      <w:shd w:val="clear" w:color="auto" w:fill="E1DFDD"/>
    </w:rPr>
  </w:style>
  <w:style w:type="table" w:customStyle="1" w:styleId="212">
    <w:name w:val="网格型10"/>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3">
    <w:name w:val="网格型9"/>
    <w:basedOn w:val="39"/>
    <w:autoRedefine/>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14">
    <w:name w:val="未处理的提及2"/>
    <w:autoRedefine/>
    <w:unhideWhenUsed/>
    <w:qFormat/>
    <w:uiPriority w:val="99"/>
    <w:rPr>
      <w:color w:val="605E5C"/>
      <w:shd w:val="clear" w:color="auto" w:fill="E1DFDD"/>
    </w:rPr>
  </w:style>
  <w:style w:type="paragraph" w:customStyle="1" w:styleId="215">
    <w:name w:val="修订1"/>
    <w:autoRedefine/>
    <w:hidden/>
    <w:semiHidden/>
    <w:qFormat/>
    <w:uiPriority w:val="99"/>
    <w:rPr>
      <w:rFonts w:ascii="Times New Roman" w:hAnsi="Times New Roman" w:eastAsia="宋体" w:cs="Times New Roman"/>
      <w:kern w:val="2"/>
      <w:sz w:val="21"/>
      <w:lang w:val="en-US" w:eastAsia="zh-CN" w:bidi="ar-SA"/>
    </w:rPr>
  </w:style>
  <w:style w:type="character" w:customStyle="1" w:styleId="216">
    <w:name w:val="标题 9 字符"/>
    <w:autoRedefine/>
    <w:semiHidden/>
    <w:qFormat/>
    <w:uiPriority w:val="9"/>
    <w:rPr>
      <w:rFonts w:ascii="等线 Light" w:hAnsi="等线 Light" w:eastAsia="等线 Light" w:cs="Times New Roman"/>
      <w:szCs w:val="21"/>
    </w:rPr>
  </w:style>
  <w:style w:type="paragraph" w:customStyle="1" w:styleId="217">
    <w:name w:val="列表段落1"/>
    <w:basedOn w:val="1"/>
    <w:next w:val="1"/>
    <w:autoRedefine/>
    <w:unhideWhenUsed/>
    <w:qFormat/>
    <w:uiPriority w:val="39"/>
    <w:pPr>
      <w:ind w:left="3360" w:leftChars="1600"/>
    </w:pPr>
    <w:rPr>
      <w:rFonts w:ascii="Calibri" w:hAnsi="Calibri"/>
      <w:szCs w:val="22"/>
    </w:rPr>
  </w:style>
  <w:style w:type="character" w:customStyle="1" w:styleId="218">
    <w:name w:val="批注主题 字符"/>
    <w:autoRedefine/>
    <w:semiHidden/>
    <w:qFormat/>
    <w:uiPriority w:val="99"/>
    <w:rPr>
      <w:rFonts w:ascii="Times New Roman" w:hAnsi="Times New Roman" w:eastAsia="宋体" w:cs="Times New Roman"/>
      <w:b/>
      <w:bCs/>
      <w:kern w:val="2"/>
      <w:sz w:val="21"/>
    </w:rPr>
  </w:style>
  <w:style w:type="paragraph" w:customStyle="1" w:styleId="219">
    <w:name w:val="标准 Char"/>
    <w:basedOn w:val="1"/>
    <w:link w:val="220"/>
    <w:qFormat/>
    <w:uiPriority w:val="0"/>
    <w:pPr>
      <w:autoSpaceDE w:val="0"/>
      <w:autoSpaceDN w:val="0"/>
      <w:adjustRightInd w:val="0"/>
      <w:spacing w:line="480" w:lineRule="exact"/>
      <w:ind w:firstLine="560" w:firstLineChars="200"/>
      <w:textAlignment w:val="baseline"/>
    </w:pPr>
    <w:rPr>
      <w:kern w:val="28"/>
      <w:sz w:val="28"/>
      <w:szCs w:val="21"/>
      <w:lang w:val="zh-CN"/>
    </w:rPr>
  </w:style>
  <w:style w:type="character" w:customStyle="1" w:styleId="220">
    <w:name w:val="标准 Char Char"/>
    <w:link w:val="219"/>
    <w:autoRedefine/>
    <w:qFormat/>
    <w:uiPriority w:val="0"/>
    <w:rPr>
      <w:rFonts w:ascii="Times New Roman" w:hAnsi="Times New Roman" w:eastAsia="宋体" w:cs="Times New Roman"/>
      <w:kern w:val="28"/>
      <w:sz w:val="28"/>
      <w:szCs w:val="21"/>
      <w:lang w:val="zh-CN" w:eastAsia="zh-CN"/>
    </w:rPr>
  </w:style>
  <w:style w:type="paragraph" w:customStyle="1" w:styleId="221">
    <w:name w:val="我的表格"/>
    <w:basedOn w:val="1"/>
    <w:link w:val="222"/>
    <w:qFormat/>
    <w:uiPriority w:val="0"/>
    <w:pPr>
      <w:autoSpaceDE w:val="0"/>
      <w:autoSpaceDN w:val="0"/>
      <w:adjustRightInd w:val="0"/>
      <w:jc w:val="center"/>
    </w:pPr>
    <w:rPr>
      <w:kern w:val="0"/>
      <w:szCs w:val="21"/>
    </w:rPr>
  </w:style>
  <w:style w:type="character" w:customStyle="1" w:styleId="222">
    <w:name w:val="我的表格 Char"/>
    <w:link w:val="221"/>
    <w:qFormat/>
    <w:uiPriority w:val="0"/>
    <w:rPr>
      <w:rFonts w:ascii="Times New Roman" w:hAnsi="Times New Roman" w:eastAsia="宋体" w:cs="Times New Roman"/>
      <w:kern w:val="0"/>
      <w:szCs w:val="21"/>
    </w:rPr>
  </w:style>
  <w:style w:type="paragraph" w:customStyle="1" w:styleId="223">
    <w:name w:val="B表头"/>
    <w:autoRedefine/>
    <w:qFormat/>
    <w:uiPriority w:val="0"/>
    <w:pPr>
      <w:jc w:val="center"/>
    </w:pPr>
    <w:rPr>
      <w:rFonts w:ascii="Times New Roman" w:hAnsi="Times New Roman" w:eastAsia="宋体" w:cs="Times New Roman"/>
      <w:b/>
      <w:kern w:val="2"/>
      <w:sz w:val="24"/>
      <w:szCs w:val="24"/>
      <w:lang w:val="en-US" w:eastAsia="zh-CN" w:bidi="ar-SA"/>
    </w:rPr>
  </w:style>
  <w:style w:type="paragraph" w:customStyle="1" w:styleId="224">
    <w:name w:val="TableStyle10.5"/>
    <w:basedOn w:val="1"/>
    <w:autoRedefine/>
    <w:qFormat/>
    <w:uiPriority w:val="0"/>
    <w:pPr>
      <w:jc w:val="center"/>
    </w:pPr>
    <w:rPr>
      <w:kern w:val="0"/>
      <w:szCs w:val="22"/>
    </w:rPr>
  </w:style>
  <w:style w:type="paragraph" w:customStyle="1" w:styleId="225">
    <w:name w:val="TableStyle12"/>
    <w:basedOn w:val="1"/>
    <w:qFormat/>
    <w:uiPriority w:val="0"/>
    <w:pPr>
      <w:jc w:val="center"/>
    </w:pPr>
    <w:rPr>
      <w:kern w:val="0"/>
      <w:sz w:val="24"/>
      <w:szCs w:val="22"/>
    </w:rPr>
  </w:style>
  <w:style w:type="table" w:customStyle="1" w:styleId="226">
    <w:name w:val="环评用表1"/>
    <w:basedOn w:val="39"/>
    <w:autoRedefine/>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27">
    <w:name w:val="正文缩进 字符"/>
    <w:autoRedefine/>
    <w:semiHidden/>
    <w:qFormat/>
    <w:locked/>
    <w:uiPriority w:val="0"/>
    <w:rPr>
      <w:rFonts w:ascii="Times New Roman" w:hAnsi="Times New Roman" w:eastAsia="宋体" w:cs="Times New Roman"/>
      <w:sz w:val="28"/>
      <w:szCs w:val="24"/>
    </w:rPr>
  </w:style>
  <w:style w:type="paragraph" w:customStyle="1" w:styleId="228">
    <w:name w:val="表格文字"/>
    <w:basedOn w:val="1"/>
    <w:next w:val="1"/>
    <w:link w:val="229"/>
    <w:autoRedefine/>
    <w:qFormat/>
    <w:uiPriority w:val="0"/>
    <w:pPr>
      <w:adjustRightInd w:val="0"/>
      <w:spacing w:line="300" w:lineRule="exact"/>
      <w:ind w:right="-113" w:rightChars="-54"/>
      <w:jc w:val="center"/>
    </w:pPr>
    <w:rPr>
      <w:szCs w:val="21"/>
      <w:lang w:val="zh-CN"/>
    </w:rPr>
  </w:style>
  <w:style w:type="character" w:customStyle="1" w:styleId="229">
    <w:name w:val="表格文字 Char Char"/>
    <w:link w:val="228"/>
    <w:autoRedefine/>
    <w:qFormat/>
    <w:uiPriority w:val="0"/>
    <w:rPr>
      <w:rFonts w:ascii="Times New Roman" w:hAnsi="Times New Roman" w:eastAsia="宋体" w:cs="Times New Roman"/>
      <w:szCs w:val="21"/>
      <w:lang w:val="zh-CN" w:eastAsia="zh-CN"/>
    </w:rPr>
  </w:style>
  <w:style w:type="character" w:customStyle="1" w:styleId="230">
    <w:name w:val="标题 1 字符"/>
    <w:qFormat/>
    <w:uiPriority w:val="9"/>
    <w:rPr>
      <w:rFonts w:ascii="Times New Roman" w:hAnsi="Times New Roman" w:eastAsia="宋体" w:cs="Times New Roman"/>
      <w:b/>
      <w:bCs/>
      <w:kern w:val="44"/>
      <w:sz w:val="44"/>
      <w:szCs w:val="44"/>
    </w:rPr>
  </w:style>
  <w:style w:type="character" w:customStyle="1" w:styleId="231">
    <w:name w:val="标题 2 字符"/>
    <w:autoRedefine/>
    <w:semiHidden/>
    <w:qFormat/>
    <w:uiPriority w:val="9"/>
    <w:rPr>
      <w:rFonts w:ascii="等线 Light" w:hAnsi="等线 Light" w:eastAsia="等线 Light" w:cs="Times New Roman"/>
      <w:b/>
      <w:bCs/>
      <w:sz w:val="32"/>
      <w:szCs w:val="32"/>
    </w:rPr>
  </w:style>
  <w:style w:type="character" w:customStyle="1" w:styleId="232">
    <w:name w:val="标题 3 字符"/>
    <w:autoRedefine/>
    <w:semiHidden/>
    <w:qFormat/>
    <w:uiPriority w:val="9"/>
    <w:rPr>
      <w:rFonts w:ascii="Times New Roman" w:hAnsi="Times New Roman" w:eastAsia="宋体" w:cs="Times New Roman"/>
      <w:b/>
      <w:bCs/>
      <w:sz w:val="32"/>
      <w:szCs w:val="32"/>
    </w:rPr>
  </w:style>
  <w:style w:type="character" w:customStyle="1" w:styleId="233">
    <w:name w:val="标题 5 字符"/>
    <w:semiHidden/>
    <w:qFormat/>
    <w:uiPriority w:val="9"/>
    <w:rPr>
      <w:rFonts w:ascii="Times New Roman" w:hAnsi="Times New Roman" w:eastAsia="宋体" w:cs="Times New Roman"/>
      <w:b/>
      <w:bCs/>
      <w:sz w:val="28"/>
      <w:szCs w:val="28"/>
    </w:rPr>
  </w:style>
  <w:style w:type="character" w:customStyle="1" w:styleId="234">
    <w:name w:val="正文文本缩进 2 字符"/>
    <w:semiHidden/>
    <w:qFormat/>
    <w:uiPriority w:val="99"/>
    <w:rPr>
      <w:rFonts w:ascii="Times New Roman" w:hAnsi="Times New Roman" w:eastAsia="宋体" w:cs="Times New Roman"/>
      <w:szCs w:val="20"/>
    </w:rPr>
  </w:style>
  <w:style w:type="character" w:customStyle="1" w:styleId="235">
    <w:name w:val="批注框文本 字符"/>
    <w:semiHidden/>
    <w:qFormat/>
    <w:uiPriority w:val="99"/>
    <w:rPr>
      <w:rFonts w:ascii="Times New Roman" w:hAnsi="Times New Roman" w:eastAsia="宋体" w:cs="Times New Roman"/>
      <w:sz w:val="18"/>
      <w:szCs w:val="18"/>
    </w:rPr>
  </w:style>
  <w:style w:type="character" w:customStyle="1" w:styleId="236">
    <w:name w:val="正文文本 字符"/>
    <w:autoRedefine/>
    <w:qFormat/>
    <w:uiPriority w:val="0"/>
    <w:rPr>
      <w:rFonts w:ascii="Times New Roman" w:hAnsi="Times New Roman" w:eastAsia="宋体" w:cs="Times New Roman"/>
      <w:szCs w:val="20"/>
    </w:rPr>
  </w:style>
  <w:style w:type="character" w:customStyle="1" w:styleId="237">
    <w:name w:val="正文文本缩进 3 字符"/>
    <w:autoRedefine/>
    <w:semiHidden/>
    <w:qFormat/>
    <w:uiPriority w:val="99"/>
    <w:rPr>
      <w:rFonts w:ascii="Times New Roman" w:hAnsi="Times New Roman" w:eastAsia="宋体" w:cs="Times New Roman"/>
      <w:sz w:val="16"/>
      <w:szCs w:val="16"/>
    </w:rPr>
  </w:style>
  <w:style w:type="character" w:customStyle="1" w:styleId="238">
    <w:name w:val="纯文本 字符"/>
    <w:semiHidden/>
    <w:qFormat/>
    <w:uiPriority w:val="99"/>
    <w:rPr>
      <w:rFonts w:ascii="等线" w:hAnsi="Courier New" w:cs="Courier New"/>
      <w:szCs w:val="20"/>
    </w:rPr>
  </w:style>
  <w:style w:type="character" w:customStyle="1" w:styleId="239">
    <w:name w:val="文档结构图 字符"/>
    <w:autoRedefine/>
    <w:semiHidden/>
    <w:qFormat/>
    <w:uiPriority w:val="99"/>
    <w:rPr>
      <w:rFonts w:ascii="Microsoft YaHei UI" w:hAnsi="Times New Roman" w:eastAsia="Microsoft YaHei UI" w:cs="Times New Roman"/>
      <w:sz w:val="18"/>
      <w:szCs w:val="18"/>
    </w:rPr>
  </w:style>
  <w:style w:type="character" w:customStyle="1" w:styleId="240">
    <w:name w:val="正文文本缩进 字符"/>
    <w:autoRedefine/>
    <w:semiHidden/>
    <w:qFormat/>
    <w:uiPriority w:val="99"/>
    <w:rPr>
      <w:rFonts w:ascii="Times New Roman" w:hAnsi="Times New Roman" w:eastAsia="宋体" w:cs="Times New Roman"/>
      <w:szCs w:val="20"/>
    </w:rPr>
  </w:style>
  <w:style w:type="character" w:customStyle="1" w:styleId="241">
    <w:name w:val="批注文字 字符"/>
    <w:qFormat/>
    <w:uiPriority w:val="0"/>
    <w:rPr>
      <w:rFonts w:ascii="Times New Roman" w:hAnsi="Times New Roman" w:eastAsia="宋体" w:cs="Times New Roman"/>
      <w:szCs w:val="20"/>
    </w:rPr>
  </w:style>
  <w:style w:type="character" w:customStyle="1" w:styleId="242">
    <w:name w:val="Body text + Arial Unicode MS"/>
    <w:autoRedefine/>
    <w:qFormat/>
    <w:uiPriority w:val="0"/>
    <w:rPr>
      <w:rFonts w:ascii="Arial Unicode MS" w:hAnsi="Arial Unicode MS" w:eastAsia="Arial Unicode MS" w:cs="Arial Unicode MS"/>
      <w:color w:val="000000"/>
      <w:spacing w:val="10"/>
      <w:w w:val="100"/>
      <w:position w:val="0"/>
      <w:sz w:val="19"/>
      <w:szCs w:val="19"/>
      <w:u w:val="none"/>
      <w:lang w:val="en-US"/>
    </w:rPr>
  </w:style>
  <w:style w:type="character" w:customStyle="1" w:styleId="243">
    <w:name w:val="环评正文 Char"/>
    <w:link w:val="244"/>
    <w:qFormat/>
    <w:uiPriority w:val="0"/>
    <w:rPr>
      <w:sz w:val="24"/>
      <w:szCs w:val="24"/>
    </w:rPr>
  </w:style>
  <w:style w:type="paragraph" w:customStyle="1" w:styleId="244">
    <w:name w:val="环评正文"/>
    <w:basedOn w:val="1"/>
    <w:link w:val="243"/>
    <w:qFormat/>
    <w:uiPriority w:val="0"/>
    <w:pPr>
      <w:spacing w:line="360" w:lineRule="auto"/>
      <w:ind w:firstLine="200" w:firstLineChars="200"/>
    </w:pPr>
    <w:rPr>
      <w:rFonts w:asciiTheme="minorHAnsi" w:hAnsiTheme="minorHAnsi" w:eastAsiaTheme="minorEastAsia" w:cstheme="minorBidi"/>
      <w:sz w:val="24"/>
      <w:szCs w:val="24"/>
    </w:rPr>
  </w:style>
  <w:style w:type="paragraph" w:customStyle="1" w:styleId="245">
    <w:name w:val="垃圾13-24"/>
    <w:basedOn w:val="1"/>
    <w:link w:val="246"/>
    <w:autoRedefine/>
    <w:qFormat/>
    <w:uiPriority w:val="0"/>
    <w:pPr>
      <w:spacing w:line="480" w:lineRule="exact"/>
      <w:ind w:firstLine="520" w:firstLineChars="200"/>
      <w:jc w:val="left"/>
    </w:pPr>
    <w:rPr>
      <w:rFonts w:ascii="宋体" w:hAnsi="宋体" w:cs="宋体"/>
      <w:kern w:val="0"/>
      <w:sz w:val="26"/>
    </w:rPr>
  </w:style>
  <w:style w:type="character" w:customStyle="1" w:styleId="246">
    <w:name w:val="垃圾13-24 Char"/>
    <w:link w:val="245"/>
    <w:autoRedefine/>
    <w:qFormat/>
    <w:uiPriority w:val="0"/>
    <w:rPr>
      <w:rFonts w:ascii="宋体" w:hAnsi="宋体" w:eastAsia="宋体" w:cs="宋体"/>
      <w:kern w:val="0"/>
      <w:sz w:val="26"/>
      <w:szCs w:val="20"/>
    </w:rPr>
  </w:style>
  <w:style w:type="character" w:customStyle="1" w:styleId="247">
    <w:name w:val="批注主题 Char1"/>
    <w:autoRedefine/>
    <w:semiHidden/>
    <w:qFormat/>
    <w:uiPriority w:val="99"/>
    <w:rPr>
      <w:rFonts w:ascii="Times New Roman" w:hAnsi="Times New Roman" w:eastAsia="宋体" w:cs="Times New Roman"/>
      <w:b/>
      <w:bCs/>
    </w:rPr>
  </w:style>
  <w:style w:type="paragraph" w:customStyle="1" w:styleId="248">
    <w:name w:val="图表题"/>
    <w:basedOn w:val="1"/>
    <w:link w:val="249"/>
    <w:qFormat/>
    <w:uiPriority w:val="0"/>
    <w:pPr>
      <w:numPr>
        <w:ilvl w:val="0"/>
        <w:numId w:val="4"/>
      </w:numPr>
      <w:tabs>
        <w:tab w:val="left" w:pos="567"/>
      </w:tabs>
      <w:spacing w:line="600" w:lineRule="exact"/>
      <w:ind w:left="0" w:firstLine="200" w:firstLineChars="200"/>
      <w:jc w:val="center"/>
    </w:pPr>
    <w:rPr>
      <w:rFonts w:ascii="黑体" w:hAnsi="黑体" w:eastAsia="仿宋"/>
      <w:b/>
      <w:color w:val="000000"/>
      <w:sz w:val="28"/>
      <w:szCs w:val="24"/>
    </w:rPr>
  </w:style>
  <w:style w:type="character" w:customStyle="1" w:styleId="249">
    <w:name w:val="图表题 Char1"/>
    <w:link w:val="248"/>
    <w:autoRedefine/>
    <w:qFormat/>
    <w:uiPriority w:val="0"/>
    <w:rPr>
      <w:rFonts w:ascii="黑体" w:hAnsi="黑体" w:eastAsia="仿宋" w:cs="Times New Roman"/>
      <w:b/>
      <w:color w:val="000000"/>
      <w:sz w:val="28"/>
      <w:szCs w:val="24"/>
    </w:rPr>
  </w:style>
  <w:style w:type="table" w:customStyle="1" w:styleId="250">
    <w:name w:val="网格型11"/>
    <w:basedOn w:val="39"/>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1">
    <w:name w:val="网格型12"/>
    <w:basedOn w:val="3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
    <w:name w:val="网格型13"/>
    <w:basedOn w:val="39"/>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3">
    <w:name w:val="网格型14"/>
    <w:basedOn w:val="3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4">
    <w:name w:val="网格型15"/>
    <w:basedOn w:val="39"/>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
    <w:name w:val="网格型16"/>
    <w:basedOn w:val="39"/>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
    <w:name w:val="网格型17"/>
    <w:basedOn w:val="3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57">
    <w:name w:val="日期 字符"/>
    <w:basedOn w:val="42"/>
    <w:link w:val="25"/>
    <w:autoRedefine/>
    <w:qFormat/>
    <w:uiPriority w:val="99"/>
    <w:rPr>
      <w:rFonts w:ascii="Times New Roman" w:hAnsi="Times New Roman" w:eastAsia="宋体" w:cs="Times New Roman"/>
      <w:szCs w:val="20"/>
    </w:rPr>
  </w:style>
  <w:style w:type="table" w:customStyle="1" w:styleId="258">
    <w:name w:val="样式1"/>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259">
    <w:name w:val="表标题 Char"/>
    <w:basedOn w:val="42"/>
    <w:link w:val="71"/>
    <w:autoRedefine/>
    <w:qFormat/>
    <w:uiPriority w:val="0"/>
    <w:rPr>
      <w:rFonts w:ascii="黑体" w:hAnsi="Times New Roman" w:eastAsia="黑体" w:cs="Times New Roman"/>
      <w:snapToGrid w:val="0"/>
      <w:kern w:val="0"/>
      <w:sz w:val="24"/>
      <w:szCs w:val="21"/>
    </w:rPr>
  </w:style>
  <w:style w:type="table" w:customStyle="1" w:styleId="260">
    <w:name w:val="网格型18"/>
    <w:basedOn w:val="39"/>
    <w:autoRedefine/>
    <w:qFormat/>
    <w:uiPriority w:val="0"/>
    <w:pPr>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character" w:customStyle="1" w:styleId="261">
    <w:name w:val="正文文本首行缩进 2 字符"/>
    <w:basedOn w:val="116"/>
    <w:semiHidden/>
    <w:qFormat/>
    <w:uiPriority w:val="99"/>
    <w:rPr>
      <w:rFonts w:ascii="Times New Roman" w:hAnsi="Times New Roman" w:eastAsia="宋体" w:cs="Times New Roman"/>
      <w:szCs w:val="20"/>
    </w:rPr>
  </w:style>
  <w:style w:type="character" w:customStyle="1" w:styleId="262">
    <w:name w:val="正文文本首行缩进 2 字符1"/>
    <w:basedOn w:val="42"/>
    <w:link w:val="2"/>
    <w:qFormat/>
    <w:uiPriority w:val="99"/>
    <w:rPr>
      <w:rFonts w:ascii="Times New Roman" w:hAnsi="Times New Roman" w:eastAsia="宋体" w:cs="Times New Roman"/>
      <w:szCs w:val="21"/>
    </w:rPr>
  </w:style>
  <w:style w:type="character" w:customStyle="1" w:styleId="263">
    <w:name w:val="font11"/>
    <w:basedOn w:val="42"/>
    <w:qFormat/>
    <w:uiPriority w:val="0"/>
    <w:rPr>
      <w:rFonts w:hint="eastAsia" w:ascii="宋体" w:hAnsi="宋体" w:eastAsia="宋体" w:cs="宋体"/>
      <w:color w:val="000000"/>
      <w:sz w:val="21"/>
      <w:szCs w:val="21"/>
      <w:u w:val="none"/>
    </w:rPr>
  </w:style>
  <w:style w:type="paragraph" w:customStyle="1" w:styleId="264">
    <w:name w:val="倪 表格内"/>
    <w:basedOn w:val="1"/>
    <w:autoRedefine/>
    <w:qFormat/>
    <w:uiPriority w:val="0"/>
    <w:pPr>
      <w:widowControl/>
      <w:autoSpaceDE w:val="0"/>
      <w:autoSpaceDN w:val="0"/>
      <w:spacing w:line="360" w:lineRule="auto"/>
      <w:ind w:firstLine="402" w:firstLineChars="200"/>
      <w:jc w:val="center"/>
    </w:pPr>
    <w:rPr>
      <w:rFonts w:ascii="宋体" w:hAnsi="宋体" w:cs="宋体"/>
      <w:kern w:val="0"/>
      <w:sz w:val="24"/>
      <w:szCs w:val="21"/>
      <w:lang w:eastAsia="en-US"/>
    </w:rPr>
  </w:style>
  <w:style w:type="paragraph" w:customStyle="1" w:styleId="265">
    <w:name w:val="0正文"/>
    <w:basedOn w:val="3"/>
    <w:autoRedefine/>
    <w:qFormat/>
    <w:uiPriority w:val="0"/>
    <w:pPr>
      <w:spacing w:after="0" w:line="360" w:lineRule="auto"/>
      <w:ind w:left="0" w:leftChars="0" w:firstLine="720" w:firstLineChars="200"/>
    </w:pPr>
    <w:rPr>
      <w:sz w:val="24"/>
      <w:szCs w:val="22"/>
    </w:rPr>
  </w:style>
  <w:style w:type="table" w:customStyle="1" w:styleId="266">
    <w:name w:val="网格型19"/>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
    <w:name w:val="网格型20"/>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8">
    <w:name w:val="15"/>
    <w:autoRedefine/>
    <w:qFormat/>
    <w:uiPriority w:val="0"/>
    <w:rPr>
      <w:rFonts w:hint="default" w:ascii="Times New Roman" w:hAnsi="Times New Roman" w:cs="Times New Roman"/>
      <w:color w:val="000000"/>
      <w:spacing w:val="0"/>
      <w:sz w:val="17"/>
      <w:szCs w:val="17"/>
    </w:rPr>
  </w:style>
  <w:style w:type="character" w:customStyle="1" w:styleId="269">
    <w:name w:val="图表题 字符"/>
    <w:autoRedefine/>
    <w:qFormat/>
    <w:uiPriority w:val="0"/>
    <w:rPr>
      <w:rFonts w:ascii="Times New Roman" w:hAnsi="Times New Roman" w:eastAsia="黑体" w:cs="Times New Roman"/>
    </w:rPr>
  </w:style>
  <w:style w:type="character" w:customStyle="1" w:styleId="270">
    <w:name w:val="题注 字符"/>
    <w:link w:val="16"/>
    <w:autoRedefine/>
    <w:qFormat/>
    <w:uiPriority w:val="0"/>
    <w:rPr>
      <w:rFonts w:ascii="Arial" w:hAnsi="Arial" w:eastAsia="黑体" w:cs="Arial"/>
      <w:sz w:val="20"/>
      <w:szCs w:val="20"/>
    </w:rPr>
  </w:style>
  <w:style w:type="character" w:customStyle="1" w:styleId="271">
    <w:name w:val="列表段落 字符"/>
    <w:link w:val="76"/>
    <w:autoRedefine/>
    <w:qFormat/>
    <w:uiPriority w:val="0"/>
    <w:rPr>
      <w:rFonts w:ascii="Times New Roman" w:hAnsi="Times New Roman" w:eastAsia="宋体" w:cs="Times New Roman"/>
      <w:szCs w:val="20"/>
    </w:rPr>
  </w:style>
  <w:style w:type="character" w:customStyle="1" w:styleId="272">
    <w:name w:val="普通(网站) 字符"/>
    <w:link w:val="36"/>
    <w:autoRedefine/>
    <w:qFormat/>
    <w:uiPriority w:val="99"/>
    <w:rPr>
      <w:rFonts w:ascii="宋体" w:hAnsi="宋体" w:eastAsia="宋体" w:cs="宋体"/>
      <w:kern w:val="0"/>
      <w:sz w:val="24"/>
      <w:szCs w:val="24"/>
    </w:rPr>
  </w:style>
  <w:style w:type="character" w:customStyle="1" w:styleId="273">
    <w:name w:val="表头图名 Char"/>
    <w:link w:val="274"/>
    <w:autoRedefine/>
    <w:qFormat/>
    <w:uiPriority w:val="0"/>
    <w:rPr>
      <w:rFonts w:ascii="Times New Roman" w:hAnsi="Times New Roman" w:cs="Times New Roman"/>
      <w:bCs/>
      <w:sz w:val="24"/>
      <w:szCs w:val="28"/>
    </w:rPr>
  </w:style>
  <w:style w:type="paragraph" w:customStyle="1" w:styleId="274">
    <w:name w:val="表头图名"/>
    <w:basedOn w:val="1"/>
    <w:link w:val="273"/>
    <w:qFormat/>
    <w:uiPriority w:val="0"/>
    <w:pPr>
      <w:spacing w:beforeLines="50" w:afterLines="50" w:line="360" w:lineRule="auto"/>
      <w:jc w:val="center"/>
    </w:pPr>
    <w:rPr>
      <w:rFonts w:eastAsiaTheme="minorEastAsia"/>
      <w:bCs/>
      <w:sz w:val="24"/>
      <w:szCs w:val="28"/>
    </w:rPr>
  </w:style>
  <w:style w:type="character" w:customStyle="1" w:styleId="275">
    <w:name w:val="111正文 Char"/>
    <w:link w:val="276"/>
    <w:autoRedefine/>
    <w:qFormat/>
    <w:uiPriority w:val="0"/>
    <w:rPr>
      <w:rFonts w:ascii="Times New Roman" w:hAnsi="Times New Roman" w:cs="Times New Roman"/>
      <w:sz w:val="24"/>
    </w:rPr>
  </w:style>
  <w:style w:type="paragraph" w:customStyle="1" w:styleId="276">
    <w:name w:val="111正文"/>
    <w:basedOn w:val="1"/>
    <w:link w:val="275"/>
    <w:qFormat/>
    <w:uiPriority w:val="0"/>
    <w:pPr>
      <w:keepNext/>
      <w:keepLines/>
      <w:tabs>
        <w:tab w:val="left" w:pos="600"/>
      </w:tabs>
      <w:spacing w:line="360" w:lineRule="auto"/>
    </w:pPr>
    <w:rPr>
      <w:rFonts w:eastAsiaTheme="minorEastAsia"/>
      <w:sz w:val="24"/>
      <w:szCs w:val="22"/>
    </w:rPr>
  </w:style>
  <w:style w:type="paragraph" w:customStyle="1" w:styleId="277">
    <w:name w:val="表格文字 居中"/>
    <w:basedOn w:val="1"/>
    <w:autoRedefine/>
    <w:qFormat/>
    <w:uiPriority w:val="0"/>
    <w:pPr>
      <w:spacing w:line="320" w:lineRule="exact"/>
      <w:jc w:val="center"/>
    </w:pPr>
    <w:rPr>
      <w:rFonts w:cs="宋体"/>
      <w:kern w:val="0"/>
    </w:rPr>
  </w:style>
  <w:style w:type="character" w:customStyle="1" w:styleId="278">
    <w:name w:val="未处理的提及3"/>
    <w:basedOn w:val="42"/>
    <w:semiHidden/>
    <w:unhideWhenUsed/>
    <w:qFormat/>
    <w:uiPriority w:val="99"/>
    <w:rPr>
      <w:color w:val="605E5C"/>
      <w:shd w:val="clear" w:color="auto" w:fill="E1DFDD"/>
    </w:rPr>
  </w:style>
  <w:style w:type="paragraph" w:customStyle="1" w:styleId="279">
    <w:name w:val="正文2"/>
    <w:qFormat/>
    <w:uiPriority w:val="0"/>
    <w:pPr>
      <w:jc w:val="both"/>
    </w:pPr>
    <w:rPr>
      <w:rFonts w:ascii="Calibri" w:hAnsi="Calibri" w:eastAsia="宋体" w:cs="Calibri"/>
      <w:kern w:val="2"/>
      <w:sz w:val="21"/>
      <w:szCs w:val="21"/>
      <w:lang w:val="en-US" w:eastAsia="zh-CN" w:bidi="ar-SA"/>
    </w:rPr>
  </w:style>
  <w:style w:type="paragraph" w:customStyle="1" w:styleId="280">
    <w:name w:val="表格内的字体"/>
    <w:basedOn w:val="1"/>
    <w:autoRedefine/>
    <w:qFormat/>
    <w:uiPriority w:val="0"/>
    <w:pPr>
      <w:widowControl/>
      <w:jc w:val="center"/>
    </w:pPr>
    <w:rPr>
      <w:szCs w:val="21"/>
    </w:rPr>
  </w:style>
  <w:style w:type="character" w:customStyle="1" w:styleId="281">
    <w:name w:val="fontstyle01"/>
    <w:basedOn w:val="42"/>
    <w:qFormat/>
    <w:uiPriority w:val="0"/>
    <w:rPr>
      <w:rFonts w:hint="eastAsia" w:ascii="宋体" w:hAnsi="宋体" w:eastAsia="宋体"/>
      <w:color w:val="000000"/>
      <w:sz w:val="26"/>
      <w:szCs w:val="26"/>
    </w:rPr>
  </w:style>
  <w:style w:type="paragraph" w:customStyle="1" w:styleId="282">
    <w:name w:val="表 头"/>
    <w:basedOn w:val="1"/>
    <w:link w:val="283"/>
    <w:autoRedefine/>
    <w:qFormat/>
    <w:uiPriority w:val="0"/>
    <w:pPr>
      <w:adjustRightInd w:val="0"/>
      <w:spacing w:before="120" w:after="120" w:line="360" w:lineRule="atLeast"/>
      <w:jc w:val="center"/>
    </w:pPr>
    <w:rPr>
      <w:rFonts w:eastAsia="黑体"/>
      <w:spacing w:val="10"/>
      <w:kern w:val="0"/>
      <w:sz w:val="24"/>
    </w:rPr>
  </w:style>
  <w:style w:type="character" w:customStyle="1" w:styleId="283">
    <w:name w:val="表 头 Char1"/>
    <w:link w:val="282"/>
    <w:autoRedefine/>
    <w:qFormat/>
    <w:uiPriority w:val="0"/>
    <w:rPr>
      <w:rFonts w:ascii="Times New Roman" w:hAnsi="Times New Roman" w:eastAsia="黑体" w:cs="Times New Roman"/>
      <w:spacing w:val="10"/>
      <w:kern w:val="0"/>
      <w:sz w:val="24"/>
      <w:szCs w:val="20"/>
    </w:rPr>
  </w:style>
  <w:style w:type="paragraph" w:customStyle="1" w:styleId="284">
    <w:name w:val="正文1"/>
    <w:qFormat/>
    <w:uiPriority w:val="0"/>
    <w:pPr>
      <w:jc w:val="both"/>
    </w:pPr>
    <w:rPr>
      <w:rFonts w:ascii="Times New Roman" w:hAnsi="Times New Roman" w:eastAsia="宋体" w:cs="Times New Roman"/>
      <w:kern w:val="2"/>
      <w:sz w:val="21"/>
      <w:szCs w:val="21"/>
      <w:lang w:val="en-US" w:eastAsia="zh-CN" w:bidi="ar-SA"/>
    </w:rPr>
  </w:style>
  <w:style w:type="table" w:customStyle="1" w:styleId="285">
    <w:name w:val="Table Normal5"/>
    <w:autoRedefine/>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286">
    <w:name w:val="Table Normal6"/>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287">
    <w:name w:val="Table Normal7"/>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288">
    <w:name w:val="Table Normal8"/>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289">
    <w:name w:val="Table Normal9"/>
    <w:autoRedefine/>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290">
    <w:name w:val="样式11"/>
    <w:basedOn w:val="39"/>
    <w:autoRedefine/>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291">
    <w:name w:val="未处理的提及31"/>
    <w:basedOn w:val="42"/>
    <w:autoRedefine/>
    <w:unhideWhenUsed/>
    <w:qFormat/>
    <w:uiPriority w:val="99"/>
    <w:rPr>
      <w:color w:val="605E5C"/>
      <w:shd w:val="clear" w:color="auto" w:fill="E1DFDD"/>
    </w:rPr>
  </w:style>
  <w:style w:type="table" w:customStyle="1" w:styleId="292">
    <w:name w:val="网格型21"/>
    <w:basedOn w:val="39"/>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93">
    <w:name w:val="正文文本首行缩进 字符"/>
    <w:basedOn w:val="65"/>
    <w:link w:val="38"/>
    <w:autoRedefine/>
    <w:qFormat/>
    <w:uiPriority w:val="99"/>
    <w:rPr>
      <w:rFonts w:ascii="Times New Roman" w:hAnsi="Times New Roman" w:eastAsia="宋体" w:cs="Times New Roman"/>
      <w:sz w:val="24"/>
      <w:szCs w:val="21"/>
    </w:rPr>
  </w:style>
  <w:style w:type="paragraph" w:customStyle="1" w:styleId="294">
    <w:name w:val="无间隔1"/>
    <w:basedOn w:val="1"/>
    <w:autoRedefine/>
    <w:qFormat/>
    <w:uiPriority w:val="0"/>
    <w:pPr>
      <w:jc w:val="center"/>
    </w:pPr>
    <w:rPr>
      <w:szCs w:val="21"/>
    </w:rPr>
  </w:style>
  <w:style w:type="table" w:customStyle="1" w:styleId="295">
    <w:name w:val="网格型21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
    <w:name w:val="表格主题1"/>
    <w:basedOn w:val="39"/>
    <w:autoRedefine/>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297">
    <w:name w:val="Table Normal51"/>
    <w:autoRedefine/>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298">
    <w:name w:val="网格型110"/>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
    <w:name w:val="Table Normal11"/>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00">
    <w:name w:val="网格型22"/>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
    <w:name w:val="Table Normal21"/>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02">
    <w:name w:val="Table Normal31"/>
    <w:autoRedefine/>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03">
    <w:name w:val="Table Normal41"/>
    <w:autoRedefine/>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04">
    <w:name w:val="网格型32"/>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
    <w:name w:val="网格型31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6">
    <w:name w:val="网格型4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7">
    <w:name w:val="网格型5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8">
    <w:name w:val="网格型6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
    <w:name w:val="网格型7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
    <w:name w:val="网格型81"/>
    <w:basedOn w:val="39"/>
    <w:autoRedefine/>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
    <w:name w:val="网格型10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
    <w:name w:val="网格型91"/>
    <w:basedOn w:val="39"/>
    <w:autoRedefine/>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13">
    <w:name w:val="修订11"/>
    <w:autoRedefine/>
    <w:hidden/>
    <w:semiHidden/>
    <w:qFormat/>
    <w:uiPriority w:val="99"/>
    <w:rPr>
      <w:rFonts w:ascii="Times New Roman" w:hAnsi="Times New Roman" w:eastAsia="宋体" w:cs="Times New Roman"/>
      <w:kern w:val="2"/>
      <w:sz w:val="21"/>
      <w:lang w:val="en-US" w:eastAsia="zh-CN" w:bidi="ar-SA"/>
    </w:rPr>
  </w:style>
  <w:style w:type="table" w:customStyle="1" w:styleId="314">
    <w:name w:val="环评用表11"/>
    <w:basedOn w:val="39"/>
    <w:autoRedefine/>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
    <w:name w:val="网格型1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
    <w:name w:val="网格型12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
    <w:name w:val="网格型13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
    <w:name w:val="网格型14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
    <w:name w:val="网格型151"/>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
    <w:name w:val="网格型161"/>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
    <w:name w:val="网格型17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
    <w:name w:val="网格型181"/>
    <w:basedOn w:val="39"/>
    <w:autoRedefine/>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323">
    <w:name w:val="网格型19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
    <w:name w:val="网格型20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
    <w:name w:val="网格型23"/>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
    <w:name w:val="表格主题2"/>
    <w:basedOn w:val="39"/>
    <w:autoRedefine/>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327">
    <w:name w:val="Table Normal61"/>
    <w:autoRedefine/>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28">
    <w:name w:val="网格型112"/>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
    <w:name w:val="Table Normal12"/>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30">
    <w:name w:val="网格型24"/>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
    <w:name w:val="Table Normal22"/>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32">
    <w:name w:val="Table Normal32"/>
    <w:autoRedefine/>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33">
    <w:name w:val="Table Normal42"/>
    <w:autoRedefine/>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34">
    <w:name w:val="网格型33"/>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
    <w:name w:val="网格型312"/>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
    <w:name w:val="网格型42"/>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
    <w:name w:val="网格型52"/>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
    <w:name w:val="网格型62"/>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
    <w:name w:val="网格型72"/>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
    <w:name w:val="网格型82"/>
    <w:basedOn w:val="39"/>
    <w:autoRedefine/>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1">
    <w:name w:val="网格型102"/>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
    <w:name w:val="网格型92"/>
    <w:basedOn w:val="39"/>
    <w:autoRedefine/>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
    <w:name w:val="环评用表12"/>
    <w:basedOn w:val="39"/>
    <w:autoRedefine/>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
    <w:name w:val="网格型113"/>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
    <w:name w:val="网格型122"/>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
    <w:name w:val="网格型132"/>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
    <w:name w:val="网格型142"/>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
    <w:name w:val="网格型152"/>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
    <w:name w:val="网格型162"/>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
    <w:name w:val="网格型172"/>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
    <w:name w:val="样式12"/>
    <w:basedOn w:val="39"/>
    <w:autoRedefine/>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352">
    <w:name w:val="网格型182"/>
    <w:basedOn w:val="39"/>
    <w:autoRedefine/>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353">
    <w:name w:val="网格型192"/>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
    <w:name w:val="网格型202"/>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5">
    <w:name w:val="16"/>
    <w:autoRedefine/>
    <w:qFormat/>
    <w:uiPriority w:val="0"/>
    <w:rPr>
      <w:rFonts w:hint="eastAsia" w:ascii="宋体" w:hAnsi="宋体" w:eastAsia="宋体"/>
      <w:color w:val="000000"/>
      <w:spacing w:val="10"/>
      <w:sz w:val="24"/>
      <w:szCs w:val="24"/>
      <w:shd w:val="clear" w:color="auto" w:fill="FFFFFF"/>
    </w:rPr>
  </w:style>
  <w:style w:type="table" w:customStyle="1" w:styleId="356">
    <w:name w:val="网格型183"/>
    <w:basedOn w:val="39"/>
    <w:autoRedefine/>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357">
    <w:name w:val="网格型25"/>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
    <w:name w:val="表格主题3"/>
    <w:basedOn w:val="39"/>
    <w:autoRedefine/>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359">
    <w:name w:val="Table Normal10"/>
    <w:autoRedefine/>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60">
    <w:name w:val="网格型114"/>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
    <w:name w:val="Table Normal13"/>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62">
    <w:name w:val="网格型26"/>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
    <w:name w:val="Table Normal23"/>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64">
    <w:name w:val="Table Normal33"/>
    <w:autoRedefine/>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65">
    <w:name w:val="Table Normal43"/>
    <w:autoRedefine/>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66">
    <w:name w:val="网格型34"/>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
    <w:name w:val="网格型313"/>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
    <w:name w:val="网格型43"/>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
    <w:name w:val="网格型53"/>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
    <w:name w:val="网格型63"/>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
    <w:name w:val="网格型73"/>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
    <w:name w:val="网格型83"/>
    <w:basedOn w:val="39"/>
    <w:autoRedefine/>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
    <w:name w:val="网格型103"/>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
    <w:name w:val="网格型93"/>
    <w:basedOn w:val="39"/>
    <w:autoRedefine/>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
    <w:name w:val="环评用表13"/>
    <w:basedOn w:val="39"/>
    <w:autoRedefine/>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6">
    <w:name w:val="网格型115"/>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7">
    <w:name w:val="网格型123"/>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
    <w:name w:val="网格型133"/>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
    <w:name w:val="网格型143"/>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
    <w:name w:val="网格型153"/>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
    <w:name w:val="网格型163"/>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
    <w:name w:val="网格型173"/>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3">
    <w:name w:val="样式13"/>
    <w:basedOn w:val="39"/>
    <w:autoRedefine/>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384">
    <w:name w:val="网格型184"/>
    <w:basedOn w:val="39"/>
    <w:autoRedefine/>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385">
    <w:name w:val="网格型193"/>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
    <w:name w:val="网格型203"/>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
    <w:name w:val="网格型212"/>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
    <w:name w:val="表格主题11"/>
    <w:basedOn w:val="39"/>
    <w:autoRedefine/>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389">
    <w:name w:val="Table Normal52"/>
    <w:autoRedefine/>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90">
    <w:name w:val="网格型1101"/>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
    <w:name w:val="Table Normal111"/>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92">
    <w:name w:val="网格型221"/>
    <w:basedOn w:val="39"/>
    <w:autoRedefine/>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3">
    <w:name w:val="Table Normal211"/>
    <w:autoRedefine/>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394">
    <w:name w:val="Table Normal311"/>
    <w:autoRedefine/>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95">
    <w:name w:val="Table Normal411"/>
    <w:autoRedefine/>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396">
    <w:name w:val="网格型32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7">
    <w:name w:val="网格型311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8">
    <w:name w:val="网格型41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9">
    <w:name w:val="网格型51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0">
    <w:name w:val="网格型61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1">
    <w:name w:val="网格型71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2">
    <w:name w:val="网格型811"/>
    <w:basedOn w:val="39"/>
    <w:autoRedefine/>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3">
    <w:name w:val="网格型10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4">
    <w:name w:val="网格型911"/>
    <w:basedOn w:val="39"/>
    <w:autoRedefine/>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5">
    <w:name w:val="环评用表111"/>
    <w:basedOn w:val="39"/>
    <w:autoRedefine/>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6">
    <w:name w:val="网格型11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7">
    <w:name w:val="网格型12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8">
    <w:name w:val="网格型13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9">
    <w:name w:val="网格型14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0">
    <w:name w:val="网格型1511"/>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1">
    <w:name w:val="网格型1611"/>
    <w:basedOn w:val="39"/>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2">
    <w:name w:val="网格型1711"/>
    <w:basedOn w:val="39"/>
    <w:autoRedefine/>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3">
    <w:name w:val="样式111"/>
    <w:basedOn w:val="39"/>
    <w:autoRedefine/>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414">
    <w:name w:val="网格型1811"/>
    <w:basedOn w:val="39"/>
    <w:autoRedefine/>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415">
    <w:name w:val="网格型191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6">
    <w:name w:val="网格型2011"/>
    <w:basedOn w:val="39"/>
    <w:autoRedefine/>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7">
    <w:name w:val="网格型231"/>
    <w:basedOn w:val="39"/>
    <w:autoRedefine/>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8">
    <w:name w:val="表格主题21"/>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419">
    <w:name w:val="Table Normal62"/>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20">
    <w:name w:val="网格型1121"/>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1">
    <w:name w:val="Table Normal121"/>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422">
    <w:name w:val="网格型241"/>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3">
    <w:name w:val="Table Normal221"/>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424">
    <w:name w:val="Table Normal321"/>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25">
    <w:name w:val="Table Normal421"/>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26">
    <w:name w:val="网格型33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7">
    <w:name w:val="网格型312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8">
    <w:name w:val="网格型42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9">
    <w:name w:val="网格型52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0">
    <w:name w:val="网格型62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1">
    <w:name w:val="网格型72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2">
    <w:name w:val="网格型821"/>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3">
    <w:name w:val="网格型102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4">
    <w:name w:val="网格型921"/>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5">
    <w:name w:val="环评用表121"/>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6">
    <w:name w:val="网格型113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7">
    <w:name w:val="网格型122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8">
    <w:name w:val="网格型132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9">
    <w:name w:val="网格型142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0">
    <w:name w:val="网格型1521"/>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1">
    <w:name w:val="网格型1621"/>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2">
    <w:name w:val="网格型172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3">
    <w:name w:val="样式121"/>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444">
    <w:name w:val="网格型1821"/>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445">
    <w:name w:val="网格型192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6">
    <w:name w:val="网格型202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7">
    <w:name w:val="网格型1831"/>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paragraph" w:customStyle="1" w:styleId="448">
    <w:name w:val="标题 31"/>
    <w:next w:val="1"/>
    <w:qFormat/>
    <w:uiPriority w:val="9"/>
    <w:pPr>
      <w:tabs>
        <w:tab w:val="left" w:pos="240"/>
        <w:tab w:val="left" w:pos="720"/>
      </w:tabs>
      <w:adjustRightInd w:val="0"/>
      <w:snapToGrid w:val="0"/>
      <w:spacing w:before="120" w:after="120" w:line="360" w:lineRule="auto"/>
      <w:outlineLvl w:val="2"/>
    </w:pPr>
    <w:rPr>
      <w:rFonts w:ascii="Calibri" w:hAnsi="Calibri" w:eastAsia="等线" w:cs="Times New Roman"/>
      <w:b/>
      <w:bCs/>
      <w:kern w:val="44"/>
      <w:sz w:val="28"/>
      <w:szCs w:val="32"/>
      <w:lang w:val="en-US" w:eastAsia="zh-CN" w:bidi="ar-SA"/>
    </w:rPr>
  </w:style>
  <w:style w:type="paragraph" w:customStyle="1" w:styleId="449">
    <w:name w:val="样式 样式 样式 四号 左侧:  1.53 厘米 + 首行缩进:  2 字符 + 居中 左侧:  2 字符 首行缩进:  2..."/>
    <w:basedOn w:val="450"/>
    <w:qFormat/>
    <w:uiPriority w:val="0"/>
    <w:pPr>
      <w:jc w:val="center"/>
    </w:pPr>
  </w:style>
  <w:style w:type="paragraph" w:customStyle="1" w:styleId="450">
    <w:name w:val="样式 样式 四号 左侧:  1.53 厘米 + 首行缩进:  2 字符"/>
    <w:basedOn w:val="451"/>
    <w:qFormat/>
    <w:uiPriority w:val="0"/>
    <w:pPr>
      <w:ind w:left="200" w:leftChars="200"/>
    </w:pPr>
    <w:rPr>
      <w:szCs w:val="20"/>
    </w:rPr>
  </w:style>
  <w:style w:type="paragraph" w:customStyle="1" w:styleId="451">
    <w:name w:val="样式 四号 左侧:  1.53 厘米"/>
    <w:basedOn w:val="1"/>
    <w:qFormat/>
    <w:uiPriority w:val="0"/>
    <w:pPr>
      <w:adjustRightInd w:val="0"/>
    </w:pPr>
    <w:rPr>
      <w:w w:val="90"/>
      <w:sz w:val="28"/>
      <w:szCs w:val="28"/>
    </w:rPr>
  </w:style>
  <w:style w:type="paragraph" w:customStyle="1" w:styleId="452">
    <w:name w:val="正文文本缩进 21"/>
    <w:basedOn w:val="1"/>
    <w:next w:val="4"/>
    <w:qFormat/>
    <w:uiPriority w:val="99"/>
    <w:pPr>
      <w:spacing w:after="120" w:line="480" w:lineRule="auto"/>
      <w:ind w:left="420" w:leftChars="200"/>
    </w:pPr>
    <w:rPr>
      <w:rFonts w:ascii="等线" w:hAnsi="等线" w:eastAsia="等线"/>
      <w:szCs w:val="24"/>
    </w:rPr>
  </w:style>
  <w:style w:type="table" w:customStyle="1" w:styleId="453">
    <w:name w:val="Table Normal71"/>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character" w:customStyle="1" w:styleId="454">
    <w:name w:val="font21"/>
    <w:basedOn w:val="42"/>
    <w:qFormat/>
    <w:uiPriority w:val="0"/>
    <w:rPr>
      <w:rFonts w:hint="eastAsia" w:ascii="宋体" w:hAnsi="宋体" w:eastAsia="宋体" w:cs="宋体"/>
      <w:color w:val="000000"/>
      <w:sz w:val="21"/>
      <w:szCs w:val="21"/>
      <w:u w:val="none"/>
    </w:rPr>
  </w:style>
  <w:style w:type="character" w:customStyle="1" w:styleId="455">
    <w:name w:val="font01"/>
    <w:basedOn w:val="42"/>
    <w:qFormat/>
    <w:uiPriority w:val="0"/>
    <w:rPr>
      <w:rFonts w:hint="default" w:ascii="Times New Roman" w:hAnsi="Times New Roman" w:cs="Times New Roman"/>
      <w:color w:val="000000"/>
      <w:sz w:val="21"/>
      <w:szCs w:val="21"/>
      <w:u w:val="none"/>
    </w:rPr>
  </w:style>
  <w:style w:type="character" w:customStyle="1" w:styleId="456">
    <w:name w:val="正文文本缩进 2 字符2"/>
    <w:basedOn w:val="42"/>
    <w:semiHidden/>
    <w:qFormat/>
    <w:uiPriority w:val="99"/>
  </w:style>
  <w:style w:type="character" w:customStyle="1" w:styleId="457">
    <w:name w:val="标题 3 字符2"/>
    <w:basedOn w:val="42"/>
    <w:semiHidden/>
    <w:qFormat/>
    <w:uiPriority w:val="9"/>
    <w:rPr>
      <w:b/>
      <w:bCs/>
      <w:sz w:val="32"/>
      <w:szCs w:val="32"/>
    </w:rPr>
  </w:style>
  <w:style w:type="table" w:customStyle="1" w:styleId="458">
    <w:name w:val="网格型2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9">
    <w:name w:val="表格主题4"/>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460">
    <w:name w:val="Table Normal14"/>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61">
    <w:name w:val="网格型116"/>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2">
    <w:name w:val="Table Normal15"/>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463">
    <w:name w:val="网格型28"/>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4">
    <w:name w:val="Table Normal24"/>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465">
    <w:name w:val="Table Normal34"/>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66">
    <w:name w:val="Table Normal44"/>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67">
    <w:name w:val="网格型35"/>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8">
    <w:name w:val="网格型314"/>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9">
    <w:name w:val="网格型44"/>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0">
    <w:name w:val="网格型54"/>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1">
    <w:name w:val="网格型64"/>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2">
    <w:name w:val="网格型74"/>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3">
    <w:name w:val="网格型84"/>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4">
    <w:name w:val="网格型10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5">
    <w:name w:val="网格型94"/>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6">
    <w:name w:val="环评用表14"/>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7">
    <w:name w:val="网格型117"/>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8">
    <w:name w:val="网格型12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9">
    <w:name w:val="网格型13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0">
    <w:name w:val="网格型14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1">
    <w:name w:val="网格型154"/>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2">
    <w:name w:val="网格型164"/>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3">
    <w:name w:val="网格型17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4">
    <w:name w:val="样式14"/>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485">
    <w:name w:val="网格型185"/>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486">
    <w:name w:val="网格型194"/>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7">
    <w:name w:val="网格型204"/>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88">
    <w:name w:val="font81"/>
    <w:basedOn w:val="42"/>
    <w:qFormat/>
    <w:uiPriority w:val="0"/>
    <w:rPr>
      <w:rFonts w:hint="default" w:ascii="Times New Roman" w:hAnsi="Times New Roman" w:cs="Times New Roman"/>
      <w:color w:val="000000"/>
      <w:sz w:val="21"/>
      <w:szCs w:val="21"/>
      <w:u w:val="none"/>
      <w:vertAlign w:val="superscript"/>
    </w:rPr>
  </w:style>
  <w:style w:type="table" w:customStyle="1" w:styleId="489">
    <w:name w:val="网格型29"/>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0">
    <w:name w:val="表格主题5"/>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491">
    <w:name w:val="Table Normal16"/>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92">
    <w:name w:val="网格型118"/>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3">
    <w:name w:val="Table Normal17"/>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494">
    <w:name w:val="网格型210"/>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5">
    <w:name w:val="Table Normal25"/>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496">
    <w:name w:val="Table Normal35"/>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97">
    <w:name w:val="Table Normal45"/>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498">
    <w:name w:val="网格型36"/>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9">
    <w:name w:val="网格型315"/>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0">
    <w:name w:val="网格型45"/>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1">
    <w:name w:val="网格型55"/>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2">
    <w:name w:val="网格型65"/>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3">
    <w:name w:val="网格型75"/>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4">
    <w:name w:val="网格型85"/>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5">
    <w:name w:val="网格型10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6">
    <w:name w:val="网格型95"/>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7">
    <w:name w:val="环评用表15"/>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8">
    <w:name w:val="网格型119"/>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9">
    <w:name w:val="网格型12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0">
    <w:name w:val="网格型13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
    <w:name w:val="网格型14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2">
    <w:name w:val="网格型155"/>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3">
    <w:name w:val="网格型165"/>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4">
    <w:name w:val="网格型17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5">
    <w:name w:val="样式15"/>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516">
    <w:name w:val="网格型186"/>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517">
    <w:name w:val="网格型195"/>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8">
    <w:name w:val="网格型205"/>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9">
    <w:name w:val="网格型21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0">
    <w:name w:val="表格主题12"/>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21">
    <w:name w:val="Table Normal53"/>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22">
    <w:name w:val="网格型1102"/>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3">
    <w:name w:val="Table Normal112"/>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524">
    <w:name w:val="网格型222"/>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5">
    <w:name w:val="Table Normal212"/>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526">
    <w:name w:val="Table Normal312"/>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27">
    <w:name w:val="Table Normal412"/>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28">
    <w:name w:val="网格型32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9">
    <w:name w:val="网格型311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0">
    <w:name w:val="网格型41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1">
    <w:name w:val="网格型51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2">
    <w:name w:val="网格型61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3">
    <w:name w:val="网格型71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4">
    <w:name w:val="网格型812"/>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5">
    <w:name w:val="网格型101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6">
    <w:name w:val="网格型912"/>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7">
    <w:name w:val="环评用表112"/>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8">
    <w:name w:val="网格型111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9">
    <w:name w:val="网格型121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0">
    <w:name w:val="网格型131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1">
    <w:name w:val="网格型141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2">
    <w:name w:val="网格型1512"/>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3">
    <w:name w:val="网格型1612"/>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4">
    <w:name w:val="网格型171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5">
    <w:name w:val="样式112"/>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546">
    <w:name w:val="网格型1812"/>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547">
    <w:name w:val="网格型191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8">
    <w:name w:val="网格型201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9">
    <w:name w:val="网格型23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0">
    <w:name w:val="表格主题22"/>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51">
    <w:name w:val="Table Normal63"/>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52">
    <w:name w:val="网格型1122"/>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3">
    <w:name w:val="Table Normal122"/>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554">
    <w:name w:val="网格型242"/>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5">
    <w:name w:val="Table Normal222"/>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556">
    <w:name w:val="Table Normal322"/>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57">
    <w:name w:val="Table Normal422"/>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58">
    <w:name w:val="网格型33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9">
    <w:name w:val="网格型312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0">
    <w:name w:val="网格型42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1">
    <w:name w:val="网格型52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2">
    <w:name w:val="网格型62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3">
    <w:name w:val="网格型72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4">
    <w:name w:val="网格型822"/>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5">
    <w:name w:val="网格型102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6">
    <w:name w:val="网格型922"/>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7">
    <w:name w:val="环评用表122"/>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8">
    <w:name w:val="网格型113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9">
    <w:name w:val="网格型122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0">
    <w:name w:val="网格型132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1">
    <w:name w:val="网格型142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2">
    <w:name w:val="网格型1522"/>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3">
    <w:name w:val="网格型1622"/>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4">
    <w:name w:val="网格型172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5">
    <w:name w:val="样式122"/>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576">
    <w:name w:val="网格型1822"/>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577">
    <w:name w:val="网格型192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8">
    <w:name w:val="网格型202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9">
    <w:name w:val="网格型1832"/>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580">
    <w:name w:val="网格型25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1">
    <w:name w:val="表格主题31"/>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82">
    <w:name w:val="Table Normal72"/>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83">
    <w:name w:val="网格型1141"/>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4">
    <w:name w:val="Table Normal131"/>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585">
    <w:name w:val="网格型261"/>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6">
    <w:name w:val="Table Normal231"/>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587">
    <w:name w:val="Table Normal331"/>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88">
    <w:name w:val="Table Normal431"/>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589">
    <w:name w:val="网格型34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0">
    <w:name w:val="网格型313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1">
    <w:name w:val="网格型43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2">
    <w:name w:val="网格型53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3">
    <w:name w:val="网格型63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4">
    <w:name w:val="网格型731"/>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5">
    <w:name w:val="网格型831"/>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6">
    <w:name w:val="网格型103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7">
    <w:name w:val="网格型931"/>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8">
    <w:name w:val="环评用表131"/>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9">
    <w:name w:val="网格型115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0">
    <w:name w:val="网格型123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1">
    <w:name w:val="网格型133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2">
    <w:name w:val="网格型143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3">
    <w:name w:val="网格型1531"/>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4">
    <w:name w:val="网格型1631"/>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5">
    <w:name w:val="网格型1731"/>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6">
    <w:name w:val="样式131"/>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607">
    <w:name w:val="网格型1841"/>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608">
    <w:name w:val="网格型193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9">
    <w:name w:val="网格型2031"/>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0">
    <w:name w:val="网格型30"/>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1">
    <w:name w:val="表格主题6"/>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612">
    <w:name w:val="Table Normal18"/>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13">
    <w:name w:val="网格型120"/>
    <w:basedOn w:val="39"/>
    <w:qFormat/>
    <w:uiPriority w:val="0"/>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4">
    <w:name w:val="Table Normal19"/>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615">
    <w:name w:val="网格型214"/>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6">
    <w:name w:val="Table Normal26"/>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617">
    <w:name w:val="Table Normal36"/>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18">
    <w:name w:val="Table Normal46"/>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19">
    <w:name w:val="网格型37"/>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0">
    <w:name w:val="网格型316"/>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1">
    <w:name w:val="网格型46"/>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2">
    <w:name w:val="网格型56"/>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3">
    <w:name w:val="网格型66"/>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4">
    <w:name w:val="网格型76"/>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5">
    <w:name w:val="网格型86"/>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6">
    <w:name w:val="网格型106"/>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7">
    <w:name w:val="网格型96"/>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8">
    <w:name w:val="环评用表16"/>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9">
    <w:name w:val="网格型1110"/>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0">
    <w:name w:val="网格型126"/>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1">
    <w:name w:val="网格型136"/>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2">
    <w:name w:val="网格型146"/>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3">
    <w:name w:val="网格型156"/>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4">
    <w:name w:val="网格型166"/>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5">
    <w:name w:val="网格型176"/>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6">
    <w:name w:val="样式16"/>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637">
    <w:name w:val="网格型187"/>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638">
    <w:name w:val="网格型196"/>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9">
    <w:name w:val="网格型206"/>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40">
    <w:name w:val="题注 Char2"/>
    <w:qFormat/>
    <w:uiPriority w:val="0"/>
    <w:rPr>
      <w:rFonts w:ascii="Arial" w:hAnsi="Arial" w:eastAsia="黑体" w:cs="Arial"/>
      <w:kern w:val="2"/>
    </w:rPr>
  </w:style>
  <w:style w:type="table" w:customStyle="1" w:styleId="641">
    <w:name w:val="网格型38"/>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2">
    <w:name w:val="表格主题7"/>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643">
    <w:name w:val="Table Normal20"/>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44">
    <w:name w:val="网格型127"/>
    <w:basedOn w:val="39"/>
    <w:qFormat/>
    <w:uiPriority w:val="0"/>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5">
    <w:name w:val="Table Normal110"/>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646">
    <w:name w:val="网格型215"/>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7">
    <w:name w:val="Table Normal27"/>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648">
    <w:name w:val="Table Normal37"/>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49">
    <w:name w:val="Table Normal47"/>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50">
    <w:name w:val="网格型39"/>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1">
    <w:name w:val="网格型317"/>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2">
    <w:name w:val="网格型4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3">
    <w:name w:val="网格型5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4">
    <w:name w:val="网格型6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5">
    <w:name w:val="网格型7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6">
    <w:name w:val="网格型87"/>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7">
    <w:name w:val="网格型107"/>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8">
    <w:name w:val="网格型97"/>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9">
    <w:name w:val="环评用表17"/>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0">
    <w:name w:val="网格型111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1">
    <w:name w:val="网格型128"/>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2">
    <w:name w:val="网格型137"/>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3">
    <w:name w:val="网格型147"/>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4">
    <w:name w:val="网格型157"/>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5">
    <w:name w:val="网格型167"/>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6">
    <w:name w:val="网格型177"/>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7">
    <w:name w:val="样式17"/>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668">
    <w:name w:val="网格型188"/>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669">
    <w:name w:val="网格型197"/>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0">
    <w:name w:val="网格型207"/>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1">
    <w:name w:val="网格型40"/>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2">
    <w:name w:val="表格主题8"/>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673">
    <w:name w:val="Table Normal28"/>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74">
    <w:name w:val="网格型129"/>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5">
    <w:name w:val="Table Normal113"/>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676">
    <w:name w:val="网格型216"/>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7">
    <w:name w:val="Table Normal29"/>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678">
    <w:name w:val="Table Normal38"/>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79">
    <w:name w:val="Table Normal48"/>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680">
    <w:name w:val="网格型310"/>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1">
    <w:name w:val="网格型318"/>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2">
    <w:name w:val="网格型48"/>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3">
    <w:name w:val="网格型58"/>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4">
    <w:name w:val="网格型68"/>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5">
    <w:name w:val="网格型78"/>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6">
    <w:name w:val="网格型88"/>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7">
    <w:name w:val="网格型108"/>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8">
    <w:name w:val="网格型98"/>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9">
    <w:name w:val="环评用表18"/>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0">
    <w:name w:val="网格型111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1">
    <w:name w:val="网格型1210"/>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2">
    <w:name w:val="网格型138"/>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3">
    <w:name w:val="网格型148"/>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4">
    <w:name w:val="网格型158"/>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5">
    <w:name w:val="网格型168"/>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6">
    <w:name w:val="网格型178"/>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7">
    <w:name w:val="样式18"/>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698">
    <w:name w:val="网格型189"/>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699">
    <w:name w:val="网格型198"/>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0">
    <w:name w:val="网格型208"/>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1">
    <w:name w:val="网格型217"/>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2">
    <w:name w:val="表格主题13"/>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703">
    <w:name w:val="Table Normal54"/>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04">
    <w:name w:val="网格型1103"/>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5">
    <w:name w:val="Table Normal114"/>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706">
    <w:name w:val="网格型223"/>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7">
    <w:name w:val="Table Normal213"/>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708">
    <w:name w:val="Table Normal313"/>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09">
    <w:name w:val="Table Normal413"/>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10">
    <w:name w:val="网格型32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1">
    <w:name w:val="网格型311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2">
    <w:name w:val="网格型41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3">
    <w:name w:val="网格型51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4">
    <w:name w:val="网格型61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5">
    <w:name w:val="网格型71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6">
    <w:name w:val="网格型813"/>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7">
    <w:name w:val="网格型101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8">
    <w:name w:val="网格型913"/>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9">
    <w:name w:val="环评用表113"/>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0">
    <w:name w:val="网格型111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1">
    <w:name w:val="网格型121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2">
    <w:name w:val="网格型131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3">
    <w:name w:val="网格型141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4">
    <w:name w:val="网格型1513"/>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5">
    <w:name w:val="网格型1613"/>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6">
    <w:name w:val="网格型171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7">
    <w:name w:val="样式113"/>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728">
    <w:name w:val="网格型1813"/>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729">
    <w:name w:val="网格型191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0">
    <w:name w:val="网格型201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1">
    <w:name w:val="网格型23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2">
    <w:name w:val="表格主题23"/>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733">
    <w:name w:val="Table Normal64"/>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34">
    <w:name w:val="网格型1123"/>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5">
    <w:name w:val="Table Normal123"/>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736">
    <w:name w:val="网格型243"/>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7">
    <w:name w:val="Table Normal223"/>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738">
    <w:name w:val="Table Normal323"/>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39">
    <w:name w:val="Table Normal423"/>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40">
    <w:name w:val="网格型33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1">
    <w:name w:val="网格型312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2">
    <w:name w:val="网格型42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3">
    <w:name w:val="网格型52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4">
    <w:name w:val="网格型62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5">
    <w:name w:val="网格型723"/>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6">
    <w:name w:val="网格型823"/>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7">
    <w:name w:val="网格型102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8">
    <w:name w:val="网格型923"/>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9">
    <w:name w:val="环评用表123"/>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0">
    <w:name w:val="网格型113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1">
    <w:name w:val="网格型122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2">
    <w:name w:val="网格型132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3">
    <w:name w:val="网格型142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4">
    <w:name w:val="网格型1523"/>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5">
    <w:name w:val="网格型1623"/>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6">
    <w:name w:val="网格型1723"/>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7">
    <w:name w:val="样式123"/>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758">
    <w:name w:val="网格型1823"/>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759">
    <w:name w:val="网格型192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0">
    <w:name w:val="网格型2023"/>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1">
    <w:name w:val="网格型1833"/>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762">
    <w:name w:val="网格型25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3">
    <w:name w:val="表格主题32"/>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764">
    <w:name w:val="Table Normal73"/>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65">
    <w:name w:val="网格型1142"/>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6">
    <w:name w:val="Table Normal132"/>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767">
    <w:name w:val="网格型262"/>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8">
    <w:name w:val="Table Normal232"/>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769">
    <w:name w:val="Table Normal332"/>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70">
    <w:name w:val="Table Normal432"/>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71">
    <w:name w:val="网格型34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2">
    <w:name w:val="网格型313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3">
    <w:name w:val="网格型43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4">
    <w:name w:val="网格型53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5">
    <w:name w:val="网格型63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6">
    <w:name w:val="网格型732"/>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7">
    <w:name w:val="网格型832"/>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8">
    <w:name w:val="网格型103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79">
    <w:name w:val="网格型932"/>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0">
    <w:name w:val="环评用表132"/>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1">
    <w:name w:val="网格型115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2">
    <w:name w:val="网格型123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3">
    <w:name w:val="网格型133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4">
    <w:name w:val="网格型143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5">
    <w:name w:val="网格型1532"/>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6">
    <w:name w:val="网格型1632"/>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7">
    <w:name w:val="网格型1732"/>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8">
    <w:name w:val="样式132"/>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789">
    <w:name w:val="网格型1842"/>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790">
    <w:name w:val="网格型193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91">
    <w:name w:val="网格型2032"/>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92">
    <w:name w:val="未处理的提及4"/>
    <w:basedOn w:val="42"/>
    <w:semiHidden/>
    <w:unhideWhenUsed/>
    <w:qFormat/>
    <w:uiPriority w:val="99"/>
    <w:rPr>
      <w:color w:val="605E5C"/>
      <w:shd w:val="clear" w:color="auto" w:fill="E1DFDD"/>
    </w:rPr>
  </w:style>
  <w:style w:type="table" w:customStyle="1" w:styleId="793">
    <w:name w:val="网格型49"/>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94">
    <w:name w:val="未处理的提及5"/>
    <w:basedOn w:val="42"/>
    <w:semiHidden/>
    <w:unhideWhenUsed/>
    <w:qFormat/>
    <w:uiPriority w:val="99"/>
    <w:rPr>
      <w:color w:val="605E5C"/>
      <w:shd w:val="clear" w:color="auto" w:fill="E1DFDD"/>
    </w:rPr>
  </w:style>
  <w:style w:type="table" w:customStyle="1" w:styleId="795">
    <w:name w:val="网格型50"/>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96">
    <w:name w:val="表格主题9"/>
    <w:basedOn w:val="39"/>
    <w:unhideWhenUsed/>
    <w:qFormat/>
    <w:uiPriority w:val="99"/>
    <w:pPr>
      <w:spacing w:line="320" w:lineRule="exact"/>
      <w:jc w:val="center"/>
    </w:pPr>
    <w:rPr>
      <w:rFonts w:ascii="Times New Roman" w:hAnsi="Times New Roman" w:eastAsia="宋体" w:cs="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797">
    <w:name w:val="Table Normal30"/>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798">
    <w:name w:val="网格型130"/>
    <w:basedOn w:val="39"/>
    <w:qFormat/>
    <w:uiPriority w:val="0"/>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99">
    <w:name w:val="Table Normal115"/>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800">
    <w:name w:val="网格型218"/>
    <w:basedOn w:val="39"/>
    <w:qFormat/>
    <w:uiPriority w:val="3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1">
    <w:name w:val="Table Normal210"/>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802">
    <w:name w:val="Table Normal39"/>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803">
    <w:name w:val="Table Normal49"/>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804">
    <w:name w:val="网格型319"/>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5">
    <w:name w:val="网格型3110"/>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6">
    <w:name w:val="网格型410"/>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7">
    <w:name w:val="网格型59"/>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8">
    <w:name w:val="网格型69"/>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9">
    <w:name w:val="网格型79"/>
    <w:basedOn w:val="39"/>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0">
    <w:name w:val="网格型89"/>
    <w:basedOn w:val="39"/>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1">
    <w:name w:val="网格型109"/>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2">
    <w:name w:val="网格型99"/>
    <w:basedOn w:val="3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3">
    <w:name w:val="环评用表19"/>
    <w:basedOn w:val="39"/>
    <w:qFormat/>
    <w:uiPriority w:val="39"/>
    <w:rPr>
      <w:rFonts w:ascii="等线" w:hAnsi="等线" w:eastAsia="等线"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4">
    <w:name w:val="网格型1116"/>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5">
    <w:name w:val="网格型1214"/>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6">
    <w:name w:val="网格型139"/>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7">
    <w:name w:val="网格型149"/>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8">
    <w:name w:val="网格型159"/>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9">
    <w:name w:val="网格型169"/>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0">
    <w:name w:val="网格型179"/>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1">
    <w:name w:val="样式19"/>
    <w:basedOn w:val="39"/>
    <w:qFormat/>
    <w:uiPriority w:val="0"/>
    <w:rPr>
      <w:rFonts w:ascii="Times New Roman" w:hAnsi="Times New Roman" w:eastAsia="宋体"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822">
    <w:name w:val="网格型1810"/>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823">
    <w:name w:val="网格型199"/>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4">
    <w:name w:val="网格型209"/>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25">
    <w:name w:val="题注 Char1 Char"/>
    <w:qFormat/>
    <w:uiPriority w:val="35"/>
    <w:rPr>
      <w:rFonts w:ascii="Times New Roman" w:hAnsi="Times New Roman"/>
      <w:sz w:val="21"/>
      <w:szCs w:val="24"/>
    </w:rPr>
  </w:style>
  <w:style w:type="table" w:customStyle="1" w:styleId="826">
    <w:name w:val="Table Normal40"/>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827">
    <w:name w:val="Table Normal116"/>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828">
    <w:name w:val="Table Normal214"/>
    <w:semiHidden/>
    <w:qFormat/>
    <w:uiPriority w:val="2"/>
    <w:pPr>
      <w:widowControl w:val="0"/>
    </w:pPr>
    <w:rPr>
      <w:rFonts w:ascii="Calibri" w:hAnsi="Calibri" w:eastAsia="Times New Roman" w:cs="Times New Roman"/>
      <w:sz w:val="22"/>
      <w:lang w:eastAsia="en-US"/>
    </w:rPr>
    <w:tblPr>
      <w:tblCellMar>
        <w:top w:w="0" w:type="dxa"/>
        <w:left w:w="0" w:type="dxa"/>
        <w:bottom w:w="0" w:type="dxa"/>
        <w:right w:w="0" w:type="dxa"/>
      </w:tblCellMar>
    </w:tblPr>
  </w:style>
  <w:style w:type="table" w:customStyle="1" w:styleId="829">
    <w:name w:val="Table Normal310"/>
    <w:semiHidden/>
    <w:unhideWhenUsed/>
    <w:qFormat/>
    <w:uiPriority w:val="2"/>
    <w:pPr>
      <w:widowControl w:val="0"/>
      <w:autoSpaceDE w:val="0"/>
      <w:autoSpaceDN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830">
    <w:name w:val="Table Normal410"/>
    <w:semiHidden/>
    <w:unhideWhenUsed/>
    <w:qFormat/>
    <w:uiPriority w:val="2"/>
    <w:pPr>
      <w:widowControl w:val="0"/>
    </w:pPr>
    <w:rPr>
      <w:rFonts w:ascii="Calibri" w:hAnsi="Calibri" w:eastAsia="宋体" w:cs="Times New Roman"/>
      <w:sz w:val="22"/>
      <w:lang w:eastAsia="en-US"/>
    </w:rPr>
    <w:tblPr>
      <w:tblCellMar>
        <w:top w:w="0" w:type="dxa"/>
        <w:left w:w="0" w:type="dxa"/>
        <w:bottom w:w="0" w:type="dxa"/>
        <w:right w:w="0" w:type="dxa"/>
      </w:tblCellMar>
    </w:tblPr>
  </w:style>
  <w:style w:type="table" w:customStyle="1" w:styleId="831">
    <w:name w:val="网格型1117"/>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2">
    <w:name w:val="网格型1215"/>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3">
    <w:name w:val="网格型1310"/>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4">
    <w:name w:val="网格型1410"/>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5">
    <w:name w:val="网格型1510"/>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6">
    <w:name w:val="网格型1610"/>
    <w:basedOn w:val="39"/>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7">
    <w:name w:val="网格型1710"/>
    <w:basedOn w:val="39"/>
    <w:qFormat/>
    <w:uiPriority w:val="5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8">
    <w:name w:val="网格型1814"/>
    <w:basedOn w:val="39"/>
    <w:qFormat/>
    <w:uiPriority w:val="0"/>
    <w:pPr>
      <w:jc w:val="center"/>
    </w:pPr>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Pr>
    <w:trPr>
      <w:tblHeader/>
    </w:trPr>
    <w:tcPr>
      <w:vAlign w:val="center"/>
    </w:tcPr>
  </w:style>
  <w:style w:type="table" w:customStyle="1" w:styleId="839">
    <w:name w:val="网格型1910"/>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40">
    <w:name w:val="网格型2010"/>
    <w:basedOn w:val="39"/>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61.jpeg"/><Relationship Id="rId98" Type="http://schemas.openxmlformats.org/officeDocument/2006/relationships/image" Target="media/image60.png"/><Relationship Id="rId97" Type="http://schemas.openxmlformats.org/officeDocument/2006/relationships/image" Target="media/image59.png"/><Relationship Id="rId96" Type="http://schemas.openxmlformats.org/officeDocument/2006/relationships/image" Target="media/image58.wmf"/><Relationship Id="rId95" Type="http://schemas.openxmlformats.org/officeDocument/2006/relationships/oleObject" Target="embeddings/oleObject5.bin"/><Relationship Id="rId94" Type="http://schemas.openxmlformats.org/officeDocument/2006/relationships/image" Target="media/image57.wmf"/><Relationship Id="rId93" Type="http://schemas.openxmlformats.org/officeDocument/2006/relationships/oleObject" Target="embeddings/oleObject4.bin"/><Relationship Id="rId92" Type="http://schemas.openxmlformats.org/officeDocument/2006/relationships/image" Target="media/image56.wmf"/><Relationship Id="rId91" Type="http://schemas.openxmlformats.org/officeDocument/2006/relationships/oleObject" Target="embeddings/oleObject3.bin"/><Relationship Id="rId90" Type="http://schemas.openxmlformats.org/officeDocument/2006/relationships/image" Target="media/image55.png"/><Relationship Id="rId9" Type="http://schemas.openxmlformats.org/officeDocument/2006/relationships/header" Target="header5.xml"/><Relationship Id="rId89" Type="http://schemas.openxmlformats.org/officeDocument/2006/relationships/image" Target="media/image54.jpeg"/><Relationship Id="rId88" Type="http://schemas.openxmlformats.org/officeDocument/2006/relationships/image" Target="media/image53.jpeg"/><Relationship Id="rId87" Type="http://schemas.openxmlformats.org/officeDocument/2006/relationships/image" Target="media/image52.wmf"/><Relationship Id="rId86" Type="http://schemas.openxmlformats.org/officeDocument/2006/relationships/oleObject" Target="embeddings/oleObject2.bin"/><Relationship Id="rId85" Type="http://schemas.openxmlformats.org/officeDocument/2006/relationships/image" Target="media/image51.jpeg"/><Relationship Id="rId84" Type="http://schemas.openxmlformats.org/officeDocument/2006/relationships/image" Target="media/image50.jpeg"/><Relationship Id="rId83" Type="http://schemas.openxmlformats.org/officeDocument/2006/relationships/image" Target="media/image49.jpeg"/><Relationship Id="rId82" Type="http://schemas.openxmlformats.org/officeDocument/2006/relationships/image" Target="media/image48.jpeg"/><Relationship Id="rId81" Type="http://schemas.openxmlformats.org/officeDocument/2006/relationships/image" Target="media/image47.png"/><Relationship Id="rId80" Type="http://schemas.openxmlformats.org/officeDocument/2006/relationships/image" Target="media/image46.png"/><Relationship Id="rId8" Type="http://schemas.openxmlformats.org/officeDocument/2006/relationships/header" Target="header4.xml"/><Relationship Id="rId79" Type="http://schemas.openxmlformats.org/officeDocument/2006/relationships/image" Target="media/image45.png"/><Relationship Id="rId78" Type="http://schemas.openxmlformats.org/officeDocument/2006/relationships/image" Target="media/image44.png"/><Relationship Id="rId77" Type="http://schemas.openxmlformats.org/officeDocument/2006/relationships/image" Target="media/image43.png"/><Relationship Id="rId76" Type="http://schemas.openxmlformats.org/officeDocument/2006/relationships/image" Target="media/image42.jpeg"/><Relationship Id="rId75" Type="http://schemas.openxmlformats.org/officeDocument/2006/relationships/image" Target="media/image41.png"/><Relationship Id="rId74" Type="http://schemas.openxmlformats.org/officeDocument/2006/relationships/image" Target="media/image40.png"/><Relationship Id="rId73" Type="http://schemas.openxmlformats.org/officeDocument/2006/relationships/image" Target="media/image39.png"/><Relationship Id="rId72" Type="http://schemas.openxmlformats.org/officeDocument/2006/relationships/image" Target="media/image38.png"/><Relationship Id="rId71" Type="http://schemas.openxmlformats.org/officeDocument/2006/relationships/image" Target="media/image37.wmf"/><Relationship Id="rId70" Type="http://schemas.openxmlformats.org/officeDocument/2006/relationships/image" Target="media/image36.wmf"/><Relationship Id="rId7" Type="http://schemas.openxmlformats.org/officeDocument/2006/relationships/header" Target="header3.xml"/><Relationship Id="rId69" Type="http://schemas.openxmlformats.org/officeDocument/2006/relationships/image" Target="media/image35.png"/><Relationship Id="rId68" Type="http://schemas.openxmlformats.org/officeDocument/2006/relationships/image" Target="media/image34.png"/><Relationship Id="rId67" Type="http://schemas.openxmlformats.org/officeDocument/2006/relationships/image" Target="media/image33.emf"/><Relationship Id="rId66" Type="http://schemas.openxmlformats.org/officeDocument/2006/relationships/image" Target="media/image32.png"/><Relationship Id="rId65" Type="http://schemas.openxmlformats.org/officeDocument/2006/relationships/image" Target="media/image31.emf"/><Relationship Id="rId64" Type="http://schemas.openxmlformats.org/officeDocument/2006/relationships/image" Target="media/image30.png"/><Relationship Id="rId63" Type="http://schemas.openxmlformats.org/officeDocument/2006/relationships/image" Target="media/image29.png"/><Relationship Id="rId62" Type="http://schemas.openxmlformats.org/officeDocument/2006/relationships/image" Target="media/image28.png"/><Relationship Id="rId61" Type="http://schemas.openxmlformats.org/officeDocument/2006/relationships/image" Target="media/image27.png"/><Relationship Id="rId60" Type="http://schemas.openxmlformats.org/officeDocument/2006/relationships/image" Target="media/image26.emf"/><Relationship Id="rId6" Type="http://schemas.openxmlformats.org/officeDocument/2006/relationships/header" Target="header2.xml"/><Relationship Id="rId59" Type="http://schemas.openxmlformats.org/officeDocument/2006/relationships/image" Target="media/image25.png"/><Relationship Id="rId58" Type="http://schemas.openxmlformats.org/officeDocument/2006/relationships/image" Target="media/image24.png"/><Relationship Id="rId57" Type="http://schemas.openxmlformats.org/officeDocument/2006/relationships/image" Target="media/image23.png"/><Relationship Id="rId56" Type="http://schemas.openxmlformats.org/officeDocument/2006/relationships/image" Target="media/image22.wmf"/><Relationship Id="rId55" Type="http://schemas.openxmlformats.org/officeDocument/2006/relationships/image" Target="media/image21.wmf"/><Relationship Id="rId54" Type="http://schemas.openxmlformats.org/officeDocument/2006/relationships/image" Target="media/image20.wmf"/><Relationship Id="rId53" Type="http://schemas.openxmlformats.org/officeDocument/2006/relationships/image" Target="media/image19.wmf"/><Relationship Id="rId52" Type="http://schemas.openxmlformats.org/officeDocument/2006/relationships/oleObject" Target="embeddings/oleObject1.bin"/><Relationship Id="rId51" Type="http://schemas.openxmlformats.org/officeDocument/2006/relationships/image" Target="media/image18.png"/><Relationship Id="rId50" Type="http://schemas.openxmlformats.org/officeDocument/2006/relationships/image" Target="media/image17.png"/><Relationship Id="rId5" Type="http://schemas.openxmlformats.org/officeDocument/2006/relationships/footer" Target="footer2.xml"/><Relationship Id="rId49" Type="http://schemas.openxmlformats.org/officeDocument/2006/relationships/image" Target="media/image16.png"/><Relationship Id="rId48" Type="http://schemas.openxmlformats.org/officeDocument/2006/relationships/image" Target="media/image15.png"/><Relationship Id="rId47" Type="http://schemas.openxmlformats.org/officeDocument/2006/relationships/image" Target="media/image14.png"/><Relationship Id="rId46" Type="http://schemas.openxmlformats.org/officeDocument/2006/relationships/image" Target="media/image13.jpeg"/><Relationship Id="rId45" Type="http://schemas.openxmlformats.org/officeDocument/2006/relationships/image" Target="media/image12.png"/><Relationship Id="rId44" Type="http://schemas.openxmlformats.org/officeDocument/2006/relationships/image" Target="media/image11.png"/><Relationship Id="rId43" Type="http://schemas.openxmlformats.org/officeDocument/2006/relationships/image" Target="media/image10.jpeg"/><Relationship Id="rId42" Type="http://schemas.openxmlformats.org/officeDocument/2006/relationships/image" Target="media/image9.jpeg"/><Relationship Id="rId41" Type="http://schemas.openxmlformats.org/officeDocument/2006/relationships/image" Target="media/image8.jpeg"/><Relationship Id="rId40" Type="http://schemas.openxmlformats.org/officeDocument/2006/relationships/image" Target="media/image7.emf"/><Relationship Id="rId4" Type="http://schemas.openxmlformats.org/officeDocument/2006/relationships/footer" Target="footer1.xml"/><Relationship Id="rId39" Type="http://schemas.openxmlformats.org/officeDocument/2006/relationships/image" Target="media/image6.png"/><Relationship Id="rId38" Type="http://schemas.openxmlformats.org/officeDocument/2006/relationships/image" Target="media/image5.jpeg"/><Relationship Id="rId37" Type="http://schemas.openxmlformats.org/officeDocument/2006/relationships/image" Target="media/image4.jpeg"/><Relationship Id="rId36" Type="http://schemas.openxmlformats.org/officeDocument/2006/relationships/chart" Target="charts/chart1.xml"/><Relationship Id="rId35" Type="http://schemas.openxmlformats.org/officeDocument/2006/relationships/image" Target="media/image3.jpeg"/><Relationship Id="rId34" Type="http://schemas.openxmlformats.org/officeDocument/2006/relationships/image" Target="media/image2.emf"/><Relationship Id="rId33" Type="http://schemas.openxmlformats.org/officeDocument/2006/relationships/image" Target="media/image1.png"/><Relationship Id="rId32" Type="http://schemas.openxmlformats.org/officeDocument/2006/relationships/theme" Target="theme/theme1.xml"/><Relationship Id="rId31" Type="http://schemas.openxmlformats.org/officeDocument/2006/relationships/header" Target="header15.xml"/><Relationship Id="rId30" Type="http://schemas.openxmlformats.org/officeDocument/2006/relationships/header" Target="header14.xml"/><Relationship Id="rId3" Type="http://schemas.openxmlformats.org/officeDocument/2006/relationships/header" Target="header1.xml"/><Relationship Id="rId29" Type="http://schemas.openxmlformats.org/officeDocument/2006/relationships/header" Target="header13.xml"/><Relationship Id="rId28" Type="http://schemas.openxmlformats.org/officeDocument/2006/relationships/header" Target="header12.xml"/><Relationship Id="rId27" Type="http://schemas.openxmlformats.org/officeDocument/2006/relationships/header" Target="header11.xml"/><Relationship Id="rId26" Type="http://schemas.openxmlformats.org/officeDocument/2006/relationships/header" Target="header10.xml"/><Relationship Id="rId25" Type="http://schemas.openxmlformats.org/officeDocument/2006/relationships/footer" Target="footer14.xml"/><Relationship Id="rId24" Type="http://schemas.openxmlformats.org/officeDocument/2006/relationships/footer" Target="footer13.xml"/><Relationship Id="rId23" Type="http://schemas.openxmlformats.org/officeDocument/2006/relationships/header" Target="header9.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9.xml"/><Relationship Id="rId171" Type="http://schemas.openxmlformats.org/officeDocument/2006/relationships/fontTable" Target="fontTable.xml"/><Relationship Id="rId170" Type="http://schemas.openxmlformats.org/officeDocument/2006/relationships/customXml" Target="../customXml/item2.xml"/><Relationship Id="rId17" Type="http://schemas.openxmlformats.org/officeDocument/2006/relationships/footer" Target="footer8.xml"/><Relationship Id="rId169" Type="http://schemas.openxmlformats.org/officeDocument/2006/relationships/numbering" Target="numbering.xml"/><Relationship Id="rId168" Type="http://schemas.openxmlformats.org/officeDocument/2006/relationships/customXml" Target="../customXml/item1.xml"/><Relationship Id="rId167" Type="http://schemas.openxmlformats.org/officeDocument/2006/relationships/image" Target="media/image125.png"/><Relationship Id="rId166" Type="http://schemas.openxmlformats.org/officeDocument/2006/relationships/image" Target="media/image124.jpeg"/><Relationship Id="rId165" Type="http://schemas.openxmlformats.org/officeDocument/2006/relationships/image" Target="media/image123.png"/><Relationship Id="rId164" Type="http://schemas.openxmlformats.org/officeDocument/2006/relationships/image" Target="media/image122.png"/><Relationship Id="rId163" Type="http://schemas.openxmlformats.org/officeDocument/2006/relationships/image" Target="media/image121.png"/><Relationship Id="rId162" Type="http://schemas.openxmlformats.org/officeDocument/2006/relationships/image" Target="media/image120.png"/><Relationship Id="rId161" Type="http://schemas.openxmlformats.org/officeDocument/2006/relationships/image" Target="media/image119.png"/><Relationship Id="rId160" Type="http://schemas.openxmlformats.org/officeDocument/2006/relationships/image" Target="media/image118.jpeg"/><Relationship Id="rId16" Type="http://schemas.openxmlformats.org/officeDocument/2006/relationships/header" Target="header7.xml"/><Relationship Id="rId159" Type="http://schemas.openxmlformats.org/officeDocument/2006/relationships/image" Target="media/image117.jpeg"/><Relationship Id="rId158" Type="http://schemas.openxmlformats.org/officeDocument/2006/relationships/image" Target="media/image116.jpeg"/><Relationship Id="rId157" Type="http://schemas.openxmlformats.org/officeDocument/2006/relationships/image" Target="media/image115.jpeg"/><Relationship Id="rId156" Type="http://schemas.openxmlformats.org/officeDocument/2006/relationships/image" Target="media/image114.jpeg"/><Relationship Id="rId155" Type="http://schemas.openxmlformats.org/officeDocument/2006/relationships/image" Target="media/image113.jpeg"/><Relationship Id="rId154" Type="http://schemas.openxmlformats.org/officeDocument/2006/relationships/image" Target="media/image112.jpeg"/><Relationship Id="rId153" Type="http://schemas.openxmlformats.org/officeDocument/2006/relationships/image" Target="media/image111.jpeg"/><Relationship Id="rId152" Type="http://schemas.openxmlformats.org/officeDocument/2006/relationships/image" Target="media/image110.png"/><Relationship Id="rId151" Type="http://schemas.openxmlformats.org/officeDocument/2006/relationships/image" Target="media/image109.png"/><Relationship Id="rId150" Type="http://schemas.openxmlformats.org/officeDocument/2006/relationships/image" Target="media/image108.png"/><Relationship Id="rId15" Type="http://schemas.openxmlformats.org/officeDocument/2006/relationships/footer" Target="footer7.xml"/><Relationship Id="rId149" Type="http://schemas.openxmlformats.org/officeDocument/2006/relationships/image" Target="media/image107.png"/><Relationship Id="rId148" Type="http://schemas.openxmlformats.org/officeDocument/2006/relationships/image" Target="media/image106.png"/><Relationship Id="rId147" Type="http://schemas.openxmlformats.org/officeDocument/2006/relationships/image" Target="media/image105.png"/><Relationship Id="rId146" Type="http://schemas.openxmlformats.org/officeDocument/2006/relationships/image" Target="media/image104.png"/><Relationship Id="rId145" Type="http://schemas.openxmlformats.org/officeDocument/2006/relationships/image" Target="media/image103.png"/><Relationship Id="rId144" Type="http://schemas.openxmlformats.org/officeDocument/2006/relationships/image" Target="media/image102.wmf"/><Relationship Id="rId143" Type="http://schemas.openxmlformats.org/officeDocument/2006/relationships/oleObject" Target="embeddings/oleObject9.bin"/><Relationship Id="rId142" Type="http://schemas.openxmlformats.org/officeDocument/2006/relationships/image" Target="media/image101.wmf"/><Relationship Id="rId141" Type="http://schemas.openxmlformats.org/officeDocument/2006/relationships/oleObject" Target="embeddings/oleObject8.bin"/><Relationship Id="rId140" Type="http://schemas.openxmlformats.org/officeDocument/2006/relationships/image" Target="media/image100.wmf"/><Relationship Id="rId14" Type="http://schemas.openxmlformats.org/officeDocument/2006/relationships/footer" Target="footer6.xml"/><Relationship Id="rId139" Type="http://schemas.openxmlformats.org/officeDocument/2006/relationships/oleObject" Target="embeddings/oleObject7.bin"/><Relationship Id="rId138" Type="http://schemas.openxmlformats.org/officeDocument/2006/relationships/image" Target="media/image99.wmf"/><Relationship Id="rId137" Type="http://schemas.openxmlformats.org/officeDocument/2006/relationships/oleObject" Target="embeddings/oleObject6.bin"/><Relationship Id="rId136" Type="http://schemas.openxmlformats.org/officeDocument/2006/relationships/image" Target="media/image98.png"/><Relationship Id="rId135" Type="http://schemas.openxmlformats.org/officeDocument/2006/relationships/image" Target="media/image97.png"/><Relationship Id="rId134" Type="http://schemas.openxmlformats.org/officeDocument/2006/relationships/image" Target="media/image96.wmf"/><Relationship Id="rId133" Type="http://schemas.openxmlformats.org/officeDocument/2006/relationships/image" Target="media/image95.wmf"/><Relationship Id="rId132" Type="http://schemas.openxmlformats.org/officeDocument/2006/relationships/image" Target="media/image94.png"/><Relationship Id="rId131" Type="http://schemas.openxmlformats.org/officeDocument/2006/relationships/image" Target="media/image93.png"/><Relationship Id="rId130" Type="http://schemas.openxmlformats.org/officeDocument/2006/relationships/image" Target="media/image92.png"/><Relationship Id="rId13" Type="http://schemas.openxmlformats.org/officeDocument/2006/relationships/footer" Target="footer5.xml"/><Relationship Id="rId129" Type="http://schemas.openxmlformats.org/officeDocument/2006/relationships/image" Target="media/image91.png"/><Relationship Id="rId128" Type="http://schemas.openxmlformats.org/officeDocument/2006/relationships/image" Target="media/image90.png"/><Relationship Id="rId127" Type="http://schemas.openxmlformats.org/officeDocument/2006/relationships/image" Target="media/image89.jpeg"/><Relationship Id="rId126" Type="http://schemas.openxmlformats.org/officeDocument/2006/relationships/image" Target="media/image88.jpeg"/><Relationship Id="rId125" Type="http://schemas.openxmlformats.org/officeDocument/2006/relationships/image" Target="media/image87.jpeg"/><Relationship Id="rId124" Type="http://schemas.openxmlformats.org/officeDocument/2006/relationships/image" Target="media/image86.jpeg"/><Relationship Id="rId123" Type="http://schemas.openxmlformats.org/officeDocument/2006/relationships/image" Target="media/image85.png"/><Relationship Id="rId122" Type="http://schemas.openxmlformats.org/officeDocument/2006/relationships/image" Target="media/image84.png"/><Relationship Id="rId121" Type="http://schemas.openxmlformats.org/officeDocument/2006/relationships/image" Target="media/image83.jpeg"/><Relationship Id="rId120" Type="http://schemas.openxmlformats.org/officeDocument/2006/relationships/image" Target="media/image82.jpeg"/><Relationship Id="rId12" Type="http://schemas.openxmlformats.org/officeDocument/2006/relationships/footer" Target="footer4.xml"/><Relationship Id="rId119" Type="http://schemas.openxmlformats.org/officeDocument/2006/relationships/image" Target="media/image81.jpeg"/><Relationship Id="rId118" Type="http://schemas.openxmlformats.org/officeDocument/2006/relationships/image" Target="media/image80.jpeg"/><Relationship Id="rId117" Type="http://schemas.openxmlformats.org/officeDocument/2006/relationships/image" Target="media/image79.png"/><Relationship Id="rId116" Type="http://schemas.openxmlformats.org/officeDocument/2006/relationships/image" Target="media/image78.png"/><Relationship Id="rId115" Type="http://schemas.openxmlformats.org/officeDocument/2006/relationships/image" Target="media/image77.jpeg"/><Relationship Id="rId114" Type="http://schemas.openxmlformats.org/officeDocument/2006/relationships/image" Target="media/image76.jpeg"/><Relationship Id="rId113" Type="http://schemas.openxmlformats.org/officeDocument/2006/relationships/image" Target="media/image75.jpeg"/><Relationship Id="rId112" Type="http://schemas.openxmlformats.org/officeDocument/2006/relationships/image" Target="media/image74.jpeg"/><Relationship Id="rId111" Type="http://schemas.openxmlformats.org/officeDocument/2006/relationships/image" Target="media/image73.png"/><Relationship Id="rId110" Type="http://schemas.openxmlformats.org/officeDocument/2006/relationships/image" Target="media/image72.png"/><Relationship Id="rId11" Type="http://schemas.openxmlformats.org/officeDocument/2006/relationships/header" Target="header6.xml"/><Relationship Id="rId109" Type="http://schemas.openxmlformats.org/officeDocument/2006/relationships/image" Target="media/image71.jpeg"/><Relationship Id="rId108" Type="http://schemas.openxmlformats.org/officeDocument/2006/relationships/image" Target="media/image70.jpeg"/><Relationship Id="rId107" Type="http://schemas.openxmlformats.org/officeDocument/2006/relationships/image" Target="media/image69.jpeg"/><Relationship Id="rId106" Type="http://schemas.openxmlformats.org/officeDocument/2006/relationships/image" Target="media/image68.jpeg"/><Relationship Id="rId105" Type="http://schemas.openxmlformats.org/officeDocument/2006/relationships/image" Target="media/image67.png"/><Relationship Id="rId104" Type="http://schemas.openxmlformats.org/officeDocument/2006/relationships/image" Target="media/image66.png"/><Relationship Id="rId103" Type="http://schemas.openxmlformats.org/officeDocument/2006/relationships/image" Target="media/image65.jpeg"/><Relationship Id="rId102" Type="http://schemas.openxmlformats.org/officeDocument/2006/relationships/image" Target="media/image64.jpeg"/><Relationship Id="rId101" Type="http://schemas.openxmlformats.org/officeDocument/2006/relationships/image" Target="media/image63.jpeg"/><Relationship Id="rId100" Type="http://schemas.openxmlformats.org/officeDocument/2006/relationships/image" Target="media/image62.jpe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Sheet3!$B$1</c:f>
              <c:strCache>
                <c:ptCount val="1"/>
                <c:pt idx="0">
                  <c:v>占标率%</c:v>
                </c:pt>
              </c:strCache>
            </c:strRef>
          </c:tx>
          <c:spPr>
            <a:ln w="19050" cap="rnd">
              <a:solidFill>
                <a:schemeClr val="tx1"/>
              </a:solidFill>
              <a:round/>
            </a:ln>
            <a:effectLst/>
          </c:spPr>
          <c:marker>
            <c:symbol val="diamond"/>
            <c:size val="6"/>
            <c:spPr>
              <a:solidFill>
                <a:schemeClr val="tx1"/>
              </a:solidFill>
              <a:ln w="9525">
                <a:noFill/>
              </a:ln>
              <a:effectLst/>
            </c:spPr>
          </c:marker>
          <c:dLbls>
            <c:delete val="1"/>
          </c:dLbls>
          <c:cat>
            <c:numRef>
              <c:f>Sheet3!$A$2:$A$303</c:f>
              <c:numCache>
                <c:formatCode>General</c:formatCode>
                <c:ptCount val="302"/>
                <c:pt idx="0">
                  <c:v>10</c:v>
                </c:pt>
                <c:pt idx="1">
                  <c:v>25</c:v>
                </c:pt>
                <c:pt idx="2">
                  <c:v>50</c:v>
                </c:pt>
                <c:pt idx="3">
                  <c:v>56</c:v>
                </c:pt>
                <c:pt idx="4">
                  <c:v>75</c:v>
                </c:pt>
                <c:pt idx="5">
                  <c:v>100</c:v>
                </c:pt>
                <c:pt idx="6">
                  <c:v>125</c:v>
                </c:pt>
                <c:pt idx="7">
                  <c:v>150</c:v>
                </c:pt>
                <c:pt idx="8">
                  <c:v>175</c:v>
                </c:pt>
                <c:pt idx="9">
                  <c:v>200</c:v>
                </c:pt>
                <c:pt idx="10">
                  <c:v>225</c:v>
                </c:pt>
                <c:pt idx="11">
                  <c:v>250</c:v>
                </c:pt>
                <c:pt idx="12">
                  <c:v>275</c:v>
                </c:pt>
                <c:pt idx="13">
                  <c:v>300</c:v>
                </c:pt>
                <c:pt idx="14">
                  <c:v>325</c:v>
                </c:pt>
                <c:pt idx="15">
                  <c:v>350</c:v>
                </c:pt>
                <c:pt idx="16">
                  <c:v>375</c:v>
                </c:pt>
                <c:pt idx="17">
                  <c:v>400</c:v>
                </c:pt>
                <c:pt idx="18">
                  <c:v>425</c:v>
                </c:pt>
                <c:pt idx="19">
                  <c:v>450</c:v>
                </c:pt>
                <c:pt idx="20">
                  <c:v>475</c:v>
                </c:pt>
                <c:pt idx="21">
                  <c:v>500</c:v>
                </c:pt>
                <c:pt idx="22">
                  <c:v>525</c:v>
                </c:pt>
                <c:pt idx="23">
                  <c:v>550</c:v>
                </c:pt>
                <c:pt idx="24">
                  <c:v>575</c:v>
                </c:pt>
                <c:pt idx="25">
                  <c:v>600</c:v>
                </c:pt>
                <c:pt idx="26">
                  <c:v>625</c:v>
                </c:pt>
                <c:pt idx="27">
                  <c:v>650</c:v>
                </c:pt>
                <c:pt idx="28">
                  <c:v>675</c:v>
                </c:pt>
                <c:pt idx="29">
                  <c:v>700</c:v>
                </c:pt>
                <c:pt idx="30">
                  <c:v>725</c:v>
                </c:pt>
                <c:pt idx="31">
                  <c:v>750</c:v>
                </c:pt>
                <c:pt idx="32">
                  <c:v>775</c:v>
                </c:pt>
                <c:pt idx="33">
                  <c:v>800</c:v>
                </c:pt>
                <c:pt idx="34">
                  <c:v>825</c:v>
                </c:pt>
                <c:pt idx="35">
                  <c:v>850</c:v>
                </c:pt>
                <c:pt idx="36">
                  <c:v>875</c:v>
                </c:pt>
                <c:pt idx="37">
                  <c:v>900</c:v>
                </c:pt>
                <c:pt idx="38">
                  <c:v>925</c:v>
                </c:pt>
                <c:pt idx="39">
                  <c:v>950</c:v>
                </c:pt>
                <c:pt idx="40">
                  <c:v>975</c:v>
                </c:pt>
                <c:pt idx="41">
                  <c:v>1000</c:v>
                </c:pt>
                <c:pt idx="42">
                  <c:v>1025</c:v>
                </c:pt>
                <c:pt idx="43">
                  <c:v>1050</c:v>
                </c:pt>
                <c:pt idx="44">
                  <c:v>1075</c:v>
                </c:pt>
                <c:pt idx="45">
                  <c:v>1100</c:v>
                </c:pt>
                <c:pt idx="46">
                  <c:v>1125</c:v>
                </c:pt>
                <c:pt idx="47">
                  <c:v>1150</c:v>
                </c:pt>
                <c:pt idx="48">
                  <c:v>1175</c:v>
                </c:pt>
                <c:pt idx="49">
                  <c:v>1200</c:v>
                </c:pt>
                <c:pt idx="50">
                  <c:v>1225</c:v>
                </c:pt>
                <c:pt idx="51">
                  <c:v>1250</c:v>
                </c:pt>
                <c:pt idx="52">
                  <c:v>1275</c:v>
                </c:pt>
                <c:pt idx="53">
                  <c:v>1300</c:v>
                </c:pt>
                <c:pt idx="54">
                  <c:v>1325</c:v>
                </c:pt>
                <c:pt idx="55">
                  <c:v>1350</c:v>
                </c:pt>
                <c:pt idx="56">
                  <c:v>1375</c:v>
                </c:pt>
                <c:pt idx="57">
                  <c:v>1400</c:v>
                </c:pt>
                <c:pt idx="58">
                  <c:v>1425</c:v>
                </c:pt>
                <c:pt idx="59">
                  <c:v>1450</c:v>
                </c:pt>
                <c:pt idx="60">
                  <c:v>1475</c:v>
                </c:pt>
                <c:pt idx="61">
                  <c:v>1500</c:v>
                </c:pt>
                <c:pt idx="62">
                  <c:v>1525</c:v>
                </c:pt>
                <c:pt idx="63">
                  <c:v>1550</c:v>
                </c:pt>
                <c:pt idx="64">
                  <c:v>1575</c:v>
                </c:pt>
                <c:pt idx="65">
                  <c:v>1600</c:v>
                </c:pt>
                <c:pt idx="66">
                  <c:v>1625</c:v>
                </c:pt>
                <c:pt idx="67">
                  <c:v>1650</c:v>
                </c:pt>
                <c:pt idx="68">
                  <c:v>1675</c:v>
                </c:pt>
                <c:pt idx="69">
                  <c:v>1700</c:v>
                </c:pt>
                <c:pt idx="70">
                  <c:v>1725</c:v>
                </c:pt>
                <c:pt idx="71">
                  <c:v>1750</c:v>
                </c:pt>
                <c:pt idx="72">
                  <c:v>1775</c:v>
                </c:pt>
                <c:pt idx="73">
                  <c:v>1800</c:v>
                </c:pt>
                <c:pt idx="74">
                  <c:v>1825</c:v>
                </c:pt>
                <c:pt idx="75">
                  <c:v>1850</c:v>
                </c:pt>
                <c:pt idx="76">
                  <c:v>1875</c:v>
                </c:pt>
                <c:pt idx="77">
                  <c:v>1900</c:v>
                </c:pt>
                <c:pt idx="78">
                  <c:v>1925</c:v>
                </c:pt>
                <c:pt idx="79">
                  <c:v>1950</c:v>
                </c:pt>
                <c:pt idx="80">
                  <c:v>1975</c:v>
                </c:pt>
                <c:pt idx="81">
                  <c:v>2000</c:v>
                </c:pt>
                <c:pt idx="82">
                  <c:v>2025</c:v>
                </c:pt>
                <c:pt idx="83">
                  <c:v>2050</c:v>
                </c:pt>
                <c:pt idx="84">
                  <c:v>2075</c:v>
                </c:pt>
                <c:pt idx="85">
                  <c:v>2100</c:v>
                </c:pt>
                <c:pt idx="86">
                  <c:v>2125</c:v>
                </c:pt>
                <c:pt idx="87">
                  <c:v>2150</c:v>
                </c:pt>
                <c:pt idx="88">
                  <c:v>2175</c:v>
                </c:pt>
                <c:pt idx="89">
                  <c:v>2200</c:v>
                </c:pt>
                <c:pt idx="90">
                  <c:v>2225</c:v>
                </c:pt>
                <c:pt idx="91">
                  <c:v>2250</c:v>
                </c:pt>
                <c:pt idx="92">
                  <c:v>2275</c:v>
                </c:pt>
                <c:pt idx="93">
                  <c:v>2300</c:v>
                </c:pt>
                <c:pt idx="94">
                  <c:v>2325</c:v>
                </c:pt>
                <c:pt idx="95">
                  <c:v>2350</c:v>
                </c:pt>
                <c:pt idx="96">
                  <c:v>2375</c:v>
                </c:pt>
                <c:pt idx="97">
                  <c:v>2400</c:v>
                </c:pt>
                <c:pt idx="98">
                  <c:v>2425</c:v>
                </c:pt>
                <c:pt idx="99">
                  <c:v>2450</c:v>
                </c:pt>
                <c:pt idx="100">
                  <c:v>2475</c:v>
                </c:pt>
                <c:pt idx="101">
                  <c:v>2500</c:v>
                </c:pt>
                <c:pt idx="102">
                  <c:v>2525</c:v>
                </c:pt>
                <c:pt idx="103">
                  <c:v>2550</c:v>
                </c:pt>
                <c:pt idx="104">
                  <c:v>2575</c:v>
                </c:pt>
                <c:pt idx="105">
                  <c:v>2600</c:v>
                </c:pt>
                <c:pt idx="106">
                  <c:v>2625</c:v>
                </c:pt>
                <c:pt idx="107">
                  <c:v>2650</c:v>
                </c:pt>
                <c:pt idx="108">
                  <c:v>2675</c:v>
                </c:pt>
                <c:pt idx="109">
                  <c:v>2700</c:v>
                </c:pt>
                <c:pt idx="110">
                  <c:v>2725</c:v>
                </c:pt>
                <c:pt idx="111">
                  <c:v>2750</c:v>
                </c:pt>
                <c:pt idx="112">
                  <c:v>2775</c:v>
                </c:pt>
                <c:pt idx="113">
                  <c:v>2800</c:v>
                </c:pt>
                <c:pt idx="114">
                  <c:v>2825</c:v>
                </c:pt>
                <c:pt idx="115">
                  <c:v>2850</c:v>
                </c:pt>
                <c:pt idx="116">
                  <c:v>2875</c:v>
                </c:pt>
                <c:pt idx="117">
                  <c:v>2900</c:v>
                </c:pt>
                <c:pt idx="118">
                  <c:v>2925</c:v>
                </c:pt>
                <c:pt idx="119">
                  <c:v>2950</c:v>
                </c:pt>
                <c:pt idx="120">
                  <c:v>2975</c:v>
                </c:pt>
                <c:pt idx="121">
                  <c:v>3000</c:v>
                </c:pt>
                <c:pt idx="122">
                  <c:v>3025</c:v>
                </c:pt>
                <c:pt idx="123">
                  <c:v>3050</c:v>
                </c:pt>
                <c:pt idx="124">
                  <c:v>3075</c:v>
                </c:pt>
                <c:pt idx="125">
                  <c:v>3100</c:v>
                </c:pt>
                <c:pt idx="126">
                  <c:v>3125</c:v>
                </c:pt>
                <c:pt idx="127">
                  <c:v>3150</c:v>
                </c:pt>
                <c:pt idx="128">
                  <c:v>3175</c:v>
                </c:pt>
                <c:pt idx="129">
                  <c:v>3200</c:v>
                </c:pt>
                <c:pt idx="130">
                  <c:v>3225</c:v>
                </c:pt>
                <c:pt idx="131">
                  <c:v>3250</c:v>
                </c:pt>
                <c:pt idx="132">
                  <c:v>3275</c:v>
                </c:pt>
                <c:pt idx="133">
                  <c:v>3300</c:v>
                </c:pt>
                <c:pt idx="134">
                  <c:v>3325</c:v>
                </c:pt>
                <c:pt idx="135">
                  <c:v>3350</c:v>
                </c:pt>
                <c:pt idx="136">
                  <c:v>3375</c:v>
                </c:pt>
                <c:pt idx="137">
                  <c:v>3400</c:v>
                </c:pt>
                <c:pt idx="138">
                  <c:v>3425</c:v>
                </c:pt>
                <c:pt idx="139">
                  <c:v>3450</c:v>
                </c:pt>
                <c:pt idx="140">
                  <c:v>3475</c:v>
                </c:pt>
                <c:pt idx="141">
                  <c:v>3500</c:v>
                </c:pt>
                <c:pt idx="142">
                  <c:v>3525</c:v>
                </c:pt>
                <c:pt idx="143">
                  <c:v>3550</c:v>
                </c:pt>
                <c:pt idx="144">
                  <c:v>3575</c:v>
                </c:pt>
                <c:pt idx="145">
                  <c:v>3600</c:v>
                </c:pt>
                <c:pt idx="146">
                  <c:v>3625</c:v>
                </c:pt>
                <c:pt idx="147">
                  <c:v>3650</c:v>
                </c:pt>
                <c:pt idx="148">
                  <c:v>3675</c:v>
                </c:pt>
                <c:pt idx="149">
                  <c:v>3700</c:v>
                </c:pt>
                <c:pt idx="150">
                  <c:v>3725</c:v>
                </c:pt>
                <c:pt idx="151">
                  <c:v>3750</c:v>
                </c:pt>
                <c:pt idx="152">
                  <c:v>3775</c:v>
                </c:pt>
                <c:pt idx="153">
                  <c:v>3800</c:v>
                </c:pt>
                <c:pt idx="154">
                  <c:v>3825</c:v>
                </c:pt>
                <c:pt idx="155">
                  <c:v>3850</c:v>
                </c:pt>
                <c:pt idx="156">
                  <c:v>3875</c:v>
                </c:pt>
                <c:pt idx="157">
                  <c:v>3900</c:v>
                </c:pt>
                <c:pt idx="158">
                  <c:v>3925</c:v>
                </c:pt>
                <c:pt idx="159">
                  <c:v>3950</c:v>
                </c:pt>
                <c:pt idx="160">
                  <c:v>3975</c:v>
                </c:pt>
                <c:pt idx="161">
                  <c:v>4000</c:v>
                </c:pt>
                <c:pt idx="162">
                  <c:v>4025</c:v>
                </c:pt>
                <c:pt idx="163">
                  <c:v>4050</c:v>
                </c:pt>
                <c:pt idx="164">
                  <c:v>4075</c:v>
                </c:pt>
                <c:pt idx="165">
                  <c:v>4100</c:v>
                </c:pt>
                <c:pt idx="166">
                  <c:v>4125</c:v>
                </c:pt>
                <c:pt idx="167">
                  <c:v>4150</c:v>
                </c:pt>
                <c:pt idx="168">
                  <c:v>4175</c:v>
                </c:pt>
                <c:pt idx="169">
                  <c:v>4200</c:v>
                </c:pt>
                <c:pt idx="170">
                  <c:v>4225</c:v>
                </c:pt>
                <c:pt idx="171">
                  <c:v>4250</c:v>
                </c:pt>
                <c:pt idx="172">
                  <c:v>4275</c:v>
                </c:pt>
                <c:pt idx="173">
                  <c:v>4300</c:v>
                </c:pt>
                <c:pt idx="174">
                  <c:v>4325</c:v>
                </c:pt>
                <c:pt idx="175">
                  <c:v>4350</c:v>
                </c:pt>
                <c:pt idx="176">
                  <c:v>4375</c:v>
                </c:pt>
                <c:pt idx="177">
                  <c:v>4400</c:v>
                </c:pt>
                <c:pt idx="178">
                  <c:v>4425</c:v>
                </c:pt>
                <c:pt idx="179">
                  <c:v>4450</c:v>
                </c:pt>
                <c:pt idx="180">
                  <c:v>4475</c:v>
                </c:pt>
                <c:pt idx="181">
                  <c:v>4500</c:v>
                </c:pt>
                <c:pt idx="182">
                  <c:v>4525</c:v>
                </c:pt>
                <c:pt idx="183">
                  <c:v>4550</c:v>
                </c:pt>
                <c:pt idx="184">
                  <c:v>4575</c:v>
                </c:pt>
                <c:pt idx="185">
                  <c:v>4600</c:v>
                </c:pt>
                <c:pt idx="186">
                  <c:v>4625</c:v>
                </c:pt>
                <c:pt idx="187">
                  <c:v>4650</c:v>
                </c:pt>
                <c:pt idx="188">
                  <c:v>4675</c:v>
                </c:pt>
                <c:pt idx="189">
                  <c:v>4700</c:v>
                </c:pt>
                <c:pt idx="190">
                  <c:v>4725</c:v>
                </c:pt>
                <c:pt idx="191">
                  <c:v>4750</c:v>
                </c:pt>
                <c:pt idx="192">
                  <c:v>4775</c:v>
                </c:pt>
                <c:pt idx="193">
                  <c:v>4800</c:v>
                </c:pt>
                <c:pt idx="194">
                  <c:v>4825</c:v>
                </c:pt>
                <c:pt idx="195">
                  <c:v>4850</c:v>
                </c:pt>
                <c:pt idx="196">
                  <c:v>4875</c:v>
                </c:pt>
                <c:pt idx="197">
                  <c:v>4900</c:v>
                </c:pt>
                <c:pt idx="198">
                  <c:v>4925</c:v>
                </c:pt>
                <c:pt idx="199">
                  <c:v>4950</c:v>
                </c:pt>
                <c:pt idx="200">
                  <c:v>4975</c:v>
                </c:pt>
                <c:pt idx="201">
                  <c:v>5000</c:v>
                </c:pt>
                <c:pt idx="202">
                  <c:v>5200</c:v>
                </c:pt>
                <c:pt idx="203">
                  <c:v>5400</c:v>
                </c:pt>
                <c:pt idx="204">
                  <c:v>5600</c:v>
                </c:pt>
                <c:pt idx="205">
                  <c:v>5800</c:v>
                </c:pt>
                <c:pt idx="206">
                  <c:v>6000</c:v>
                </c:pt>
                <c:pt idx="207">
                  <c:v>6200</c:v>
                </c:pt>
                <c:pt idx="208">
                  <c:v>6400</c:v>
                </c:pt>
                <c:pt idx="209">
                  <c:v>6600</c:v>
                </c:pt>
                <c:pt idx="210">
                  <c:v>6800</c:v>
                </c:pt>
                <c:pt idx="211">
                  <c:v>7000</c:v>
                </c:pt>
                <c:pt idx="212">
                  <c:v>7200</c:v>
                </c:pt>
                <c:pt idx="213">
                  <c:v>7400</c:v>
                </c:pt>
                <c:pt idx="214">
                  <c:v>7600</c:v>
                </c:pt>
                <c:pt idx="215">
                  <c:v>7800</c:v>
                </c:pt>
                <c:pt idx="216">
                  <c:v>8000</c:v>
                </c:pt>
                <c:pt idx="217">
                  <c:v>8200</c:v>
                </c:pt>
                <c:pt idx="218">
                  <c:v>8400</c:v>
                </c:pt>
                <c:pt idx="219">
                  <c:v>8600</c:v>
                </c:pt>
                <c:pt idx="220">
                  <c:v>8800</c:v>
                </c:pt>
                <c:pt idx="221">
                  <c:v>9000</c:v>
                </c:pt>
                <c:pt idx="222">
                  <c:v>9200</c:v>
                </c:pt>
                <c:pt idx="223">
                  <c:v>9400</c:v>
                </c:pt>
                <c:pt idx="224">
                  <c:v>9600</c:v>
                </c:pt>
                <c:pt idx="225">
                  <c:v>9800</c:v>
                </c:pt>
                <c:pt idx="226">
                  <c:v>10000</c:v>
                </c:pt>
                <c:pt idx="227">
                  <c:v>10200</c:v>
                </c:pt>
                <c:pt idx="228">
                  <c:v>10400</c:v>
                </c:pt>
                <c:pt idx="229">
                  <c:v>10600</c:v>
                </c:pt>
                <c:pt idx="230">
                  <c:v>10800</c:v>
                </c:pt>
                <c:pt idx="231">
                  <c:v>11000</c:v>
                </c:pt>
                <c:pt idx="232">
                  <c:v>11200</c:v>
                </c:pt>
                <c:pt idx="233">
                  <c:v>11400</c:v>
                </c:pt>
                <c:pt idx="234">
                  <c:v>11600</c:v>
                </c:pt>
                <c:pt idx="235">
                  <c:v>11800</c:v>
                </c:pt>
                <c:pt idx="236">
                  <c:v>12000</c:v>
                </c:pt>
                <c:pt idx="237">
                  <c:v>12200</c:v>
                </c:pt>
                <c:pt idx="238">
                  <c:v>12400</c:v>
                </c:pt>
                <c:pt idx="239">
                  <c:v>12600</c:v>
                </c:pt>
                <c:pt idx="240">
                  <c:v>12800</c:v>
                </c:pt>
                <c:pt idx="241">
                  <c:v>13000</c:v>
                </c:pt>
                <c:pt idx="242">
                  <c:v>13200</c:v>
                </c:pt>
                <c:pt idx="243">
                  <c:v>13400</c:v>
                </c:pt>
                <c:pt idx="244">
                  <c:v>13600</c:v>
                </c:pt>
                <c:pt idx="245">
                  <c:v>13800</c:v>
                </c:pt>
                <c:pt idx="246">
                  <c:v>14000</c:v>
                </c:pt>
                <c:pt idx="247">
                  <c:v>14200</c:v>
                </c:pt>
                <c:pt idx="248">
                  <c:v>14400</c:v>
                </c:pt>
                <c:pt idx="249">
                  <c:v>14600</c:v>
                </c:pt>
                <c:pt idx="250">
                  <c:v>14800</c:v>
                </c:pt>
                <c:pt idx="251">
                  <c:v>15000</c:v>
                </c:pt>
                <c:pt idx="252">
                  <c:v>15200</c:v>
                </c:pt>
                <c:pt idx="253">
                  <c:v>15400</c:v>
                </c:pt>
                <c:pt idx="254">
                  <c:v>15600</c:v>
                </c:pt>
                <c:pt idx="255">
                  <c:v>15800</c:v>
                </c:pt>
                <c:pt idx="256">
                  <c:v>16000</c:v>
                </c:pt>
                <c:pt idx="257">
                  <c:v>16200</c:v>
                </c:pt>
                <c:pt idx="258">
                  <c:v>16400</c:v>
                </c:pt>
                <c:pt idx="259">
                  <c:v>16600</c:v>
                </c:pt>
                <c:pt idx="260">
                  <c:v>16800</c:v>
                </c:pt>
                <c:pt idx="261">
                  <c:v>17000</c:v>
                </c:pt>
                <c:pt idx="262">
                  <c:v>17200</c:v>
                </c:pt>
                <c:pt idx="263">
                  <c:v>17400</c:v>
                </c:pt>
                <c:pt idx="264">
                  <c:v>17600</c:v>
                </c:pt>
                <c:pt idx="265">
                  <c:v>17800</c:v>
                </c:pt>
                <c:pt idx="266">
                  <c:v>18000</c:v>
                </c:pt>
                <c:pt idx="267">
                  <c:v>18200</c:v>
                </c:pt>
                <c:pt idx="268">
                  <c:v>18400</c:v>
                </c:pt>
                <c:pt idx="269">
                  <c:v>18600</c:v>
                </c:pt>
                <c:pt idx="270">
                  <c:v>18800</c:v>
                </c:pt>
                <c:pt idx="271">
                  <c:v>19000</c:v>
                </c:pt>
                <c:pt idx="272">
                  <c:v>19200</c:v>
                </c:pt>
                <c:pt idx="273">
                  <c:v>19400</c:v>
                </c:pt>
                <c:pt idx="274">
                  <c:v>19600</c:v>
                </c:pt>
                <c:pt idx="275">
                  <c:v>19800</c:v>
                </c:pt>
                <c:pt idx="276">
                  <c:v>20000</c:v>
                </c:pt>
                <c:pt idx="277">
                  <c:v>20200</c:v>
                </c:pt>
                <c:pt idx="278">
                  <c:v>20400</c:v>
                </c:pt>
                <c:pt idx="279">
                  <c:v>20600</c:v>
                </c:pt>
                <c:pt idx="280">
                  <c:v>20800</c:v>
                </c:pt>
                <c:pt idx="281">
                  <c:v>21000</c:v>
                </c:pt>
                <c:pt idx="282">
                  <c:v>21200</c:v>
                </c:pt>
                <c:pt idx="283">
                  <c:v>21400</c:v>
                </c:pt>
                <c:pt idx="284">
                  <c:v>21600</c:v>
                </c:pt>
                <c:pt idx="285">
                  <c:v>21800</c:v>
                </c:pt>
                <c:pt idx="286">
                  <c:v>22000</c:v>
                </c:pt>
                <c:pt idx="287">
                  <c:v>22200</c:v>
                </c:pt>
                <c:pt idx="288">
                  <c:v>22400</c:v>
                </c:pt>
                <c:pt idx="289">
                  <c:v>22600</c:v>
                </c:pt>
                <c:pt idx="290">
                  <c:v>22800</c:v>
                </c:pt>
                <c:pt idx="291">
                  <c:v>23000</c:v>
                </c:pt>
                <c:pt idx="292">
                  <c:v>23200</c:v>
                </c:pt>
                <c:pt idx="293">
                  <c:v>23400</c:v>
                </c:pt>
                <c:pt idx="294">
                  <c:v>23600</c:v>
                </c:pt>
                <c:pt idx="295">
                  <c:v>23800</c:v>
                </c:pt>
                <c:pt idx="296">
                  <c:v>24000</c:v>
                </c:pt>
                <c:pt idx="297">
                  <c:v>24200</c:v>
                </c:pt>
                <c:pt idx="298">
                  <c:v>24400</c:v>
                </c:pt>
                <c:pt idx="299">
                  <c:v>24600</c:v>
                </c:pt>
                <c:pt idx="300">
                  <c:v>24800</c:v>
                </c:pt>
                <c:pt idx="301">
                  <c:v>25000</c:v>
                </c:pt>
              </c:numCache>
            </c:numRef>
          </c:cat>
          <c:val>
            <c:numRef>
              <c:f>Sheet3!$B$2:$B$303</c:f>
              <c:numCache>
                <c:formatCode>0.00_);[Red]\(0.00\)</c:formatCode>
                <c:ptCount val="302"/>
                <c:pt idx="0">
                  <c:v>2.04666666666667</c:v>
                </c:pt>
                <c:pt idx="1">
                  <c:v>1.30666666666667</c:v>
                </c:pt>
                <c:pt idx="2">
                  <c:v>0.733333333333333</c:v>
                </c:pt>
                <c:pt idx="3">
                  <c:v>0.473333333333333</c:v>
                </c:pt>
                <c:pt idx="4">
                  <c:v>0.34</c:v>
                </c:pt>
                <c:pt idx="5">
                  <c:v>0.253333333333333</c:v>
                </c:pt>
                <c:pt idx="6">
                  <c:v>0.206666666666667</c:v>
                </c:pt>
                <c:pt idx="7">
                  <c:v>0.166666666666667</c:v>
                </c:pt>
                <c:pt idx="8">
                  <c:v>0.14</c:v>
                </c:pt>
                <c:pt idx="9">
                  <c:v>0.12</c:v>
                </c:pt>
                <c:pt idx="10">
                  <c:v>0.106666666666667</c:v>
                </c:pt>
                <c:pt idx="11">
                  <c:v>0.0933333333333333</c:v>
                </c:pt>
                <c:pt idx="12">
                  <c:v>0.08</c:v>
                </c:pt>
                <c:pt idx="13">
                  <c:v>0.0733333333333333</c:v>
                </c:pt>
                <c:pt idx="14">
                  <c:v>0.0666666666666667</c:v>
                </c:pt>
                <c:pt idx="15">
                  <c:v>0.06</c:v>
                </c:pt>
                <c:pt idx="16">
                  <c:v>0.0533333333333333</c:v>
                </c:pt>
                <c:pt idx="17">
                  <c:v>0.0533333333333333</c:v>
                </c:pt>
                <c:pt idx="18">
                  <c:v>0.0466666666666667</c:v>
                </c:pt>
                <c:pt idx="19">
                  <c:v>0.0466666666666667</c:v>
                </c:pt>
                <c:pt idx="20">
                  <c:v>0.04</c:v>
                </c:pt>
                <c:pt idx="21">
                  <c:v>0.04</c:v>
                </c:pt>
                <c:pt idx="22">
                  <c:v>0.04</c:v>
                </c:pt>
                <c:pt idx="23">
                  <c:v>0.0333333333333333</c:v>
                </c:pt>
                <c:pt idx="24">
                  <c:v>0.0333333333333333</c:v>
                </c:pt>
                <c:pt idx="25">
                  <c:v>0.0333333333333333</c:v>
                </c:pt>
                <c:pt idx="26">
                  <c:v>0.0266666666666667</c:v>
                </c:pt>
                <c:pt idx="27">
                  <c:v>0.0266666666666667</c:v>
                </c:pt>
                <c:pt idx="28">
                  <c:v>0.0266666666666667</c:v>
                </c:pt>
                <c:pt idx="29">
                  <c:v>0.0266666666666667</c:v>
                </c:pt>
                <c:pt idx="30">
                  <c:v>0.0266666666666667</c:v>
                </c:pt>
                <c:pt idx="31">
                  <c:v>0.02</c:v>
                </c:pt>
                <c:pt idx="32">
                  <c:v>0.02</c:v>
                </c:pt>
                <c:pt idx="33">
                  <c:v>0.02</c:v>
                </c:pt>
                <c:pt idx="34">
                  <c:v>0.02</c:v>
                </c:pt>
                <c:pt idx="35">
                  <c:v>0.02</c:v>
                </c:pt>
                <c:pt idx="36">
                  <c:v>0.02</c:v>
                </c:pt>
                <c:pt idx="37">
                  <c:v>0.02</c:v>
                </c:pt>
                <c:pt idx="38">
                  <c:v>0.02</c:v>
                </c:pt>
                <c:pt idx="39">
                  <c:v>0.02</c:v>
                </c:pt>
                <c:pt idx="40">
                  <c:v>0.0133333333333333</c:v>
                </c:pt>
                <c:pt idx="41">
                  <c:v>0.0133333333333333</c:v>
                </c:pt>
                <c:pt idx="42">
                  <c:v>0.0133333333333333</c:v>
                </c:pt>
                <c:pt idx="43">
                  <c:v>0.0133333333333333</c:v>
                </c:pt>
                <c:pt idx="44">
                  <c:v>0.0133333333333333</c:v>
                </c:pt>
                <c:pt idx="45">
                  <c:v>0.0133333333333333</c:v>
                </c:pt>
                <c:pt idx="46">
                  <c:v>0.0133333333333333</c:v>
                </c:pt>
                <c:pt idx="47">
                  <c:v>0.0133333333333333</c:v>
                </c:pt>
                <c:pt idx="48">
                  <c:v>0.0133333333333333</c:v>
                </c:pt>
                <c:pt idx="49">
                  <c:v>0.0133333333333333</c:v>
                </c:pt>
                <c:pt idx="50">
                  <c:v>0.0133333333333333</c:v>
                </c:pt>
                <c:pt idx="51">
                  <c:v>0.0133333333333333</c:v>
                </c:pt>
                <c:pt idx="52">
                  <c:v>0.0133333333333333</c:v>
                </c:pt>
                <c:pt idx="53">
                  <c:v>0.0133333333333333</c:v>
                </c:pt>
                <c:pt idx="54">
                  <c:v>0.0133333333333333</c:v>
                </c:pt>
                <c:pt idx="55">
                  <c:v>0.0133333333333333</c:v>
                </c:pt>
                <c:pt idx="56">
                  <c:v>0.0133333333333333</c:v>
                </c:pt>
                <c:pt idx="57">
                  <c:v>0.0133333333333333</c:v>
                </c:pt>
                <c:pt idx="58">
                  <c:v>0.00666666666666667</c:v>
                </c:pt>
                <c:pt idx="59">
                  <c:v>0.00666666666666667</c:v>
                </c:pt>
                <c:pt idx="60">
                  <c:v>0.00666666666666667</c:v>
                </c:pt>
                <c:pt idx="61">
                  <c:v>0.00666666666666667</c:v>
                </c:pt>
                <c:pt idx="62">
                  <c:v>0.00666666666666667</c:v>
                </c:pt>
                <c:pt idx="63">
                  <c:v>0.00666666666666667</c:v>
                </c:pt>
                <c:pt idx="64">
                  <c:v>0.00666666666666667</c:v>
                </c:pt>
                <c:pt idx="65">
                  <c:v>0.00666666666666667</c:v>
                </c:pt>
                <c:pt idx="66">
                  <c:v>0.00666666666666667</c:v>
                </c:pt>
                <c:pt idx="67">
                  <c:v>0.00666666666666667</c:v>
                </c:pt>
                <c:pt idx="68">
                  <c:v>0.00666666666666667</c:v>
                </c:pt>
                <c:pt idx="69">
                  <c:v>0.00666666666666667</c:v>
                </c:pt>
                <c:pt idx="70">
                  <c:v>0.00666666666666667</c:v>
                </c:pt>
                <c:pt idx="71">
                  <c:v>0.00666666666666667</c:v>
                </c:pt>
                <c:pt idx="72">
                  <c:v>0.00666666666666667</c:v>
                </c:pt>
                <c:pt idx="73">
                  <c:v>0.00666666666666667</c:v>
                </c:pt>
                <c:pt idx="74">
                  <c:v>0.00666666666666667</c:v>
                </c:pt>
                <c:pt idx="75">
                  <c:v>0.00666666666666667</c:v>
                </c:pt>
                <c:pt idx="76">
                  <c:v>0.00666666666666667</c:v>
                </c:pt>
                <c:pt idx="77">
                  <c:v>0.00666666666666667</c:v>
                </c:pt>
                <c:pt idx="78">
                  <c:v>0.00666666666666667</c:v>
                </c:pt>
                <c:pt idx="79">
                  <c:v>0.00666666666666667</c:v>
                </c:pt>
                <c:pt idx="80">
                  <c:v>0.00666666666666667</c:v>
                </c:pt>
                <c:pt idx="81">
                  <c:v>0.00666666666666667</c:v>
                </c:pt>
                <c:pt idx="82">
                  <c:v>0.00666666666666667</c:v>
                </c:pt>
                <c:pt idx="83">
                  <c:v>0.00666666666666667</c:v>
                </c:pt>
                <c:pt idx="84">
                  <c:v>0.00666666666666667</c:v>
                </c:pt>
                <c:pt idx="85">
                  <c:v>0.00666666666666667</c:v>
                </c:pt>
                <c:pt idx="86">
                  <c:v>0.00666666666666667</c:v>
                </c:pt>
                <c:pt idx="87">
                  <c:v>0.00666666666666667</c:v>
                </c:pt>
                <c:pt idx="88">
                  <c:v>0.00666666666666667</c:v>
                </c:pt>
                <c:pt idx="89">
                  <c:v>0.00666666666666667</c:v>
                </c:pt>
                <c:pt idx="90">
                  <c:v>0.00666666666666667</c:v>
                </c:pt>
                <c:pt idx="91">
                  <c:v>0.00666666666666667</c:v>
                </c:pt>
                <c:pt idx="92">
                  <c:v>0.00666666666666667</c:v>
                </c:pt>
                <c:pt idx="93">
                  <c:v>0.00666666666666667</c:v>
                </c:pt>
                <c:pt idx="94">
                  <c:v>0.00666666666666667</c:v>
                </c:pt>
                <c:pt idx="95">
                  <c:v>0.00666666666666667</c:v>
                </c:pt>
                <c:pt idx="96">
                  <c:v>0.00666666666666667</c:v>
                </c:pt>
                <c:pt idx="97">
                  <c:v>0.00666666666666667</c:v>
                </c:pt>
                <c:pt idx="98">
                  <c:v>0.00666666666666667</c:v>
                </c:pt>
                <c:pt idx="99">
                  <c:v>0.00666666666666667</c:v>
                </c:pt>
                <c:pt idx="100">
                  <c:v>0.00666666666666667</c:v>
                </c:pt>
                <c:pt idx="101">
                  <c:v>0.00666666666666667</c:v>
                </c:pt>
                <c:pt idx="102">
                  <c:v>0.00666666666666667</c:v>
                </c:pt>
                <c:pt idx="103">
                  <c:v>0.00666666666666667</c:v>
                </c:pt>
                <c:pt idx="104">
                  <c:v>0.00666666666666667</c:v>
                </c:pt>
                <c:pt idx="105">
                  <c:v>0.00666666666666667</c:v>
                </c:pt>
                <c:pt idx="106">
                  <c:v>0.00666666666666667</c:v>
                </c:pt>
                <c:pt idx="107">
                  <c:v>0.00666666666666667</c:v>
                </c:pt>
                <c:pt idx="108">
                  <c:v>0.00666666666666667</c:v>
                </c:pt>
                <c:pt idx="109">
                  <c:v>0.00666666666666667</c:v>
                </c:pt>
                <c:pt idx="110">
                  <c:v>0.00666666666666667</c:v>
                </c:pt>
                <c:pt idx="111">
                  <c:v>0.00666666666666667</c:v>
                </c:pt>
                <c:pt idx="112">
                  <c:v>0.00666666666666667</c:v>
                </c:pt>
                <c:pt idx="113">
                  <c:v>0.00666666666666667</c:v>
                </c:pt>
                <c:pt idx="114">
                  <c:v>0.00666666666666667</c:v>
                </c:pt>
                <c:pt idx="115">
                  <c:v>0.00666666666666667</c:v>
                </c:pt>
                <c:pt idx="116">
                  <c:v>0.00666666666666667</c:v>
                </c:pt>
                <c:pt idx="117">
                  <c:v>0.00666666666666667</c:v>
                </c:pt>
                <c:pt idx="118">
                  <c:v>0.00666666666666667</c:v>
                </c:pt>
                <c:pt idx="119">
                  <c:v>0.00666666666666667</c:v>
                </c:pt>
                <c:pt idx="120">
                  <c:v>0.00666666666666667</c:v>
                </c:pt>
                <c:pt idx="121">
                  <c:v>0.00666666666666667</c:v>
                </c:pt>
                <c:pt idx="122">
                  <c:v>0.00666666666666667</c:v>
                </c:pt>
                <c:pt idx="123">
                  <c:v>0.00666666666666667</c:v>
                </c:pt>
                <c:pt idx="124">
                  <c:v>0.00666666666666667</c:v>
                </c:pt>
                <c:pt idx="125">
                  <c:v>0.00666666666666667</c:v>
                </c:pt>
                <c:pt idx="126">
                  <c:v>0.00666666666666667</c:v>
                </c:pt>
                <c:pt idx="127">
                  <c:v>0.00666666666666667</c:v>
                </c:pt>
                <c:pt idx="128">
                  <c:v>0.00666666666666667</c:v>
                </c:pt>
                <c:pt idx="129">
                  <c:v>0.00666666666666667</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val>
          <c:smooth val="0"/>
        </c:ser>
        <c:dLbls>
          <c:showLegendKey val="0"/>
          <c:showVal val="0"/>
          <c:showCatName val="0"/>
          <c:showSerName val="0"/>
          <c:showPercent val="0"/>
          <c:showBubbleSize val="0"/>
        </c:dLbls>
        <c:marker val="1"/>
        <c:smooth val="0"/>
        <c:axId val="-851936272"/>
        <c:axId val="-851940080"/>
      </c:lineChart>
      <c:catAx>
        <c:axId val="-851936272"/>
        <c:scaling>
          <c:orientation val="minMax"/>
        </c:scaling>
        <c:delete val="0"/>
        <c:axPos val="b"/>
        <c:title>
          <c:tx>
            <c:rich>
              <a:bodyPr rot="0" spcFirstLastPara="1" vertOverflow="ellipsis" vert="horz" wrap="square" anchor="ctr" anchorCtr="1"/>
              <a:lstStyle/>
              <a:p>
                <a:pPr>
                  <a:defRPr lang="zh-CN" sz="12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zh-CN"/>
                  <a:t>距离</a:t>
                </a:r>
                <a:r>
                  <a:rPr lang="en-US"/>
                  <a:t>m</a:t>
                </a:r>
                <a:endParaRPr lang="zh-CN"/>
              </a:p>
            </c:rich>
          </c:tx>
          <c:layout>
            <c:manualLayout>
              <c:xMode val="edge"/>
              <c:yMode val="edge"/>
              <c:x val="0.891014899102004"/>
              <c:y val="0.926097015609338"/>
            </c:manualLayout>
          </c:layout>
          <c:overlay val="0"/>
          <c:spPr>
            <a:noFill/>
            <a:ln>
              <a:noFill/>
            </a:ln>
            <a:effectLst/>
          </c:spPr>
        </c:title>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zh-CN" sz="1200" b="1"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851940080"/>
        <c:crosses val="autoZero"/>
        <c:auto val="1"/>
        <c:lblAlgn val="ctr"/>
        <c:lblOffset val="100"/>
        <c:tickLblSkip val="30"/>
        <c:tickMarkSkip val="30"/>
        <c:noMultiLvlLbl val="0"/>
      </c:catAx>
      <c:valAx>
        <c:axId val="-851940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zh-CN" sz="12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zh-CN"/>
                  <a:t>占标率</a:t>
                </a:r>
                <a:r>
                  <a:rPr lang="en-US"/>
                  <a:t>%</a:t>
                </a:r>
                <a:endParaRPr lang="zh-CN"/>
              </a:p>
            </c:rich>
          </c:tx>
          <c:layout>
            <c:manualLayout>
              <c:xMode val="edge"/>
              <c:yMode val="edge"/>
              <c:x val="0.0158259149357072"/>
              <c:y val="0.0816295802029228"/>
            </c:manualLayout>
          </c:layout>
          <c:overlay val="0"/>
          <c:spPr>
            <a:noFill/>
            <a:ln>
              <a:noFill/>
            </a:ln>
            <a:effectLst/>
          </c:spPr>
        </c:title>
        <c:numFmt formatCode="General" sourceLinked="0"/>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lang="zh-CN" sz="1200" b="1" i="0" u="none" strike="noStrike" kern="1200" baseline="0">
                <a:solidFill>
                  <a:sysClr val="windowText" lastClr="000000"/>
                </a:solidFill>
                <a:latin typeface="Times New Roman" panose="02020603050405020304" charset="0"/>
                <a:ea typeface="+mn-ea"/>
                <a:cs typeface="Times New Roman" panose="02020603050405020304" charset="0"/>
              </a:defRPr>
            </a:pPr>
          </a:p>
        </c:txPr>
        <c:crossAx val="-851936272"/>
        <c:crosses val="autoZero"/>
        <c:crossBetween val="between"/>
      </c:valAx>
      <c:spPr>
        <a:noFill/>
        <a:ln w="12700">
          <a:solidFill>
            <a:schemeClr val="tx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sz="1200" b="1">
          <a:solidFill>
            <a:sysClr val="windowText" lastClr="000000"/>
          </a:solidFill>
          <a:latin typeface="Times New Roman" panose="02020603050405020304" charset="0"/>
          <a:cs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2751F56-C3B3-4457-9FE8-A1023754FF33}">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212</Pages>
  <Words>31012</Words>
  <Characters>176774</Characters>
  <Lines>1473</Lines>
  <Paragraphs>414</Paragraphs>
  <TotalTime>1443</TotalTime>
  <ScaleCrop>false</ScaleCrop>
  <LinksUpToDate>false</LinksUpToDate>
  <CharactersWithSpaces>207372</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2020-04-14T01:18:00Z</dcterms:created>
  <dc:creator>hayley</dc:creator>
  <cp:lastModifiedBy>Administrator</cp:lastModifiedBy>
  <cp:lastPrinted>2022-08-18T02:02:00Z</cp:lastPrinted>
  <dcterms:modified xsi:type="dcterms:W3CDTF">2023-12-28T02:25:27Z</dcterms:modified>
  <cp:revision>3253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B248DD8CAA654E0FB95C7C7F60338A9A_13</vt:lpwstr>
  </property>
</Properties>
</file>