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jc w:val="center"/>
        <w:rPr>
          <w:rFonts w:ascii="宋体" w:eastAsia="宋体" w:hAnsi="宋体" w:cs="宋体"/>
          <w:b/>
          <w:bCs/>
          <w:sz w:val="44"/>
          <w:szCs w:val="44"/>
        </w:rPr>
      </w:pPr>
    </w:p>
    <w:p>
      <w:pPr>
        <w:jc w:val="center"/>
        <w:rPr>
          <w:rFonts w:ascii="宋体" w:eastAsia="宋体" w:hAnsi="宋体" w:cs="宋体"/>
          <w:b/>
          <w:bCs/>
          <w:sz w:val="44"/>
          <w:szCs w:val="44"/>
        </w:rPr>
      </w:pPr>
    </w:p>
    <w:p>
      <w:pPr>
        <w:jc w:val="center"/>
        <w:rPr>
          <w:rFonts w:ascii="宋体" w:eastAsia="宋体" w:hAnsi="宋体" w:cs="宋体"/>
          <w:b/>
          <w:bCs/>
          <w:sz w:val="44"/>
          <w:szCs w:val="44"/>
        </w:rPr>
      </w:pPr>
    </w:p>
    <w:p>
      <w:pPr>
        <w:jc w:val="center"/>
        <w:rPr>
          <w:rFonts w:ascii="宋体" w:eastAsia="宋体" w:hAnsi="宋体" w:cs="宋体"/>
          <w:b/>
          <w:bCs/>
          <w:sz w:val="52"/>
          <w:szCs w:val="52"/>
        </w:rPr>
      </w:pPr>
      <w:r>
        <w:rPr>
          <w:rFonts w:ascii="宋体" w:eastAsia="宋体" w:hAnsi="宋体" w:cs="宋体" w:hint="eastAsia"/>
          <w:b/>
          <w:bCs/>
          <w:sz w:val="52"/>
          <w:szCs w:val="52"/>
        </w:rPr>
        <w:t>围场县东山市民休闲公园项目</w:t>
      </w:r>
    </w:p>
    <w:p>
      <w:pPr>
        <w:jc w:val="center"/>
        <w:rPr>
          <w:rFonts w:ascii="宋体" w:eastAsia="宋体" w:hAnsi="宋体" w:cs="宋体"/>
          <w:b/>
          <w:bCs/>
          <w:sz w:val="36"/>
          <w:szCs w:val="36"/>
        </w:rPr>
      </w:pPr>
      <w:r>
        <w:rPr>
          <w:rFonts w:ascii="宋体" w:eastAsia="宋体" w:hAnsi="宋体" w:cs="宋体" w:hint="eastAsia"/>
          <w:b/>
          <w:bCs/>
          <w:sz w:val="36"/>
          <w:szCs w:val="36"/>
        </w:rPr>
        <w:t>（一般债券资金）</w:t>
      </w:r>
    </w:p>
    <w:p>
      <w:pPr>
        <w:jc w:val="center"/>
        <w:rPr>
          <w:rFonts w:ascii="宋体" w:eastAsia="宋体" w:hAnsi="宋体" w:cs="宋体"/>
          <w:b/>
          <w:bCs/>
          <w:sz w:val="52"/>
          <w:szCs w:val="52"/>
        </w:rPr>
      </w:pPr>
    </w:p>
    <w:p>
      <w:pPr>
        <w:jc w:val="center"/>
        <w:rPr>
          <w:rFonts w:ascii="宋体" w:eastAsia="宋体" w:hAnsi="宋体" w:cs="宋体"/>
          <w:b/>
          <w:bCs/>
          <w:sz w:val="52"/>
          <w:szCs w:val="52"/>
        </w:rPr>
      </w:pPr>
    </w:p>
    <w:p>
      <w:pPr>
        <w:jc w:val="center"/>
        <w:rPr>
          <w:rFonts w:ascii="宋体" w:eastAsia="宋体" w:hAnsi="宋体" w:cs="宋体"/>
          <w:b/>
          <w:bCs/>
          <w:sz w:val="52"/>
          <w:szCs w:val="52"/>
        </w:rPr>
      </w:pPr>
    </w:p>
    <w:p>
      <w:pPr>
        <w:jc w:val="center"/>
        <w:rPr>
          <w:rFonts w:ascii="宋体" w:eastAsia="宋体" w:hAnsi="宋体" w:cs="宋体"/>
          <w:b/>
          <w:bCs/>
          <w:sz w:val="52"/>
          <w:szCs w:val="52"/>
        </w:rPr>
      </w:pPr>
      <w:r>
        <w:rPr>
          <w:rFonts w:ascii="宋体" w:eastAsia="宋体" w:hAnsi="宋体" w:cs="宋体" w:hint="eastAsia"/>
          <w:b/>
          <w:bCs/>
          <w:sz w:val="52"/>
          <w:szCs w:val="52"/>
        </w:rPr>
        <w:t>绩效评价报告</w:t>
      </w:r>
    </w:p>
    <w:p>
      <w:pPr>
        <w:jc w:val="center"/>
        <w:rPr>
          <w:rFonts w:ascii="宋体" w:eastAsia="宋体" w:hAnsi="宋体" w:cs="宋体"/>
          <w:b/>
          <w:bCs/>
          <w:sz w:val="52"/>
          <w:szCs w:val="52"/>
        </w:rPr>
      </w:pPr>
    </w:p>
    <w:p>
      <w:pPr>
        <w:jc w:val="center"/>
        <w:rPr>
          <w:rFonts w:ascii="宋体" w:eastAsia="宋体" w:hAnsi="宋体" w:cs="宋体"/>
          <w:b/>
          <w:bCs/>
          <w:sz w:val="52"/>
          <w:szCs w:val="52"/>
        </w:rPr>
      </w:pPr>
    </w:p>
    <w:p>
      <w:pPr>
        <w:rPr>
          <w:rFonts w:ascii="宋体" w:eastAsia="宋体" w:hAnsi="宋体" w:cs="宋体"/>
          <w:b/>
          <w:bCs/>
          <w:sz w:val="52"/>
          <w:szCs w:val="52"/>
        </w:rPr>
      </w:pPr>
    </w:p>
    <w:p>
      <w:pPr>
        <w:pStyle w:val="Default"/>
        <w:ind w:firstLine="960" w:firstLineChars="300"/>
        <w:jc w:val="both"/>
        <w:rPr>
          <w:b/>
          <w:bCs/>
          <w:sz w:val="32"/>
          <w:szCs w:val="32"/>
          <w:u w:val="single"/>
        </w:rPr>
      </w:pPr>
      <w:r>
        <w:rPr>
          <w:rFonts w:hint="eastAsia"/>
          <w:b/>
          <w:bCs/>
          <w:sz w:val="32"/>
          <w:szCs w:val="32"/>
        </w:rPr>
        <w:t>编制机构：</w:t>
      </w:r>
      <w:r>
        <w:rPr>
          <w:rFonts w:asciiTheme="minorHAnsi" w:eastAsiaTheme="minorEastAsia" w:hAnsiTheme="minorHAnsi" w:cstheme="minorBidi" w:hint="eastAsia"/>
          <w:b/>
          <w:bCs/>
          <w:kern w:val="2"/>
          <w:sz w:val="32"/>
          <w:szCs w:val="32"/>
          <w:u w:val="single"/>
        </w:rPr>
        <w:t>承德燕山会计师事务所有限责任公司</w:t>
      </w:r>
    </w:p>
    <w:p>
      <w:pPr>
        <w:ind w:firstLine="960" w:firstLineChars="300"/>
        <w:rPr>
          <w:rFonts w:asciiTheme="minorEastAsia" w:hAnsiTheme="minorEastAsia" w:cstheme="minorEastAsia"/>
          <w:b/>
          <w:bCs/>
          <w:sz w:val="32"/>
          <w:szCs w:val="32"/>
        </w:rPr>
      </w:pPr>
      <w:r>
        <w:rPr>
          <w:rFonts w:hint="eastAsia"/>
          <w:b/>
          <w:bCs/>
          <w:sz w:val="32"/>
          <w:szCs w:val="32"/>
        </w:rPr>
        <w:t>编制时间：</w:t>
      </w:r>
      <w:r>
        <w:rPr>
          <w:rFonts w:asciiTheme="minorEastAsia" w:hAnsiTheme="minorEastAsia" w:cstheme="minorEastAsia" w:hint="eastAsia"/>
          <w:b/>
          <w:bCs/>
          <w:sz w:val="32"/>
          <w:szCs w:val="32"/>
          <w:u w:val="single"/>
        </w:rPr>
        <w:t xml:space="preserve">  2020  </w:t>
      </w:r>
      <w:r>
        <w:rPr>
          <w:rFonts w:asciiTheme="minorEastAsia" w:hAnsiTheme="minorEastAsia" w:cstheme="minorEastAsia" w:hint="eastAsia"/>
          <w:b/>
          <w:bCs/>
          <w:sz w:val="32"/>
          <w:szCs w:val="32"/>
        </w:rPr>
        <w:t>年</w:t>
      </w:r>
      <w:r>
        <w:rPr>
          <w:rFonts w:asciiTheme="minorEastAsia" w:hAnsiTheme="minorEastAsia" w:cstheme="minorEastAsia" w:hint="eastAsia"/>
          <w:b/>
          <w:bCs/>
          <w:sz w:val="32"/>
          <w:szCs w:val="32"/>
          <w:u w:val="single"/>
        </w:rPr>
        <w:t xml:space="preserve">  12  </w:t>
      </w:r>
      <w:r>
        <w:rPr>
          <w:rFonts w:asciiTheme="minorEastAsia" w:hAnsiTheme="minorEastAsia" w:cstheme="minorEastAsia" w:hint="eastAsia"/>
          <w:b/>
          <w:bCs/>
          <w:sz w:val="32"/>
          <w:szCs w:val="32"/>
        </w:rPr>
        <w:t>月</w:t>
      </w:r>
      <w:r>
        <w:rPr>
          <w:rFonts w:asciiTheme="minorEastAsia" w:hAnsiTheme="minorEastAsia" w:cstheme="minorEastAsia" w:hint="eastAsia"/>
          <w:b/>
          <w:bCs/>
          <w:sz w:val="32"/>
          <w:szCs w:val="32"/>
          <w:u w:val="single"/>
        </w:rPr>
        <w:t xml:space="preserve">  28  </w:t>
      </w:r>
      <w:r>
        <w:rPr>
          <w:rFonts w:asciiTheme="minorEastAsia" w:hAnsiTheme="minorEastAsia" w:cstheme="minorEastAsia" w:hint="eastAsia"/>
          <w:b/>
          <w:bCs/>
          <w:sz w:val="32"/>
          <w:szCs w:val="32"/>
        </w:rPr>
        <w:t>日</w:t>
      </w:r>
    </w:p>
    <w:p>
      <w:pPr>
        <w:ind w:firstLine="960" w:firstLineChars="300"/>
        <w:rPr>
          <w:rFonts w:asciiTheme="minorEastAsia" w:hAnsiTheme="minorEastAsia" w:cstheme="minorEastAsia"/>
          <w:b/>
          <w:bCs/>
          <w:sz w:val="32"/>
          <w:szCs w:val="32"/>
        </w:rPr>
      </w:pPr>
    </w:p>
    <w:p>
      <w:pPr>
        <w:ind w:firstLine="960" w:firstLineChars="300"/>
        <w:rPr>
          <w:rFonts w:asciiTheme="minorEastAsia" w:hAnsiTheme="minorEastAsia" w:cstheme="minorEastAsia"/>
          <w:b/>
          <w:bCs/>
          <w:sz w:val="32"/>
          <w:szCs w:val="32"/>
        </w:rPr>
      </w:pPr>
    </w:p>
    <w:p>
      <w:pPr>
        <w:ind w:firstLine="960" w:firstLineChars="300"/>
        <w:rPr>
          <w:rFonts w:asciiTheme="minorEastAsia" w:hAnsiTheme="minorEastAsia" w:cstheme="minorEastAsia"/>
          <w:b/>
          <w:bCs/>
          <w:sz w:val="32"/>
          <w:szCs w:val="32"/>
        </w:rPr>
        <w:sectPr>
          <w:footerReference w:type="default" r:id="rId5"/>
          <w:pgSz w:w="11906" w:h="16838"/>
          <w:pgMar w:top="1440" w:right="1800" w:bottom="1440" w:left="1800" w:header="851" w:footer="992" w:gutter="0"/>
          <w:cols w:num="1" w:space="425"/>
          <w:docGrid w:type="lines" w:linePitch="312" w:charSpace="0"/>
        </w:sectPr>
      </w:pPr>
    </w:p>
    <w:p>
      <w:pPr>
        <w:rPr>
          <w:rFonts w:ascii="宋体" w:eastAsia="宋体" w:hAnsi="宋体" w:cs="宋体"/>
          <w:b/>
          <w:bCs/>
          <w:sz w:val="32"/>
          <w:szCs w:val="32"/>
        </w:rPr>
      </w:pPr>
    </w:p>
    <w:p>
      <w:pPr>
        <w:rPr>
          <w:rFonts w:ascii="宋体" w:eastAsia="宋体" w:hAnsi="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报告文号：承燕会所审专字（2020）第291号</w:t>
      </w:r>
    </w:p>
    <w:p>
      <w:pPr>
        <w:ind w:firstLine="960" w:firstLineChars="300"/>
        <w:rPr>
          <w:sz w:val="32"/>
          <w:szCs w:val="32"/>
        </w:rPr>
      </w:pPr>
      <w:r>
        <w:rPr>
          <w:rFonts w:hint="eastAsia"/>
          <w:sz w:val="32"/>
          <w:szCs w:val="32"/>
        </w:rPr>
        <w:t>报告日期：2020-12-28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eastAsia="宋体" w:hAnsi="宋体" w:cs="宋体"/>
          <w:b/>
          <w:bCs/>
          <w:sz w:val="32"/>
          <w:szCs w:val="32"/>
        </w:rPr>
      </w:pPr>
      <w:r>
        <w:rPr>
          <w:rFonts w:hint="eastAsia"/>
          <w:sz w:val="30"/>
          <w:szCs w:val="30"/>
        </w:rPr>
        <w:t>联系电话：0314-2021210/2282221</w:t>
      </w:r>
    </w:p>
    <w:p>
      <w:pPr>
        <w:rPr>
          <w:rFonts w:ascii="宋体" w:eastAsia="宋体" w:hAnsi="宋体" w:cs="宋体"/>
          <w:b/>
          <w:bCs/>
          <w:sz w:val="32"/>
          <w:szCs w:val="32"/>
        </w:rPr>
      </w:pPr>
    </w:p>
    <w:p>
      <w:pPr>
        <w:rPr>
          <w:rFonts w:ascii="宋体" w:eastAsia="宋体" w:hAnsi="宋体" w:cs="宋体"/>
          <w:b/>
          <w:bCs/>
          <w:sz w:val="32"/>
          <w:szCs w:val="32"/>
        </w:rPr>
      </w:pPr>
    </w:p>
    <w:p>
      <w:pPr>
        <w:spacing w:line="440" w:lineRule="exact"/>
        <w:rPr>
          <w:rFonts w:ascii="仿宋" w:eastAsia="仿宋" w:hAnsi="仿宋"/>
          <w:b/>
          <w:bCs/>
          <w:sz w:val="28"/>
          <w:szCs w:val="28"/>
        </w:rPr>
        <w:sectPr>
          <w:footerReference w:type="default" r:id="rId6"/>
          <w:pgSz w:w="11906" w:h="16838"/>
          <w:pgMar w:top="1440" w:right="1800" w:bottom="1440" w:left="1800" w:header="851" w:footer="992" w:gutter="0"/>
          <w:pgNumType w:start="1"/>
          <w:cols w:num="1" w:space="425"/>
          <w:docGrid w:type="lines" w:linePitch="312" w:charSpace="0"/>
        </w:sectPr>
      </w:pPr>
    </w:p>
    <w:p>
      <w:pPr>
        <w:spacing w:line="440" w:lineRule="exact"/>
        <w:rPr>
          <w:rFonts w:ascii="仿宋" w:eastAsia="仿宋" w:hAnsi="仿宋"/>
          <w:b/>
          <w:bCs/>
          <w:sz w:val="24"/>
        </w:rPr>
      </w:pPr>
      <w:r>
        <w:rPr>
          <w:rFonts w:ascii="仿宋" w:eastAsia="仿宋" w:hAnsi="仿宋"/>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o:spid="_x0000_s1025" type="#_x0000_t75" style="width:63pt;height:75.75pt;margin-top:0;margin-left:-27pt;mso-height-relative:page;mso-width-relative:page;mso-wrap-distance-bottom:0;mso-wrap-distance-left:9pt;mso-wrap-distance-right:9pt;mso-wrap-distance-top:0;position:absolute;z-index:251660288" o:oleicon="f" coordsize="21600,21600" o:preferrelative="t" filled="f" stroked="f">
            <v:stroke joinstyle="miter"/>
            <v:imagedata r:id="rId7" o:title=""/>
            <o:lock v:ext="edit" aspectratio="t"/>
            <w10:wrap type="square"/>
          </v:shape>
          <o:OLEObject Type="Embed" ProgID="Word.Picture.8" ShapeID="_x0000_s1026" DrawAspect="Content" ObjectID="_1468075725" r:id="rId8"/>
        </w:pict>
      </w:r>
      <w:r>
        <w:rPr>
          <w:rFonts w:ascii="仿宋" w:eastAsia="仿宋" w:hAnsi="仿宋" w:hint="eastAsia"/>
          <w:b/>
          <w:bCs/>
          <w:sz w:val="28"/>
          <w:szCs w:val="28"/>
        </w:rPr>
        <w:t>承德燕山会计师事务所</w:t>
      </w:r>
      <w:r>
        <w:rPr>
          <w:rFonts w:ascii="仿宋" w:eastAsia="仿宋" w:hAnsi="仿宋" w:hint="eastAsia"/>
          <w:sz w:val="28"/>
          <w:szCs w:val="28"/>
        </w:rPr>
        <w:t xml:space="preserve"> </w:t>
      </w:r>
      <w:r>
        <w:rPr>
          <w:rFonts w:ascii="仿宋" w:eastAsia="仿宋" w:hAnsi="仿宋" w:hint="eastAsia"/>
          <w:sz w:val="28"/>
        </w:rPr>
        <w:t xml:space="preserve">        </w:t>
      </w:r>
      <w:r>
        <w:rPr>
          <w:rFonts w:ascii="仿宋" w:eastAsia="仿宋" w:hAnsi="仿宋" w:hint="eastAsia"/>
          <w:b/>
          <w:bCs/>
          <w:sz w:val="24"/>
        </w:rPr>
        <w:t>CHENGDE YANSHAN CERTIFIED</w:t>
      </w:r>
    </w:p>
    <w:p>
      <w:pPr>
        <w:spacing w:line="440" w:lineRule="exact"/>
        <w:ind w:firstLine="644" w:firstLineChars="230"/>
        <w:rPr>
          <w:rFonts w:ascii="仿宋" w:eastAsia="仿宋" w:hAnsi="仿宋"/>
          <w:sz w:val="28"/>
        </w:rPr>
      </w:pPr>
      <w:r>
        <w:rPr>
          <w:rFonts w:ascii="仿宋" w:eastAsia="仿宋" w:hAnsi="仿宋" w:hint="eastAsia"/>
          <w:b/>
          <w:bCs/>
          <w:sz w:val="28"/>
          <w:szCs w:val="28"/>
        </w:rPr>
        <w:t>有限责任公司</w:t>
      </w:r>
      <w:r>
        <w:rPr>
          <w:rFonts w:ascii="仿宋" w:eastAsia="仿宋" w:hAnsi="仿宋" w:hint="eastAsia"/>
          <w:b/>
          <w:bCs/>
          <w:sz w:val="24"/>
        </w:rPr>
        <w:t xml:space="preserve">               PUBLIC ACCOUNTANTS CO.LTD</w:t>
      </w:r>
    </w:p>
    <w:p>
      <w:pPr>
        <w:spacing w:line="440" w:lineRule="exact"/>
        <w:ind w:left="2250" w:hanging="2250" w:hangingChars="1250"/>
        <w:rPr>
          <w:rFonts w:ascii="仿宋" w:eastAsia="仿宋" w:hAnsi="仿宋"/>
          <w:sz w:val="24"/>
        </w:rPr>
      </w:pPr>
      <w:r>
        <w:rPr>
          <w:rFonts w:ascii="仿宋" w:eastAsia="仿宋" w:hAnsi="仿宋" w:hint="eastAsia"/>
          <w:sz w:val="18"/>
        </w:rPr>
        <w:t xml:space="preserve">地址：（Add）：承德双桥区新华路工商联大厦20层  </w:t>
      </w:r>
      <w:r>
        <w:rPr>
          <w:rFonts w:ascii="仿宋" w:eastAsia="仿宋" w:hAnsi="仿宋" w:hint="eastAsia"/>
          <w:sz w:val="24"/>
        </w:rPr>
        <w:t xml:space="preserve">20F,Gongshanglian building,     </w:t>
      </w:r>
    </w:p>
    <w:p>
      <w:pPr>
        <w:spacing w:line="440" w:lineRule="exact"/>
        <w:ind w:left="7200" w:hanging="7200" w:hangingChars="3000"/>
        <w:rPr>
          <w:rFonts w:ascii="仿宋" w:eastAsia="仿宋" w:hAnsi="仿宋"/>
          <w:sz w:val="24"/>
        </w:rPr>
      </w:pPr>
      <w:r>
        <w:rPr>
          <w:rFonts w:ascii="仿宋" w:eastAsia="仿宋" w:hAnsi="仿宋" w:hint="eastAsia"/>
          <w:sz w:val="24"/>
        </w:rPr>
        <w:t xml:space="preserve">电话：（Tel）：0314-2021210  </w:t>
      </w:r>
      <w:r>
        <w:rPr>
          <w:rFonts w:ascii="仿宋" w:eastAsia="仿宋" w:hAnsi="仿宋" w:hint="eastAsia"/>
          <w:sz w:val="18"/>
        </w:rPr>
        <w:t xml:space="preserve">          </w:t>
      </w:r>
      <w:r>
        <w:rPr>
          <w:rFonts w:ascii="仿宋" w:eastAsia="仿宋" w:hAnsi="仿宋" w:hint="eastAsia"/>
          <w:sz w:val="24"/>
        </w:rPr>
        <w:t xml:space="preserve">Xinhua Street, Shuangqiao </w:t>
      </w:r>
    </w:p>
    <w:p>
      <w:pPr>
        <w:spacing w:line="440" w:lineRule="exact"/>
        <w:ind w:left="6882" w:hanging="6000" w:leftChars="420" w:hangingChars="2500"/>
        <w:rPr>
          <w:rFonts w:ascii="仿宋" w:eastAsia="仿宋" w:hAnsi="仿宋"/>
          <w:sz w:val="24"/>
        </w:rPr>
      </w:pPr>
      <w:r>
        <w:rPr>
          <w:rFonts w:ascii="仿宋" w:eastAsia="仿宋" w:hAnsi="仿宋" w:hint="eastAsia"/>
          <w:sz w:val="24"/>
        </w:rPr>
        <w:t>传真：（Fax）:0314-2021210</w:t>
      </w:r>
      <w:r>
        <w:rPr>
          <w:rFonts w:ascii="仿宋" w:eastAsia="仿宋" w:hAnsi="仿宋" w:hint="eastAsia"/>
          <w:sz w:val="18"/>
        </w:rPr>
        <w:t xml:space="preserve">         </w:t>
      </w:r>
      <w:r>
        <w:rPr>
          <w:rFonts w:ascii="仿宋" w:eastAsia="仿宋" w:hAnsi="仿宋" w:hint="eastAsia"/>
          <w:sz w:val="24"/>
        </w:rPr>
        <w:t xml:space="preserve">    District of Chengde</w:t>
      </w:r>
      <w:r>
        <w:rPr>
          <w:rFonts w:ascii="仿宋" w:eastAsia="仿宋" w:hAnsi="仿宋" w:hint="eastAsia"/>
          <w:sz w:val="18"/>
        </w:rPr>
        <w:t xml:space="preserve">           </w:t>
      </w:r>
      <w:r>
        <w:rPr>
          <w:rFonts w:ascii="仿宋" w:eastAsia="仿宋" w:hAnsi="仿宋" w:hint="eastAsia"/>
          <w:sz w:val="24"/>
        </w:rPr>
        <w:t xml:space="preserve">  </w:t>
      </w:r>
    </w:p>
    <w:p>
      <w:pPr>
        <w:spacing w:line="440" w:lineRule="exact"/>
        <w:ind w:firstLine="960" w:firstLineChars="400"/>
        <w:rPr>
          <w:rFonts w:ascii="仿宋" w:eastAsia="仿宋" w:hAnsi="仿宋"/>
          <w:sz w:val="24"/>
        </w:rPr>
      </w:pPr>
      <w:r>
        <w:rPr>
          <w:rFonts w:ascii="仿宋" w:eastAsia="仿宋" w:hAnsi="仿宋" w:hint="eastAsia"/>
          <w:sz w:val="24"/>
        </w:rPr>
        <w:t>邮编：（Post）:067000</w:t>
      </w:r>
      <w:r>
        <w:rPr>
          <w:rFonts w:ascii="仿宋" w:eastAsia="仿宋" w:hAnsi="仿宋" w:hint="eastAsia"/>
          <w:sz w:val="18"/>
        </w:rPr>
        <w:t xml:space="preserve">                    </w:t>
      </w:r>
      <w:r>
        <w:rPr>
          <w:rFonts w:ascii="仿宋" w:eastAsia="仿宋" w:hAnsi="仿宋" w:hint="eastAsia"/>
          <w:sz w:val="24"/>
        </w:rPr>
        <w:t>E-mail:yanshan20f@163.com</w:t>
      </w:r>
    </w:p>
    <w:p>
      <w:pPr>
        <w:spacing w:line="540" w:lineRule="exact"/>
        <w:ind w:firstLine="5040" w:firstLineChars="2100"/>
        <w:rPr>
          <w:rFonts w:ascii="仿宋" w:eastAsia="仿宋" w:hAnsi="仿宋" w:cs="仿宋_GB2312"/>
          <w:b/>
          <w:bCs/>
          <w:sz w:val="36"/>
          <w:szCs w:val="36"/>
        </w:rPr>
      </w:pP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style="mso-height-relative:page;mso-width-relative:page;position:absolute;z-index:251659264" from="0,5.1pt" to="414pt,5.1pt" coordsize="21600,21600" stroked="t" strokecolor="black">
                <v:stroke joinstyle="round"/>
                <o:lock v:ext="edit" aspectratio="f"/>
              </v:line>
            </w:pict>
          </mc:Fallback>
        </mc:AlternateContent>
      </w:r>
      <w:r>
        <w:rPr>
          <w:rFonts w:ascii="仿宋" w:eastAsia="仿宋" w:hAnsi="仿宋" w:hint="eastAsia"/>
          <w:b/>
          <w:sz w:val="24"/>
        </w:rPr>
        <w:t>承燕会所审专字（2020）第 291号</w:t>
      </w:r>
    </w:p>
    <w:p>
      <w:pPr>
        <w:rPr>
          <w:rFonts w:ascii="宋体" w:eastAsia="宋体" w:hAnsi="宋体" w:cs="宋体"/>
          <w:b/>
          <w:bCs/>
          <w:sz w:val="32"/>
          <w:szCs w:val="32"/>
        </w:rPr>
      </w:pPr>
    </w:p>
    <w:p>
      <w:pPr>
        <w:rPr>
          <w:rFonts w:ascii="宋体" w:eastAsia="宋体" w:hAnsi="宋体" w:cs="宋体"/>
          <w:b/>
          <w:bCs/>
          <w:sz w:val="32"/>
          <w:szCs w:val="32"/>
        </w:rPr>
      </w:pPr>
    </w:p>
    <w:p>
      <w:pPr>
        <w:jc w:val="center"/>
        <w:rPr>
          <w:sz w:val="28"/>
          <w:szCs w:val="28"/>
        </w:rPr>
      </w:pPr>
      <w:r>
        <w:rPr>
          <w:rFonts w:ascii="宋体" w:eastAsia="宋体" w:hAnsi="宋体"/>
          <w:b/>
          <w:bCs/>
          <w:sz w:val="32"/>
          <w:szCs w:val="32"/>
        </w:rPr>
        <w:t>目</w:t>
      </w:r>
      <w:r>
        <w:rPr>
          <w:rFonts w:ascii="宋体" w:eastAsia="宋体" w:hAnsi="宋体" w:hint="eastAsia"/>
          <w:b/>
          <w:bCs/>
          <w:sz w:val="32"/>
          <w:szCs w:val="32"/>
        </w:rPr>
        <w:t xml:space="preserve"> </w:t>
      </w:r>
      <w:r>
        <w:rPr>
          <w:rFonts w:ascii="宋体" w:eastAsia="宋体" w:hAnsi="宋体"/>
          <w:b/>
          <w:bCs/>
          <w:sz w:val="32"/>
          <w:szCs w:val="32"/>
        </w:rPr>
        <w:t>录</w:t>
      </w:r>
    </w:p>
    <w:p>
      <w:pPr>
        <w:pStyle w:val="TOC1"/>
        <w:tabs>
          <w:tab w:val="right" w:leader="dot" w:pos="8306"/>
        </w:tabs>
      </w:pPr>
      <w:r>
        <w:rPr>
          <w:rFonts w:ascii="宋体" w:eastAsia="宋体" w:hAnsi="宋体" w:cs="宋体" w:hint="eastAsia"/>
          <w:b/>
          <w:bCs/>
          <w:sz w:val="28"/>
          <w:szCs w:val="28"/>
        </w:rPr>
        <w:fldChar w:fldCharType="begin"/>
      </w:r>
      <w:r>
        <w:rPr>
          <w:rFonts w:ascii="宋体" w:eastAsia="宋体" w:hAnsi="宋体" w:cs="宋体" w:hint="eastAsia"/>
          <w:b/>
          <w:bCs/>
          <w:sz w:val="28"/>
          <w:szCs w:val="28"/>
        </w:rPr>
        <w:instrText xml:space="preserve">TOC \o "1-2" \h \u </w:instrText>
      </w:r>
      <w:r>
        <w:rPr>
          <w:rFonts w:ascii="宋体" w:eastAsia="宋体" w:hAnsi="宋体" w:cs="宋体" w:hint="eastAsia"/>
          <w:b/>
          <w:bCs/>
          <w:sz w:val="28"/>
          <w:szCs w:val="28"/>
        </w:rPr>
        <w:fldChar w:fldCharType="separate"/>
      </w:r>
    </w:p>
    <w:p>
      <w:pPr>
        <w:pStyle w:val="TOC1"/>
        <w:tabs>
          <w:tab w:val="right" w:leader="dot" w:pos="8306"/>
        </w:tabs>
        <w:rPr>
          <w:sz w:val="28"/>
          <w:szCs w:val="28"/>
        </w:rPr>
      </w:pPr>
      <w:hyperlink w:anchor="_Toc27945" w:history="1">
        <w:r>
          <w:rPr>
            <w:rFonts w:ascii="黑体" w:eastAsia="黑体" w:hAnsi="黑体" w:cs="黑体" w:hint="eastAsia"/>
            <w:sz w:val="28"/>
            <w:szCs w:val="28"/>
          </w:rPr>
          <w:t>一、项目基本情况</w:t>
        </w:r>
        <w:r>
          <w:rPr>
            <w:sz w:val="28"/>
            <w:szCs w:val="28"/>
          </w:rPr>
          <w:tab/>
        </w:r>
        <w:r>
          <w:rPr>
            <w:sz w:val="28"/>
            <w:szCs w:val="28"/>
          </w:rPr>
          <w:fldChar w:fldCharType="begin"/>
        </w:r>
        <w:r>
          <w:rPr>
            <w:sz w:val="28"/>
            <w:szCs w:val="28"/>
          </w:rPr>
          <w:instrText xml:space="preserve"> PAGEREF _Toc27945 </w:instrText>
        </w:r>
        <w:r>
          <w:rPr>
            <w:sz w:val="28"/>
            <w:szCs w:val="28"/>
          </w:rPr>
          <w:fldChar w:fldCharType="separate"/>
        </w:r>
        <w:r>
          <w:rPr>
            <w:sz w:val="28"/>
            <w:szCs w:val="28"/>
          </w:rPr>
          <w:t>1</w:t>
        </w:r>
        <w:r>
          <w:rPr>
            <w:sz w:val="28"/>
            <w:szCs w:val="28"/>
          </w:rPr>
          <w:fldChar w:fldCharType="end"/>
        </w:r>
      </w:hyperlink>
    </w:p>
    <w:p>
      <w:pPr>
        <w:pStyle w:val="TOC2"/>
        <w:tabs>
          <w:tab w:val="right" w:leader="dot" w:pos="8306"/>
        </w:tabs>
        <w:rPr>
          <w:sz w:val="28"/>
          <w:szCs w:val="28"/>
        </w:rPr>
      </w:pPr>
      <w:hyperlink w:anchor="_Toc3023" w:history="1">
        <w:r>
          <w:rPr>
            <w:rFonts w:ascii="楷体" w:eastAsia="楷体" w:hAnsi="楷体" w:cs="楷体" w:hint="eastAsia"/>
            <w:sz w:val="28"/>
            <w:szCs w:val="28"/>
          </w:rPr>
          <w:t>（一）项目概况</w:t>
        </w:r>
        <w:r>
          <w:rPr>
            <w:sz w:val="28"/>
            <w:szCs w:val="28"/>
          </w:rPr>
          <w:tab/>
        </w:r>
        <w:r>
          <w:rPr>
            <w:sz w:val="28"/>
            <w:szCs w:val="28"/>
          </w:rPr>
          <w:fldChar w:fldCharType="begin"/>
        </w:r>
        <w:r>
          <w:rPr>
            <w:sz w:val="28"/>
            <w:szCs w:val="28"/>
          </w:rPr>
          <w:instrText xml:space="preserve"> PAGEREF _Toc3023 </w:instrText>
        </w:r>
        <w:r>
          <w:rPr>
            <w:sz w:val="28"/>
            <w:szCs w:val="28"/>
          </w:rPr>
          <w:fldChar w:fldCharType="separate"/>
        </w:r>
        <w:r>
          <w:rPr>
            <w:sz w:val="28"/>
            <w:szCs w:val="28"/>
          </w:rPr>
          <w:t>1</w:t>
        </w:r>
        <w:r>
          <w:rPr>
            <w:sz w:val="28"/>
            <w:szCs w:val="28"/>
          </w:rPr>
          <w:fldChar w:fldCharType="end"/>
        </w:r>
      </w:hyperlink>
    </w:p>
    <w:p>
      <w:pPr>
        <w:pStyle w:val="TOC2"/>
        <w:tabs>
          <w:tab w:val="right" w:leader="dot" w:pos="8306"/>
        </w:tabs>
        <w:rPr>
          <w:sz w:val="28"/>
          <w:szCs w:val="28"/>
        </w:rPr>
      </w:pPr>
      <w:hyperlink w:anchor="_Toc25308" w:history="1">
        <w:r>
          <w:rPr>
            <w:rFonts w:ascii="楷体" w:eastAsia="楷体" w:hAnsi="楷体" w:cs="楷体" w:hint="eastAsia"/>
            <w:sz w:val="28"/>
            <w:szCs w:val="28"/>
          </w:rPr>
          <w:t>（二）项目绩效目标</w:t>
        </w:r>
        <w:r>
          <w:rPr>
            <w:sz w:val="28"/>
            <w:szCs w:val="28"/>
          </w:rPr>
          <w:tab/>
        </w:r>
        <w:r>
          <w:rPr>
            <w:sz w:val="28"/>
            <w:szCs w:val="28"/>
          </w:rPr>
          <w:fldChar w:fldCharType="begin"/>
        </w:r>
        <w:r>
          <w:rPr>
            <w:sz w:val="28"/>
            <w:szCs w:val="28"/>
          </w:rPr>
          <w:instrText xml:space="preserve"> PAGEREF _Toc25308 </w:instrText>
        </w:r>
        <w:r>
          <w:rPr>
            <w:sz w:val="28"/>
            <w:szCs w:val="28"/>
          </w:rPr>
          <w:fldChar w:fldCharType="separate"/>
        </w:r>
        <w:r>
          <w:rPr>
            <w:sz w:val="28"/>
            <w:szCs w:val="28"/>
          </w:rPr>
          <w:t>5</w:t>
        </w:r>
        <w:r>
          <w:rPr>
            <w:sz w:val="28"/>
            <w:szCs w:val="28"/>
          </w:rPr>
          <w:fldChar w:fldCharType="end"/>
        </w:r>
      </w:hyperlink>
    </w:p>
    <w:p>
      <w:pPr>
        <w:pStyle w:val="TOC2"/>
        <w:tabs>
          <w:tab w:val="right" w:leader="dot" w:pos="8306"/>
        </w:tabs>
        <w:rPr>
          <w:sz w:val="28"/>
          <w:szCs w:val="28"/>
        </w:rPr>
      </w:pPr>
      <w:hyperlink w:anchor="_Toc7932" w:history="1">
        <w:r>
          <w:rPr>
            <w:rFonts w:ascii="楷体" w:eastAsia="楷体" w:hAnsi="楷体" w:cs="楷体" w:hint="eastAsia"/>
            <w:sz w:val="28"/>
            <w:szCs w:val="28"/>
          </w:rPr>
          <w:t>（三）评价对象和时段</w:t>
        </w:r>
        <w:r>
          <w:rPr>
            <w:sz w:val="28"/>
            <w:szCs w:val="28"/>
          </w:rPr>
          <w:tab/>
        </w:r>
        <w:r>
          <w:rPr>
            <w:sz w:val="28"/>
            <w:szCs w:val="28"/>
          </w:rPr>
          <w:fldChar w:fldCharType="begin"/>
        </w:r>
        <w:r>
          <w:rPr>
            <w:sz w:val="28"/>
            <w:szCs w:val="28"/>
          </w:rPr>
          <w:instrText xml:space="preserve"> PAGEREF _Toc7932 </w:instrText>
        </w:r>
        <w:r>
          <w:rPr>
            <w:sz w:val="28"/>
            <w:szCs w:val="28"/>
          </w:rPr>
          <w:fldChar w:fldCharType="separate"/>
        </w:r>
        <w:r>
          <w:rPr>
            <w:sz w:val="28"/>
            <w:szCs w:val="28"/>
          </w:rPr>
          <w:t>5</w:t>
        </w:r>
        <w:r>
          <w:rPr>
            <w:sz w:val="28"/>
            <w:szCs w:val="28"/>
          </w:rPr>
          <w:fldChar w:fldCharType="end"/>
        </w:r>
      </w:hyperlink>
    </w:p>
    <w:p>
      <w:pPr>
        <w:pStyle w:val="TOC1"/>
        <w:tabs>
          <w:tab w:val="right" w:leader="dot" w:pos="8306"/>
        </w:tabs>
        <w:rPr>
          <w:sz w:val="28"/>
          <w:szCs w:val="28"/>
        </w:rPr>
      </w:pPr>
      <w:hyperlink w:anchor="_Toc29608" w:history="1">
        <w:r>
          <w:rPr>
            <w:rFonts w:ascii="黑体" w:eastAsia="黑体" w:hAnsi="黑体" w:cs="黑体" w:hint="eastAsia"/>
            <w:bCs/>
            <w:sz w:val="28"/>
            <w:szCs w:val="28"/>
          </w:rPr>
          <w:t>二、绩效评价工作开展情况</w:t>
        </w:r>
        <w:r>
          <w:rPr>
            <w:sz w:val="28"/>
            <w:szCs w:val="28"/>
          </w:rPr>
          <w:tab/>
        </w:r>
        <w:r>
          <w:rPr>
            <w:sz w:val="28"/>
            <w:szCs w:val="28"/>
          </w:rPr>
          <w:fldChar w:fldCharType="begin"/>
        </w:r>
        <w:r>
          <w:rPr>
            <w:sz w:val="28"/>
            <w:szCs w:val="28"/>
          </w:rPr>
          <w:instrText xml:space="preserve"> PAGEREF _Toc29608 </w:instrText>
        </w:r>
        <w:r>
          <w:rPr>
            <w:sz w:val="28"/>
            <w:szCs w:val="28"/>
          </w:rPr>
          <w:fldChar w:fldCharType="separate"/>
        </w:r>
        <w:r>
          <w:rPr>
            <w:sz w:val="28"/>
            <w:szCs w:val="28"/>
          </w:rPr>
          <w:t>5</w:t>
        </w:r>
        <w:r>
          <w:rPr>
            <w:sz w:val="28"/>
            <w:szCs w:val="28"/>
          </w:rPr>
          <w:fldChar w:fldCharType="end"/>
        </w:r>
      </w:hyperlink>
    </w:p>
    <w:p>
      <w:pPr>
        <w:pStyle w:val="TOC2"/>
        <w:tabs>
          <w:tab w:val="right" w:leader="dot" w:pos="8306"/>
        </w:tabs>
        <w:rPr>
          <w:sz w:val="28"/>
          <w:szCs w:val="28"/>
        </w:rPr>
      </w:pPr>
      <w:hyperlink w:anchor="_Toc28234" w:history="1">
        <w:r>
          <w:rPr>
            <w:rFonts w:ascii="楷体" w:eastAsia="楷体" w:hAnsi="楷体" w:cs="楷体" w:hint="eastAsia"/>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_Toc28234 </w:instrText>
        </w:r>
        <w:r>
          <w:rPr>
            <w:sz w:val="28"/>
            <w:szCs w:val="28"/>
          </w:rPr>
          <w:fldChar w:fldCharType="separate"/>
        </w:r>
        <w:r>
          <w:rPr>
            <w:sz w:val="28"/>
            <w:szCs w:val="28"/>
          </w:rPr>
          <w:t>5</w:t>
        </w:r>
        <w:r>
          <w:rPr>
            <w:sz w:val="28"/>
            <w:szCs w:val="28"/>
          </w:rPr>
          <w:fldChar w:fldCharType="end"/>
        </w:r>
      </w:hyperlink>
    </w:p>
    <w:p>
      <w:pPr>
        <w:pStyle w:val="TOC2"/>
        <w:tabs>
          <w:tab w:val="right" w:leader="dot" w:pos="8306"/>
        </w:tabs>
        <w:rPr>
          <w:sz w:val="28"/>
          <w:szCs w:val="28"/>
        </w:rPr>
      </w:pPr>
      <w:hyperlink w:anchor="_Toc20068" w:history="1">
        <w:r>
          <w:rPr>
            <w:rFonts w:ascii="楷体" w:eastAsia="楷体" w:hAnsi="楷体" w:cs="楷体" w:hint="eastAsia"/>
            <w:kern w:val="0"/>
            <w:sz w:val="28"/>
            <w:szCs w:val="28"/>
          </w:rPr>
          <w:t>（二）绩效评价目的和依据</w:t>
        </w:r>
        <w:r>
          <w:rPr>
            <w:sz w:val="28"/>
            <w:szCs w:val="28"/>
          </w:rPr>
          <w:tab/>
        </w:r>
        <w:r>
          <w:rPr>
            <w:sz w:val="28"/>
            <w:szCs w:val="28"/>
          </w:rPr>
          <w:fldChar w:fldCharType="begin"/>
        </w:r>
        <w:r>
          <w:rPr>
            <w:sz w:val="28"/>
            <w:szCs w:val="28"/>
          </w:rPr>
          <w:instrText xml:space="preserve"> PAGEREF _Toc20068 </w:instrText>
        </w:r>
        <w:r>
          <w:rPr>
            <w:sz w:val="28"/>
            <w:szCs w:val="28"/>
          </w:rPr>
          <w:fldChar w:fldCharType="separate"/>
        </w:r>
        <w:r>
          <w:rPr>
            <w:sz w:val="28"/>
            <w:szCs w:val="28"/>
          </w:rPr>
          <w:t>6</w:t>
        </w:r>
        <w:r>
          <w:rPr>
            <w:sz w:val="28"/>
            <w:szCs w:val="28"/>
          </w:rPr>
          <w:fldChar w:fldCharType="end"/>
        </w:r>
      </w:hyperlink>
    </w:p>
    <w:p>
      <w:pPr>
        <w:pStyle w:val="TOC2"/>
        <w:tabs>
          <w:tab w:val="right" w:leader="dot" w:pos="8306"/>
        </w:tabs>
        <w:rPr>
          <w:sz w:val="28"/>
          <w:szCs w:val="28"/>
        </w:rPr>
      </w:pPr>
      <w:hyperlink w:anchor="_Toc20552" w:history="1">
        <w:r>
          <w:rPr>
            <w:rFonts w:ascii="楷体" w:eastAsia="楷体" w:hAnsi="楷体" w:cs="楷体" w:hint="eastAsia"/>
            <w:sz w:val="28"/>
            <w:szCs w:val="28"/>
          </w:rPr>
          <w:t>（三）绩效评价工作内容和范围</w:t>
        </w:r>
        <w:r>
          <w:rPr>
            <w:sz w:val="28"/>
            <w:szCs w:val="28"/>
          </w:rPr>
          <w:tab/>
        </w:r>
        <w:r>
          <w:rPr>
            <w:sz w:val="28"/>
            <w:szCs w:val="28"/>
          </w:rPr>
          <w:fldChar w:fldCharType="begin"/>
        </w:r>
        <w:r>
          <w:rPr>
            <w:sz w:val="28"/>
            <w:szCs w:val="28"/>
          </w:rPr>
          <w:instrText xml:space="preserve"> PAGEREF _Toc20552 </w:instrText>
        </w:r>
        <w:r>
          <w:rPr>
            <w:sz w:val="28"/>
            <w:szCs w:val="28"/>
          </w:rPr>
          <w:fldChar w:fldCharType="separate"/>
        </w:r>
        <w:r>
          <w:rPr>
            <w:sz w:val="28"/>
            <w:szCs w:val="28"/>
          </w:rPr>
          <w:t>11</w:t>
        </w:r>
        <w:r>
          <w:rPr>
            <w:sz w:val="28"/>
            <w:szCs w:val="28"/>
          </w:rPr>
          <w:fldChar w:fldCharType="end"/>
        </w:r>
      </w:hyperlink>
    </w:p>
    <w:p>
      <w:pPr>
        <w:pStyle w:val="TOC2"/>
        <w:tabs>
          <w:tab w:val="right" w:leader="dot" w:pos="8306"/>
        </w:tabs>
        <w:rPr>
          <w:sz w:val="28"/>
          <w:szCs w:val="28"/>
        </w:rPr>
      </w:pPr>
      <w:hyperlink w:anchor="_Toc28016" w:history="1">
        <w:r>
          <w:rPr>
            <w:rFonts w:ascii="楷体" w:eastAsia="楷体" w:hAnsi="楷体" w:cs="楷体" w:hint="eastAsia"/>
            <w:bCs/>
            <w:sz w:val="28"/>
            <w:szCs w:val="28"/>
          </w:rPr>
          <w:t>（四）绩效评价标准和方法</w:t>
        </w:r>
        <w:r>
          <w:rPr>
            <w:sz w:val="28"/>
            <w:szCs w:val="28"/>
          </w:rPr>
          <w:tab/>
        </w:r>
        <w:r>
          <w:rPr>
            <w:sz w:val="28"/>
            <w:szCs w:val="28"/>
          </w:rPr>
          <w:fldChar w:fldCharType="begin"/>
        </w:r>
        <w:r>
          <w:rPr>
            <w:sz w:val="28"/>
            <w:szCs w:val="28"/>
          </w:rPr>
          <w:instrText xml:space="preserve"> PAGEREF _Toc28016 </w:instrText>
        </w:r>
        <w:r>
          <w:rPr>
            <w:sz w:val="28"/>
            <w:szCs w:val="28"/>
          </w:rPr>
          <w:fldChar w:fldCharType="separate"/>
        </w:r>
        <w:r>
          <w:rPr>
            <w:sz w:val="28"/>
            <w:szCs w:val="28"/>
          </w:rPr>
          <w:t>13</w:t>
        </w:r>
        <w:r>
          <w:rPr>
            <w:sz w:val="28"/>
            <w:szCs w:val="28"/>
          </w:rPr>
          <w:fldChar w:fldCharType="end"/>
        </w:r>
      </w:hyperlink>
    </w:p>
    <w:p>
      <w:pPr>
        <w:pStyle w:val="TOC2"/>
        <w:tabs>
          <w:tab w:val="right" w:leader="dot" w:pos="8306"/>
        </w:tabs>
        <w:rPr>
          <w:sz w:val="28"/>
          <w:szCs w:val="28"/>
        </w:rPr>
      </w:pPr>
      <w:hyperlink w:anchor="_Toc20778" w:history="1">
        <w:r>
          <w:rPr>
            <w:rFonts w:ascii="楷体" w:eastAsia="楷体" w:hAnsi="楷体" w:cs="楷体" w:hint="eastAsia"/>
            <w:bCs/>
            <w:sz w:val="28"/>
            <w:szCs w:val="28"/>
          </w:rPr>
          <w:t>（五）绩效评价工作过程</w:t>
        </w:r>
        <w:r>
          <w:rPr>
            <w:sz w:val="28"/>
            <w:szCs w:val="28"/>
          </w:rPr>
          <w:tab/>
        </w:r>
        <w:r>
          <w:rPr>
            <w:sz w:val="28"/>
            <w:szCs w:val="28"/>
          </w:rPr>
          <w:fldChar w:fldCharType="begin"/>
        </w:r>
        <w:r>
          <w:rPr>
            <w:sz w:val="28"/>
            <w:szCs w:val="28"/>
          </w:rPr>
          <w:instrText xml:space="preserve"> PAGEREF _Toc20778 </w:instrText>
        </w:r>
        <w:r>
          <w:rPr>
            <w:sz w:val="28"/>
            <w:szCs w:val="28"/>
          </w:rPr>
          <w:fldChar w:fldCharType="separate"/>
        </w:r>
        <w:r>
          <w:rPr>
            <w:sz w:val="28"/>
            <w:szCs w:val="28"/>
          </w:rPr>
          <w:t>14</w:t>
        </w:r>
        <w:r>
          <w:rPr>
            <w:sz w:val="28"/>
            <w:szCs w:val="28"/>
          </w:rPr>
          <w:fldChar w:fldCharType="end"/>
        </w:r>
      </w:hyperlink>
    </w:p>
    <w:p>
      <w:pPr>
        <w:pStyle w:val="TOC1"/>
        <w:tabs>
          <w:tab w:val="right" w:leader="dot" w:pos="8306"/>
        </w:tabs>
        <w:rPr>
          <w:sz w:val="28"/>
          <w:szCs w:val="28"/>
        </w:rPr>
      </w:pPr>
      <w:hyperlink w:anchor="_Toc20611" w:history="1">
        <w:r>
          <w:rPr>
            <w:rFonts w:ascii="黑体" w:eastAsia="黑体" w:hAnsi="黑体" w:cs="黑体" w:hint="eastAsia"/>
            <w:sz w:val="28"/>
            <w:szCs w:val="28"/>
          </w:rPr>
          <w:t>三、项目实施及资金使用情况</w:t>
        </w:r>
        <w:r>
          <w:rPr>
            <w:sz w:val="28"/>
            <w:szCs w:val="28"/>
          </w:rPr>
          <w:tab/>
        </w:r>
        <w:r>
          <w:rPr>
            <w:sz w:val="28"/>
            <w:szCs w:val="28"/>
          </w:rPr>
          <w:fldChar w:fldCharType="begin"/>
        </w:r>
        <w:r>
          <w:rPr>
            <w:sz w:val="28"/>
            <w:szCs w:val="28"/>
          </w:rPr>
          <w:instrText xml:space="preserve"> PAGEREF _Toc20611 </w:instrText>
        </w:r>
        <w:r>
          <w:rPr>
            <w:sz w:val="28"/>
            <w:szCs w:val="28"/>
          </w:rPr>
          <w:fldChar w:fldCharType="separate"/>
        </w:r>
        <w:r>
          <w:rPr>
            <w:sz w:val="28"/>
            <w:szCs w:val="28"/>
          </w:rPr>
          <w:t>17</w:t>
        </w:r>
        <w:r>
          <w:rPr>
            <w:sz w:val="28"/>
            <w:szCs w:val="28"/>
          </w:rPr>
          <w:fldChar w:fldCharType="end"/>
        </w:r>
      </w:hyperlink>
    </w:p>
    <w:p>
      <w:pPr>
        <w:pStyle w:val="TOC2"/>
        <w:tabs>
          <w:tab w:val="right" w:leader="dot" w:pos="8306"/>
        </w:tabs>
        <w:rPr>
          <w:sz w:val="28"/>
          <w:szCs w:val="28"/>
        </w:rPr>
      </w:pPr>
      <w:hyperlink w:anchor="_Toc15753" w:history="1">
        <w:r>
          <w:rPr>
            <w:rFonts w:ascii="楷体" w:eastAsia="楷体" w:hAnsi="楷体" w:cs="楷体" w:hint="eastAsia"/>
            <w:bCs/>
            <w:sz w:val="28"/>
            <w:szCs w:val="28"/>
          </w:rPr>
          <w:t>（一）项目实施情况</w:t>
        </w:r>
        <w:r>
          <w:rPr>
            <w:sz w:val="28"/>
            <w:szCs w:val="28"/>
          </w:rPr>
          <w:tab/>
        </w:r>
        <w:r>
          <w:rPr>
            <w:sz w:val="28"/>
            <w:szCs w:val="28"/>
          </w:rPr>
          <w:fldChar w:fldCharType="begin"/>
        </w:r>
        <w:r>
          <w:rPr>
            <w:sz w:val="28"/>
            <w:szCs w:val="28"/>
          </w:rPr>
          <w:instrText xml:space="preserve"> PAGEREF _Toc15753 </w:instrText>
        </w:r>
        <w:r>
          <w:rPr>
            <w:sz w:val="28"/>
            <w:szCs w:val="28"/>
          </w:rPr>
          <w:fldChar w:fldCharType="separate"/>
        </w:r>
        <w:r>
          <w:rPr>
            <w:sz w:val="28"/>
            <w:szCs w:val="28"/>
          </w:rPr>
          <w:t>17</w:t>
        </w:r>
        <w:r>
          <w:rPr>
            <w:sz w:val="28"/>
            <w:szCs w:val="28"/>
          </w:rPr>
          <w:fldChar w:fldCharType="end"/>
        </w:r>
      </w:hyperlink>
    </w:p>
    <w:p>
      <w:pPr>
        <w:pStyle w:val="TOC2"/>
        <w:tabs>
          <w:tab w:val="right" w:leader="dot" w:pos="8306"/>
        </w:tabs>
        <w:rPr>
          <w:sz w:val="28"/>
          <w:szCs w:val="28"/>
        </w:rPr>
      </w:pPr>
      <w:hyperlink w:anchor="_Toc11091" w:history="1">
        <w:r>
          <w:rPr>
            <w:rFonts w:ascii="楷体" w:eastAsia="楷体" w:hAnsi="楷体" w:cs="楷体" w:hint="eastAsia"/>
            <w:bCs/>
            <w:sz w:val="28"/>
            <w:szCs w:val="28"/>
          </w:rPr>
          <w:t>（二）资金使用情况</w:t>
        </w:r>
        <w:r>
          <w:rPr>
            <w:sz w:val="28"/>
            <w:szCs w:val="28"/>
          </w:rPr>
          <w:tab/>
        </w:r>
        <w:r>
          <w:rPr>
            <w:sz w:val="28"/>
            <w:szCs w:val="28"/>
          </w:rPr>
          <w:fldChar w:fldCharType="begin"/>
        </w:r>
        <w:r>
          <w:rPr>
            <w:sz w:val="28"/>
            <w:szCs w:val="28"/>
          </w:rPr>
          <w:instrText xml:space="preserve"> PAGEREF _Toc11091 </w:instrText>
        </w:r>
        <w:r>
          <w:rPr>
            <w:sz w:val="28"/>
            <w:szCs w:val="28"/>
          </w:rPr>
          <w:fldChar w:fldCharType="separate"/>
        </w:r>
        <w:r>
          <w:rPr>
            <w:sz w:val="28"/>
            <w:szCs w:val="28"/>
          </w:rPr>
          <w:t>18</w:t>
        </w:r>
        <w:r>
          <w:rPr>
            <w:sz w:val="28"/>
            <w:szCs w:val="28"/>
          </w:rPr>
          <w:fldChar w:fldCharType="end"/>
        </w:r>
      </w:hyperlink>
    </w:p>
    <w:p>
      <w:pPr>
        <w:pStyle w:val="TOC1"/>
        <w:tabs>
          <w:tab w:val="right" w:leader="dot" w:pos="8306"/>
        </w:tabs>
        <w:rPr>
          <w:rFonts w:ascii="宋体" w:eastAsia="宋体" w:hAnsi="宋体" w:cs="宋体"/>
          <w:bCs/>
          <w:sz w:val="28"/>
          <w:szCs w:val="28"/>
        </w:rPr>
        <w:sectPr>
          <w:footerReference w:type="default" r:id="rId9"/>
          <w:pgSz w:w="11906" w:h="16838"/>
          <w:pgMar w:top="1440" w:right="1800" w:bottom="1440" w:left="1800" w:header="851" w:footer="992" w:gutter="0"/>
          <w:pgNumType w:start="1"/>
          <w:cols w:num="1" w:space="425"/>
          <w:docGrid w:type="lines" w:linePitch="312" w:charSpace="0"/>
        </w:sectPr>
      </w:pPr>
    </w:p>
    <w:p>
      <w:pPr>
        <w:pStyle w:val="TOC1"/>
        <w:tabs>
          <w:tab w:val="right" w:leader="dot" w:pos="8306"/>
        </w:tabs>
        <w:rPr>
          <w:sz w:val="28"/>
          <w:szCs w:val="28"/>
        </w:rPr>
      </w:pPr>
      <w:hyperlink w:anchor="_Toc25872" w:history="1">
        <w:r>
          <w:rPr>
            <w:rFonts w:ascii="黑体" w:eastAsia="黑体" w:hAnsi="黑体" w:cs="黑体" w:hint="eastAsia"/>
            <w:sz w:val="28"/>
            <w:szCs w:val="28"/>
          </w:rPr>
          <w:t>四、绩效评价分析与结论</w:t>
        </w:r>
        <w:r>
          <w:rPr>
            <w:sz w:val="28"/>
            <w:szCs w:val="28"/>
          </w:rPr>
          <w:tab/>
        </w:r>
        <w:r>
          <w:rPr>
            <w:sz w:val="28"/>
            <w:szCs w:val="28"/>
          </w:rPr>
          <w:fldChar w:fldCharType="begin"/>
        </w:r>
        <w:r>
          <w:rPr>
            <w:sz w:val="28"/>
            <w:szCs w:val="28"/>
          </w:rPr>
          <w:instrText xml:space="preserve"> PAGEREF _Toc25872 </w:instrText>
        </w:r>
        <w:r>
          <w:rPr>
            <w:sz w:val="28"/>
            <w:szCs w:val="28"/>
          </w:rPr>
          <w:fldChar w:fldCharType="separate"/>
        </w:r>
        <w:r>
          <w:rPr>
            <w:sz w:val="28"/>
            <w:szCs w:val="28"/>
          </w:rPr>
          <w:t>18</w:t>
        </w:r>
        <w:r>
          <w:rPr>
            <w:sz w:val="28"/>
            <w:szCs w:val="28"/>
          </w:rPr>
          <w:fldChar w:fldCharType="end"/>
        </w:r>
      </w:hyperlink>
    </w:p>
    <w:p>
      <w:pPr>
        <w:pStyle w:val="TOC2"/>
        <w:tabs>
          <w:tab w:val="right" w:leader="dot" w:pos="8306"/>
        </w:tabs>
        <w:rPr>
          <w:sz w:val="28"/>
          <w:szCs w:val="28"/>
        </w:rPr>
      </w:pPr>
      <w:hyperlink w:anchor="_Toc2427" w:history="1">
        <w:r>
          <w:rPr>
            <w:rFonts w:ascii="楷体" w:eastAsia="楷体" w:hAnsi="楷体" w:cs="楷体" w:hint="eastAsia"/>
            <w:kern w:val="0"/>
            <w:sz w:val="28"/>
            <w:szCs w:val="28"/>
          </w:rPr>
          <w:t>（一）绩效评价分析</w:t>
        </w:r>
        <w:r>
          <w:rPr>
            <w:sz w:val="28"/>
            <w:szCs w:val="28"/>
          </w:rPr>
          <w:tab/>
        </w:r>
        <w:r>
          <w:rPr>
            <w:sz w:val="28"/>
            <w:szCs w:val="28"/>
          </w:rPr>
          <w:fldChar w:fldCharType="begin"/>
        </w:r>
        <w:r>
          <w:rPr>
            <w:sz w:val="28"/>
            <w:szCs w:val="28"/>
          </w:rPr>
          <w:instrText xml:space="preserve"> PAGEREF _Toc2427 </w:instrText>
        </w:r>
        <w:r>
          <w:rPr>
            <w:sz w:val="28"/>
            <w:szCs w:val="28"/>
          </w:rPr>
          <w:fldChar w:fldCharType="separate"/>
        </w:r>
        <w:r>
          <w:rPr>
            <w:sz w:val="28"/>
            <w:szCs w:val="28"/>
          </w:rPr>
          <w:t>18</w:t>
        </w:r>
        <w:r>
          <w:rPr>
            <w:sz w:val="28"/>
            <w:szCs w:val="28"/>
          </w:rPr>
          <w:fldChar w:fldCharType="end"/>
        </w:r>
      </w:hyperlink>
    </w:p>
    <w:p>
      <w:pPr>
        <w:pStyle w:val="TOC2"/>
        <w:tabs>
          <w:tab w:val="right" w:leader="dot" w:pos="8306"/>
        </w:tabs>
        <w:rPr>
          <w:sz w:val="28"/>
          <w:szCs w:val="28"/>
        </w:rPr>
      </w:pPr>
      <w:hyperlink w:anchor="_Toc22148" w:history="1">
        <w:r>
          <w:rPr>
            <w:rFonts w:ascii="楷体" w:eastAsia="楷体" w:hAnsi="楷体" w:cs="楷体" w:hint="eastAsia"/>
            <w:kern w:val="0"/>
            <w:sz w:val="28"/>
            <w:szCs w:val="28"/>
          </w:rPr>
          <w:t>（二）绩效评价结论</w:t>
        </w:r>
        <w:r>
          <w:rPr>
            <w:sz w:val="28"/>
            <w:szCs w:val="28"/>
          </w:rPr>
          <w:tab/>
        </w:r>
        <w:r>
          <w:rPr>
            <w:sz w:val="28"/>
            <w:szCs w:val="28"/>
          </w:rPr>
          <w:fldChar w:fldCharType="begin"/>
        </w:r>
        <w:r>
          <w:rPr>
            <w:sz w:val="28"/>
            <w:szCs w:val="28"/>
          </w:rPr>
          <w:instrText xml:space="preserve"> PAGEREF _Toc22148 </w:instrText>
        </w:r>
        <w:r>
          <w:rPr>
            <w:sz w:val="28"/>
            <w:szCs w:val="28"/>
          </w:rPr>
          <w:fldChar w:fldCharType="separate"/>
        </w:r>
        <w:r>
          <w:rPr>
            <w:sz w:val="28"/>
            <w:szCs w:val="28"/>
          </w:rPr>
          <w:t>22</w:t>
        </w:r>
        <w:r>
          <w:rPr>
            <w:sz w:val="28"/>
            <w:szCs w:val="28"/>
          </w:rPr>
          <w:fldChar w:fldCharType="end"/>
        </w:r>
      </w:hyperlink>
    </w:p>
    <w:p>
      <w:pPr>
        <w:pStyle w:val="TOC1"/>
        <w:tabs>
          <w:tab w:val="right" w:leader="dot" w:pos="8306"/>
        </w:tabs>
        <w:rPr>
          <w:sz w:val="28"/>
          <w:szCs w:val="28"/>
        </w:rPr>
      </w:pPr>
      <w:hyperlink w:anchor="_Toc29435" w:history="1">
        <w:r>
          <w:rPr>
            <w:rFonts w:ascii="黑体" w:eastAsia="黑体" w:hAnsi="黑体" w:cs="黑体" w:hint="eastAsia"/>
            <w:bCs/>
            <w:kern w:val="0"/>
            <w:sz w:val="28"/>
            <w:szCs w:val="28"/>
          </w:rPr>
          <w:t>五、意见及建议</w:t>
        </w:r>
        <w:r>
          <w:rPr>
            <w:sz w:val="28"/>
            <w:szCs w:val="28"/>
          </w:rPr>
          <w:tab/>
        </w:r>
        <w:r>
          <w:rPr>
            <w:sz w:val="28"/>
            <w:szCs w:val="28"/>
          </w:rPr>
          <w:fldChar w:fldCharType="begin"/>
        </w:r>
        <w:r>
          <w:rPr>
            <w:sz w:val="28"/>
            <w:szCs w:val="28"/>
          </w:rPr>
          <w:instrText xml:space="preserve"> PAGEREF _Toc29435 </w:instrText>
        </w:r>
        <w:r>
          <w:rPr>
            <w:sz w:val="28"/>
            <w:szCs w:val="28"/>
          </w:rPr>
          <w:fldChar w:fldCharType="separate"/>
        </w:r>
        <w:r>
          <w:rPr>
            <w:sz w:val="28"/>
            <w:szCs w:val="28"/>
          </w:rPr>
          <w:t>23</w:t>
        </w:r>
        <w:r>
          <w:rPr>
            <w:sz w:val="28"/>
            <w:szCs w:val="28"/>
          </w:rPr>
          <w:fldChar w:fldCharType="end"/>
        </w:r>
      </w:hyperlink>
    </w:p>
    <w:p>
      <w:pPr>
        <w:pStyle w:val="TOC2"/>
        <w:tabs>
          <w:tab w:val="right" w:leader="dot" w:pos="8306"/>
        </w:tabs>
        <w:rPr>
          <w:sz w:val="28"/>
          <w:szCs w:val="28"/>
        </w:rPr>
      </w:pPr>
      <w:hyperlink w:anchor="_Toc15246" w:history="1">
        <w:r>
          <w:rPr>
            <w:rFonts w:ascii="楷体" w:eastAsia="楷体" w:hAnsi="楷体" w:cs="楷体" w:hint="eastAsia"/>
            <w:bCs/>
            <w:sz w:val="28"/>
            <w:szCs w:val="28"/>
          </w:rPr>
          <w:t>（一）强化绩效理念，深入推进评价工作</w:t>
        </w:r>
        <w:r>
          <w:rPr>
            <w:sz w:val="28"/>
            <w:szCs w:val="28"/>
          </w:rPr>
          <w:tab/>
        </w:r>
        <w:r>
          <w:rPr>
            <w:sz w:val="28"/>
            <w:szCs w:val="28"/>
          </w:rPr>
          <w:fldChar w:fldCharType="begin"/>
        </w:r>
        <w:r>
          <w:rPr>
            <w:sz w:val="28"/>
            <w:szCs w:val="28"/>
          </w:rPr>
          <w:instrText xml:space="preserve"> PAGEREF _Toc15246 </w:instrText>
        </w:r>
        <w:r>
          <w:rPr>
            <w:sz w:val="28"/>
            <w:szCs w:val="28"/>
          </w:rPr>
          <w:fldChar w:fldCharType="separate"/>
        </w:r>
        <w:r>
          <w:rPr>
            <w:sz w:val="28"/>
            <w:szCs w:val="28"/>
          </w:rPr>
          <w:t>23</w:t>
        </w:r>
        <w:r>
          <w:rPr>
            <w:sz w:val="28"/>
            <w:szCs w:val="28"/>
          </w:rPr>
          <w:fldChar w:fldCharType="end"/>
        </w:r>
      </w:hyperlink>
    </w:p>
    <w:p>
      <w:pPr>
        <w:pStyle w:val="TOC2"/>
        <w:tabs>
          <w:tab w:val="right" w:leader="dot" w:pos="8306"/>
        </w:tabs>
        <w:rPr>
          <w:sz w:val="28"/>
          <w:szCs w:val="28"/>
        </w:rPr>
      </w:pPr>
      <w:hyperlink w:anchor="_Toc19932" w:history="1">
        <w:r>
          <w:rPr>
            <w:rFonts w:ascii="楷体" w:eastAsia="楷体" w:hAnsi="楷体" w:cs="楷体" w:hint="eastAsia"/>
            <w:bCs/>
            <w:sz w:val="28"/>
            <w:szCs w:val="28"/>
          </w:rPr>
          <w:t>（二）强化事前准备，切实提升评价质量</w:t>
        </w:r>
        <w:r>
          <w:rPr>
            <w:sz w:val="28"/>
            <w:szCs w:val="28"/>
          </w:rPr>
          <w:tab/>
        </w:r>
        <w:r>
          <w:rPr>
            <w:sz w:val="28"/>
            <w:szCs w:val="28"/>
          </w:rPr>
          <w:fldChar w:fldCharType="begin"/>
        </w:r>
        <w:r>
          <w:rPr>
            <w:sz w:val="28"/>
            <w:szCs w:val="28"/>
          </w:rPr>
          <w:instrText xml:space="preserve"> PAGEREF _Toc19932 </w:instrText>
        </w:r>
        <w:r>
          <w:rPr>
            <w:sz w:val="28"/>
            <w:szCs w:val="28"/>
          </w:rPr>
          <w:fldChar w:fldCharType="separate"/>
        </w:r>
        <w:r>
          <w:rPr>
            <w:sz w:val="28"/>
            <w:szCs w:val="28"/>
          </w:rPr>
          <w:t>23</w:t>
        </w:r>
        <w:r>
          <w:rPr>
            <w:sz w:val="28"/>
            <w:szCs w:val="28"/>
          </w:rPr>
          <w:fldChar w:fldCharType="end"/>
        </w:r>
      </w:hyperlink>
    </w:p>
    <w:p>
      <w:pPr>
        <w:pStyle w:val="TOC2"/>
        <w:tabs>
          <w:tab w:val="right" w:leader="dot" w:pos="8306"/>
        </w:tabs>
        <w:rPr>
          <w:sz w:val="28"/>
          <w:szCs w:val="28"/>
        </w:rPr>
      </w:pPr>
      <w:hyperlink w:anchor="_Toc16658" w:history="1">
        <w:r>
          <w:rPr>
            <w:rFonts w:ascii="楷体" w:eastAsia="楷体" w:hAnsi="楷体" w:cs="楷体" w:hint="eastAsia"/>
            <w:bCs/>
            <w:sz w:val="28"/>
            <w:szCs w:val="28"/>
          </w:rPr>
          <w:t>（三）强化结果应用，不断巩固评价成效</w:t>
        </w:r>
        <w:r>
          <w:rPr>
            <w:sz w:val="28"/>
            <w:szCs w:val="28"/>
          </w:rPr>
          <w:tab/>
        </w:r>
        <w:r>
          <w:rPr>
            <w:sz w:val="28"/>
            <w:szCs w:val="28"/>
          </w:rPr>
          <w:fldChar w:fldCharType="begin"/>
        </w:r>
        <w:r>
          <w:rPr>
            <w:sz w:val="28"/>
            <w:szCs w:val="28"/>
          </w:rPr>
          <w:instrText xml:space="preserve"> PAGEREF _Toc16658 </w:instrText>
        </w:r>
        <w:r>
          <w:rPr>
            <w:sz w:val="28"/>
            <w:szCs w:val="28"/>
          </w:rPr>
          <w:fldChar w:fldCharType="separate"/>
        </w:r>
        <w:r>
          <w:rPr>
            <w:sz w:val="28"/>
            <w:szCs w:val="28"/>
          </w:rPr>
          <w:t>24</w:t>
        </w:r>
        <w:r>
          <w:rPr>
            <w:sz w:val="28"/>
            <w:szCs w:val="28"/>
          </w:rPr>
          <w:fldChar w:fldCharType="end"/>
        </w:r>
      </w:hyperlink>
    </w:p>
    <w:p>
      <w:pPr>
        <w:pStyle w:val="TOC1"/>
        <w:tabs>
          <w:tab w:val="right" w:leader="dot" w:pos="8306"/>
        </w:tabs>
        <w:rPr>
          <w:sz w:val="28"/>
          <w:szCs w:val="28"/>
        </w:rPr>
      </w:pPr>
      <w:hyperlink w:anchor="_Toc24195" w:history="1">
        <w:r>
          <w:rPr>
            <w:rFonts w:ascii="黑体" w:eastAsia="黑体" w:hAnsi="黑体" w:cs="黑体" w:hint="eastAsia"/>
            <w:bCs/>
            <w:kern w:val="0"/>
            <w:sz w:val="28"/>
            <w:szCs w:val="28"/>
          </w:rPr>
          <w:t>六、附件</w:t>
        </w:r>
        <w:r>
          <w:rPr>
            <w:sz w:val="28"/>
            <w:szCs w:val="28"/>
          </w:rPr>
          <w:tab/>
        </w:r>
        <w:r>
          <w:rPr>
            <w:sz w:val="28"/>
            <w:szCs w:val="28"/>
          </w:rPr>
          <w:fldChar w:fldCharType="begin"/>
        </w:r>
        <w:r>
          <w:rPr>
            <w:sz w:val="28"/>
            <w:szCs w:val="28"/>
          </w:rPr>
          <w:instrText xml:space="preserve"> PAGEREF _Toc24195 </w:instrText>
        </w:r>
        <w:r>
          <w:rPr>
            <w:sz w:val="28"/>
            <w:szCs w:val="28"/>
          </w:rPr>
          <w:fldChar w:fldCharType="separate"/>
        </w:r>
        <w:r>
          <w:rPr>
            <w:sz w:val="28"/>
            <w:szCs w:val="28"/>
          </w:rPr>
          <w:t>24</w:t>
        </w:r>
        <w:r>
          <w:rPr>
            <w:sz w:val="28"/>
            <w:szCs w:val="28"/>
          </w:rPr>
          <w:fldChar w:fldCharType="end"/>
        </w:r>
      </w:hyperlink>
    </w:p>
    <w:p>
      <w:pPr>
        <w:pStyle w:val="TOC2"/>
        <w:tabs>
          <w:tab w:val="right" w:leader="dot" w:pos="8306"/>
        </w:tabs>
        <w:rPr>
          <w:sz w:val="28"/>
          <w:szCs w:val="28"/>
        </w:rPr>
      </w:pPr>
      <w:hyperlink w:anchor="_Toc164" w:history="1">
        <w:r>
          <w:rPr>
            <w:rFonts w:ascii="楷体" w:eastAsia="楷体" w:hAnsi="楷体" w:cs="楷体" w:hint="eastAsia"/>
            <w:sz w:val="28"/>
            <w:szCs w:val="28"/>
          </w:rPr>
          <w:t>绩效评价指标体系得分表</w:t>
        </w:r>
        <w:r>
          <w:rPr>
            <w:sz w:val="28"/>
            <w:szCs w:val="28"/>
          </w:rPr>
          <w:tab/>
        </w:r>
        <w:r>
          <w:rPr>
            <w:sz w:val="28"/>
            <w:szCs w:val="28"/>
          </w:rPr>
          <w:fldChar w:fldCharType="begin"/>
        </w:r>
        <w:r>
          <w:rPr>
            <w:sz w:val="28"/>
            <w:szCs w:val="28"/>
          </w:rPr>
          <w:instrText xml:space="preserve"> PAGEREF _Toc164 </w:instrText>
        </w:r>
        <w:r>
          <w:rPr>
            <w:sz w:val="28"/>
            <w:szCs w:val="28"/>
          </w:rPr>
          <w:fldChar w:fldCharType="separate"/>
        </w:r>
        <w:r>
          <w:rPr>
            <w:sz w:val="28"/>
            <w:szCs w:val="28"/>
          </w:rPr>
          <w:t>24</w:t>
        </w:r>
        <w:r>
          <w:rPr>
            <w:sz w:val="28"/>
            <w:szCs w:val="28"/>
          </w:rPr>
          <w:fldChar w:fldCharType="end"/>
        </w:r>
      </w:hyperlink>
    </w:p>
    <w:p>
      <w:pPr>
        <w:rPr>
          <w:rFonts w:ascii="宋体" w:eastAsia="宋体" w:hAnsi="宋体" w:cs="宋体"/>
          <w:b/>
          <w:bCs/>
          <w:sz w:val="32"/>
          <w:szCs w:val="32"/>
        </w:rPr>
      </w:pPr>
      <w:r>
        <w:rPr>
          <w:rFonts w:ascii="宋体" w:eastAsia="宋体" w:hAnsi="宋体" w:cs="宋体" w:hint="eastAsia"/>
          <w:bCs/>
          <w:szCs w:val="28"/>
        </w:rPr>
        <w:fldChar w:fldCharType="end"/>
      </w: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pPr>
    </w:p>
    <w:p>
      <w:pPr>
        <w:rPr>
          <w:rFonts w:ascii="宋体" w:eastAsia="宋体" w:hAnsi="宋体" w:cs="宋体"/>
          <w:b/>
          <w:bCs/>
          <w:sz w:val="32"/>
          <w:szCs w:val="32"/>
        </w:rPr>
        <w:sectPr>
          <w:footerReference w:type="default" r:id="rId10"/>
          <w:pgSz w:w="11906" w:h="16838"/>
          <w:pgMar w:top="1440" w:right="1800" w:bottom="1440" w:left="1800" w:header="851" w:footer="992" w:gutter="0"/>
          <w:pgNumType w:start="1"/>
          <w:cols w:num="1" w:space="425"/>
          <w:docGrid w:type="lines" w:linePitch="312" w:charSpace="0"/>
        </w:sectPr>
      </w:pPr>
    </w:p>
    <w:p>
      <w:pPr>
        <w:rPr>
          <w:rFonts w:ascii="宋体" w:eastAsia="宋体" w:hAnsi="宋体" w:cs="宋体"/>
          <w:b/>
          <w:bCs/>
          <w:sz w:val="32"/>
          <w:szCs w:val="32"/>
        </w:rPr>
      </w:pPr>
    </w:p>
    <w:p>
      <w:pPr>
        <w:jc w:val="center"/>
        <w:outlineLvl w:val="0"/>
        <w:rPr>
          <w:rFonts w:ascii="宋体" w:eastAsia="宋体" w:hAnsi="宋体" w:cs="宋体"/>
          <w:b/>
          <w:bCs/>
          <w:sz w:val="36"/>
          <w:szCs w:val="36"/>
        </w:rPr>
      </w:pPr>
      <w:bookmarkStart w:id="0" w:name="_Toc13259"/>
      <w:bookmarkStart w:id="1" w:name="_Toc29565"/>
      <w:bookmarkStart w:id="2" w:name="_Toc7123"/>
      <w:bookmarkStart w:id="3" w:name="_Toc32502"/>
      <w:bookmarkStart w:id="4" w:name="_Toc25062"/>
      <w:r>
        <w:rPr>
          <w:rFonts w:ascii="宋体" w:eastAsia="宋体" w:hAnsi="宋体" w:cs="宋体" w:hint="eastAsia"/>
          <w:b/>
          <w:bCs/>
          <w:sz w:val="36"/>
          <w:szCs w:val="36"/>
        </w:rPr>
        <w:t>围场县</w:t>
      </w:r>
      <w:bookmarkEnd w:id="0"/>
      <w:bookmarkEnd w:id="1"/>
      <w:r>
        <w:rPr>
          <w:rFonts w:ascii="宋体" w:eastAsia="宋体" w:hAnsi="宋体" w:cs="宋体" w:hint="eastAsia"/>
          <w:b/>
          <w:bCs/>
          <w:sz w:val="36"/>
          <w:szCs w:val="36"/>
        </w:rPr>
        <w:t>东山市民休闲公园建设项目</w:t>
      </w:r>
    </w:p>
    <w:p>
      <w:pPr>
        <w:jc w:val="center"/>
        <w:outlineLvl w:val="0"/>
        <w:rPr>
          <w:rFonts w:ascii="宋体" w:eastAsia="宋体" w:hAnsi="宋体" w:cs="宋体"/>
          <w:b/>
          <w:bCs/>
          <w:sz w:val="36"/>
          <w:szCs w:val="36"/>
        </w:rPr>
      </w:pPr>
      <w:bookmarkStart w:id="5" w:name="_Toc3241"/>
      <w:bookmarkStart w:id="6" w:name="_Toc26503"/>
      <w:r>
        <w:rPr>
          <w:rFonts w:ascii="宋体" w:eastAsia="宋体" w:hAnsi="宋体" w:cs="宋体" w:hint="eastAsia"/>
          <w:b/>
          <w:bCs/>
          <w:sz w:val="36"/>
          <w:szCs w:val="36"/>
        </w:rPr>
        <w:t>一般债券资金绩效评价报告</w:t>
      </w:r>
      <w:bookmarkEnd w:id="2"/>
      <w:bookmarkEnd w:id="3"/>
      <w:bookmarkEnd w:id="4"/>
      <w:bookmarkEnd w:id="5"/>
      <w:bookmarkEnd w:id="6"/>
    </w:p>
    <w:p>
      <w:pPr>
        <w:spacing w:line="600" w:lineRule="exact"/>
        <w:ind w:right="-32" w:rightChars="-15"/>
        <w:rPr>
          <w:rFonts w:ascii="宋体" w:eastAsia="宋体" w:hAnsi="宋体" w:cs="宋体"/>
          <w:sz w:val="28"/>
          <w:szCs w:val="28"/>
        </w:rPr>
      </w:pPr>
      <w:r>
        <w:rPr>
          <w:rFonts w:ascii="宋体" w:eastAsia="宋体" w:hAnsi="宋体" w:cs="宋体" w:hint="eastAsia"/>
          <w:sz w:val="28"/>
          <w:szCs w:val="28"/>
        </w:rPr>
        <w:t>围场满族蒙古族自治县财政局</w:t>
      </w:r>
      <w:r>
        <w:rPr>
          <w:rFonts w:ascii="宋体" w:eastAsia="宋体" w:hAnsi="宋体" w:cs="宋体" w:hint="eastAsia"/>
          <w:color w:val="000000" w:themeColor="text1"/>
          <w:sz w:val="28"/>
          <w:szCs w:val="28"/>
          <w14:textFill>
            <w14:solidFill>
              <w14:schemeClr w14:val="tx1"/>
            </w14:solidFill>
          </w14:textFill>
        </w:rPr>
        <w:t>：</w:t>
      </w:r>
    </w:p>
    <w:p>
      <w:pPr>
        <w:ind w:firstLine="560" w:firstLineChars="200"/>
        <w:rPr>
          <w:rFonts w:ascii="宋体" w:eastAsia="宋体" w:hAnsi="宋体" w:cs="宋体"/>
          <w:sz w:val="28"/>
          <w:szCs w:val="28"/>
        </w:rPr>
      </w:pPr>
      <w:r>
        <w:rPr>
          <w:rFonts w:ascii="宋体" w:eastAsia="宋体" w:hAnsi="宋体" w:cs="宋体" w:hint="eastAsia"/>
          <w:color w:val="222222"/>
          <w:sz w:val="28"/>
          <w:szCs w:val="28"/>
          <w:shd w:val="clear" w:color="auto" w:fill="FFFFFF"/>
        </w:rPr>
        <w:t>根据《围场满族蒙古族自治县财政局内部财政资金拨付程序》，参照《</w:t>
      </w:r>
      <w:r>
        <w:rPr>
          <w:rFonts w:ascii="宋体" w:eastAsia="宋体" w:hAnsi="宋体" w:cs="宋体" w:hint="eastAsia"/>
          <w:sz w:val="28"/>
          <w:szCs w:val="28"/>
        </w:rPr>
        <w:t>地方政府一般债券预算管理办法》和财政部《项目支出绩效评价管理办法》（财预〔2020〕10号）等文件规定，承德燕山会计师事务所有限责任公司接受围场满族蒙古族自治县财政局委托，成立了绩效评价小组，对围场县东山市民休闲公园项目新增一般债券资金部分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w:t>
      </w:r>
      <w:r>
        <w:rPr>
          <w:rFonts w:ascii="宋体" w:eastAsia="宋体" w:hAnsi="宋体" w:cs="宋体" w:hint="eastAsia"/>
          <w:sz w:val="28"/>
          <w:szCs w:val="28"/>
          <w:lang w:eastAsia="zh-CN"/>
        </w:rPr>
        <w:t>券</w:t>
      </w:r>
      <w:r>
        <w:rPr>
          <w:rFonts w:ascii="宋体" w:eastAsia="宋体" w:hAnsi="宋体" w:cs="宋体" w:hint="eastAsia"/>
          <w:sz w:val="28"/>
          <w:szCs w:val="28"/>
        </w:rPr>
        <w:t>资金项目的投入情况，我们将从项目的投入指标、管理指标、产出指标和效益指标四个方面进行全面综合的绩效考评工作。现将有关情况报告如下：</w:t>
      </w:r>
    </w:p>
    <w:p>
      <w:pPr>
        <w:spacing w:line="600" w:lineRule="exact"/>
        <w:ind w:firstLine="640" w:firstLineChars="200"/>
        <w:outlineLvl w:val="0"/>
        <w:rPr>
          <w:rFonts w:ascii="黑体" w:eastAsia="黑体" w:hAnsi="黑体" w:cs="黑体"/>
          <w:b/>
          <w:sz w:val="32"/>
          <w:szCs w:val="32"/>
        </w:rPr>
      </w:pPr>
      <w:bookmarkStart w:id="7" w:name="_Toc8932"/>
      <w:bookmarkStart w:id="8" w:name="_Toc27945"/>
      <w:r>
        <w:rPr>
          <w:rFonts w:ascii="黑体" w:eastAsia="黑体" w:hAnsi="黑体" w:cs="黑体" w:hint="eastAsia"/>
          <w:b/>
          <w:sz w:val="32"/>
          <w:szCs w:val="32"/>
        </w:rPr>
        <w:t>一、项目基本情况</w:t>
      </w:r>
      <w:bookmarkEnd w:id="7"/>
      <w:bookmarkEnd w:id="8"/>
    </w:p>
    <w:p>
      <w:pPr>
        <w:spacing w:line="600" w:lineRule="exact"/>
        <w:ind w:firstLine="640" w:firstLineChars="200"/>
        <w:outlineLvl w:val="1"/>
        <w:rPr>
          <w:rFonts w:ascii="楷体" w:eastAsia="楷体" w:hAnsi="楷体" w:cs="楷体"/>
          <w:b/>
          <w:sz w:val="32"/>
          <w:szCs w:val="32"/>
        </w:rPr>
      </w:pPr>
      <w:bookmarkStart w:id="9" w:name="_Toc1188"/>
      <w:bookmarkStart w:id="10" w:name="_Toc3023"/>
      <w:r>
        <w:rPr>
          <w:rFonts w:ascii="楷体" w:eastAsia="楷体" w:hAnsi="楷体" w:cs="楷体" w:hint="eastAsia"/>
          <w:b/>
          <w:sz w:val="32"/>
          <w:szCs w:val="32"/>
        </w:rPr>
        <w:t>（一）项目概况</w:t>
      </w:r>
      <w:bookmarkEnd w:id="9"/>
      <w:bookmarkEnd w:id="10"/>
    </w:p>
    <w:p>
      <w:pPr>
        <w:spacing w:line="600" w:lineRule="exact"/>
        <w:ind w:right="-32" w:firstLine="560" w:rightChars="-15" w:firstLineChars="200"/>
        <w:rPr>
          <w:rFonts w:ascii="宋体" w:eastAsia="宋体" w:hAnsi="宋体" w:cs="宋体"/>
          <w:sz w:val="28"/>
          <w:szCs w:val="28"/>
        </w:rPr>
      </w:pPr>
      <w:r>
        <w:rPr>
          <w:rFonts w:ascii="宋体" w:eastAsia="宋体" w:hAnsi="宋体" w:cs="宋体" w:hint="eastAsia"/>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spacing w:line="600" w:lineRule="exact"/>
        <w:ind w:right="-32" w:firstLine="560" w:rightChars="-15" w:firstLineChars="200"/>
        <w:rPr>
          <w:rFonts w:ascii="宋体" w:eastAsia="宋体" w:hAnsi="宋体" w:cs="宋体"/>
          <w:sz w:val="28"/>
          <w:szCs w:val="28"/>
        </w:rPr>
      </w:pPr>
      <w:r>
        <w:rPr>
          <w:rFonts w:ascii="宋体" w:eastAsia="宋体" w:hAnsi="宋体" w:cs="宋体" w:hint="eastAsia"/>
          <w:sz w:val="28"/>
          <w:szCs w:val="28"/>
        </w:rPr>
        <w:t>结合围场县政府2019年重点建设项目安排情况，围场县对2019年新增一般债券资金使用情况进行调整，经县政府同意，将新增一般债券使用项目重新进行安排。根据《中华人民共和国</w:t>
      </w:r>
      <w:bookmarkStart w:id="11" w:name="_GoBack"/>
      <w:bookmarkEnd w:id="11"/>
      <w:r>
        <w:rPr>
          <w:rFonts w:ascii="宋体" w:eastAsia="宋体" w:hAnsi="宋体" w:cs="宋体" w:hint="eastAsia"/>
          <w:sz w:val="28"/>
          <w:szCs w:val="28"/>
        </w:rPr>
        <w:t>预算法》和</w:t>
      </w:r>
      <w:r>
        <w:rPr>
          <w:rFonts w:ascii="宋体" w:eastAsia="宋体" w:hAnsi="宋体" w:cs="宋体"/>
          <w:sz w:val="28"/>
          <w:szCs w:val="28"/>
        </w:rPr>
        <w:t>《国务院关于加强地方政府性债务管理的意见》</w:t>
      </w:r>
      <w:r>
        <w:rPr>
          <w:rFonts w:ascii="宋体" w:eastAsia="宋体" w:hAnsi="宋体" w:cs="宋体" w:hint="eastAsia"/>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eastAsia="宋体" w:hAnsi="宋体" w:cs="宋体"/>
          <w:sz w:val="28"/>
          <w:szCs w:val="28"/>
          <w:highlight w:val="yellow"/>
        </w:rPr>
      </w:pPr>
      <w:r>
        <w:rPr>
          <w:rFonts w:ascii="宋体" w:eastAsia="宋体" w:hAnsi="宋体" w:cs="宋体" w:hint="eastAsia"/>
          <w:sz w:val="28"/>
          <w:szCs w:val="28"/>
        </w:rPr>
        <w:t>其中本次投入围场县东山市民休闲公园项目的债券资金共计471万元。</w:t>
      </w:r>
    </w:p>
    <w:p>
      <w:pPr>
        <w:ind w:firstLine="560" w:firstLineChars="200"/>
        <w:rPr>
          <w:rFonts w:ascii="宋体" w:eastAsia="宋体" w:hAnsi="宋体" w:cs="宋体"/>
          <w:sz w:val="28"/>
          <w:szCs w:val="28"/>
        </w:rPr>
      </w:pPr>
      <w:r>
        <w:rPr>
          <w:rFonts w:ascii="宋体" w:eastAsia="宋体" w:hAnsi="宋体" w:cs="宋体" w:hint="eastAsia"/>
          <w:sz w:val="28"/>
          <w:szCs w:val="28"/>
        </w:rPr>
        <w:t>1.项目名称</w:t>
      </w:r>
    </w:p>
    <w:p>
      <w:pPr>
        <w:ind w:firstLine="560" w:firstLineChars="200"/>
        <w:rPr>
          <w:rFonts w:ascii="宋体" w:eastAsia="宋体" w:hAnsi="宋体" w:cs="宋体"/>
          <w:sz w:val="28"/>
          <w:szCs w:val="28"/>
        </w:rPr>
      </w:pPr>
      <w:r>
        <w:rPr>
          <w:rFonts w:ascii="宋体" w:eastAsia="宋体" w:hAnsi="宋体" w:cs="宋体" w:hint="eastAsia"/>
          <w:sz w:val="28"/>
          <w:szCs w:val="28"/>
        </w:rPr>
        <w:t>围场县东山市民休闲公园项目</w:t>
      </w:r>
    </w:p>
    <w:p>
      <w:pPr>
        <w:ind w:firstLine="560" w:firstLineChars="200"/>
        <w:rPr>
          <w:rFonts w:ascii="宋体" w:eastAsia="宋体" w:hAnsi="宋体" w:cs="宋体"/>
          <w:sz w:val="28"/>
          <w:szCs w:val="28"/>
        </w:rPr>
      </w:pPr>
      <w:r>
        <w:rPr>
          <w:rFonts w:ascii="宋体" w:eastAsia="宋体" w:hAnsi="宋体" w:cs="宋体" w:hint="eastAsia"/>
          <w:sz w:val="28"/>
          <w:szCs w:val="28"/>
        </w:rPr>
        <w:t>2.建设地点</w:t>
      </w:r>
    </w:p>
    <w:p>
      <w:pPr>
        <w:ind w:firstLine="560" w:firstLineChars="200"/>
        <w:rPr>
          <w:rFonts w:ascii="宋体" w:eastAsia="宋体" w:hAnsi="宋体" w:cs="宋体"/>
          <w:sz w:val="28"/>
          <w:szCs w:val="28"/>
        </w:rPr>
      </w:pPr>
      <w:r>
        <w:rPr>
          <w:rFonts w:ascii="宋体" w:eastAsia="宋体" w:hAnsi="宋体" w:cs="宋体" w:hint="eastAsia"/>
          <w:sz w:val="28"/>
          <w:szCs w:val="28"/>
        </w:rPr>
        <w:t>围场满族蒙古族自治县城区</w:t>
      </w:r>
    </w:p>
    <w:p>
      <w:pPr>
        <w:ind w:firstLine="560" w:firstLineChars="200"/>
        <w:rPr>
          <w:rFonts w:ascii="宋体" w:eastAsia="宋体" w:hAnsi="宋体" w:cs="宋体"/>
          <w:sz w:val="28"/>
          <w:szCs w:val="28"/>
        </w:rPr>
      </w:pPr>
      <w:r>
        <w:rPr>
          <w:rFonts w:ascii="宋体" w:eastAsia="宋体" w:hAnsi="宋体" w:cs="宋体" w:hint="eastAsia"/>
          <w:sz w:val="28"/>
          <w:szCs w:val="28"/>
        </w:rPr>
        <w:t>3.建设单位</w:t>
      </w:r>
    </w:p>
    <w:p>
      <w:pPr>
        <w:ind w:firstLine="560" w:firstLineChars="200"/>
        <w:rPr>
          <w:rFonts w:ascii="宋体" w:eastAsia="宋体" w:hAnsi="宋体" w:cs="宋体"/>
          <w:sz w:val="28"/>
          <w:szCs w:val="28"/>
        </w:rPr>
      </w:pPr>
      <w:r>
        <w:rPr>
          <w:rFonts w:ascii="宋体" w:eastAsia="宋体" w:hAnsi="宋体" w:cs="宋体" w:hint="eastAsia"/>
          <w:sz w:val="28"/>
          <w:szCs w:val="28"/>
        </w:rPr>
        <w:t>围场满族蒙古族自治县住房和城乡规划建设局</w:t>
      </w:r>
    </w:p>
    <w:p>
      <w:pPr>
        <w:ind w:firstLine="560" w:firstLineChars="200"/>
        <w:rPr>
          <w:rFonts w:ascii="宋体" w:eastAsia="宋体" w:hAnsi="宋体" w:cs="宋体"/>
          <w:sz w:val="28"/>
          <w:szCs w:val="28"/>
        </w:rPr>
      </w:pPr>
      <w:r>
        <w:rPr>
          <w:rFonts w:ascii="宋体" w:eastAsia="宋体" w:hAnsi="宋体" w:cs="宋体" w:hint="eastAsia"/>
          <w:sz w:val="28"/>
          <w:szCs w:val="28"/>
        </w:rPr>
        <w:t>4.项目背景</w:t>
      </w:r>
    </w:p>
    <w:p>
      <w:pPr>
        <w:pStyle w:val="BodyText"/>
        <w:ind w:left="0" w:firstLine="560" w:firstLineChars="200"/>
        <w:rPr>
          <w:rFonts w:ascii="宋体" w:eastAsia="宋体" w:hAnsi="宋体" w:cs="宋体"/>
        </w:rPr>
      </w:pPr>
      <w:r>
        <w:rPr>
          <w:rFonts w:ascii="宋体" w:eastAsia="宋体" w:hAnsi="宋体" w:cs="宋体" w:hint="eastAsia"/>
        </w:rPr>
        <w:t>当今时代，竞争力已经成为一座城市乃至一个国家发展的决定性因素。生态环境是影响竞争力的主要因素之一。而城市绿化又是生态环境的重要内容。因此，包括道路、绿化、景观及室外休闲健身场所在内的环境建设也成为衡量一个地区综合实力的重要指标，决定着一个地区的经济发展后劲和发展活力。</w:t>
      </w:r>
    </w:p>
    <w:p>
      <w:pPr>
        <w:pStyle w:val="BodyText"/>
        <w:ind w:left="0" w:firstLine="560" w:firstLineChars="200"/>
        <w:rPr>
          <w:rFonts w:ascii="宋体" w:eastAsia="宋体" w:hAnsi="宋体" w:cs="宋体"/>
        </w:rPr>
      </w:pPr>
      <w:r>
        <w:rPr>
          <w:rFonts w:ascii="宋体" w:eastAsia="宋体" w:hAnsi="宋体" w:cs="宋体" w:hint="eastAsia"/>
        </w:rPr>
        <w:t>围场满族蒙古族自治县隶属于河北省承德市，以“皇家、生态、民俗”为特色，被誉为“水的源头、云的故乡、花的世界、林的海洋、北方动植物的王国、摄影艺术家的天堂”。</w:t>
      </w:r>
    </w:p>
    <w:p>
      <w:pPr>
        <w:ind w:firstLine="560" w:firstLineChars="200"/>
        <w:rPr>
          <w:rFonts w:ascii="宋体" w:eastAsia="宋体" w:hAnsi="宋体" w:cs="宋体"/>
          <w:sz w:val="28"/>
          <w:szCs w:val="28"/>
        </w:rPr>
      </w:pPr>
      <w:r>
        <w:rPr>
          <w:rFonts w:ascii="宋体" w:eastAsia="宋体" w:hAnsi="宋体" w:cs="宋体" w:hint="eastAsia"/>
          <w:sz w:val="28"/>
          <w:szCs w:val="28"/>
        </w:rPr>
        <w:t>为了进一步提高城市绿化水平，促进城市经济、社会和环境的协调发展，根据围场满族蒙古族自治县城市绿化现状及城市人口数量和增长速度，提高人均绿地率，特提出了东山市民休闲公园建设项目。</w:t>
      </w:r>
    </w:p>
    <w:p>
      <w:pPr>
        <w:ind w:firstLine="560" w:firstLineChars="200"/>
        <w:rPr>
          <w:rFonts w:ascii="宋体" w:eastAsia="宋体" w:hAnsi="宋体" w:cs="宋体"/>
          <w:sz w:val="28"/>
          <w:szCs w:val="28"/>
        </w:rPr>
      </w:pPr>
      <w:r>
        <w:rPr>
          <w:rFonts w:ascii="宋体" w:eastAsia="宋体" w:hAnsi="宋体" w:cs="宋体" w:hint="eastAsia"/>
          <w:sz w:val="28"/>
          <w:szCs w:val="28"/>
        </w:rPr>
        <w:t>5.项目建设必要性</w:t>
      </w:r>
    </w:p>
    <w:p>
      <w:pPr>
        <w:pStyle w:val="BodyText"/>
        <w:ind w:left="0" w:firstLine="560" w:firstLineChars="200"/>
        <w:rPr>
          <w:rFonts w:ascii="宋体" w:eastAsia="宋体" w:hAnsi="宋体" w:cs="宋体"/>
        </w:rPr>
      </w:pPr>
      <w:r>
        <w:rPr>
          <w:rFonts w:ascii="宋体" w:eastAsia="宋体" w:hAnsi="宋体" w:cs="宋体" w:hint="eastAsia"/>
        </w:rPr>
        <w:t>通过大力发展城市绿化工作，能够提高城市的品位和档次，树立良好的城市形象，增强城市的凝聚力和吸引力，聚集人才、聚集资金、聚集技术、聚集有利于发展的要素，提升城市综合竞争力，极大地推动改革开放和经济建设。</w:t>
      </w:r>
    </w:p>
    <w:p>
      <w:pPr>
        <w:pStyle w:val="BodyText"/>
        <w:ind w:left="0" w:firstLine="560" w:firstLineChars="200"/>
        <w:rPr>
          <w:rFonts w:ascii="宋体" w:eastAsia="宋体" w:hAnsi="宋体" w:cs="宋体"/>
        </w:rPr>
      </w:pPr>
      <w:r>
        <w:rPr>
          <w:rFonts w:ascii="宋体" w:eastAsia="宋体" w:hAnsi="宋体" w:cs="宋体" w:hint="eastAsia"/>
        </w:rPr>
        <w:t>城市绿化是衡量一个城市现代化和文明程度的重要标志。注意生态保护、资源综合利用、人与自然和谐，不仅要有现代化的物质基础，还要有与之相配套的生态文明。加强城市绿化建设，努力为广大人民群众创造一个优美、舒适、宜居、方便的生活居住环境，是推进城市现代化和文明的重要指标。</w:t>
      </w:r>
    </w:p>
    <w:p>
      <w:pPr>
        <w:ind w:firstLine="560" w:firstLineChars="200"/>
        <w:rPr>
          <w:rFonts w:ascii="宋体" w:eastAsia="宋体" w:hAnsi="宋体" w:cs="宋体"/>
          <w:sz w:val="28"/>
          <w:szCs w:val="28"/>
        </w:rPr>
      </w:pPr>
      <w:r>
        <w:rPr>
          <w:rFonts w:ascii="宋体" w:eastAsia="宋体" w:hAnsi="宋体" w:cs="宋体" w:hint="eastAsia"/>
          <w:sz w:val="28"/>
          <w:szCs w:val="28"/>
        </w:rPr>
        <w:t>市民休闲公园的建设，不仅是满足人民生活水平不断提高的需要，也是落实十八大提出的</w:t>
      </w:r>
      <w:r>
        <w:rPr>
          <w:rFonts w:ascii="宋体" w:eastAsia="宋体" w:hAnsi="宋体" w:cs="宋体" w:hint="eastAsia"/>
          <w:sz w:val="28"/>
          <w:szCs w:val="28"/>
        </w:rPr>
        <w:t>全面建成小康社会</w:t>
      </w:r>
      <w:r>
        <w:rPr>
          <w:rFonts w:ascii="宋体" w:eastAsia="宋体" w:hAnsi="宋体" w:cs="宋体" w:hint="eastAsia"/>
          <w:sz w:val="28"/>
          <w:szCs w:val="28"/>
        </w:rPr>
        <w:t>宏伟目标的重要措施。通过东山市民休闲公园，着力打造城市特色，提升城市品位，构建社会主义和谐社会。</w:t>
      </w:r>
    </w:p>
    <w:p>
      <w:pPr>
        <w:ind w:firstLine="560" w:firstLineChars="200"/>
        <w:rPr>
          <w:rFonts w:ascii="宋体" w:eastAsia="宋体" w:hAnsi="宋体" w:cs="宋体"/>
          <w:sz w:val="28"/>
          <w:szCs w:val="28"/>
        </w:rPr>
      </w:pPr>
      <w:r>
        <w:rPr>
          <w:rFonts w:ascii="宋体" w:eastAsia="宋体" w:hAnsi="宋体" w:cs="宋体" w:hint="eastAsia"/>
          <w:sz w:val="28"/>
          <w:szCs w:val="28"/>
        </w:rPr>
        <w:t>6.工程概况</w:t>
      </w:r>
    </w:p>
    <w:p>
      <w:pPr>
        <w:pStyle w:val="BodyText"/>
        <w:ind w:left="0" w:firstLine="560" w:firstLineChars="200"/>
        <w:rPr>
          <w:rFonts w:ascii="仿宋" w:eastAsia="仿宋" w:hAnsi="仿宋" w:cs="仿宋"/>
          <w:sz w:val="32"/>
          <w:szCs w:val="32"/>
        </w:rPr>
      </w:pPr>
      <w:r>
        <w:rPr>
          <w:rFonts w:ascii="宋体" w:eastAsia="宋体" w:hAnsi="宋体" w:cs="宋体" w:hint="eastAsia"/>
        </w:rPr>
        <w:t>东山市民休闲公园占地面积15.2公顷，主要建设内容为：水体工程建设面积3281平方米；绿化工程建设面积124268.6平方米，栽种不同种类的乔、灌木树种及人工草坪铺设；景观亭建设面积159.5平方米；廊架工程建设面积190.1平方米；运动场地建设面积3350平方米；道路7800平方米；安装路灯180套；其他配套建筑面积2015.8平方米；其他场地建设面积11000平方米。</w:t>
      </w:r>
    </w:p>
    <w:p>
      <w:pPr>
        <w:pStyle w:val="BodyText"/>
        <w:ind w:left="0"/>
        <w:jc w:val="center"/>
        <w:rPr>
          <w:rFonts w:ascii="仿宋" w:eastAsia="仿宋" w:hAnsi="仿宋" w:cs="仿宋"/>
          <w:b/>
          <w:bCs/>
        </w:rPr>
      </w:pPr>
      <w:r>
        <w:rPr>
          <w:rFonts w:ascii="仿宋" w:eastAsia="仿宋" w:hAnsi="仿宋" w:cs="仿宋" w:hint="eastAsia"/>
          <w:b/>
          <w:bCs/>
        </w:rPr>
        <w:t>工程量一览表</w:t>
      </w:r>
    </w:p>
    <w:tbl>
      <w:tblPr>
        <w:tblStyle w:val="TableNormal"/>
        <w:tblW w:w="8018" w:type="dxa"/>
        <w:jc w:val="center"/>
        <w:tblLayout w:type="fixed"/>
        <w:tblCellMar>
          <w:top w:w="0" w:type="dxa"/>
          <w:left w:w="108" w:type="dxa"/>
          <w:bottom w:w="0" w:type="dxa"/>
          <w:right w:w="108" w:type="dxa"/>
        </w:tblCellMar>
      </w:tblPr>
      <w:tblGrid>
        <w:gridCol w:w="1520"/>
        <w:gridCol w:w="2862"/>
        <w:gridCol w:w="1818"/>
        <w:gridCol w:w="1818"/>
      </w:tblGrid>
      <w:tr>
        <w:tblPrEx>
          <w:tblW w:w="8018" w:type="dxa"/>
          <w:jc w:val="center"/>
          <w:tblLayout w:type="fixed"/>
          <w:tblCellMar>
            <w:top w:w="0" w:type="dxa"/>
            <w:left w:w="108" w:type="dxa"/>
            <w:bottom w:w="0" w:type="dxa"/>
            <w:right w:w="108" w:type="dxa"/>
          </w:tblCellMar>
        </w:tblPrEx>
        <w:trPr>
          <w:trHeight w:val="560"/>
          <w:tblHeader/>
          <w:jc w:val="center"/>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2862"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rPr>
            </w:pPr>
            <w:r>
              <w:rPr>
                <w:rFonts w:ascii="宋体" w:hAnsi="宋体" w:cs="宋体" w:hint="eastAsia"/>
                <w:color w:val="000000"/>
                <w:kern w:val="0"/>
                <w:sz w:val="24"/>
              </w:rPr>
              <w:t>分项工程名称</w:t>
            </w:r>
          </w:p>
        </w:tc>
        <w:tc>
          <w:tcPr>
            <w:tcW w:w="1818"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rPr>
            </w:pPr>
            <w:r>
              <w:rPr>
                <w:rFonts w:ascii="宋体" w:hAnsi="宋体" w:cs="宋体" w:hint="eastAsia"/>
                <w:color w:val="000000"/>
                <w:kern w:val="0"/>
                <w:sz w:val="24"/>
              </w:rPr>
              <w:t>单位</w:t>
            </w:r>
          </w:p>
        </w:tc>
        <w:tc>
          <w:tcPr>
            <w:tcW w:w="1818"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宋体" w:hAnsi="宋体" w:cs="宋体"/>
                <w:color w:val="000000"/>
                <w:kern w:val="0"/>
                <w:sz w:val="24"/>
              </w:rPr>
            </w:pPr>
            <w:r>
              <w:rPr>
                <w:rFonts w:ascii="宋体" w:hAnsi="宋体" w:cs="宋体" w:hint="eastAsia"/>
                <w:color w:val="000000"/>
                <w:kern w:val="0"/>
                <w:sz w:val="24"/>
              </w:rPr>
              <w:t>数量</w:t>
            </w:r>
          </w:p>
        </w:tc>
      </w:tr>
      <w:tr>
        <w:tblPrEx>
          <w:tblW w:w="8018" w:type="dxa"/>
          <w:jc w:val="center"/>
          <w:tblLayout w:type="fixed"/>
          <w:tblCellMar>
            <w:top w:w="0" w:type="dxa"/>
            <w:left w:w="108" w:type="dxa"/>
            <w:bottom w:w="0" w:type="dxa"/>
            <w:right w:w="108" w:type="dxa"/>
          </w:tblCellMar>
        </w:tblPrEx>
        <w:trPr>
          <w:trHeight w:val="560"/>
          <w:jc w:val="center"/>
        </w:trPr>
        <w:tc>
          <w:tcPr>
            <w:tcW w:w="152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2862" w:type="dxa"/>
            <w:tcBorders>
              <w:top w:val="nil"/>
              <w:left w:val="nil"/>
              <w:bottom w:val="single" w:sz="4" w:space="0" w:color="auto"/>
              <w:right w:val="single" w:sz="4" w:space="0" w:color="auto"/>
            </w:tcBorders>
            <w:shd w:val="clear" w:color="auto" w:fill="auto"/>
            <w:noWrap/>
            <w:vAlign w:val="center"/>
          </w:tcPr>
          <w:p>
            <w:pPr>
              <w:rPr>
                <w:rFonts w:ascii="宋体" w:hAnsi="宋体" w:cs="宋体"/>
                <w:color w:val="000000"/>
                <w:sz w:val="24"/>
              </w:rPr>
            </w:pPr>
            <w:r>
              <w:rPr>
                <w:rFonts w:hint="eastAsia"/>
                <w:color w:val="000000"/>
                <w:sz w:val="24"/>
              </w:rPr>
              <w:t>水体工程</w:t>
            </w:r>
          </w:p>
        </w:tc>
        <w:tc>
          <w:tcPr>
            <w:tcW w:w="1818" w:type="dxa"/>
            <w:tcBorders>
              <w:top w:val="nil"/>
              <w:left w:val="nil"/>
              <w:bottom w:val="single" w:sz="4" w:space="0" w:color="auto"/>
              <w:right w:val="single" w:sz="4" w:space="0" w:color="auto"/>
            </w:tcBorders>
            <w:shd w:val="clear" w:color="auto" w:fill="auto"/>
            <w:noWrap/>
            <w:vAlign w:val="center"/>
          </w:tcPr>
          <w:p>
            <w:pPr>
              <w:jc w:val="center"/>
              <w:rPr>
                <w:rFonts w:ascii="宋体" w:hAnsi="宋体" w:cs="宋体"/>
                <w:color w:val="000000"/>
                <w:sz w:val="24"/>
              </w:rPr>
            </w:pPr>
            <w:r>
              <w:rPr>
                <w:rFonts w:hint="eastAsia"/>
                <w:color w:val="000000"/>
                <w:sz w:val="24"/>
              </w:rPr>
              <w:t>㎡</w:t>
            </w:r>
          </w:p>
        </w:tc>
        <w:tc>
          <w:tcPr>
            <w:tcW w:w="1818" w:type="dxa"/>
            <w:tcBorders>
              <w:top w:val="nil"/>
              <w:left w:val="nil"/>
              <w:bottom w:val="single" w:sz="4" w:space="0" w:color="auto"/>
              <w:right w:val="single" w:sz="4" w:space="0" w:color="auto"/>
            </w:tcBorders>
            <w:shd w:val="clear" w:color="auto" w:fill="auto"/>
            <w:noWrap/>
            <w:vAlign w:val="center"/>
          </w:tcPr>
          <w:p>
            <w:pPr>
              <w:jc w:val="right"/>
              <w:rPr>
                <w:rFonts w:ascii="宋体" w:hAnsi="宋体" w:cs="宋体"/>
                <w:color w:val="000000"/>
                <w:sz w:val="24"/>
              </w:rPr>
            </w:pPr>
            <w:r>
              <w:rPr>
                <w:rFonts w:hint="eastAsia"/>
                <w:color w:val="000000"/>
                <w:sz w:val="24"/>
              </w:rPr>
              <w:t>3281</w:t>
            </w:r>
          </w:p>
        </w:tc>
      </w:tr>
      <w:tr>
        <w:tblPrEx>
          <w:tblW w:w="8018" w:type="dxa"/>
          <w:jc w:val="center"/>
          <w:tblLayout w:type="fixed"/>
          <w:tblCellMar>
            <w:top w:w="0" w:type="dxa"/>
            <w:left w:w="108" w:type="dxa"/>
            <w:bottom w:w="0" w:type="dxa"/>
            <w:right w:w="108" w:type="dxa"/>
          </w:tblCellMar>
        </w:tblPrEx>
        <w:trPr>
          <w:trHeight w:val="560"/>
          <w:jc w:val="center"/>
        </w:trPr>
        <w:tc>
          <w:tcPr>
            <w:tcW w:w="152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2862" w:type="dxa"/>
            <w:tcBorders>
              <w:top w:val="nil"/>
              <w:left w:val="nil"/>
              <w:bottom w:val="single" w:sz="4" w:space="0" w:color="auto"/>
              <w:right w:val="single" w:sz="4" w:space="0" w:color="auto"/>
            </w:tcBorders>
            <w:shd w:val="clear" w:color="auto" w:fill="auto"/>
            <w:noWrap/>
            <w:vAlign w:val="center"/>
          </w:tcPr>
          <w:p>
            <w:pPr>
              <w:rPr>
                <w:rFonts w:ascii="宋体" w:hAnsi="宋体" w:cs="宋体"/>
                <w:color w:val="000000"/>
                <w:sz w:val="24"/>
              </w:rPr>
            </w:pPr>
            <w:r>
              <w:rPr>
                <w:rFonts w:hint="eastAsia"/>
                <w:color w:val="000000"/>
                <w:sz w:val="24"/>
              </w:rPr>
              <w:t>绿化工程</w:t>
            </w:r>
          </w:p>
        </w:tc>
        <w:tc>
          <w:tcPr>
            <w:tcW w:w="1818" w:type="dxa"/>
            <w:tcBorders>
              <w:top w:val="nil"/>
              <w:left w:val="nil"/>
              <w:bottom w:val="single" w:sz="4" w:space="0" w:color="auto"/>
              <w:right w:val="single" w:sz="4" w:space="0" w:color="auto"/>
            </w:tcBorders>
            <w:shd w:val="clear" w:color="auto" w:fill="auto"/>
            <w:noWrap/>
            <w:vAlign w:val="center"/>
          </w:tcPr>
          <w:p>
            <w:pPr>
              <w:jc w:val="center"/>
              <w:rPr>
                <w:rFonts w:ascii="宋体" w:hAnsi="宋体" w:cs="宋体"/>
                <w:color w:val="000000"/>
                <w:sz w:val="24"/>
              </w:rPr>
            </w:pPr>
            <w:r>
              <w:rPr>
                <w:rFonts w:hint="eastAsia"/>
                <w:color w:val="000000"/>
                <w:sz w:val="24"/>
              </w:rPr>
              <w:t>㎡</w:t>
            </w:r>
          </w:p>
        </w:tc>
        <w:tc>
          <w:tcPr>
            <w:tcW w:w="1818" w:type="dxa"/>
            <w:tcBorders>
              <w:top w:val="nil"/>
              <w:left w:val="nil"/>
              <w:bottom w:val="single" w:sz="4" w:space="0" w:color="auto"/>
              <w:right w:val="single" w:sz="4" w:space="0" w:color="auto"/>
            </w:tcBorders>
            <w:shd w:val="clear" w:color="auto" w:fill="auto"/>
            <w:noWrap/>
            <w:vAlign w:val="center"/>
          </w:tcPr>
          <w:p>
            <w:pPr>
              <w:jc w:val="right"/>
              <w:rPr>
                <w:rFonts w:ascii="宋体" w:hAnsi="宋体" w:cs="宋体"/>
                <w:color w:val="000000"/>
                <w:sz w:val="24"/>
              </w:rPr>
            </w:pPr>
            <w:r>
              <w:rPr>
                <w:rFonts w:hint="eastAsia"/>
                <w:color w:val="000000"/>
                <w:sz w:val="24"/>
              </w:rPr>
              <w:t>124268.6</w:t>
            </w:r>
          </w:p>
        </w:tc>
      </w:tr>
      <w:tr>
        <w:tblPrEx>
          <w:tblW w:w="8018" w:type="dxa"/>
          <w:jc w:val="center"/>
          <w:tblLayout w:type="fixed"/>
          <w:tblCellMar>
            <w:top w:w="0" w:type="dxa"/>
            <w:left w:w="108" w:type="dxa"/>
            <w:bottom w:w="0" w:type="dxa"/>
            <w:right w:w="108" w:type="dxa"/>
          </w:tblCellMar>
        </w:tblPrEx>
        <w:trPr>
          <w:trHeight w:val="560"/>
          <w:jc w:val="center"/>
        </w:trPr>
        <w:tc>
          <w:tcPr>
            <w:tcW w:w="152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2862" w:type="dxa"/>
            <w:tcBorders>
              <w:top w:val="nil"/>
              <w:left w:val="nil"/>
              <w:bottom w:val="single" w:sz="4" w:space="0" w:color="auto"/>
              <w:right w:val="single" w:sz="4" w:space="0" w:color="auto"/>
            </w:tcBorders>
            <w:shd w:val="clear" w:color="auto" w:fill="auto"/>
            <w:noWrap/>
            <w:vAlign w:val="center"/>
          </w:tcPr>
          <w:p>
            <w:pPr>
              <w:rPr>
                <w:rFonts w:ascii="宋体" w:hAnsi="宋体" w:cs="宋体"/>
                <w:color w:val="000000"/>
                <w:sz w:val="24"/>
              </w:rPr>
            </w:pPr>
            <w:r>
              <w:rPr>
                <w:rFonts w:hint="eastAsia"/>
                <w:color w:val="000000"/>
                <w:sz w:val="24"/>
              </w:rPr>
              <w:t>景观亭</w:t>
            </w:r>
          </w:p>
        </w:tc>
        <w:tc>
          <w:tcPr>
            <w:tcW w:w="1818" w:type="dxa"/>
            <w:tcBorders>
              <w:top w:val="nil"/>
              <w:left w:val="nil"/>
              <w:bottom w:val="single" w:sz="4" w:space="0" w:color="auto"/>
              <w:right w:val="single" w:sz="4" w:space="0" w:color="auto"/>
            </w:tcBorders>
            <w:shd w:val="clear" w:color="auto" w:fill="auto"/>
            <w:vAlign w:val="center"/>
          </w:tcPr>
          <w:p>
            <w:pPr>
              <w:jc w:val="center"/>
              <w:rPr>
                <w:rFonts w:ascii="宋体" w:hAnsi="宋体" w:cs="宋体"/>
                <w:color w:val="000000"/>
                <w:sz w:val="24"/>
              </w:rPr>
            </w:pPr>
            <w:r>
              <w:rPr>
                <w:rFonts w:hint="eastAsia"/>
                <w:color w:val="000000"/>
                <w:sz w:val="24"/>
              </w:rPr>
              <w:t>㎡</w:t>
            </w:r>
          </w:p>
        </w:tc>
        <w:tc>
          <w:tcPr>
            <w:tcW w:w="1818" w:type="dxa"/>
            <w:tcBorders>
              <w:top w:val="nil"/>
              <w:left w:val="nil"/>
              <w:bottom w:val="single" w:sz="4" w:space="0" w:color="auto"/>
              <w:right w:val="single" w:sz="4" w:space="0" w:color="auto"/>
            </w:tcBorders>
            <w:shd w:val="clear" w:color="auto" w:fill="auto"/>
            <w:noWrap/>
            <w:vAlign w:val="center"/>
          </w:tcPr>
          <w:p>
            <w:pPr>
              <w:jc w:val="right"/>
              <w:rPr>
                <w:rFonts w:ascii="宋体" w:hAnsi="宋体" w:cs="宋体"/>
                <w:color w:val="000000"/>
                <w:sz w:val="24"/>
              </w:rPr>
            </w:pPr>
            <w:r>
              <w:rPr>
                <w:rFonts w:hint="eastAsia"/>
                <w:color w:val="000000"/>
                <w:sz w:val="24"/>
              </w:rPr>
              <w:t>159.5</w:t>
            </w:r>
          </w:p>
        </w:tc>
      </w:tr>
      <w:tr>
        <w:tblPrEx>
          <w:tblW w:w="8018" w:type="dxa"/>
          <w:jc w:val="center"/>
          <w:tblLayout w:type="fixed"/>
          <w:tblCellMar>
            <w:top w:w="0" w:type="dxa"/>
            <w:left w:w="108" w:type="dxa"/>
            <w:bottom w:w="0" w:type="dxa"/>
            <w:right w:w="108" w:type="dxa"/>
          </w:tblCellMar>
        </w:tblPrEx>
        <w:trPr>
          <w:trHeight w:val="560"/>
          <w:jc w:val="center"/>
        </w:trPr>
        <w:tc>
          <w:tcPr>
            <w:tcW w:w="152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2862" w:type="dxa"/>
            <w:tcBorders>
              <w:top w:val="nil"/>
              <w:left w:val="nil"/>
              <w:bottom w:val="single" w:sz="4" w:space="0" w:color="auto"/>
              <w:right w:val="single" w:sz="4" w:space="0" w:color="auto"/>
            </w:tcBorders>
            <w:shd w:val="clear" w:color="auto" w:fill="auto"/>
            <w:noWrap/>
            <w:vAlign w:val="center"/>
          </w:tcPr>
          <w:p>
            <w:pPr>
              <w:rPr>
                <w:rFonts w:ascii="宋体" w:hAnsi="宋体" w:cs="宋体"/>
                <w:color w:val="000000"/>
                <w:sz w:val="24"/>
              </w:rPr>
            </w:pPr>
            <w:r>
              <w:rPr>
                <w:rFonts w:hint="eastAsia"/>
                <w:color w:val="000000"/>
                <w:sz w:val="24"/>
              </w:rPr>
              <w:t>廊架</w:t>
            </w:r>
          </w:p>
        </w:tc>
        <w:tc>
          <w:tcPr>
            <w:tcW w:w="1818" w:type="dxa"/>
            <w:tcBorders>
              <w:top w:val="nil"/>
              <w:left w:val="nil"/>
              <w:bottom w:val="single" w:sz="4" w:space="0" w:color="auto"/>
              <w:right w:val="single" w:sz="4" w:space="0" w:color="auto"/>
            </w:tcBorders>
            <w:shd w:val="clear" w:color="auto" w:fill="auto"/>
            <w:vAlign w:val="center"/>
          </w:tcPr>
          <w:p>
            <w:pPr>
              <w:jc w:val="center"/>
              <w:rPr>
                <w:rFonts w:ascii="宋体" w:hAnsi="宋体" w:cs="宋体"/>
                <w:color w:val="000000"/>
                <w:sz w:val="24"/>
              </w:rPr>
            </w:pPr>
            <w:r>
              <w:rPr>
                <w:rFonts w:hint="eastAsia"/>
                <w:color w:val="000000"/>
                <w:sz w:val="24"/>
              </w:rPr>
              <w:t>㎡</w:t>
            </w:r>
          </w:p>
        </w:tc>
        <w:tc>
          <w:tcPr>
            <w:tcW w:w="1818" w:type="dxa"/>
            <w:tcBorders>
              <w:top w:val="nil"/>
              <w:left w:val="nil"/>
              <w:bottom w:val="single" w:sz="4" w:space="0" w:color="auto"/>
              <w:right w:val="single" w:sz="4" w:space="0" w:color="auto"/>
            </w:tcBorders>
            <w:shd w:val="clear" w:color="auto" w:fill="auto"/>
            <w:noWrap/>
            <w:vAlign w:val="center"/>
          </w:tcPr>
          <w:p>
            <w:pPr>
              <w:jc w:val="right"/>
              <w:rPr>
                <w:rFonts w:ascii="宋体" w:hAnsi="宋体" w:cs="宋体"/>
                <w:color w:val="000000"/>
                <w:sz w:val="24"/>
              </w:rPr>
            </w:pPr>
            <w:r>
              <w:rPr>
                <w:rFonts w:hint="eastAsia"/>
                <w:color w:val="000000"/>
                <w:sz w:val="24"/>
              </w:rPr>
              <w:t>190.1</w:t>
            </w:r>
          </w:p>
        </w:tc>
      </w:tr>
      <w:tr>
        <w:tblPrEx>
          <w:tblW w:w="8018" w:type="dxa"/>
          <w:jc w:val="center"/>
          <w:tblLayout w:type="fixed"/>
          <w:tblCellMar>
            <w:top w:w="0" w:type="dxa"/>
            <w:left w:w="108" w:type="dxa"/>
            <w:bottom w:w="0" w:type="dxa"/>
            <w:right w:w="108" w:type="dxa"/>
          </w:tblCellMar>
        </w:tblPrEx>
        <w:trPr>
          <w:trHeight w:val="560"/>
          <w:jc w:val="center"/>
        </w:trPr>
        <w:tc>
          <w:tcPr>
            <w:tcW w:w="152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2862" w:type="dxa"/>
            <w:tcBorders>
              <w:top w:val="nil"/>
              <w:left w:val="nil"/>
              <w:bottom w:val="single" w:sz="4" w:space="0" w:color="auto"/>
              <w:right w:val="single" w:sz="4" w:space="0" w:color="auto"/>
            </w:tcBorders>
            <w:shd w:val="clear" w:color="auto" w:fill="auto"/>
            <w:noWrap/>
            <w:vAlign w:val="center"/>
          </w:tcPr>
          <w:p>
            <w:pPr>
              <w:rPr>
                <w:rFonts w:ascii="宋体" w:hAnsi="宋体" w:cs="宋体"/>
                <w:color w:val="000000"/>
                <w:sz w:val="24"/>
              </w:rPr>
            </w:pPr>
            <w:r>
              <w:rPr>
                <w:rFonts w:hint="eastAsia"/>
                <w:color w:val="000000"/>
                <w:sz w:val="24"/>
              </w:rPr>
              <w:t>其他建筑</w:t>
            </w:r>
          </w:p>
        </w:tc>
        <w:tc>
          <w:tcPr>
            <w:tcW w:w="1818" w:type="dxa"/>
            <w:tcBorders>
              <w:top w:val="nil"/>
              <w:left w:val="nil"/>
              <w:bottom w:val="single" w:sz="4" w:space="0" w:color="auto"/>
              <w:right w:val="single" w:sz="4" w:space="0" w:color="auto"/>
            </w:tcBorders>
            <w:shd w:val="clear" w:color="auto" w:fill="auto"/>
            <w:vAlign w:val="center"/>
          </w:tcPr>
          <w:p>
            <w:pPr>
              <w:jc w:val="center"/>
              <w:rPr>
                <w:rFonts w:ascii="宋体" w:hAnsi="宋体" w:cs="宋体"/>
                <w:color w:val="000000"/>
                <w:sz w:val="24"/>
              </w:rPr>
            </w:pPr>
            <w:r>
              <w:rPr>
                <w:rFonts w:hint="eastAsia"/>
                <w:color w:val="000000"/>
                <w:sz w:val="24"/>
              </w:rPr>
              <w:t>㎡</w:t>
            </w:r>
          </w:p>
        </w:tc>
        <w:tc>
          <w:tcPr>
            <w:tcW w:w="1818" w:type="dxa"/>
            <w:tcBorders>
              <w:top w:val="nil"/>
              <w:left w:val="nil"/>
              <w:bottom w:val="single" w:sz="4" w:space="0" w:color="auto"/>
              <w:right w:val="single" w:sz="4" w:space="0" w:color="auto"/>
            </w:tcBorders>
            <w:shd w:val="clear" w:color="auto" w:fill="auto"/>
            <w:noWrap/>
            <w:vAlign w:val="center"/>
          </w:tcPr>
          <w:p>
            <w:pPr>
              <w:jc w:val="right"/>
              <w:rPr>
                <w:rFonts w:ascii="宋体" w:hAnsi="宋体" w:cs="宋体"/>
                <w:color w:val="000000"/>
                <w:sz w:val="24"/>
              </w:rPr>
            </w:pPr>
            <w:r>
              <w:rPr>
                <w:rFonts w:hint="eastAsia"/>
                <w:color w:val="000000"/>
                <w:sz w:val="24"/>
              </w:rPr>
              <w:t>2015.8</w:t>
            </w:r>
          </w:p>
        </w:tc>
      </w:tr>
      <w:tr>
        <w:tblPrEx>
          <w:tblW w:w="8018" w:type="dxa"/>
          <w:jc w:val="center"/>
          <w:tblLayout w:type="fixed"/>
          <w:tblCellMar>
            <w:top w:w="0" w:type="dxa"/>
            <w:left w:w="108" w:type="dxa"/>
            <w:bottom w:w="0" w:type="dxa"/>
            <w:right w:w="108" w:type="dxa"/>
          </w:tblCellMar>
        </w:tblPrEx>
        <w:trPr>
          <w:trHeight w:val="560"/>
          <w:jc w:val="center"/>
        </w:trPr>
        <w:tc>
          <w:tcPr>
            <w:tcW w:w="152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2862" w:type="dxa"/>
            <w:tcBorders>
              <w:top w:val="nil"/>
              <w:left w:val="nil"/>
              <w:bottom w:val="single" w:sz="4" w:space="0" w:color="auto"/>
              <w:right w:val="single" w:sz="4" w:space="0" w:color="auto"/>
            </w:tcBorders>
            <w:shd w:val="clear" w:color="auto" w:fill="auto"/>
            <w:noWrap/>
            <w:vAlign w:val="center"/>
          </w:tcPr>
          <w:p>
            <w:pPr>
              <w:rPr>
                <w:rFonts w:ascii="宋体" w:hAnsi="宋体" w:cs="宋体"/>
                <w:color w:val="000000"/>
                <w:sz w:val="24"/>
              </w:rPr>
            </w:pPr>
            <w:r>
              <w:rPr>
                <w:rFonts w:hint="eastAsia"/>
                <w:color w:val="000000"/>
                <w:sz w:val="24"/>
              </w:rPr>
              <w:t>运动场地</w:t>
            </w:r>
          </w:p>
        </w:tc>
        <w:tc>
          <w:tcPr>
            <w:tcW w:w="1818" w:type="dxa"/>
            <w:tcBorders>
              <w:top w:val="nil"/>
              <w:left w:val="nil"/>
              <w:bottom w:val="single" w:sz="4" w:space="0" w:color="auto"/>
              <w:right w:val="single" w:sz="4" w:space="0" w:color="auto"/>
            </w:tcBorders>
            <w:shd w:val="clear" w:color="auto" w:fill="auto"/>
            <w:vAlign w:val="center"/>
          </w:tcPr>
          <w:p>
            <w:pPr>
              <w:jc w:val="center"/>
              <w:rPr>
                <w:rFonts w:ascii="宋体" w:hAnsi="宋体" w:cs="宋体"/>
                <w:color w:val="000000"/>
                <w:sz w:val="24"/>
              </w:rPr>
            </w:pPr>
            <w:r>
              <w:rPr>
                <w:rFonts w:hint="eastAsia"/>
                <w:color w:val="000000"/>
                <w:sz w:val="24"/>
              </w:rPr>
              <w:t>㎡</w:t>
            </w:r>
          </w:p>
        </w:tc>
        <w:tc>
          <w:tcPr>
            <w:tcW w:w="1818" w:type="dxa"/>
            <w:tcBorders>
              <w:top w:val="nil"/>
              <w:left w:val="nil"/>
              <w:bottom w:val="single" w:sz="4" w:space="0" w:color="auto"/>
              <w:right w:val="single" w:sz="4" w:space="0" w:color="auto"/>
            </w:tcBorders>
            <w:shd w:val="clear" w:color="auto" w:fill="auto"/>
            <w:noWrap/>
            <w:vAlign w:val="center"/>
          </w:tcPr>
          <w:p>
            <w:pPr>
              <w:jc w:val="right"/>
              <w:rPr>
                <w:rFonts w:ascii="宋体" w:hAnsi="宋体" w:cs="宋体"/>
                <w:color w:val="000000"/>
                <w:sz w:val="24"/>
              </w:rPr>
            </w:pPr>
            <w:r>
              <w:rPr>
                <w:rFonts w:hint="eastAsia"/>
                <w:color w:val="000000"/>
                <w:sz w:val="24"/>
              </w:rPr>
              <w:t>3350</w:t>
            </w:r>
          </w:p>
        </w:tc>
      </w:tr>
      <w:tr>
        <w:tblPrEx>
          <w:tblW w:w="8018" w:type="dxa"/>
          <w:jc w:val="center"/>
          <w:tblLayout w:type="fixed"/>
          <w:tblCellMar>
            <w:top w:w="0" w:type="dxa"/>
            <w:left w:w="108" w:type="dxa"/>
            <w:bottom w:w="0" w:type="dxa"/>
            <w:right w:w="108" w:type="dxa"/>
          </w:tblCellMar>
        </w:tblPrEx>
        <w:trPr>
          <w:trHeight w:val="560"/>
          <w:jc w:val="center"/>
        </w:trPr>
        <w:tc>
          <w:tcPr>
            <w:tcW w:w="152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2862" w:type="dxa"/>
            <w:tcBorders>
              <w:top w:val="nil"/>
              <w:left w:val="nil"/>
              <w:bottom w:val="single" w:sz="4" w:space="0" w:color="auto"/>
              <w:right w:val="single" w:sz="4" w:space="0" w:color="auto"/>
            </w:tcBorders>
            <w:shd w:val="clear" w:color="auto" w:fill="auto"/>
            <w:noWrap/>
            <w:vAlign w:val="center"/>
          </w:tcPr>
          <w:p>
            <w:pPr>
              <w:rPr>
                <w:rFonts w:ascii="宋体" w:hAnsi="宋体" w:cs="宋体"/>
                <w:color w:val="000000"/>
                <w:sz w:val="24"/>
              </w:rPr>
            </w:pPr>
            <w:r>
              <w:rPr>
                <w:rFonts w:hint="eastAsia"/>
                <w:color w:val="000000"/>
                <w:sz w:val="24"/>
              </w:rPr>
              <w:t>其它场地</w:t>
            </w:r>
          </w:p>
        </w:tc>
        <w:tc>
          <w:tcPr>
            <w:tcW w:w="1818" w:type="dxa"/>
            <w:tcBorders>
              <w:top w:val="nil"/>
              <w:left w:val="nil"/>
              <w:bottom w:val="single" w:sz="4" w:space="0" w:color="auto"/>
              <w:right w:val="single" w:sz="4" w:space="0" w:color="auto"/>
            </w:tcBorders>
            <w:shd w:val="clear" w:color="auto" w:fill="auto"/>
            <w:vAlign w:val="center"/>
          </w:tcPr>
          <w:p>
            <w:pPr>
              <w:jc w:val="center"/>
              <w:rPr>
                <w:rFonts w:ascii="宋体" w:hAnsi="宋体" w:cs="宋体"/>
                <w:color w:val="000000"/>
                <w:sz w:val="24"/>
              </w:rPr>
            </w:pPr>
            <w:r>
              <w:rPr>
                <w:rFonts w:hint="eastAsia"/>
                <w:color w:val="000000"/>
                <w:sz w:val="24"/>
              </w:rPr>
              <w:t>㎡</w:t>
            </w:r>
          </w:p>
        </w:tc>
        <w:tc>
          <w:tcPr>
            <w:tcW w:w="1818" w:type="dxa"/>
            <w:tcBorders>
              <w:top w:val="nil"/>
              <w:left w:val="nil"/>
              <w:bottom w:val="single" w:sz="4" w:space="0" w:color="auto"/>
              <w:right w:val="single" w:sz="4" w:space="0" w:color="auto"/>
            </w:tcBorders>
            <w:shd w:val="clear" w:color="auto" w:fill="auto"/>
            <w:noWrap/>
            <w:vAlign w:val="center"/>
          </w:tcPr>
          <w:p>
            <w:pPr>
              <w:jc w:val="right"/>
              <w:rPr>
                <w:rFonts w:ascii="宋体" w:hAnsi="宋体" w:cs="宋体"/>
                <w:color w:val="000000"/>
                <w:sz w:val="24"/>
              </w:rPr>
            </w:pPr>
            <w:r>
              <w:rPr>
                <w:rFonts w:hint="eastAsia"/>
                <w:color w:val="000000"/>
                <w:sz w:val="24"/>
              </w:rPr>
              <w:t>11000</w:t>
            </w:r>
          </w:p>
        </w:tc>
      </w:tr>
      <w:tr>
        <w:tblPrEx>
          <w:tblW w:w="8018" w:type="dxa"/>
          <w:jc w:val="center"/>
          <w:tblLayout w:type="fixed"/>
          <w:tblCellMar>
            <w:top w:w="0" w:type="dxa"/>
            <w:left w:w="108" w:type="dxa"/>
            <w:bottom w:w="0" w:type="dxa"/>
            <w:right w:w="108" w:type="dxa"/>
          </w:tblCellMar>
        </w:tblPrEx>
        <w:trPr>
          <w:trHeight w:val="560"/>
          <w:jc w:val="center"/>
        </w:trPr>
        <w:tc>
          <w:tcPr>
            <w:tcW w:w="152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2862" w:type="dxa"/>
            <w:tcBorders>
              <w:top w:val="nil"/>
              <w:left w:val="nil"/>
              <w:bottom w:val="single" w:sz="4" w:space="0" w:color="auto"/>
              <w:right w:val="single" w:sz="4" w:space="0" w:color="auto"/>
            </w:tcBorders>
            <w:shd w:val="clear" w:color="auto" w:fill="auto"/>
            <w:noWrap/>
            <w:vAlign w:val="center"/>
          </w:tcPr>
          <w:p>
            <w:pPr>
              <w:rPr>
                <w:rFonts w:ascii="宋体" w:hAnsi="宋体" w:cs="宋体"/>
                <w:color w:val="000000"/>
                <w:sz w:val="24"/>
              </w:rPr>
            </w:pPr>
            <w:r>
              <w:rPr>
                <w:rFonts w:hint="eastAsia"/>
                <w:color w:val="000000"/>
                <w:sz w:val="24"/>
              </w:rPr>
              <w:t>道路工程</w:t>
            </w:r>
          </w:p>
        </w:tc>
        <w:tc>
          <w:tcPr>
            <w:tcW w:w="1818" w:type="dxa"/>
            <w:tcBorders>
              <w:top w:val="nil"/>
              <w:left w:val="nil"/>
              <w:bottom w:val="single" w:sz="4" w:space="0" w:color="auto"/>
              <w:right w:val="single" w:sz="4" w:space="0" w:color="auto"/>
            </w:tcBorders>
            <w:shd w:val="clear" w:color="auto" w:fill="auto"/>
            <w:vAlign w:val="center"/>
          </w:tcPr>
          <w:p>
            <w:pPr>
              <w:jc w:val="center"/>
              <w:rPr>
                <w:rFonts w:ascii="宋体" w:hAnsi="宋体" w:cs="宋体"/>
                <w:color w:val="000000"/>
                <w:sz w:val="24"/>
              </w:rPr>
            </w:pPr>
            <w:r>
              <w:rPr>
                <w:rFonts w:hint="eastAsia"/>
                <w:color w:val="000000"/>
                <w:sz w:val="24"/>
              </w:rPr>
              <w:t>㎡</w:t>
            </w:r>
          </w:p>
        </w:tc>
        <w:tc>
          <w:tcPr>
            <w:tcW w:w="1818" w:type="dxa"/>
            <w:tcBorders>
              <w:top w:val="nil"/>
              <w:left w:val="nil"/>
              <w:bottom w:val="single" w:sz="4" w:space="0" w:color="auto"/>
              <w:right w:val="single" w:sz="4" w:space="0" w:color="auto"/>
            </w:tcBorders>
            <w:shd w:val="clear" w:color="auto" w:fill="auto"/>
            <w:noWrap/>
            <w:vAlign w:val="center"/>
          </w:tcPr>
          <w:p>
            <w:pPr>
              <w:jc w:val="right"/>
              <w:rPr>
                <w:rFonts w:ascii="宋体" w:hAnsi="宋体" w:cs="宋体"/>
                <w:color w:val="000000"/>
                <w:sz w:val="24"/>
              </w:rPr>
            </w:pPr>
            <w:r>
              <w:rPr>
                <w:rFonts w:hint="eastAsia"/>
                <w:color w:val="000000"/>
                <w:sz w:val="24"/>
              </w:rPr>
              <w:t>7800</w:t>
            </w:r>
          </w:p>
        </w:tc>
      </w:tr>
      <w:tr>
        <w:tblPrEx>
          <w:tblW w:w="8018" w:type="dxa"/>
          <w:jc w:val="center"/>
          <w:tblLayout w:type="fixed"/>
          <w:tblCellMar>
            <w:top w:w="0" w:type="dxa"/>
            <w:left w:w="108" w:type="dxa"/>
            <w:bottom w:w="0" w:type="dxa"/>
            <w:right w:w="108" w:type="dxa"/>
          </w:tblCellMar>
        </w:tblPrEx>
        <w:trPr>
          <w:trHeight w:val="560"/>
          <w:jc w:val="center"/>
        </w:trPr>
        <w:tc>
          <w:tcPr>
            <w:tcW w:w="1520"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2862" w:type="dxa"/>
            <w:tcBorders>
              <w:top w:val="nil"/>
              <w:left w:val="nil"/>
              <w:bottom w:val="single" w:sz="4" w:space="0" w:color="auto"/>
              <w:right w:val="single" w:sz="4" w:space="0" w:color="auto"/>
            </w:tcBorders>
            <w:shd w:val="clear" w:color="auto" w:fill="auto"/>
            <w:noWrap/>
            <w:vAlign w:val="center"/>
          </w:tcPr>
          <w:p>
            <w:pPr>
              <w:rPr>
                <w:rFonts w:ascii="宋体" w:hAnsi="宋体" w:cs="宋体"/>
                <w:color w:val="000000"/>
                <w:sz w:val="24"/>
              </w:rPr>
            </w:pPr>
            <w:r>
              <w:rPr>
                <w:rFonts w:hint="eastAsia"/>
                <w:color w:val="000000"/>
                <w:sz w:val="24"/>
              </w:rPr>
              <w:t>路灯工程</w:t>
            </w:r>
          </w:p>
        </w:tc>
        <w:tc>
          <w:tcPr>
            <w:tcW w:w="1818" w:type="dxa"/>
            <w:tcBorders>
              <w:top w:val="nil"/>
              <w:left w:val="nil"/>
              <w:bottom w:val="single" w:sz="4" w:space="0" w:color="auto"/>
              <w:right w:val="single" w:sz="4" w:space="0" w:color="auto"/>
            </w:tcBorders>
            <w:shd w:val="clear" w:color="auto" w:fill="auto"/>
            <w:vAlign w:val="center"/>
          </w:tcPr>
          <w:p>
            <w:pPr>
              <w:jc w:val="center"/>
              <w:rPr>
                <w:rFonts w:ascii="宋体" w:hAnsi="宋体" w:cs="宋体"/>
                <w:color w:val="000000"/>
                <w:sz w:val="24"/>
              </w:rPr>
            </w:pPr>
            <w:r>
              <w:rPr>
                <w:rFonts w:hint="eastAsia"/>
                <w:color w:val="000000"/>
                <w:sz w:val="24"/>
              </w:rPr>
              <w:t>套</w:t>
            </w:r>
          </w:p>
        </w:tc>
        <w:tc>
          <w:tcPr>
            <w:tcW w:w="1818" w:type="dxa"/>
            <w:tcBorders>
              <w:top w:val="nil"/>
              <w:left w:val="nil"/>
              <w:bottom w:val="single" w:sz="4" w:space="0" w:color="auto"/>
              <w:right w:val="single" w:sz="4" w:space="0" w:color="auto"/>
            </w:tcBorders>
            <w:shd w:val="clear" w:color="auto" w:fill="auto"/>
            <w:noWrap/>
            <w:vAlign w:val="center"/>
          </w:tcPr>
          <w:p>
            <w:pPr>
              <w:jc w:val="right"/>
              <w:rPr>
                <w:rFonts w:ascii="宋体" w:hAnsi="宋体" w:cs="宋体"/>
                <w:color w:val="000000"/>
                <w:sz w:val="24"/>
              </w:rPr>
            </w:pPr>
            <w:r>
              <w:rPr>
                <w:rFonts w:hint="eastAsia"/>
                <w:color w:val="000000"/>
                <w:sz w:val="24"/>
              </w:rPr>
              <w:t>180</w:t>
            </w:r>
          </w:p>
        </w:tc>
      </w:tr>
      <w:tr>
        <w:tblPrEx>
          <w:tblW w:w="8018" w:type="dxa"/>
          <w:jc w:val="center"/>
          <w:tblLayout w:type="fixed"/>
          <w:tblCellMar>
            <w:top w:w="0" w:type="dxa"/>
            <w:left w:w="108" w:type="dxa"/>
            <w:bottom w:w="0" w:type="dxa"/>
            <w:right w:w="108" w:type="dxa"/>
          </w:tblCellMar>
        </w:tblPrEx>
        <w:trPr>
          <w:trHeight w:val="582"/>
          <w:jc w:val="center"/>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hAnsi="宋体" w:cs="宋体"/>
                <w:color w:val="000000"/>
                <w:kern w:val="0"/>
                <w:sz w:val="24"/>
              </w:rPr>
            </w:pPr>
            <w:r>
              <w:rPr>
                <w:rFonts w:ascii="宋体" w:hAnsi="宋体" w:cs="宋体" w:hint="eastAsia"/>
                <w:color w:val="000000"/>
                <w:kern w:val="0"/>
                <w:sz w:val="24"/>
              </w:rPr>
              <w:t>合计</w:t>
            </w:r>
          </w:p>
        </w:tc>
        <w:tc>
          <w:tcPr>
            <w:tcW w:w="2862" w:type="dxa"/>
            <w:tcBorders>
              <w:top w:val="single" w:sz="4" w:space="0" w:color="auto"/>
              <w:left w:val="single" w:sz="4" w:space="0" w:color="auto"/>
              <w:bottom w:val="single" w:sz="4" w:space="0" w:color="auto"/>
              <w:right w:val="single" w:sz="4" w:space="0" w:color="000000"/>
            </w:tcBorders>
            <w:shd w:val="clear" w:color="auto" w:fill="auto"/>
            <w:vAlign w:val="center"/>
          </w:tcPr>
          <w:p>
            <w:pPr>
              <w:widowControl/>
              <w:jc w:val="center"/>
              <w:rPr>
                <w:rFonts w:ascii="宋体" w:hAnsi="宋体" w:cs="宋体"/>
                <w:color w:val="000000"/>
                <w:kern w:val="0"/>
                <w:sz w:val="24"/>
              </w:rPr>
            </w:pPr>
          </w:p>
        </w:tc>
        <w:tc>
          <w:tcPr>
            <w:tcW w:w="1818" w:type="dxa"/>
            <w:tcBorders>
              <w:top w:val="nil"/>
              <w:left w:val="nil"/>
              <w:bottom w:val="single" w:sz="4" w:space="0" w:color="auto"/>
              <w:right w:val="single" w:sz="4" w:space="0" w:color="auto"/>
            </w:tcBorders>
            <w:shd w:val="clear" w:color="auto" w:fill="auto"/>
            <w:noWrap/>
            <w:vAlign w:val="center"/>
          </w:tcPr>
          <w:p>
            <w:pPr>
              <w:widowControl/>
              <w:jc w:val="left"/>
              <w:rPr>
                <w:rFonts w:ascii="宋体" w:hAnsi="宋体" w:cs="宋体"/>
                <w:color w:val="000000"/>
                <w:kern w:val="0"/>
                <w:sz w:val="24"/>
              </w:rPr>
            </w:pPr>
          </w:p>
        </w:tc>
        <w:tc>
          <w:tcPr>
            <w:tcW w:w="1818" w:type="dxa"/>
            <w:tcBorders>
              <w:top w:val="nil"/>
              <w:left w:val="nil"/>
              <w:bottom w:val="single" w:sz="4" w:space="0" w:color="auto"/>
              <w:right w:val="single" w:sz="4" w:space="0" w:color="auto"/>
            </w:tcBorders>
            <w:shd w:val="clear" w:color="auto" w:fill="auto"/>
            <w:noWrap/>
            <w:vAlign w:val="center"/>
          </w:tcPr>
          <w:p>
            <w:pPr>
              <w:jc w:val="right"/>
              <w:rPr>
                <w:rFonts w:ascii="宋体" w:hAnsi="宋体" w:cs="宋体"/>
                <w:color w:val="000000"/>
                <w:sz w:val="24"/>
              </w:rPr>
            </w:pPr>
            <w:r>
              <w:rPr>
                <w:rFonts w:hint="eastAsia"/>
                <w:color w:val="000000"/>
                <w:sz w:val="24"/>
              </w:rPr>
              <w:t>152245</w:t>
            </w:r>
          </w:p>
        </w:tc>
      </w:tr>
    </w:tbl>
    <w:p>
      <w:pPr>
        <w:ind w:firstLine="560" w:firstLineChars="200"/>
        <w:rPr>
          <w:rFonts w:ascii="宋体" w:eastAsia="宋体" w:hAnsi="宋体" w:cs="宋体"/>
          <w:sz w:val="28"/>
          <w:szCs w:val="28"/>
        </w:rPr>
      </w:pPr>
    </w:p>
    <w:p>
      <w:pPr>
        <w:ind w:firstLine="560" w:firstLineChars="200"/>
        <w:rPr>
          <w:rFonts w:ascii="宋体" w:eastAsia="宋体" w:hAnsi="宋体" w:cs="宋体"/>
          <w:sz w:val="28"/>
          <w:szCs w:val="28"/>
        </w:rPr>
      </w:pPr>
      <w:r>
        <w:rPr>
          <w:rFonts w:ascii="宋体" w:eastAsia="宋体" w:hAnsi="宋体" w:cs="宋体" w:hint="eastAsia"/>
          <w:sz w:val="28"/>
          <w:szCs w:val="28"/>
        </w:rPr>
        <w:t>7.项目总投资及资金来源</w:t>
      </w:r>
    </w:p>
    <w:p>
      <w:pPr>
        <w:pStyle w:val="BodyText"/>
        <w:ind w:left="0" w:firstLine="560" w:firstLineChars="200"/>
        <w:rPr>
          <w:rFonts w:ascii="宋体" w:eastAsia="宋体" w:hAnsi="宋体" w:cs="宋体"/>
        </w:rPr>
      </w:pPr>
      <w:r>
        <w:rPr>
          <w:rFonts w:ascii="宋体" w:eastAsia="宋体" w:hAnsi="宋体" w:cs="宋体" w:hint="eastAsia"/>
        </w:rPr>
        <w:t>2016年2月5日围场满族蒙古族自治县发展改革局对围场县东山市民休闲公园建设项目可行性研究报告做了批复。</w:t>
      </w:r>
    </w:p>
    <w:p>
      <w:pPr>
        <w:pStyle w:val="BodyText"/>
        <w:ind w:left="0" w:firstLine="560" w:firstLineChars="200"/>
        <w:rPr>
          <w:rFonts w:ascii="宋体" w:eastAsia="宋体" w:hAnsi="宋体" w:cs="宋体"/>
        </w:rPr>
      </w:pPr>
      <w:r>
        <w:rPr>
          <w:rFonts w:ascii="宋体" w:eastAsia="宋体" w:hAnsi="宋体" w:cs="宋体" w:hint="eastAsia"/>
        </w:rPr>
        <w:t>项目总投资5000万元，其中工程费用3992.01万元，工程建设其他费用553.44万元，基本预备费用454.55万元。</w:t>
      </w:r>
    </w:p>
    <w:p>
      <w:pPr>
        <w:ind w:firstLine="560" w:firstLineChars="200"/>
        <w:rPr>
          <w:rFonts w:ascii="宋体" w:eastAsia="宋体" w:hAnsi="宋体" w:cs="宋体"/>
          <w:sz w:val="28"/>
          <w:szCs w:val="28"/>
        </w:rPr>
      </w:pPr>
      <w:r>
        <w:rPr>
          <w:rFonts w:ascii="宋体" w:eastAsia="宋体" w:hAnsi="宋体" w:cs="宋体" w:hint="eastAsia"/>
          <w:sz w:val="28"/>
          <w:szCs w:val="28"/>
        </w:rPr>
        <w:t>全部为财政投资，其中使用政府一般债券资金471万元。</w:t>
      </w:r>
    </w:p>
    <w:p>
      <w:pPr>
        <w:spacing w:line="600" w:lineRule="exact"/>
        <w:ind w:firstLine="640" w:firstLineChars="200"/>
        <w:outlineLvl w:val="1"/>
        <w:rPr>
          <w:rFonts w:ascii="宋体" w:eastAsia="宋体" w:hAnsi="宋体" w:cs="宋体"/>
          <w:sz w:val="28"/>
          <w:szCs w:val="28"/>
        </w:rPr>
      </w:pPr>
      <w:bookmarkStart w:id="12" w:name="_Toc25308"/>
      <w:r>
        <w:rPr>
          <w:rFonts w:ascii="楷体" w:eastAsia="楷体" w:hAnsi="楷体" w:cs="楷体" w:hint="eastAsia"/>
          <w:b/>
          <w:sz w:val="32"/>
          <w:szCs w:val="32"/>
        </w:rPr>
        <w:t>（二）项目绩效目标</w:t>
      </w:r>
      <w:bookmarkEnd w:id="12"/>
      <w:bookmarkStart w:id="13" w:name="_Toc28894"/>
      <w:bookmarkStart w:id="14" w:name="_Toc12271"/>
    </w:p>
    <w:p>
      <w:pPr>
        <w:spacing w:line="600" w:lineRule="exact"/>
        <w:ind w:firstLine="560" w:firstLineChars="200"/>
        <w:outlineLvl w:val="1"/>
        <w:rPr>
          <w:rFonts w:ascii="宋体" w:eastAsia="宋体" w:hAnsi="宋体" w:cs="宋体"/>
          <w:sz w:val="28"/>
          <w:szCs w:val="28"/>
        </w:rPr>
      </w:pPr>
      <w:bookmarkStart w:id="15" w:name="_Toc31882"/>
      <w:bookmarkStart w:id="16" w:name="_Toc10011"/>
      <w:r>
        <w:rPr>
          <w:rFonts w:ascii="宋体" w:eastAsia="宋体" w:hAnsi="宋体" w:cs="宋体" w:hint="eastAsia"/>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ascii="宋体" w:eastAsia="宋体" w:hAnsi="宋体" w:cs="宋体" w:hint="eastAsia"/>
          <w:color w:val="000000"/>
          <w:kern w:val="0"/>
          <w:sz w:val="28"/>
          <w:szCs w:val="28"/>
        </w:rPr>
        <w:t>。</w:t>
      </w:r>
      <w:bookmarkEnd w:id="13"/>
      <w:bookmarkEnd w:id="15"/>
      <w:bookmarkEnd w:id="16"/>
    </w:p>
    <w:p>
      <w:pPr>
        <w:spacing w:line="600" w:lineRule="exact"/>
        <w:ind w:firstLine="640" w:firstLineChars="200"/>
        <w:outlineLvl w:val="1"/>
        <w:rPr>
          <w:rFonts w:ascii="楷体" w:eastAsia="楷体" w:hAnsi="楷体" w:cs="楷体"/>
          <w:b/>
          <w:sz w:val="32"/>
          <w:szCs w:val="32"/>
        </w:rPr>
      </w:pPr>
      <w:bookmarkStart w:id="17" w:name="_Toc7932"/>
      <w:r>
        <w:rPr>
          <w:rFonts w:ascii="楷体" w:eastAsia="楷体" w:hAnsi="楷体" w:cs="楷体" w:hint="eastAsia"/>
          <w:b/>
          <w:sz w:val="32"/>
          <w:szCs w:val="32"/>
        </w:rPr>
        <w:t>（三）评价对象和时段</w:t>
      </w:r>
      <w:bookmarkEnd w:id="14"/>
      <w:bookmarkEnd w:id="17"/>
    </w:p>
    <w:p>
      <w:pPr>
        <w:ind w:firstLine="560" w:firstLineChars="200"/>
        <w:rPr>
          <w:rFonts w:ascii="宋体" w:eastAsia="宋体" w:hAnsi="宋体" w:cs="宋体"/>
          <w:sz w:val="28"/>
          <w:szCs w:val="28"/>
        </w:rPr>
      </w:pPr>
      <w:r>
        <w:rPr>
          <w:rFonts w:ascii="宋体" w:eastAsia="宋体" w:hAnsi="宋体" w:cs="宋体" w:hint="eastAsia"/>
          <w:sz w:val="28"/>
          <w:szCs w:val="28"/>
        </w:rPr>
        <w:t>本次考核评价对象：围场县东山市民休闲公园项目。从项目投入、管理、产出、效益等方面进行全面的评价考核。</w:t>
      </w:r>
    </w:p>
    <w:p>
      <w:pPr>
        <w:ind w:firstLine="560" w:firstLineChars="200"/>
        <w:rPr>
          <w:rFonts w:ascii="宋体" w:eastAsia="宋体" w:hAnsi="宋体" w:cs="宋体"/>
          <w:sz w:val="28"/>
          <w:szCs w:val="28"/>
        </w:rPr>
      </w:pPr>
      <w:r>
        <w:rPr>
          <w:rFonts w:ascii="宋体" w:eastAsia="宋体" w:hAnsi="宋体" w:cs="宋体" w:hint="eastAsia"/>
          <w:sz w:val="28"/>
          <w:szCs w:val="28"/>
        </w:rPr>
        <w:t>考核时段：从项目决策阶段立项开始，经过项目实施阶段到最后的项目结束竣工验收。</w:t>
      </w:r>
    </w:p>
    <w:p>
      <w:pPr>
        <w:ind w:firstLine="640" w:firstLineChars="200"/>
        <w:outlineLvl w:val="0"/>
        <w:rPr>
          <w:rFonts w:ascii="黑体" w:eastAsia="黑体" w:hAnsi="黑体" w:cs="黑体"/>
          <w:b/>
          <w:bCs/>
          <w:sz w:val="32"/>
          <w:szCs w:val="32"/>
        </w:rPr>
      </w:pPr>
      <w:bookmarkStart w:id="18" w:name="_Toc29608"/>
      <w:r>
        <w:rPr>
          <w:rFonts w:ascii="黑体" w:eastAsia="黑体" w:hAnsi="黑体" w:cs="黑体" w:hint="eastAsia"/>
          <w:b/>
          <w:bCs/>
          <w:sz w:val="32"/>
          <w:szCs w:val="32"/>
        </w:rPr>
        <w:t>二、绩效评价工作开展情况</w:t>
      </w:r>
      <w:bookmarkEnd w:id="18"/>
    </w:p>
    <w:p>
      <w:pPr>
        <w:ind w:firstLine="640" w:firstLineChars="200"/>
        <w:outlineLvl w:val="1"/>
        <w:rPr>
          <w:rFonts w:ascii="楷体" w:eastAsia="楷体" w:hAnsi="楷体" w:cs="楷体"/>
          <w:b/>
          <w:bCs/>
          <w:sz w:val="32"/>
          <w:szCs w:val="32"/>
        </w:rPr>
      </w:pPr>
      <w:bookmarkStart w:id="19" w:name="_Toc28234"/>
      <w:r>
        <w:rPr>
          <w:rFonts w:ascii="楷体" w:eastAsia="楷体" w:hAnsi="楷体" w:cs="楷体" w:hint="eastAsia"/>
          <w:b/>
          <w:bCs/>
          <w:sz w:val="32"/>
          <w:szCs w:val="32"/>
        </w:rPr>
        <w:t>（一）绩效评价指标权重和绩效评价指标体系</w:t>
      </w:r>
      <w:bookmarkEnd w:id="19"/>
    </w:p>
    <w:p>
      <w:pPr>
        <w:ind w:firstLine="560" w:firstLineChars="200"/>
        <w:rPr>
          <w:rFonts w:ascii="仿宋" w:eastAsia="仿宋" w:hAnsi="仿宋" w:cs="仿宋"/>
          <w:b/>
          <w:bCs/>
          <w:sz w:val="28"/>
          <w:szCs w:val="28"/>
        </w:rPr>
      </w:pPr>
      <w:r>
        <w:rPr>
          <w:rFonts w:ascii="仿宋" w:eastAsia="仿宋" w:hAnsi="仿宋" w:cs="仿宋" w:hint="eastAsia"/>
          <w:b/>
          <w:bCs/>
          <w:sz w:val="28"/>
          <w:szCs w:val="28"/>
        </w:rPr>
        <w:t>1.绩效评价指标权重</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1077"/>
        <w:gridCol w:w="1148"/>
        <w:gridCol w:w="2028"/>
        <w:gridCol w:w="2557"/>
        <w:gridCol w:w="1448"/>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Ex>
        <w:trPr>
          <w:trHeight w:val="916"/>
          <w:jc w:val="center"/>
        </w:trPr>
        <w:tc>
          <w:tcPr>
            <w:tcW w:w="1077"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序号</w:t>
            </w:r>
          </w:p>
        </w:tc>
        <w:tc>
          <w:tcPr>
            <w:tcW w:w="3176" w:type="dxa"/>
            <w:gridSpan w:val="2"/>
            <w:tcBorders>
              <w:right w:val="single" w:sz="4" w:space="0" w:color="auto"/>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内容</w:t>
            </w:r>
          </w:p>
        </w:tc>
        <w:tc>
          <w:tcPr>
            <w:tcW w:w="2557"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8"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权重</w:t>
            </w:r>
          </w:p>
        </w:tc>
      </w:tr>
      <w:tr>
        <w:tblPrEx>
          <w:tblW w:w="0" w:type="auto"/>
          <w:jc w:val="center"/>
          <w:tblLayout w:type="fixed"/>
          <w:tblCellMar>
            <w:top w:w="0" w:type="dxa"/>
            <w:left w:w="0" w:type="dxa"/>
            <w:bottom w:w="0" w:type="dxa"/>
            <w:right w:w="0" w:type="dxa"/>
          </w:tblCellMar>
        </w:tblPrEx>
        <w:trPr>
          <w:trHeight w:hRule="exact" w:val="730"/>
          <w:jc w:val="center"/>
        </w:trPr>
        <w:tc>
          <w:tcPr>
            <w:tcW w:w="1077" w:type="dxa"/>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1</w:t>
            </w:r>
          </w:p>
        </w:tc>
        <w:tc>
          <w:tcPr>
            <w:tcW w:w="1148" w:type="dxa"/>
            <w:vMerge w:val="restart"/>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2019年1至12月</w:t>
            </w:r>
          </w:p>
        </w:tc>
        <w:tc>
          <w:tcPr>
            <w:tcW w:w="2028" w:type="dxa"/>
            <w:tcBorders>
              <w:right w:val="single" w:sz="4" w:space="0" w:color="auto"/>
            </w:tcBorders>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投入指标10分</w:t>
            </w:r>
          </w:p>
        </w:tc>
        <w:tc>
          <w:tcPr>
            <w:tcW w:w="2557"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项目立项管理10分</w:t>
            </w:r>
          </w:p>
        </w:tc>
        <w:tc>
          <w:tcPr>
            <w:tcW w:w="1448"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10%</w:t>
            </w:r>
          </w:p>
        </w:tc>
      </w:tr>
      <w:tr>
        <w:tblPrEx>
          <w:tblW w:w="0" w:type="auto"/>
          <w:jc w:val="center"/>
          <w:tblLayout w:type="fixed"/>
          <w:tblCellMar>
            <w:top w:w="0" w:type="dxa"/>
            <w:left w:w="0" w:type="dxa"/>
            <w:bottom w:w="0" w:type="dxa"/>
            <w:right w:w="0" w:type="dxa"/>
          </w:tblCellMar>
        </w:tblPrEx>
        <w:trPr>
          <w:trHeight w:hRule="exact" w:val="730"/>
          <w:jc w:val="center"/>
        </w:trPr>
        <w:tc>
          <w:tcPr>
            <w:tcW w:w="1077" w:type="dxa"/>
            <w:vMerge w:val="restart"/>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w:t>
            </w:r>
          </w:p>
        </w:tc>
        <w:tc>
          <w:tcPr>
            <w:tcW w:w="1148" w:type="dxa"/>
            <w:vMerge/>
            <w:vAlign w:val="center"/>
          </w:tcPr>
          <w:p>
            <w:pPr>
              <w:jc w:val="center"/>
              <w:rPr>
                <w:rFonts w:asciiTheme="minorEastAsia" w:hAnsiTheme="minorEastAsia" w:cstheme="minorEastAsia"/>
                <w:kern w:val="0"/>
                <w:sz w:val="28"/>
                <w:szCs w:val="28"/>
              </w:rPr>
            </w:pPr>
          </w:p>
        </w:tc>
        <w:tc>
          <w:tcPr>
            <w:tcW w:w="2028" w:type="dxa"/>
            <w:vMerge w:val="restart"/>
            <w:tcBorders>
              <w:right w:val="single" w:sz="4" w:space="0" w:color="auto"/>
            </w:tcBorders>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管理指标30分</w:t>
            </w:r>
          </w:p>
        </w:tc>
        <w:tc>
          <w:tcPr>
            <w:tcW w:w="2557"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业务管理15分</w:t>
            </w:r>
          </w:p>
        </w:tc>
        <w:tc>
          <w:tcPr>
            <w:tcW w:w="1448" w:type="dxa"/>
            <w:vMerge w:val="restart"/>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30%</w:t>
            </w:r>
          </w:p>
        </w:tc>
      </w:tr>
      <w:tr>
        <w:tblPrEx>
          <w:tblW w:w="0" w:type="auto"/>
          <w:jc w:val="center"/>
          <w:tblLayout w:type="fixed"/>
          <w:tblCellMar>
            <w:top w:w="0" w:type="dxa"/>
            <w:left w:w="0" w:type="dxa"/>
            <w:bottom w:w="0" w:type="dxa"/>
            <w:right w:w="0" w:type="dxa"/>
          </w:tblCellMar>
        </w:tblPrEx>
        <w:trPr>
          <w:trHeight w:hRule="exact" w:val="730"/>
          <w:jc w:val="center"/>
        </w:trPr>
        <w:tc>
          <w:tcPr>
            <w:tcW w:w="1077" w:type="dxa"/>
            <w:vMerge/>
            <w:vAlign w:val="center"/>
          </w:tcPr>
          <w:p>
            <w:pPr>
              <w:jc w:val="center"/>
            </w:pPr>
          </w:p>
        </w:tc>
        <w:tc>
          <w:tcPr>
            <w:tcW w:w="1148" w:type="dxa"/>
            <w:vMerge/>
            <w:vAlign w:val="center"/>
          </w:tcPr>
          <w:p>
            <w:pPr>
              <w:jc w:val="center"/>
            </w:pPr>
          </w:p>
        </w:tc>
        <w:tc>
          <w:tcPr>
            <w:tcW w:w="2028" w:type="dxa"/>
            <w:vMerge/>
            <w:tcBorders>
              <w:right w:val="single" w:sz="4" w:space="0" w:color="auto"/>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财务管理15分</w:t>
            </w:r>
          </w:p>
        </w:tc>
        <w:tc>
          <w:tcPr>
            <w:tcW w:w="1448" w:type="dxa"/>
            <w:vMerge/>
            <w:vAlign w:val="center"/>
          </w:tcPr>
          <w:p>
            <w:pPr>
              <w:jc w:val="center"/>
              <w:rPr>
                <w:rFonts w:asciiTheme="minorEastAsia" w:hAnsiTheme="minorEastAsia" w:cstheme="minorEastAsia"/>
                <w:kern w:val="0"/>
                <w:sz w:val="28"/>
                <w:szCs w:val="28"/>
              </w:rPr>
            </w:pPr>
          </w:p>
        </w:tc>
      </w:tr>
      <w:tr>
        <w:tblPrEx>
          <w:tblW w:w="0" w:type="auto"/>
          <w:jc w:val="center"/>
          <w:tblLayout w:type="fixed"/>
          <w:tblCellMar>
            <w:top w:w="0" w:type="dxa"/>
            <w:left w:w="0" w:type="dxa"/>
            <w:bottom w:w="0" w:type="dxa"/>
            <w:right w:w="0" w:type="dxa"/>
          </w:tblCellMar>
        </w:tblPrEx>
        <w:trPr>
          <w:trHeight w:hRule="exact" w:val="730"/>
          <w:jc w:val="center"/>
        </w:trPr>
        <w:tc>
          <w:tcPr>
            <w:tcW w:w="1077" w:type="dxa"/>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3</w:t>
            </w:r>
          </w:p>
        </w:tc>
        <w:tc>
          <w:tcPr>
            <w:tcW w:w="1148" w:type="dxa"/>
            <w:vMerge/>
            <w:vAlign w:val="center"/>
          </w:tcPr>
          <w:p>
            <w:pPr>
              <w:jc w:val="center"/>
              <w:rPr>
                <w:rFonts w:asciiTheme="minorEastAsia" w:hAnsiTheme="minorEastAsia" w:cstheme="minorEastAsia"/>
                <w:kern w:val="0"/>
                <w:sz w:val="28"/>
                <w:szCs w:val="28"/>
              </w:rPr>
            </w:pPr>
          </w:p>
        </w:tc>
        <w:tc>
          <w:tcPr>
            <w:tcW w:w="2028" w:type="dxa"/>
            <w:tcBorders>
              <w:right w:val="single" w:sz="4" w:space="0" w:color="auto"/>
            </w:tcBorders>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产出指标30分</w:t>
            </w:r>
          </w:p>
        </w:tc>
        <w:tc>
          <w:tcPr>
            <w:tcW w:w="2557"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项目产出管理30分</w:t>
            </w:r>
          </w:p>
        </w:tc>
        <w:tc>
          <w:tcPr>
            <w:tcW w:w="1448"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30%</w:t>
            </w:r>
          </w:p>
        </w:tc>
      </w:tr>
      <w:tr>
        <w:tblPrEx>
          <w:tblW w:w="0" w:type="auto"/>
          <w:jc w:val="center"/>
          <w:tblLayout w:type="fixed"/>
          <w:tblCellMar>
            <w:top w:w="0" w:type="dxa"/>
            <w:left w:w="0" w:type="dxa"/>
            <w:bottom w:w="0" w:type="dxa"/>
            <w:right w:w="0" w:type="dxa"/>
          </w:tblCellMar>
        </w:tblPrEx>
        <w:trPr>
          <w:trHeight w:hRule="exact" w:val="730"/>
          <w:jc w:val="center"/>
        </w:trPr>
        <w:tc>
          <w:tcPr>
            <w:tcW w:w="1077" w:type="dxa"/>
            <w:vMerge w:val="restart"/>
            <w:vAlign w:val="center"/>
          </w:tcPr>
          <w:p>
            <w:pPr>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4</w:t>
            </w:r>
          </w:p>
        </w:tc>
        <w:tc>
          <w:tcPr>
            <w:tcW w:w="1148" w:type="dxa"/>
            <w:vMerge/>
            <w:vAlign w:val="center"/>
          </w:tcPr>
          <w:p>
            <w:pPr>
              <w:jc w:val="center"/>
              <w:rPr>
                <w:rFonts w:asciiTheme="minorEastAsia" w:hAnsiTheme="minorEastAsia" w:cstheme="minorEastAsia"/>
                <w:kern w:val="0"/>
                <w:sz w:val="28"/>
                <w:szCs w:val="28"/>
              </w:rPr>
            </w:pPr>
          </w:p>
        </w:tc>
        <w:tc>
          <w:tcPr>
            <w:tcW w:w="2028" w:type="dxa"/>
            <w:vMerge w:val="restart"/>
            <w:tcBorders>
              <w:right w:val="single" w:sz="4" w:space="0" w:color="auto"/>
            </w:tcBorders>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效益指标30分</w:t>
            </w:r>
          </w:p>
        </w:tc>
        <w:tc>
          <w:tcPr>
            <w:tcW w:w="2557"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社会效益情况20分</w:t>
            </w:r>
          </w:p>
        </w:tc>
        <w:tc>
          <w:tcPr>
            <w:tcW w:w="1448" w:type="dxa"/>
            <w:vMerge w:val="restart"/>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30%</w:t>
            </w:r>
          </w:p>
        </w:tc>
      </w:tr>
      <w:tr>
        <w:tblPrEx>
          <w:tblW w:w="0" w:type="auto"/>
          <w:jc w:val="center"/>
          <w:tblLayout w:type="fixed"/>
          <w:tblCellMar>
            <w:top w:w="0" w:type="dxa"/>
            <w:left w:w="0" w:type="dxa"/>
            <w:bottom w:w="0" w:type="dxa"/>
            <w:right w:w="0" w:type="dxa"/>
          </w:tblCellMar>
        </w:tblPrEx>
        <w:trPr>
          <w:trHeight w:hRule="exact" w:val="730"/>
          <w:jc w:val="center"/>
        </w:trPr>
        <w:tc>
          <w:tcPr>
            <w:tcW w:w="1077" w:type="dxa"/>
            <w:vMerge/>
            <w:vAlign w:val="center"/>
          </w:tcPr>
          <w:p>
            <w:pPr>
              <w:jc w:val="center"/>
            </w:pPr>
          </w:p>
        </w:tc>
        <w:tc>
          <w:tcPr>
            <w:tcW w:w="1148" w:type="dxa"/>
            <w:vMerge/>
            <w:vAlign w:val="center"/>
          </w:tcPr>
          <w:p>
            <w:pPr>
              <w:jc w:val="center"/>
            </w:pPr>
          </w:p>
        </w:tc>
        <w:tc>
          <w:tcPr>
            <w:tcW w:w="2028" w:type="dxa"/>
            <w:vMerge/>
            <w:tcBorders>
              <w:right w:val="single" w:sz="4" w:space="0" w:color="auto"/>
            </w:tcBorders>
            <w:vAlign w:val="center"/>
          </w:tcPr>
          <w:p>
            <w:pPr>
              <w:jc w:val="center"/>
            </w:pPr>
          </w:p>
        </w:tc>
        <w:tc>
          <w:tcPr>
            <w:tcW w:w="2557"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经济效益情况10分</w:t>
            </w:r>
          </w:p>
        </w:tc>
        <w:tc>
          <w:tcPr>
            <w:tcW w:w="1448" w:type="dxa"/>
            <w:vMerge/>
            <w:vAlign w:val="center"/>
          </w:tcPr>
          <w:p>
            <w:pPr>
              <w:jc w:val="center"/>
              <w:rPr>
                <w:rFonts w:asciiTheme="minorEastAsia" w:hAnsiTheme="minorEastAsia" w:cstheme="minorEastAsia"/>
                <w:kern w:val="0"/>
                <w:sz w:val="28"/>
                <w:szCs w:val="28"/>
              </w:rPr>
            </w:pPr>
          </w:p>
        </w:tc>
      </w:tr>
      <w:tr>
        <w:tblPrEx>
          <w:tblW w:w="0" w:type="auto"/>
          <w:jc w:val="center"/>
          <w:tblLayout w:type="fixed"/>
          <w:tblCellMar>
            <w:top w:w="0" w:type="dxa"/>
            <w:left w:w="0" w:type="dxa"/>
            <w:bottom w:w="0" w:type="dxa"/>
            <w:right w:w="0" w:type="dxa"/>
          </w:tblCellMar>
        </w:tblPrEx>
        <w:trPr>
          <w:trHeight w:hRule="exact" w:val="752"/>
          <w:jc w:val="center"/>
        </w:trPr>
        <w:tc>
          <w:tcPr>
            <w:tcW w:w="4253" w:type="dxa"/>
            <w:gridSpan w:val="3"/>
            <w:tcBorders>
              <w:right w:val="single" w:sz="4" w:space="0" w:color="auto"/>
            </w:tcBorders>
            <w:vAlign w:val="center"/>
          </w:tcPr>
          <w:p>
            <w:pPr>
              <w:ind w:firstLine="560"/>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合计</w:t>
            </w:r>
          </w:p>
        </w:tc>
        <w:tc>
          <w:tcPr>
            <w:tcW w:w="2557" w:type="dxa"/>
            <w:vAlign w:val="center"/>
          </w:tcPr>
          <w:p>
            <w:pPr>
              <w:jc w:val="center"/>
              <w:rPr>
                <w:rFonts w:asciiTheme="minorEastAsia" w:hAnsiTheme="minorEastAsia" w:cstheme="minorEastAsia"/>
                <w:kern w:val="0"/>
                <w:sz w:val="28"/>
                <w:szCs w:val="28"/>
              </w:rPr>
            </w:pPr>
          </w:p>
        </w:tc>
        <w:tc>
          <w:tcPr>
            <w:tcW w:w="1448" w:type="dxa"/>
            <w:vAlign w:val="center"/>
          </w:tcPr>
          <w:p>
            <w:pPr>
              <w:jc w:val="center"/>
              <w:rPr>
                <w:rFonts w:asciiTheme="minorEastAsia" w:hAnsiTheme="minorEastAsia" w:cstheme="minorEastAsia"/>
                <w:kern w:val="0"/>
                <w:sz w:val="28"/>
                <w:szCs w:val="28"/>
              </w:rPr>
            </w:pPr>
            <w:r>
              <w:rPr>
                <w:rFonts w:asciiTheme="minorEastAsia" w:hAnsiTheme="minorEastAsia" w:cstheme="minorEastAsia" w:hint="eastAsia"/>
                <w:kern w:val="0"/>
                <w:sz w:val="28"/>
                <w:szCs w:val="28"/>
              </w:rPr>
              <w:t>100%</w:t>
            </w:r>
          </w:p>
        </w:tc>
      </w:tr>
    </w:tbl>
    <w:p>
      <w:pPr>
        <w:ind w:firstLine="560" w:firstLineChars="200"/>
        <w:rPr>
          <w:rFonts w:ascii="仿宋" w:eastAsia="仿宋" w:hAnsi="仿宋" w:cs="仿宋"/>
          <w:b/>
          <w:bCs/>
          <w:sz w:val="28"/>
          <w:szCs w:val="28"/>
        </w:rPr>
      </w:pPr>
    </w:p>
    <w:p>
      <w:pPr>
        <w:ind w:firstLine="560" w:firstLineChars="200"/>
        <w:rPr>
          <w:rFonts w:ascii="仿宋" w:eastAsia="仿宋" w:hAnsi="仿宋" w:cs="仿宋"/>
          <w:b/>
          <w:bCs/>
          <w:sz w:val="28"/>
          <w:szCs w:val="28"/>
        </w:rPr>
      </w:pPr>
      <w:r>
        <w:rPr>
          <w:rFonts w:ascii="仿宋" w:eastAsia="仿宋" w:hAnsi="仿宋" w:cs="仿宋" w:hint="eastAsia"/>
          <w:b/>
          <w:bCs/>
          <w:sz w:val="28"/>
          <w:szCs w:val="28"/>
        </w:rPr>
        <w:t>2.绩效评价指标体系</w:t>
      </w:r>
    </w:p>
    <w:tbl>
      <w:tblPr>
        <w:tblStyle w:val="TableGrid"/>
        <w:tblW w:w="4845" w:type="pc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198"/>
        <w:gridCol w:w="1251"/>
        <w:gridCol w:w="3149"/>
        <w:gridCol w:w="2660"/>
      </w:tblGrid>
      <w:tr>
        <w:tblPrEx>
          <w:tblW w:w="4845" w:type="pc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88"/>
        </w:trPr>
        <w:tc>
          <w:tcPr>
            <w:tcW w:w="725"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bookmarkStart w:id="20" w:name="_Toc20068"/>
            <w:bookmarkStart w:id="21" w:name="_Toc12872"/>
            <w:r>
              <w:rPr>
                <w:rFonts w:asciiTheme="minorEastAsia" w:hAnsiTheme="minorEastAsia" w:hint="eastAsia"/>
                <w:b/>
                <w:bCs/>
                <w:sz w:val="24"/>
              </w:rPr>
              <w:t>一级指标</w:t>
            </w:r>
          </w:p>
        </w:tc>
        <w:tc>
          <w:tcPr>
            <w:tcW w:w="757"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二级指标</w:t>
            </w:r>
          </w:p>
        </w:tc>
        <w:tc>
          <w:tcPr>
            <w:tcW w:w="1906"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三级指标</w:t>
            </w:r>
          </w:p>
        </w:tc>
        <w:tc>
          <w:tcPr>
            <w:tcW w:w="1609"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考核标准</w:t>
            </w:r>
          </w:p>
        </w:tc>
      </w:tr>
      <w:tr>
        <w:tblPrEx>
          <w:tblW w:w="4845" w:type="pct"/>
          <w:tblInd w:w="126" w:type="dxa"/>
          <w:tblCellMar>
            <w:top w:w="0" w:type="dxa"/>
            <w:left w:w="108" w:type="dxa"/>
            <w:bottom w:w="0" w:type="dxa"/>
            <w:right w:w="108" w:type="dxa"/>
          </w:tblCellMar>
        </w:tblPrEx>
        <w:trPr>
          <w:trHeight w:hRule="exact" w:val="1283"/>
        </w:trPr>
        <w:tc>
          <w:tcPr>
            <w:tcW w:w="725" w:type="pct"/>
            <w:vMerge w:val="restar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投入指标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（10分）</w:t>
            </w:r>
          </w:p>
        </w:tc>
        <w:tc>
          <w:tcPr>
            <w:tcW w:w="757"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项目立项管理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（10分）</w:t>
            </w: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1、项目立项合规性、必要性、实施的可行性（5分）；</w:t>
            </w:r>
          </w:p>
        </w:tc>
        <w:tc>
          <w:tcPr>
            <w:tcW w:w="1609"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立项手续合规、方案可行得5分，无立项扣2分，方案欠佳扣2分；</w:t>
            </w:r>
          </w:p>
        </w:tc>
      </w:tr>
      <w:tr>
        <w:tblPrEx>
          <w:tblW w:w="4845" w:type="pct"/>
          <w:tblInd w:w="126" w:type="dxa"/>
          <w:tblCellMar>
            <w:top w:w="0" w:type="dxa"/>
            <w:left w:w="108" w:type="dxa"/>
            <w:bottom w:w="0" w:type="dxa"/>
            <w:right w:w="108" w:type="dxa"/>
          </w:tblCellMar>
        </w:tblPrEx>
        <w:trPr>
          <w:trHeight w:hRule="exact" w:val="1508"/>
        </w:trPr>
        <w:tc>
          <w:tcPr>
            <w:tcW w:w="725"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2、项目投入经济性、筹资合规性（3分）；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项目投入可行、资金来源合规得3分，投入经济性不明显得2分，经济性差不得分；</w:t>
            </w:r>
          </w:p>
        </w:tc>
      </w:tr>
      <w:tr>
        <w:tblPrEx>
          <w:tblW w:w="4845" w:type="pct"/>
          <w:tblInd w:w="126" w:type="dxa"/>
          <w:tblCellMar>
            <w:top w:w="0" w:type="dxa"/>
            <w:left w:w="108" w:type="dxa"/>
            <w:bottom w:w="0" w:type="dxa"/>
            <w:right w:w="108" w:type="dxa"/>
          </w:tblCellMar>
        </w:tblPrEx>
        <w:trPr>
          <w:trHeight w:hRule="exact" w:val="1196"/>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3、项目可持续性（2分）；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项目能达到正常设计使用年限得2分，达不到不得分；</w:t>
            </w:r>
          </w:p>
        </w:tc>
      </w:tr>
      <w:tr>
        <w:tblPrEx>
          <w:tblW w:w="4845" w:type="pct"/>
          <w:tblInd w:w="126" w:type="dxa"/>
          <w:tblCellMar>
            <w:top w:w="0" w:type="dxa"/>
            <w:left w:w="108" w:type="dxa"/>
            <w:bottom w:w="0" w:type="dxa"/>
            <w:right w:w="108" w:type="dxa"/>
          </w:tblCellMar>
        </w:tblPrEx>
        <w:trPr>
          <w:trHeight w:val="1772"/>
        </w:trPr>
        <w:tc>
          <w:tcPr>
            <w:tcW w:w="725"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管理指标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（30分）</w:t>
            </w:r>
          </w:p>
        </w:tc>
        <w:tc>
          <w:tcPr>
            <w:tcW w:w="757"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业务管理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（15分）</w:t>
            </w: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4、项目资料的完整性（6分）；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项目资料（实施方案、施工合同、竣工验收报告）完整得6分，资料不完整每有一项扣1分；</w:t>
            </w:r>
          </w:p>
        </w:tc>
      </w:tr>
      <w:tr>
        <w:tblPrEx>
          <w:tblW w:w="4845" w:type="pct"/>
          <w:tblInd w:w="126" w:type="dxa"/>
          <w:tblCellMar>
            <w:top w:w="0" w:type="dxa"/>
            <w:left w:w="108" w:type="dxa"/>
            <w:bottom w:w="0" w:type="dxa"/>
            <w:right w:w="108" w:type="dxa"/>
          </w:tblCellMar>
        </w:tblPrEx>
        <w:trPr>
          <w:trHeight w:val="1578"/>
        </w:trPr>
        <w:tc>
          <w:tcPr>
            <w:tcW w:w="725"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5、项目公开招投标情况（6分）；</w:t>
            </w:r>
          </w:p>
        </w:tc>
        <w:tc>
          <w:tcPr>
            <w:tcW w:w="1609"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项目依法依规招投标得6分，应该招标项目没有招标不得分；</w:t>
            </w:r>
          </w:p>
        </w:tc>
      </w:tr>
      <w:tr>
        <w:tblPrEx>
          <w:tblW w:w="4845" w:type="pct"/>
          <w:tblInd w:w="126" w:type="dxa"/>
          <w:tblCellMar>
            <w:top w:w="0" w:type="dxa"/>
            <w:left w:w="108" w:type="dxa"/>
            <w:bottom w:w="0" w:type="dxa"/>
            <w:right w:w="108" w:type="dxa"/>
          </w:tblCellMar>
        </w:tblPrEx>
        <w:trPr>
          <w:trHeight w:val="1173"/>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6、变更控制情况（3分）；</w:t>
            </w:r>
          </w:p>
        </w:tc>
        <w:tc>
          <w:tcPr>
            <w:tcW w:w="1609"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债券资金使用无变更得3分，变更费用每超过投资额1%，扣0.5分；</w:t>
            </w:r>
          </w:p>
        </w:tc>
      </w:tr>
      <w:tr>
        <w:tblPrEx>
          <w:tblW w:w="4845" w:type="pct"/>
          <w:tblInd w:w="126" w:type="dxa"/>
          <w:tblCellMar>
            <w:top w:w="0" w:type="dxa"/>
            <w:left w:w="108" w:type="dxa"/>
            <w:bottom w:w="0" w:type="dxa"/>
            <w:right w:w="108" w:type="dxa"/>
          </w:tblCellMar>
        </w:tblPrEx>
        <w:trPr>
          <w:trHeight w:val="1911"/>
        </w:trPr>
        <w:tc>
          <w:tcPr>
            <w:tcW w:w="725"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财务管理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（15分）</w:t>
            </w:r>
          </w:p>
        </w:tc>
        <w:tc>
          <w:tcPr>
            <w:tcW w:w="1906" w:type="pct"/>
            <w:vAlign w:val="center"/>
          </w:tcPr>
          <w:p>
            <w:pPr>
              <w:pStyle w:val="1"/>
              <w:kinsoku w:val="0"/>
              <w:overflowPunct w:val="0"/>
              <w:autoSpaceDE w:val="0"/>
              <w:autoSpaceDN w:val="0"/>
              <w:adjustRightInd w:val="0"/>
              <w:snapToGrid w:val="0"/>
              <w:spacing w:before="163" w:after="163"/>
              <w:ind w:firstLine="0"/>
              <w:jc w:val="left"/>
              <w:rPr>
                <w:rFonts w:ascii="宋体" w:eastAsia="宋体" w:hAnsi="宋体" w:cs="宋体"/>
                <w:bCs/>
                <w:sz w:val="24"/>
              </w:rPr>
            </w:pPr>
            <w:r>
              <w:rPr>
                <w:rFonts w:ascii="宋体" w:eastAsia="宋体" w:hAnsi="宋体" w:cs="宋体" w:hint="eastAsia"/>
                <w:color w:val="000000"/>
                <w:sz w:val="24"/>
              </w:rPr>
              <w:t>7、资金使用合规性（5分）</w:t>
            </w:r>
          </w:p>
        </w:tc>
        <w:tc>
          <w:tcPr>
            <w:tcW w:w="1609"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债券资金未用于经常性支出，未用于中央明令禁止的项目支出得5分，发现资金使用不合规每有一项扣1分；</w:t>
            </w:r>
          </w:p>
        </w:tc>
      </w:tr>
      <w:tr>
        <w:tblPrEx>
          <w:tblW w:w="4845" w:type="pct"/>
          <w:tblInd w:w="126" w:type="dxa"/>
          <w:tblCellMar>
            <w:top w:w="0" w:type="dxa"/>
            <w:left w:w="108" w:type="dxa"/>
            <w:bottom w:w="0" w:type="dxa"/>
            <w:right w:w="108" w:type="dxa"/>
          </w:tblCellMar>
        </w:tblPrEx>
        <w:trPr>
          <w:trHeight w:val="1282"/>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jc w:val="left"/>
              <w:rPr>
                <w:rFonts w:ascii="宋体" w:eastAsia="宋体" w:hAnsi="宋体" w:cs="宋体"/>
                <w:bCs/>
                <w:sz w:val="24"/>
              </w:rPr>
            </w:pPr>
            <w:r>
              <w:rPr>
                <w:rFonts w:ascii="宋体" w:eastAsia="宋体" w:hAnsi="宋体" w:cs="宋体" w:hint="eastAsia"/>
                <w:color w:val="000000"/>
                <w:sz w:val="24"/>
              </w:rPr>
              <w:t>8、县级财政国库集中支付情况（6分）；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及时拨付项目资金得6分，未及时拨付每发现一次扣1分；</w:t>
            </w:r>
          </w:p>
        </w:tc>
      </w:tr>
      <w:tr>
        <w:tblPrEx>
          <w:tblW w:w="4845" w:type="pct"/>
          <w:tblInd w:w="126" w:type="dxa"/>
          <w:tblCellMar>
            <w:top w:w="0" w:type="dxa"/>
            <w:left w:w="108" w:type="dxa"/>
            <w:bottom w:w="0" w:type="dxa"/>
            <w:right w:w="108" w:type="dxa"/>
          </w:tblCellMar>
        </w:tblPrEx>
        <w:trPr>
          <w:trHeight w:val="1355"/>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jc w:val="left"/>
              <w:rPr>
                <w:rFonts w:ascii="宋体" w:eastAsia="宋体" w:hAnsi="宋体" w:cs="宋体"/>
                <w:color w:val="000000"/>
                <w:sz w:val="24"/>
              </w:rPr>
            </w:pPr>
            <w:r>
              <w:rPr>
                <w:rFonts w:ascii="宋体" w:eastAsia="宋体" w:hAnsi="宋体" w:cs="宋体" w:hint="eastAsia"/>
                <w:color w:val="000000"/>
                <w:sz w:val="24"/>
              </w:rPr>
              <w:t>9、会计制度执行情况（4分）；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未发现资金有挪用、抽逃、延迟支付现象得4分，每发现一次扣减1分；</w:t>
            </w:r>
          </w:p>
        </w:tc>
      </w:tr>
      <w:tr>
        <w:tblPrEx>
          <w:tblW w:w="4845" w:type="pct"/>
          <w:tblInd w:w="126" w:type="dxa"/>
          <w:tblCellMar>
            <w:top w:w="0" w:type="dxa"/>
            <w:left w:w="108" w:type="dxa"/>
            <w:bottom w:w="0" w:type="dxa"/>
            <w:right w:w="108" w:type="dxa"/>
          </w:tblCellMar>
        </w:tblPrEx>
        <w:trPr>
          <w:trHeight w:val="1308"/>
        </w:trPr>
        <w:tc>
          <w:tcPr>
            <w:tcW w:w="725"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产出指标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（30分）</w:t>
            </w:r>
          </w:p>
        </w:tc>
        <w:tc>
          <w:tcPr>
            <w:tcW w:w="757"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项目产出管理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（30分）</w:t>
            </w: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10、工程完工情况（10分）；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考核期内项目全部完工得10分，每有一项未完工扣2分；</w:t>
            </w:r>
          </w:p>
        </w:tc>
      </w:tr>
      <w:tr>
        <w:tblPrEx>
          <w:tblW w:w="4845" w:type="pct"/>
          <w:tblInd w:w="126" w:type="dxa"/>
          <w:tblCellMar>
            <w:top w:w="0" w:type="dxa"/>
            <w:left w:w="108" w:type="dxa"/>
            <w:bottom w:w="0" w:type="dxa"/>
            <w:right w:w="108" w:type="dxa"/>
          </w:tblCellMar>
        </w:tblPrEx>
        <w:trPr>
          <w:trHeight w:val="1361"/>
        </w:trPr>
        <w:tc>
          <w:tcPr>
            <w:tcW w:w="725"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11、工期控制情况（10分）；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计划工期内完工得10分，超期完工扣2分；评价期内仍未完工不得分；</w:t>
            </w:r>
          </w:p>
        </w:tc>
      </w:tr>
      <w:tr>
        <w:tblPrEx>
          <w:tblW w:w="4845" w:type="pct"/>
          <w:tblInd w:w="126" w:type="dxa"/>
          <w:tblCellMar>
            <w:top w:w="0" w:type="dxa"/>
            <w:left w:w="108" w:type="dxa"/>
            <w:bottom w:w="0" w:type="dxa"/>
            <w:right w:w="108" w:type="dxa"/>
          </w:tblCellMar>
        </w:tblPrEx>
        <w:trPr>
          <w:trHeight w:val="1334"/>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12、完工项目验收情况（10分）；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完工后项目通过竣工验收合格得10分，完工后延迟验收扣2分，验收不合格不得分；完工后未经验收扣5分；</w:t>
            </w:r>
          </w:p>
        </w:tc>
      </w:tr>
      <w:tr>
        <w:tblPrEx>
          <w:tblW w:w="4845" w:type="pct"/>
          <w:tblInd w:w="126" w:type="dxa"/>
          <w:tblCellMar>
            <w:top w:w="0" w:type="dxa"/>
            <w:left w:w="108" w:type="dxa"/>
            <w:bottom w:w="0" w:type="dxa"/>
            <w:right w:w="108" w:type="dxa"/>
          </w:tblCellMar>
        </w:tblPrEx>
        <w:trPr>
          <w:trHeight w:val="1611"/>
        </w:trPr>
        <w:tc>
          <w:tcPr>
            <w:tcW w:w="725"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效益指标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（30份）</w:t>
            </w:r>
          </w:p>
        </w:tc>
        <w:tc>
          <w:tcPr>
            <w:tcW w:w="757"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社会效益情况</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（20分）</w:t>
            </w: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13、总体目标实现情况（8分）；</w:t>
            </w:r>
          </w:p>
        </w:tc>
        <w:tc>
          <w:tcPr>
            <w:tcW w:w="1609" w:type="pct"/>
          </w:tcPr>
          <w:p>
            <w:pPr>
              <w:kinsoku w:val="0"/>
              <w:overflowPunct w:val="0"/>
              <w:autoSpaceDE w:val="0"/>
              <w:autoSpaceDN w:val="0"/>
              <w:adjustRightInd w:val="0"/>
              <w:snapToGrid w:val="0"/>
              <w:spacing w:before="163" w:after="163"/>
              <w:rPr>
                <w:rFonts w:asciiTheme="minorEastAsia" w:hAnsiTheme="minorEastAsia" w:cs="Times New Roman"/>
                <w:kern w:val="0"/>
                <w:sz w:val="24"/>
              </w:rPr>
            </w:pPr>
            <w:r>
              <w:rPr>
                <w:rFonts w:asciiTheme="minorEastAsia" w:hAnsiTheme="minorEastAsia" w:hint="eastAsia"/>
                <w:bCs/>
                <w:sz w:val="24"/>
              </w:rPr>
              <w:t>达到预期建设目标得8分；未达到目标，每有一项扣减1分；截止到绩效评价仍未达到目标不得分；</w:t>
            </w:r>
          </w:p>
        </w:tc>
      </w:tr>
      <w:tr>
        <w:tblPrEx>
          <w:tblW w:w="4845" w:type="pct"/>
          <w:tblInd w:w="126" w:type="dxa"/>
          <w:tblCellMar>
            <w:top w:w="0" w:type="dxa"/>
            <w:left w:w="108" w:type="dxa"/>
            <w:bottom w:w="0" w:type="dxa"/>
            <w:right w:w="108" w:type="dxa"/>
          </w:tblCellMar>
        </w:tblPrEx>
        <w:trPr>
          <w:trHeight w:val="1605"/>
        </w:trPr>
        <w:tc>
          <w:tcPr>
            <w:tcW w:w="725" w:type="pct"/>
            <w:vMerge/>
            <w:vAlign w:val="center"/>
          </w:tcPr>
          <w:p>
            <w:pPr>
              <w:pStyle w:val="1"/>
              <w:kinsoku w:val="0"/>
              <w:overflowPunct w:val="0"/>
              <w:autoSpaceDE w:val="0"/>
              <w:autoSpaceDN w:val="0"/>
              <w:adjustRightInd w:val="0"/>
              <w:snapToGrid w:val="0"/>
              <w:spacing w:before="163" w:after="163"/>
              <w:ind w:firstLine="0"/>
              <w:rPr>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14、社会效益实现情况（8分）；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项目的建设对社会效益明显提升得8分，效益不明显得4分，社会效益差不得分；</w:t>
            </w:r>
          </w:p>
        </w:tc>
      </w:tr>
      <w:tr>
        <w:tblPrEx>
          <w:tblW w:w="4845" w:type="pct"/>
          <w:tblInd w:w="126" w:type="dxa"/>
          <w:tblCellMar>
            <w:top w:w="0" w:type="dxa"/>
            <w:left w:w="108" w:type="dxa"/>
            <w:bottom w:w="0" w:type="dxa"/>
            <w:right w:w="108" w:type="dxa"/>
          </w:tblCellMar>
        </w:tblPrEx>
        <w:trPr>
          <w:trHeight w:val="1744"/>
        </w:trPr>
        <w:tc>
          <w:tcPr>
            <w:tcW w:w="725"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15、社会环境（生态环境等）改善情况（4分）；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项目建设对社会环境（生态环境）有明显提升得4分，提升不明显得2分，影响社会环境不得分；</w:t>
            </w:r>
          </w:p>
        </w:tc>
      </w:tr>
      <w:tr>
        <w:tblPrEx>
          <w:tblW w:w="4845" w:type="pct"/>
          <w:tblInd w:w="126" w:type="dxa"/>
          <w:tblCellMar>
            <w:top w:w="0" w:type="dxa"/>
            <w:left w:w="108" w:type="dxa"/>
            <w:bottom w:w="0" w:type="dxa"/>
            <w:right w:w="108" w:type="dxa"/>
          </w:tblCellMar>
        </w:tblPrEx>
        <w:trPr>
          <w:trHeight w:val="1929"/>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经济效益情况</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（10分）</w:t>
            </w: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color w:val="000000"/>
                <w:sz w:val="24"/>
              </w:rPr>
            </w:pPr>
            <w:r>
              <w:rPr>
                <w:rFonts w:ascii="宋体" w:eastAsia="宋体" w:hAnsi="宋体" w:cs="宋体" w:hint="eastAsia"/>
                <w:color w:val="000000"/>
                <w:sz w:val="24"/>
              </w:rPr>
              <w:t>16、项目建设带来的直接经济效益（3分）；</w:t>
            </w:r>
          </w:p>
        </w:tc>
        <w:tc>
          <w:tcPr>
            <w:tcW w:w="1609"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宋体" w:eastAsia="宋体" w:hAnsi="宋体" w:cs="Times New Roman" w:hint="eastAsia"/>
                <w:bCs/>
                <w:sz w:val="24"/>
                <w:lang w:bidi="ar"/>
              </w:rPr>
              <w:t>项目建设能够持续带动当地直接经济效益明显提升得3分，直接经济效益不明显扣1分，无直接经济效益扣2分；</w:t>
            </w:r>
          </w:p>
        </w:tc>
      </w:tr>
      <w:tr>
        <w:tblPrEx>
          <w:tblW w:w="4845" w:type="pct"/>
          <w:tblInd w:w="126" w:type="dxa"/>
          <w:tblCellMar>
            <w:top w:w="0" w:type="dxa"/>
            <w:left w:w="108" w:type="dxa"/>
            <w:bottom w:w="0" w:type="dxa"/>
            <w:right w:w="108" w:type="dxa"/>
          </w:tblCellMar>
        </w:tblPrEx>
        <w:trPr>
          <w:trHeight w:val="1628"/>
        </w:trPr>
        <w:tc>
          <w:tcPr>
            <w:tcW w:w="725"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906"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color w:val="000000"/>
                <w:sz w:val="24"/>
              </w:rPr>
            </w:pPr>
            <w:r>
              <w:rPr>
                <w:rFonts w:ascii="宋体" w:eastAsia="宋体" w:hAnsi="宋体" w:cs="宋体" w:hint="eastAsia"/>
                <w:color w:val="000000"/>
                <w:sz w:val="24"/>
              </w:rPr>
              <w:t>17、项目建设带来的间接经济效益（7分）；</w:t>
            </w:r>
          </w:p>
        </w:tc>
        <w:tc>
          <w:tcPr>
            <w:tcW w:w="1609" w:type="pct"/>
          </w:tcPr>
          <w:p>
            <w:pPr>
              <w:pStyle w:val="1"/>
              <w:kinsoku w:val="0"/>
              <w:overflowPunct w:val="0"/>
              <w:autoSpaceDE w:val="0"/>
              <w:autoSpaceDN w:val="0"/>
              <w:adjustRightInd w:val="0"/>
              <w:snapToGrid w:val="0"/>
              <w:spacing w:before="163" w:after="163"/>
              <w:ind w:firstLine="0"/>
              <w:rPr>
                <w:rFonts w:ascii="宋体" w:eastAsia="宋体" w:hAnsi="宋体" w:cs="Times New Roman"/>
                <w:bCs/>
                <w:sz w:val="24"/>
                <w:lang w:bidi="ar"/>
              </w:rPr>
            </w:pPr>
            <w:r>
              <w:rPr>
                <w:rFonts w:ascii="宋体" w:eastAsia="宋体" w:hAnsi="宋体" w:cs="Times New Roman" w:hint="eastAsia"/>
                <w:bCs/>
                <w:sz w:val="24"/>
                <w:lang w:bidi="ar"/>
              </w:rPr>
              <w:t>项目建设能够持续带动当地间接经济效益明显提升得7分，经济效益不明显得5分；</w:t>
            </w:r>
          </w:p>
        </w:tc>
      </w:tr>
      <w:tr>
        <w:tblPrEx>
          <w:tblW w:w="4845" w:type="pct"/>
          <w:tblInd w:w="126" w:type="dxa"/>
          <w:tblCellMar>
            <w:top w:w="0" w:type="dxa"/>
            <w:left w:w="108" w:type="dxa"/>
            <w:bottom w:w="0" w:type="dxa"/>
            <w:right w:w="108" w:type="dxa"/>
          </w:tblCellMar>
        </w:tblPrEx>
        <w:trPr>
          <w:trHeight w:val="900"/>
        </w:trPr>
        <w:tc>
          <w:tcPr>
            <w:tcW w:w="725"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总分</w:t>
            </w:r>
          </w:p>
        </w:tc>
        <w:tc>
          <w:tcPr>
            <w:tcW w:w="757"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100</w:t>
            </w:r>
          </w:p>
        </w:tc>
        <w:tc>
          <w:tcPr>
            <w:tcW w:w="351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0" w:firstLineChars="200"/>
        <w:outlineLvl w:val="1"/>
        <w:rPr>
          <w:rFonts w:ascii="楷体" w:eastAsia="楷体" w:hAnsi="楷体" w:cs="楷体"/>
          <w:b/>
          <w:kern w:val="0"/>
          <w:sz w:val="32"/>
          <w:szCs w:val="32"/>
        </w:rPr>
      </w:pPr>
      <w:r>
        <w:rPr>
          <w:rFonts w:ascii="楷体" w:eastAsia="楷体" w:hAnsi="楷体" w:cs="楷体" w:hint="eastAsia"/>
          <w:b/>
          <w:kern w:val="0"/>
          <w:sz w:val="32"/>
          <w:szCs w:val="32"/>
        </w:rPr>
        <w:t>（二）绩效评价目的和依据</w:t>
      </w:r>
      <w:bookmarkEnd w:id="20"/>
      <w:bookmarkEnd w:id="21"/>
    </w:p>
    <w:p>
      <w:pPr>
        <w:ind w:firstLine="560" w:firstLineChars="200"/>
        <w:rPr>
          <w:rFonts w:ascii="仿宋" w:eastAsia="仿宋" w:hAnsi="仿宋" w:cs="仿宋"/>
          <w:b/>
          <w:bCs/>
          <w:sz w:val="28"/>
          <w:szCs w:val="28"/>
        </w:rPr>
      </w:pPr>
      <w:r>
        <w:rPr>
          <w:rFonts w:ascii="仿宋" w:eastAsia="仿宋" w:hAnsi="仿宋" w:cs="仿宋" w:hint="eastAsia"/>
          <w:b/>
          <w:bCs/>
          <w:sz w:val="28"/>
          <w:szCs w:val="28"/>
        </w:rPr>
        <w:t>1.评价目的</w:t>
      </w:r>
    </w:p>
    <w:p>
      <w:pPr>
        <w:ind w:firstLine="560" w:firstLineChars="200"/>
        <w:rPr>
          <w:rFonts w:ascii="宋体" w:eastAsia="宋体" w:hAnsi="宋体" w:cs="宋体"/>
          <w:sz w:val="28"/>
          <w:szCs w:val="28"/>
        </w:rPr>
      </w:pPr>
      <w:r>
        <w:rPr>
          <w:rFonts w:ascii="宋体" w:eastAsia="宋体" w:hAnsi="宋体" w:cs="宋体" w:hint="eastAsia"/>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eastAsia="宋体" w:hAnsi="宋体" w:cs="宋体"/>
          <w:sz w:val="28"/>
          <w:szCs w:val="28"/>
        </w:rPr>
      </w:pPr>
      <w:r>
        <w:rPr>
          <w:rFonts w:ascii="宋体" w:eastAsia="宋体" w:hAnsi="宋体" w:cs="宋体" w:hint="eastAsia"/>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eastAsia="宋体" w:hAnsi="宋体" w:cs="宋体"/>
          <w:sz w:val="28"/>
          <w:szCs w:val="28"/>
        </w:rPr>
      </w:pPr>
      <w:r>
        <w:rPr>
          <w:rFonts w:ascii="宋体" w:eastAsia="宋体" w:hAnsi="宋体" w:cs="宋体" w:hint="eastAsia"/>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宋体" w:eastAsia="宋体" w:hAnsi="宋体" w:cs="宋体"/>
          <w:sz w:val="28"/>
          <w:szCs w:val="28"/>
        </w:rPr>
      </w:pPr>
      <w:r>
        <w:rPr>
          <w:rFonts w:ascii="宋体" w:eastAsia="宋体" w:hAnsi="宋体" w:cs="宋体" w:hint="eastAsia"/>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0" w:firstLineChars="200"/>
        <w:rPr>
          <w:rFonts w:ascii="仿宋" w:eastAsia="仿宋" w:hAnsi="仿宋" w:cs="仿宋"/>
          <w:b/>
          <w:bCs/>
          <w:sz w:val="28"/>
          <w:szCs w:val="28"/>
        </w:rPr>
      </w:pPr>
      <w:r>
        <w:rPr>
          <w:rFonts w:ascii="仿宋" w:eastAsia="仿宋" w:hAnsi="仿宋" w:cs="仿宋" w:hint="eastAsia"/>
          <w:b/>
          <w:bCs/>
          <w:sz w:val="28"/>
          <w:szCs w:val="28"/>
        </w:rPr>
        <w:t>2.评价依据</w:t>
      </w:r>
    </w:p>
    <w:p>
      <w:pPr>
        <w:ind w:firstLine="560" w:firstLineChars="200"/>
        <w:rPr>
          <w:rFonts w:ascii="宋体" w:eastAsia="宋体" w:hAnsi="宋体" w:cs="宋体"/>
          <w:sz w:val="28"/>
          <w:szCs w:val="28"/>
        </w:rPr>
      </w:pPr>
      <w:r>
        <w:rPr>
          <w:rFonts w:ascii="宋体" w:eastAsia="宋体" w:hAnsi="宋体" w:cs="宋体" w:hint="eastAsia"/>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BodyText"/>
        <w:spacing w:line="530" w:lineRule="exact"/>
        <w:ind w:left="0" w:firstLine="560" w:firstLineChars="200"/>
        <w:rPr>
          <w:rFonts w:asciiTheme="minorEastAsia" w:eastAsiaTheme="minorEastAsia" w:hAnsiTheme="minorEastAsia" w:cstheme="minorEastAsia"/>
          <w:b/>
          <w:bCs/>
          <w:color w:val="000000" w:themeColor="text1"/>
          <w14:textFill>
            <w14:solidFill>
              <w14:schemeClr w14:val="tx1"/>
            </w14:solidFill>
          </w14:textFill>
        </w:rPr>
      </w:pPr>
      <w:r>
        <w:rPr>
          <w:rFonts w:asciiTheme="minorEastAsia" w:eastAsiaTheme="minorEastAsia" w:hAnsiTheme="minorEastAsia" w:cstheme="minorEastAsia" w:hint="eastAsia"/>
          <w:b/>
          <w:bCs/>
          <w:color w:val="000000" w:themeColor="text1"/>
          <w14:textFill>
            <w14:solidFill>
              <w14:schemeClr w14:val="tx1"/>
            </w14:solidFill>
          </w14:textFill>
        </w:rPr>
        <w:t>（1）法律依据</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《中华人民共和国预算法》（2018年修正）</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《中华人民共和国环境保护法》</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《中华人民共和国合同法》</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《中华人民共和国建筑法》</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《中华人民共和国会计法》</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《中华人民共和国公司法》</w:t>
      </w:r>
    </w:p>
    <w:p>
      <w:pPr>
        <w:ind w:firstLine="560" w:firstLineChars="200"/>
        <w:rPr>
          <w:rFonts w:ascii="宋体" w:eastAsia="宋体" w:hAnsi="宋体" w:cs="宋体"/>
          <w:sz w:val="28"/>
          <w:szCs w:val="28"/>
        </w:rPr>
      </w:pPr>
      <w:r>
        <w:rPr>
          <w:rFonts w:ascii="宋体" w:eastAsia="宋体" w:hAnsi="宋体" w:cs="宋体" w:hint="eastAsia"/>
          <w:sz w:val="28"/>
          <w:szCs w:val="28"/>
        </w:rPr>
        <w:t>《中华人民共和国招标投标法》</w:t>
      </w:r>
    </w:p>
    <w:p>
      <w:pPr>
        <w:ind w:firstLine="560" w:firstLineChars="200"/>
        <w:rPr>
          <w:rFonts w:asciiTheme="minorEastAsia" w:hAnsiTheme="minorEastAsia" w:cstheme="minorEastAsia"/>
          <w:color w:val="000000" w:themeColor="text1"/>
          <w:szCs w:val="28"/>
          <w14:textFill>
            <w14:solidFill>
              <w14:schemeClr w14:val="tx1"/>
            </w14:solidFill>
          </w14:textFill>
        </w:rPr>
      </w:pPr>
      <w:r>
        <w:rPr>
          <w:rFonts w:ascii="宋体" w:eastAsia="宋体" w:hAnsi="宋体" w:cs="宋体" w:hint="eastAsia"/>
          <w:sz w:val="28"/>
          <w:szCs w:val="28"/>
        </w:rPr>
        <w:t>《中华人民共和国政府采购法》</w:t>
      </w:r>
    </w:p>
    <w:p>
      <w:pPr>
        <w:pStyle w:val="BodyText"/>
        <w:rPr>
          <w:rFonts w:asciiTheme="minorEastAsia" w:eastAsiaTheme="minorEastAsia" w:hAnsiTheme="minorEastAsia" w:cstheme="minorEastAsia"/>
          <w:color w:val="000000" w:themeColor="text1"/>
          <w14:textFill>
            <w14:solidFill>
              <w14:schemeClr w14:val="tx1"/>
            </w14:solidFill>
          </w14:textFill>
        </w:rPr>
      </w:pPr>
      <w:r>
        <w:rPr>
          <w:rFonts w:asciiTheme="minorEastAsia" w:eastAsiaTheme="minorEastAsia" w:hAnsiTheme="minorEastAsia" w:cstheme="minorEastAsia" w:hint="eastAsia"/>
          <w:b/>
          <w:bCs/>
        </w:rPr>
        <w:t>（2）法规依据</w:t>
      </w:r>
    </w:p>
    <w:tbl>
      <w:tblPr>
        <w:tblStyle w:val="TableGrid"/>
        <w:tblW w:w="830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350"/>
        <w:gridCol w:w="5950"/>
      </w:tblGrid>
      <w:tr>
        <w:tblPrEx>
          <w:tblW w:w="830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blHeader/>
        </w:trPr>
        <w:tc>
          <w:tcPr>
            <w:tcW w:w="2350" w:type="dxa"/>
            <w:shd w:val="clear" w:color="auto" w:fill="BFBFBF" w:themeFill="background1" w:themeFillShade="BF"/>
            <w:vAlign w:val="center"/>
          </w:tcPr>
          <w:p>
            <w:pPr>
              <w:pStyle w:val="ListParagraph"/>
              <w:spacing w:before="156" w:after="156"/>
              <w:ind w:firstLine="0" w:firstLineChars="0"/>
              <w:jc w:val="center"/>
              <w:rPr>
                <w:rFonts w:ascii="宋体" w:eastAsia="宋体" w:hAnsi="宋体"/>
                <w:b/>
                <w:kern w:val="0"/>
                <w:sz w:val="24"/>
              </w:rPr>
            </w:pPr>
            <w:r>
              <w:rPr>
                <w:rFonts w:ascii="宋体" w:eastAsia="宋体" w:hAnsi="宋体" w:hint="eastAsia"/>
                <w:b/>
                <w:kern w:val="0"/>
                <w:sz w:val="24"/>
              </w:rPr>
              <w:t>文号</w:t>
            </w:r>
          </w:p>
        </w:tc>
        <w:tc>
          <w:tcPr>
            <w:tcW w:w="5950" w:type="dxa"/>
            <w:shd w:val="clear" w:color="auto" w:fill="BFBFBF" w:themeFill="background1" w:themeFillShade="BF"/>
            <w:vAlign w:val="center"/>
          </w:tcPr>
          <w:p>
            <w:pPr>
              <w:pStyle w:val="ListParagraph"/>
              <w:spacing w:before="156" w:after="156"/>
              <w:ind w:firstLine="0" w:firstLineChars="0"/>
              <w:jc w:val="center"/>
              <w:rPr>
                <w:rFonts w:ascii="宋体" w:eastAsia="宋体" w:hAnsi="宋体"/>
                <w:b/>
                <w:kern w:val="0"/>
                <w:sz w:val="24"/>
              </w:rPr>
            </w:pPr>
            <w:r>
              <w:rPr>
                <w:rFonts w:ascii="宋体" w:eastAsia="宋体" w:hAnsi="宋体" w:hint="eastAsia"/>
                <w:b/>
                <w:kern w:val="0"/>
                <w:sz w:val="24"/>
              </w:rPr>
              <w:t>政策名称</w:t>
            </w:r>
          </w:p>
        </w:tc>
      </w:tr>
      <w:tr>
        <w:tblPrEx>
          <w:tblW w:w="8300" w:type="dxa"/>
          <w:tblInd w:w="101" w:type="dxa"/>
          <w:tblLayout w:type="fixed"/>
          <w:tblCellMar>
            <w:top w:w="0" w:type="dxa"/>
            <w:left w:w="108" w:type="dxa"/>
            <w:bottom w:w="0" w:type="dxa"/>
            <w:right w:w="108" w:type="dxa"/>
          </w:tblCellMar>
        </w:tblPrEx>
        <w:tc>
          <w:tcPr>
            <w:tcW w:w="8300" w:type="dxa"/>
            <w:gridSpan w:val="2"/>
            <w:vAlign w:val="center"/>
          </w:tcPr>
          <w:p>
            <w:pPr>
              <w:pStyle w:val="ListParagraph"/>
              <w:spacing w:before="156" w:after="156"/>
              <w:ind w:firstLine="0" w:firstLineChars="0"/>
              <w:jc w:val="center"/>
              <w:rPr>
                <w:rFonts w:ascii="宋体" w:eastAsia="宋体" w:hAnsi="宋体"/>
                <w:b/>
                <w:kern w:val="0"/>
                <w:sz w:val="24"/>
              </w:rPr>
            </w:pPr>
          </w:p>
        </w:tc>
      </w:tr>
      <w:tr>
        <w:tblPrEx>
          <w:tblW w:w="8300" w:type="dxa"/>
          <w:tblInd w:w="101" w:type="dxa"/>
          <w:tblLayout w:type="fixed"/>
          <w:tblCellMar>
            <w:top w:w="0" w:type="dxa"/>
            <w:left w:w="108" w:type="dxa"/>
            <w:bottom w:w="0" w:type="dxa"/>
            <w:right w:w="108" w:type="dxa"/>
          </w:tblCellMar>
        </w:tblPrEx>
        <w:tc>
          <w:tcPr>
            <w:tcW w:w="23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hint="eastAsia"/>
                <w:kern w:val="0"/>
                <w:sz w:val="24"/>
              </w:rPr>
              <w:t>国务院令第714</w:t>
            </w:r>
            <w:r>
              <w:rPr>
                <w:rFonts w:ascii="宋体" w:eastAsia="宋体" w:hAnsi="宋体"/>
                <w:kern w:val="0"/>
                <w:sz w:val="24"/>
              </w:rPr>
              <w:t>号</w:t>
            </w:r>
          </w:p>
        </w:tc>
        <w:tc>
          <w:tcPr>
            <w:tcW w:w="5950" w:type="dxa"/>
            <w:vAlign w:val="center"/>
          </w:tcPr>
          <w:p>
            <w:pPr>
              <w:pStyle w:val="ListParagraph"/>
              <w:spacing w:before="156" w:after="156"/>
              <w:ind w:firstLine="0" w:firstLineChars="0"/>
              <w:rPr>
                <w:rFonts w:ascii="宋体" w:eastAsia="宋体" w:hAnsi="宋体"/>
                <w:kern w:val="0"/>
                <w:sz w:val="24"/>
              </w:rPr>
            </w:pPr>
            <w:r>
              <w:rPr>
                <w:rFonts w:ascii="宋体" w:eastAsia="宋体" w:hAnsi="宋体" w:hint="eastAsia"/>
                <w:kern w:val="0"/>
                <w:sz w:val="24"/>
              </w:rPr>
              <w:t>《建设工程质量管理条例》</w:t>
            </w:r>
          </w:p>
        </w:tc>
      </w:tr>
      <w:tr>
        <w:tblPrEx>
          <w:tblW w:w="8300" w:type="dxa"/>
          <w:tblInd w:w="101" w:type="dxa"/>
          <w:tblLayout w:type="fixed"/>
          <w:tblCellMar>
            <w:top w:w="0" w:type="dxa"/>
            <w:left w:w="108" w:type="dxa"/>
            <w:bottom w:w="0" w:type="dxa"/>
            <w:right w:w="108" w:type="dxa"/>
          </w:tblCellMar>
        </w:tblPrEx>
        <w:tc>
          <w:tcPr>
            <w:tcW w:w="23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hint="eastAsia"/>
                <w:kern w:val="0"/>
                <w:sz w:val="24"/>
              </w:rPr>
              <w:t>国务院令第393</w:t>
            </w:r>
            <w:r>
              <w:rPr>
                <w:rFonts w:ascii="宋体" w:eastAsia="宋体" w:hAnsi="宋体"/>
                <w:kern w:val="0"/>
                <w:sz w:val="24"/>
              </w:rPr>
              <w:t>号</w:t>
            </w:r>
          </w:p>
        </w:tc>
        <w:tc>
          <w:tcPr>
            <w:tcW w:w="5950" w:type="dxa"/>
            <w:vAlign w:val="center"/>
          </w:tcPr>
          <w:p>
            <w:pPr>
              <w:pStyle w:val="ListParagraph"/>
              <w:spacing w:before="156" w:after="156"/>
              <w:ind w:firstLine="0" w:firstLineChars="0"/>
              <w:rPr>
                <w:rFonts w:ascii="宋体" w:eastAsia="宋体" w:hAnsi="宋体"/>
                <w:kern w:val="0"/>
                <w:sz w:val="24"/>
              </w:rPr>
            </w:pPr>
            <w:r>
              <w:rPr>
                <w:rFonts w:ascii="宋体" w:eastAsia="宋体" w:hAnsi="宋体" w:hint="eastAsia"/>
                <w:kern w:val="0"/>
                <w:sz w:val="24"/>
              </w:rPr>
              <w:t>《建设工程安全生产管理条例》</w:t>
            </w:r>
          </w:p>
        </w:tc>
      </w:tr>
      <w:tr>
        <w:tblPrEx>
          <w:tblW w:w="8300" w:type="dxa"/>
          <w:tblInd w:w="101" w:type="dxa"/>
          <w:tblLayout w:type="fixed"/>
          <w:tblCellMar>
            <w:top w:w="0" w:type="dxa"/>
            <w:left w:w="108" w:type="dxa"/>
            <w:bottom w:w="0" w:type="dxa"/>
            <w:right w:w="108" w:type="dxa"/>
          </w:tblCellMar>
        </w:tblPrEx>
        <w:tc>
          <w:tcPr>
            <w:tcW w:w="23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hint="eastAsia"/>
                <w:kern w:val="0"/>
                <w:sz w:val="24"/>
              </w:rPr>
              <w:t>国务院令第712号</w:t>
            </w:r>
          </w:p>
        </w:tc>
        <w:tc>
          <w:tcPr>
            <w:tcW w:w="59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hint="eastAsia"/>
                <w:kern w:val="0"/>
                <w:sz w:val="24"/>
              </w:rPr>
              <w:t>《政府投资条例》</w:t>
            </w:r>
          </w:p>
        </w:tc>
      </w:tr>
      <w:tr>
        <w:tblPrEx>
          <w:tblW w:w="8300" w:type="dxa"/>
          <w:tblInd w:w="101" w:type="dxa"/>
          <w:tblLayout w:type="fixed"/>
          <w:tblCellMar>
            <w:top w:w="0" w:type="dxa"/>
            <w:left w:w="108" w:type="dxa"/>
            <w:bottom w:w="0" w:type="dxa"/>
            <w:right w:w="108" w:type="dxa"/>
          </w:tblCellMar>
        </w:tblPrEx>
        <w:tc>
          <w:tcPr>
            <w:tcW w:w="23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kern w:val="0"/>
                <w:sz w:val="24"/>
              </w:rPr>
              <w:t>国发</w:t>
            </w:r>
            <w:r>
              <w:rPr>
                <w:rFonts w:ascii="宋体" w:eastAsia="宋体" w:hAnsi="宋体" w:hint="eastAsia"/>
                <w:kern w:val="0"/>
                <w:sz w:val="24"/>
              </w:rPr>
              <w:t>〔</w:t>
            </w:r>
            <w:r>
              <w:rPr>
                <w:rFonts w:ascii="宋体" w:eastAsia="宋体" w:hAnsi="宋体"/>
                <w:kern w:val="0"/>
                <w:sz w:val="24"/>
              </w:rPr>
              <w:t>2014</w:t>
            </w:r>
            <w:r>
              <w:rPr>
                <w:rFonts w:ascii="宋体" w:eastAsia="宋体" w:hAnsi="宋体" w:hint="eastAsia"/>
                <w:kern w:val="0"/>
                <w:sz w:val="24"/>
              </w:rPr>
              <w:t>〕</w:t>
            </w:r>
            <w:r>
              <w:rPr>
                <w:rFonts w:ascii="宋体" w:eastAsia="宋体" w:hAnsi="宋体"/>
                <w:kern w:val="0"/>
                <w:sz w:val="24"/>
              </w:rPr>
              <w:t>4</w:t>
            </w:r>
            <w:r>
              <w:rPr>
                <w:rFonts w:ascii="宋体" w:eastAsia="宋体" w:hAnsi="宋体" w:hint="eastAsia"/>
                <w:kern w:val="0"/>
                <w:sz w:val="24"/>
              </w:rPr>
              <w:t>3</w:t>
            </w:r>
            <w:r>
              <w:rPr>
                <w:rFonts w:ascii="宋体" w:eastAsia="宋体" w:hAnsi="宋体"/>
                <w:kern w:val="0"/>
                <w:sz w:val="24"/>
              </w:rPr>
              <w:t>号</w:t>
            </w:r>
          </w:p>
        </w:tc>
        <w:tc>
          <w:tcPr>
            <w:tcW w:w="5950" w:type="dxa"/>
            <w:vAlign w:val="center"/>
          </w:tcPr>
          <w:p>
            <w:pPr>
              <w:pStyle w:val="ListParagraph"/>
              <w:spacing w:before="156" w:after="156"/>
              <w:ind w:firstLine="0" w:firstLineChars="0"/>
              <w:rPr>
                <w:rFonts w:ascii="宋体" w:eastAsia="宋体" w:hAnsi="宋体"/>
                <w:kern w:val="0"/>
                <w:sz w:val="24"/>
              </w:rPr>
            </w:pPr>
            <w:r>
              <w:rPr>
                <w:rFonts w:ascii="宋体" w:eastAsia="宋体" w:hAnsi="宋体"/>
                <w:kern w:val="0"/>
                <w:sz w:val="24"/>
              </w:rPr>
              <w:t>《国务院关于加强地方政府性债务管理的意见》</w:t>
            </w:r>
          </w:p>
        </w:tc>
      </w:tr>
      <w:tr>
        <w:tblPrEx>
          <w:tblW w:w="8300" w:type="dxa"/>
          <w:tblInd w:w="101" w:type="dxa"/>
          <w:tblLayout w:type="fixed"/>
          <w:tblCellMar>
            <w:top w:w="0" w:type="dxa"/>
            <w:left w:w="108" w:type="dxa"/>
            <w:bottom w:w="0" w:type="dxa"/>
            <w:right w:w="108" w:type="dxa"/>
          </w:tblCellMar>
        </w:tblPrEx>
        <w:tc>
          <w:tcPr>
            <w:tcW w:w="23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hint="eastAsia"/>
                <w:kern w:val="0"/>
                <w:sz w:val="24"/>
              </w:rPr>
              <w:t>中发〔</w:t>
            </w:r>
            <w:r>
              <w:rPr>
                <w:rFonts w:ascii="宋体" w:eastAsia="宋体" w:hAnsi="宋体"/>
                <w:kern w:val="0"/>
                <w:sz w:val="24"/>
              </w:rPr>
              <w:t>201</w:t>
            </w:r>
            <w:r>
              <w:rPr>
                <w:rFonts w:ascii="宋体" w:eastAsia="宋体" w:hAnsi="宋体" w:hint="eastAsia"/>
                <w:kern w:val="0"/>
                <w:sz w:val="24"/>
              </w:rPr>
              <w:t>8〕34号</w:t>
            </w:r>
          </w:p>
        </w:tc>
        <w:tc>
          <w:tcPr>
            <w:tcW w:w="5950" w:type="dxa"/>
            <w:vAlign w:val="center"/>
          </w:tcPr>
          <w:p>
            <w:pPr>
              <w:pStyle w:val="ListParagraph"/>
              <w:spacing w:before="156" w:after="156"/>
              <w:ind w:firstLine="0" w:firstLineChars="0"/>
              <w:jc w:val="left"/>
              <w:rPr>
                <w:rFonts w:ascii="宋体" w:eastAsia="宋体" w:hAnsi="宋体"/>
                <w:kern w:val="0"/>
                <w:sz w:val="24"/>
              </w:rPr>
            </w:pPr>
            <w:r>
              <w:rPr>
                <w:rFonts w:ascii="宋体" w:eastAsia="宋体" w:hAnsi="宋体" w:hint="eastAsia"/>
                <w:kern w:val="0"/>
                <w:sz w:val="24"/>
              </w:rPr>
              <w:t>《中共中央国务院关于全面实施预算绩效管理的意见》</w:t>
            </w:r>
          </w:p>
        </w:tc>
      </w:tr>
    </w:tbl>
    <w:p>
      <w:pPr>
        <w:spacing w:before="156" w:after="156"/>
        <w:ind w:firstLine="560" w:firstLineChars="200"/>
        <w:rPr>
          <w:rFonts w:asciiTheme="minorEastAsia" w:hAnsiTheme="minorEastAsia" w:cstheme="minorEastAsia"/>
          <w:b/>
          <w:bCs/>
          <w:spacing w:val="15"/>
          <w:sz w:val="28"/>
          <w:szCs w:val="28"/>
        </w:rPr>
      </w:pPr>
      <w:r>
        <w:rPr>
          <w:rFonts w:asciiTheme="minorEastAsia" w:hAnsiTheme="minorEastAsia" w:cstheme="minorEastAsia" w:hint="eastAsia"/>
          <w:b/>
          <w:bCs/>
          <w:spacing w:val="15"/>
          <w:sz w:val="28"/>
          <w:szCs w:val="28"/>
        </w:rPr>
        <w:t>（3）部门规章</w:t>
      </w:r>
    </w:p>
    <w:tbl>
      <w:tblPr>
        <w:tblStyle w:val="TableGrid"/>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575"/>
        <w:gridCol w:w="5721"/>
      </w:tblGrid>
      <w:tr>
        <w:tblPrEx>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blHeader/>
          <w:jc w:val="center"/>
        </w:trPr>
        <w:tc>
          <w:tcPr>
            <w:tcW w:w="2575" w:type="dxa"/>
            <w:shd w:val="clear" w:color="auto" w:fill="BFBFBF" w:themeFill="background1" w:themeFillShade="BF"/>
            <w:vAlign w:val="center"/>
          </w:tcPr>
          <w:p>
            <w:pPr>
              <w:pStyle w:val="ListParagraph"/>
              <w:spacing w:before="156" w:after="156"/>
              <w:ind w:firstLine="0" w:firstLineChars="0"/>
              <w:jc w:val="center"/>
              <w:rPr>
                <w:rFonts w:ascii="宋体" w:eastAsia="宋体" w:hAnsi="宋体" w:cs="宋体"/>
                <w:b/>
                <w:kern w:val="0"/>
                <w:sz w:val="24"/>
              </w:rPr>
            </w:pPr>
            <w:r>
              <w:rPr>
                <w:rFonts w:ascii="宋体" w:eastAsia="宋体" w:hAnsi="宋体" w:cs="宋体" w:hint="eastAsia"/>
                <w:b/>
                <w:kern w:val="0"/>
                <w:sz w:val="24"/>
              </w:rPr>
              <w:t>文号</w:t>
            </w:r>
          </w:p>
        </w:tc>
        <w:tc>
          <w:tcPr>
            <w:tcW w:w="5721" w:type="dxa"/>
            <w:shd w:val="clear" w:color="auto" w:fill="BFBFBF" w:themeFill="background1" w:themeFillShade="BF"/>
            <w:vAlign w:val="center"/>
          </w:tcPr>
          <w:p>
            <w:pPr>
              <w:pStyle w:val="ListParagraph"/>
              <w:spacing w:before="156" w:after="156"/>
              <w:ind w:firstLine="0" w:firstLineChars="0"/>
              <w:jc w:val="center"/>
              <w:rPr>
                <w:rFonts w:ascii="宋体" w:eastAsia="宋体" w:hAnsi="宋体" w:cs="宋体"/>
                <w:b/>
                <w:kern w:val="0"/>
                <w:sz w:val="24"/>
              </w:rPr>
            </w:pPr>
            <w:r>
              <w:rPr>
                <w:rFonts w:ascii="宋体" w:eastAsia="宋体" w:hAnsi="宋体" w:cs="宋体" w:hint="eastAsia"/>
                <w:b/>
                <w:kern w:val="0"/>
                <w:sz w:val="24"/>
              </w:rPr>
              <w:t>政策名称</w:t>
            </w:r>
          </w:p>
        </w:tc>
      </w:tr>
      <w:tr>
        <w:tblPrEx>
          <w:tblW w:w="8296" w:type="dxa"/>
          <w:jc w:val="center"/>
          <w:tblLayout w:type="fixed"/>
          <w:tblCellMar>
            <w:top w:w="0" w:type="dxa"/>
            <w:left w:w="108" w:type="dxa"/>
            <w:bottom w:w="0" w:type="dxa"/>
            <w:right w:w="108" w:type="dxa"/>
          </w:tblCellMar>
        </w:tblPrEx>
        <w:trPr>
          <w:jc w:val="center"/>
        </w:trPr>
        <w:tc>
          <w:tcPr>
            <w:tcW w:w="8296" w:type="dxa"/>
            <w:gridSpan w:val="2"/>
            <w:vAlign w:val="center"/>
          </w:tcPr>
          <w:p>
            <w:pPr>
              <w:pStyle w:val="ListParagraph"/>
              <w:spacing w:before="156" w:after="156"/>
              <w:ind w:firstLine="0" w:firstLineChars="0"/>
              <w:jc w:val="center"/>
              <w:rPr>
                <w:rFonts w:ascii="宋体" w:eastAsia="宋体" w:hAnsi="宋体" w:cs="宋体"/>
                <w:b/>
                <w:kern w:val="0"/>
                <w:sz w:val="24"/>
              </w:rPr>
            </w:pPr>
            <w:r>
              <w:rPr>
                <w:rFonts w:ascii="宋体" w:eastAsia="宋体" w:hAnsi="宋体" w:cs="宋体" w:hint="eastAsia"/>
                <w:b/>
                <w:kern w:val="0"/>
                <w:sz w:val="24"/>
              </w:rPr>
              <w:t>财政部门</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财库〔2014〕214号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 xml:space="preserve">财政部关于印发《政府采购竞争性磋商采购方式管理暂行办法》的通知 </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财建〔2004〕729号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《财政部关于开展&lt;中央政府投资项目预算绩效评价工作指导意见&gt;的通知》</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财预〔2020〕10号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《项目支出绩效评价管理办法》</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财预〔2017〕50 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《关于进一步规范地方政府举债融资行为的通知》</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财预〔2016〕154号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《地方政府一般债务预算管理办法》</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财预〔2011〕207号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《关于全面推进财政支出绩效评价工作的通知》</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财预〔2011〕416号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《财政部关于推进预算绩效管理的指导意见》</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财建〔2013〕165号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《经济建设项目资金预算绩效管理规则》</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财预〔2014〕45号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《财政部关于印发&lt;地方财政管理绩效综合评价方案&gt;的通知》</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财预〔2015〕82号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《关于印发预算绩效管理工作考核办法的通知》</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财办预〔2016〕123号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《关于中央部门项目支出绩效自评工作的通知》</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财预〔2018〕4号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《财政部关于印发财政管理工作绩效考核与激励办法的通知》</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财综〔2018〕42号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《财政部关于推进政府购买服务第三方绩效评价工作的指导意见》</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财预〔2018〕69号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《财政部关于印发&lt;地方财政预算执行支出进度考核办法&gt;的通知》</w:t>
            </w:r>
          </w:p>
        </w:tc>
      </w:tr>
      <w:tr>
        <w:tblPrEx>
          <w:tblW w:w="8296" w:type="dxa"/>
          <w:jc w:val="center"/>
          <w:tblLayout w:type="fixed"/>
          <w:tblCellMar>
            <w:top w:w="0" w:type="dxa"/>
            <w:left w:w="108" w:type="dxa"/>
            <w:bottom w:w="0" w:type="dxa"/>
            <w:right w:w="108" w:type="dxa"/>
          </w:tblCellMar>
        </w:tblPrEx>
        <w:trPr>
          <w:jc w:val="center"/>
        </w:trPr>
        <w:tc>
          <w:tcPr>
            <w:tcW w:w="8296" w:type="dxa"/>
            <w:gridSpan w:val="2"/>
            <w:vAlign w:val="center"/>
          </w:tcPr>
          <w:p>
            <w:pPr>
              <w:pStyle w:val="ListParagraph"/>
              <w:spacing w:before="156" w:after="156"/>
              <w:ind w:firstLine="0" w:firstLineChars="0"/>
              <w:jc w:val="center"/>
              <w:rPr>
                <w:rFonts w:ascii="宋体" w:eastAsia="宋体" w:hAnsi="宋体" w:cs="宋体"/>
                <w:kern w:val="0"/>
                <w:sz w:val="24"/>
              </w:rPr>
            </w:pPr>
            <w:r>
              <w:rPr>
                <w:rFonts w:ascii="宋体" w:eastAsia="宋体" w:hAnsi="宋体" w:cs="宋体" w:hint="eastAsia"/>
                <w:b/>
                <w:bCs/>
                <w:kern w:val="0"/>
                <w:sz w:val="24"/>
              </w:rPr>
              <w:t>地方政策文件</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冀财金〔2015〕28号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《河北省财政厅印发关于财政助推金融创新支持经济发展的实施意见》</w:t>
            </w:r>
          </w:p>
        </w:tc>
      </w:tr>
      <w:tr>
        <w:tblPrEx>
          <w:tblW w:w="8296" w:type="dxa"/>
          <w:jc w:val="center"/>
          <w:tblLayout w:type="fixed"/>
          <w:tblCellMar>
            <w:top w:w="0" w:type="dxa"/>
            <w:left w:w="108" w:type="dxa"/>
            <w:bottom w:w="0" w:type="dxa"/>
            <w:right w:w="108" w:type="dxa"/>
          </w:tblCellMar>
        </w:tblPrEx>
        <w:trPr>
          <w:jc w:val="center"/>
        </w:trPr>
        <w:tc>
          <w:tcPr>
            <w:tcW w:w="2575"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冀财综〔2018〕20号</w:t>
            </w:r>
          </w:p>
        </w:tc>
        <w:tc>
          <w:tcPr>
            <w:tcW w:w="5721" w:type="dxa"/>
            <w:vAlign w:val="center"/>
          </w:tcPr>
          <w:p>
            <w:pPr>
              <w:pStyle w:val="ListParagraph"/>
              <w:spacing w:before="156" w:after="156"/>
              <w:ind w:firstLine="0" w:firstLineChars="0"/>
              <w:rPr>
                <w:rFonts w:ascii="宋体" w:eastAsia="宋体" w:hAnsi="宋体" w:cs="宋体"/>
                <w:kern w:val="0"/>
                <w:sz w:val="24"/>
              </w:rPr>
            </w:pPr>
            <w:r>
              <w:rPr>
                <w:rFonts w:ascii="宋体" w:eastAsia="宋体" w:hAnsi="宋体" w:cs="宋体" w:hint="eastAsia"/>
                <w:kern w:val="0"/>
                <w:sz w:val="24"/>
              </w:rPr>
              <w:t>《关于印发河北省政府购买服务第三方绩效评价实施暂行办法的通知》</w:t>
            </w:r>
          </w:p>
        </w:tc>
      </w:tr>
    </w:tbl>
    <w:p>
      <w:pPr>
        <w:pStyle w:val="ListParagraph"/>
        <w:tabs>
          <w:tab w:val="left" w:pos="1623"/>
        </w:tabs>
        <w:spacing w:before="59"/>
        <w:ind w:left="560" w:firstLine="0" w:firstLineChars="0"/>
        <w:jc w:val="left"/>
        <w:rPr>
          <w:rFonts w:asciiTheme="minorEastAsia" w:hAnsiTheme="minorEastAsia" w:cstheme="minorEastAsia"/>
          <w:b/>
          <w:bCs/>
          <w:spacing w:val="-3"/>
          <w:sz w:val="28"/>
          <w:szCs w:val="28"/>
        </w:rPr>
      </w:pPr>
      <w:r>
        <w:rPr>
          <w:rFonts w:asciiTheme="minorEastAsia" w:hAnsiTheme="minorEastAsia" w:cstheme="minorEastAsia" w:hint="eastAsia"/>
          <w:b/>
          <w:bCs/>
          <w:spacing w:val="-3"/>
          <w:sz w:val="28"/>
          <w:szCs w:val="28"/>
        </w:rPr>
        <w:t>（4）相关资料</w:t>
      </w:r>
    </w:p>
    <w:tbl>
      <w:tblPr>
        <w:tblStyle w:val="TableNormal"/>
        <w:tblW w:w="8325" w:type="dxa"/>
        <w:tblInd w:w="92" w:type="dxa"/>
        <w:tblLayout w:type="fixed"/>
        <w:tblCellMar>
          <w:top w:w="0" w:type="dxa"/>
          <w:left w:w="108" w:type="dxa"/>
          <w:bottom w:w="0" w:type="dxa"/>
          <w:right w:w="108" w:type="dxa"/>
        </w:tblCellMar>
      </w:tblPr>
      <w:tblGrid>
        <w:gridCol w:w="1069"/>
        <w:gridCol w:w="7256"/>
      </w:tblGrid>
      <w:tr>
        <w:tblPrEx>
          <w:tblW w:w="8325" w:type="dxa"/>
          <w:tblInd w:w="92" w:type="dxa"/>
          <w:tblLayout w:type="fixed"/>
          <w:tblCellMar>
            <w:top w:w="0" w:type="dxa"/>
            <w:left w:w="108" w:type="dxa"/>
            <w:bottom w:w="0" w:type="dxa"/>
            <w:right w:w="108" w:type="dxa"/>
          </w:tblCellMar>
        </w:tblPrEx>
        <w:trPr>
          <w:trHeight w:val="699"/>
        </w:trPr>
        <w:tc>
          <w:tcPr>
            <w:tcW w:w="1069" w:type="dxa"/>
            <w:tcBorders>
              <w:top w:val="single" w:sz="4" w:space="0" w:color="auto"/>
              <w:left w:val="single" w:sz="4" w:space="0" w:color="auto"/>
              <w:bottom w:val="single" w:sz="4" w:space="0" w:color="auto"/>
              <w:right w:val="single" w:sz="4" w:space="0" w:color="auto"/>
            </w:tcBorders>
            <w:shd w:val="clear" w:color="auto" w:fill="A5A5A5" w:themeFill="accent3"/>
            <w:vAlign w:val="center"/>
          </w:tcPr>
          <w:p>
            <w:pPr>
              <w:widowControl/>
              <w:spacing w:before="156" w:after="156"/>
              <w:jc w:val="center"/>
              <w:rPr>
                <w:rFonts w:ascii="宋体" w:eastAsia="宋体" w:hAnsi="宋体" w:cs="宋体"/>
                <w:b/>
                <w:bCs/>
                <w:color w:val="000000"/>
                <w:kern w:val="0"/>
                <w:sz w:val="24"/>
              </w:rPr>
            </w:pPr>
            <w:bookmarkStart w:id="22" w:name="_Toc22990"/>
            <w:bookmarkStart w:id="23" w:name="_Toc20552"/>
            <w:r>
              <w:rPr>
                <w:rFonts w:ascii="宋体" w:eastAsia="宋体" w:hAnsi="宋体" w:cs="宋体" w:hint="eastAsia"/>
                <w:b/>
                <w:bCs/>
                <w:color w:val="000000"/>
                <w:kern w:val="0"/>
                <w:sz w:val="24"/>
              </w:rPr>
              <w:t>序号</w:t>
            </w:r>
          </w:p>
        </w:tc>
        <w:tc>
          <w:tcPr>
            <w:tcW w:w="7256" w:type="dxa"/>
            <w:tcBorders>
              <w:top w:val="single" w:sz="4" w:space="0" w:color="auto"/>
              <w:left w:val="nil"/>
              <w:bottom w:val="single" w:sz="4" w:space="0" w:color="auto"/>
              <w:right w:val="single" w:sz="4" w:space="0" w:color="auto"/>
            </w:tcBorders>
            <w:shd w:val="clear" w:color="auto" w:fill="A5A5A5" w:themeFill="accent3"/>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资料名称</w:t>
            </w:r>
          </w:p>
        </w:tc>
      </w:tr>
      <w:tr>
        <w:tblPrEx>
          <w:tblW w:w="8325" w:type="dxa"/>
          <w:tblInd w:w="92" w:type="dxa"/>
          <w:tblLayout w:type="fixed"/>
          <w:tblCellMar>
            <w:top w:w="0" w:type="dxa"/>
            <w:left w:w="108" w:type="dxa"/>
            <w:bottom w:w="0" w:type="dxa"/>
            <w:right w:w="108" w:type="dxa"/>
          </w:tblCellMar>
        </w:tblPrEx>
        <w:trPr>
          <w:trHeight w:val="699"/>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一</w:t>
            </w:r>
          </w:p>
        </w:tc>
        <w:tc>
          <w:tcPr>
            <w:tcW w:w="725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项目前期工作资料</w:t>
            </w:r>
          </w:p>
        </w:tc>
      </w:tr>
      <w:tr>
        <w:tblPrEx>
          <w:tblW w:w="8325" w:type="dxa"/>
          <w:tblInd w:w="92" w:type="dxa"/>
          <w:tblLayout w:type="fixed"/>
          <w:tblCellMar>
            <w:top w:w="0" w:type="dxa"/>
            <w:left w:w="108" w:type="dxa"/>
            <w:bottom w:w="0" w:type="dxa"/>
            <w:right w:w="108" w:type="dxa"/>
          </w:tblCellMar>
        </w:tblPrEx>
        <w:trPr>
          <w:trHeight w:val="699"/>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1</w:t>
            </w:r>
          </w:p>
        </w:tc>
        <w:tc>
          <w:tcPr>
            <w:tcW w:w="7256" w:type="dxa"/>
            <w:tcBorders>
              <w:top w:val="single" w:sz="4" w:space="0" w:color="auto"/>
              <w:left w:val="nil"/>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eastAsia="宋体" w:hAnsi="宋体" w:cs="宋体" w:hint="eastAsia"/>
                <w:color w:val="000000"/>
                <w:kern w:val="0"/>
                <w:sz w:val="24"/>
              </w:rPr>
              <w:t>项目批复文件</w:t>
            </w:r>
          </w:p>
        </w:tc>
      </w:tr>
      <w:tr>
        <w:tblPrEx>
          <w:tblW w:w="8325" w:type="dxa"/>
          <w:tblInd w:w="92" w:type="dxa"/>
          <w:tblLayout w:type="fixed"/>
          <w:tblCellMar>
            <w:top w:w="0" w:type="dxa"/>
            <w:left w:w="108" w:type="dxa"/>
            <w:bottom w:w="0" w:type="dxa"/>
            <w:right w:w="108" w:type="dxa"/>
          </w:tblCellMar>
        </w:tblPrEx>
        <w:trPr>
          <w:trHeight w:val="699"/>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2</w:t>
            </w:r>
          </w:p>
        </w:tc>
        <w:tc>
          <w:tcPr>
            <w:tcW w:w="725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eastAsia="宋体" w:hAnsi="宋体" w:cs="宋体" w:hint="eastAsia"/>
                <w:color w:val="000000"/>
                <w:kern w:val="0"/>
                <w:sz w:val="24"/>
              </w:rPr>
              <w:t>项目实施方案</w:t>
            </w:r>
          </w:p>
        </w:tc>
      </w:tr>
      <w:tr>
        <w:tblPrEx>
          <w:tblW w:w="8325" w:type="dxa"/>
          <w:tblInd w:w="92" w:type="dxa"/>
          <w:tblLayout w:type="fixed"/>
          <w:tblCellMar>
            <w:top w:w="0" w:type="dxa"/>
            <w:left w:w="108" w:type="dxa"/>
            <w:bottom w:w="0" w:type="dxa"/>
            <w:right w:w="108" w:type="dxa"/>
          </w:tblCellMar>
        </w:tblPrEx>
        <w:trPr>
          <w:trHeight w:val="699"/>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3</w:t>
            </w:r>
          </w:p>
        </w:tc>
        <w:tc>
          <w:tcPr>
            <w:tcW w:w="7256" w:type="dxa"/>
            <w:tcBorders>
              <w:top w:val="single" w:sz="4" w:space="0" w:color="auto"/>
              <w:left w:val="nil"/>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eastAsia="宋体" w:hAnsi="宋体" w:cs="宋体" w:hint="eastAsia"/>
                <w:color w:val="000000"/>
                <w:kern w:val="0"/>
                <w:sz w:val="24"/>
              </w:rPr>
              <w:t>省、市、县政府及各部门相关文件（针对本项目）</w:t>
            </w:r>
          </w:p>
        </w:tc>
      </w:tr>
      <w:tr>
        <w:tblPrEx>
          <w:tblW w:w="8325" w:type="dxa"/>
          <w:tblInd w:w="92" w:type="dxa"/>
          <w:tblLayout w:type="fixed"/>
          <w:tblCellMar>
            <w:top w:w="0" w:type="dxa"/>
            <w:left w:w="108" w:type="dxa"/>
            <w:bottom w:w="0" w:type="dxa"/>
            <w:right w:w="108" w:type="dxa"/>
          </w:tblCellMar>
        </w:tblPrEx>
        <w:trPr>
          <w:trHeight w:val="699"/>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4</w:t>
            </w:r>
          </w:p>
        </w:tc>
        <w:tc>
          <w:tcPr>
            <w:tcW w:w="7256" w:type="dxa"/>
            <w:tcBorders>
              <w:top w:val="single" w:sz="4" w:space="0" w:color="auto"/>
              <w:left w:val="nil"/>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eastAsia="宋体" w:hAnsi="宋体" w:cs="宋体" w:hint="eastAsia"/>
                <w:color w:val="000000"/>
                <w:kern w:val="0"/>
                <w:sz w:val="24"/>
              </w:rPr>
              <w:t>项目中标通知书</w:t>
            </w:r>
          </w:p>
        </w:tc>
      </w:tr>
      <w:tr>
        <w:tblPrEx>
          <w:tblW w:w="8325" w:type="dxa"/>
          <w:tblInd w:w="92" w:type="dxa"/>
          <w:tblLayout w:type="fixed"/>
          <w:tblCellMar>
            <w:top w:w="0" w:type="dxa"/>
            <w:left w:w="108" w:type="dxa"/>
            <w:bottom w:w="0" w:type="dxa"/>
            <w:right w:w="108" w:type="dxa"/>
          </w:tblCellMar>
        </w:tblPrEx>
        <w:trPr>
          <w:trHeight w:val="699"/>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5</w:t>
            </w:r>
          </w:p>
        </w:tc>
        <w:tc>
          <w:tcPr>
            <w:tcW w:w="7256" w:type="dxa"/>
            <w:tcBorders>
              <w:top w:val="single" w:sz="4" w:space="0" w:color="auto"/>
              <w:left w:val="nil"/>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eastAsia="宋体" w:hAnsi="宋体" w:cs="宋体" w:hint="eastAsia"/>
                <w:color w:val="000000"/>
                <w:kern w:val="0"/>
                <w:sz w:val="24"/>
              </w:rPr>
              <w:t>施工合同</w:t>
            </w:r>
          </w:p>
        </w:tc>
      </w:tr>
      <w:tr>
        <w:tblPrEx>
          <w:tblW w:w="8325" w:type="dxa"/>
          <w:tblInd w:w="92" w:type="dxa"/>
          <w:tblLayout w:type="fixed"/>
          <w:tblCellMar>
            <w:top w:w="0" w:type="dxa"/>
            <w:left w:w="108" w:type="dxa"/>
            <w:bottom w:w="0" w:type="dxa"/>
            <w:right w:w="108" w:type="dxa"/>
          </w:tblCellMar>
        </w:tblPrEx>
        <w:trPr>
          <w:trHeight w:val="699"/>
        </w:trPr>
        <w:tc>
          <w:tcPr>
            <w:tcW w:w="1069" w:type="dxa"/>
            <w:tcBorders>
              <w:top w:val="nil"/>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二</w:t>
            </w:r>
          </w:p>
        </w:tc>
        <w:tc>
          <w:tcPr>
            <w:tcW w:w="7256" w:type="dxa"/>
            <w:tcBorders>
              <w:top w:val="nil"/>
              <w:left w:val="nil"/>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项目实施过程资料</w:t>
            </w:r>
          </w:p>
        </w:tc>
      </w:tr>
      <w:tr>
        <w:tblPrEx>
          <w:tblW w:w="8325" w:type="dxa"/>
          <w:tblInd w:w="92" w:type="dxa"/>
          <w:tblLayout w:type="fixed"/>
          <w:tblCellMar>
            <w:top w:w="0" w:type="dxa"/>
            <w:left w:w="108" w:type="dxa"/>
            <w:bottom w:w="0" w:type="dxa"/>
            <w:right w:w="108" w:type="dxa"/>
          </w:tblCellMar>
        </w:tblPrEx>
        <w:trPr>
          <w:trHeight w:val="699"/>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1</w:t>
            </w:r>
          </w:p>
        </w:tc>
        <w:tc>
          <w:tcPr>
            <w:tcW w:w="725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eastAsia="宋体" w:hAnsi="宋体" w:cs="宋体" w:hint="eastAsia"/>
                <w:color w:val="000000"/>
                <w:kern w:val="0"/>
                <w:sz w:val="24"/>
              </w:rPr>
              <w:t>资金支付凭证或工程款支付单据</w:t>
            </w:r>
          </w:p>
        </w:tc>
      </w:tr>
      <w:tr>
        <w:tblPrEx>
          <w:tblW w:w="8325" w:type="dxa"/>
          <w:tblInd w:w="92" w:type="dxa"/>
          <w:tblLayout w:type="fixed"/>
          <w:tblCellMar>
            <w:top w:w="0" w:type="dxa"/>
            <w:left w:w="108" w:type="dxa"/>
            <w:bottom w:w="0" w:type="dxa"/>
            <w:right w:w="108" w:type="dxa"/>
          </w:tblCellMar>
        </w:tblPrEx>
        <w:trPr>
          <w:trHeight w:val="699"/>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b/>
                <w:bCs/>
                <w:color w:val="000000"/>
                <w:kern w:val="0"/>
                <w:sz w:val="24"/>
              </w:rPr>
            </w:pPr>
            <w:r>
              <w:rPr>
                <w:rFonts w:ascii="宋体" w:eastAsia="宋体" w:hAnsi="宋体" w:cs="宋体" w:hint="eastAsia"/>
                <w:b/>
                <w:bCs/>
                <w:color w:val="000000"/>
                <w:kern w:val="0"/>
                <w:sz w:val="24"/>
              </w:rPr>
              <w:t>2</w:t>
            </w:r>
          </w:p>
        </w:tc>
        <w:tc>
          <w:tcPr>
            <w:tcW w:w="7256"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before="156" w:after="156"/>
              <w:jc w:val="center"/>
              <w:rPr>
                <w:rFonts w:ascii="宋体" w:eastAsia="宋体" w:hAnsi="宋体" w:cs="宋体"/>
                <w:color w:val="000000"/>
                <w:kern w:val="0"/>
                <w:sz w:val="24"/>
              </w:rPr>
            </w:pPr>
            <w:r>
              <w:rPr>
                <w:rFonts w:ascii="宋体" w:hAnsi="宋体" w:cs="宋体" w:hint="eastAsia"/>
                <w:color w:val="000000"/>
                <w:kern w:val="0"/>
                <w:sz w:val="24"/>
              </w:rPr>
              <w:t>工程竣工验收报告</w:t>
            </w:r>
          </w:p>
        </w:tc>
      </w:tr>
    </w:tbl>
    <w:p>
      <w:pPr>
        <w:pStyle w:val="Heading3"/>
        <w:ind w:left="0" w:firstLine="640" w:leftChars="0" w:firstLineChars="200"/>
        <w:rPr>
          <w:rFonts w:ascii="楷体" w:eastAsia="楷体" w:hAnsi="楷体" w:cs="楷体" w:hint="default"/>
          <w:szCs w:val="32"/>
        </w:rPr>
      </w:pPr>
      <w:r>
        <w:rPr>
          <w:rFonts w:ascii="楷体" w:eastAsia="楷体" w:hAnsi="楷体" w:cs="楷体"/>
          <w:szCs w:val="32"/>
        </w:rPr>
        <w:t>（三）绩效评价工作内容和范围</w:t>
      </w:r>
      <w:bookmarkEnd w:id="22"/>
      <w:bookmarkEnd w:id="23"/>
    </w:p>
    <w:p>
      <w:pPr>
        <w:ind w:firstLine="560" w:firstLineChars="200"/>
        <w:rPr>
          <w:rFonts w:ascii="仿宋" w:eastAsia="仿宋" w:hAnsi="仿宋" w:cs="仿宋"/>
          <w:sz w:val="32"/>
          <w:szCs w:val="32"/>
        </w:rPr>
      </w:pPr>
      <w:r>
        <w:rPr>
          <w:rFonts w:ascii="宋体" w:eastAsia="宋体" w:hAnsi="宋体" w:cs="宋体" w:hint="eastAsia"/>
          <w:sz w:val="28"/>
          <w:szCs w:val="28"/>
        </w:rPr>
        <w:t>我们对本项目2019年度债券资金使用部分的项目资料的完整性、有效性作出判断，走访调查相关部门当事人，对围场县住房和城乡规划建设局提供的资料数据进行考察、核实，对绩效评价指标体系中的各项工作任务做出客观、公正的评判，不足之处究其原因作出响应</w:t>
      </w:r>
      <w:r>
        <w:rPr>
          <w:rFonts w:ascii="仿宋" w:eastAsia="仿宋" w:hAnsi="仿宋" w:cs="仿宋" w:hint="eastAsia"/>
          <w:sz w:val="32"/>
          <w:szCs w:val="32"/>
        </w:rPr>
        <w:t>。</w:t>
      </w:r>
    </w:p>
    <w:p>
      <w:pPr>
        <w:ind w:firstLine="560" w:firstLineChars="200"/>
        <w:rPr>
          <w:rFonts w:ascii="宋体" w:eastAsia="宋体" w:hAnsi="宋体" w:cs="宋体"/>
          <w:sz w:val="28"/>
          <w:szCs w:val="28"/>
        </w:rPr>
      </w:pPr>
      <w:r>
        <w:rPr>
          <w:rFonts w:ascii="宋体" w:eastAsia="宋体" w:hAnsi="宋体" w:cs="宋体" w:hint="eastAsia"/>
          <w:sz w:val="28"/>
          <w:szCs w:val="28"/>
        </w:rPr>
        <w:t>评价内容包括：</w:t>
      </w:r>
    </w:p>
    <w:p>
      <w:pPr>
        <w:ind w:firstLine="560" w:firstLineChars="200"/>
        <w:rPr>
          <w:rFonts w:ascii="宋体" w:eastAsia="宋体" w:hAnsi="宋体" w:cs="宋体"/>
          <w:sz w:val="28"/>
          <w:szCs w:val="28"/>
        </w:rPr>
      </w:pPr>
      <w:r>
        <w:rPr>
          <w:rFonts w:ascii="宋体" w:eastAsia="宋体" w:hAnsi="宋体" w:cs="宋体" w:hint="eastAsia"/>
          <w:sz w:val="28"/>
          <w:szCs w:val="28"/>
        </w:rPr>
        <w:t>1.决策情况；</w:t>
      </w:r>
    </w:p>
    <w:p>
      <w:pPr>
        <w:ind w:firstLine="560" w:firstLineChars="200"/>
        <w:rPr>
          <w:rFonts w:ascii="宋体" w:eastAsia="宋体" w:hAnsi="宋体" w:cs="宋体"/>
          <w:sz w:val="28"/>
          <w:szCs w:val="28"/>
        </w:rPr>
      </w:pPr>
      <w:r>
        <w:rPr>
          <w:rFonts w:ascii="宋体" w:eastAsia="宋体" w:hAnsi="宋体" w:cs="宋体" w:hint="eastAsia"/>
          <w:sz w:val="28"/>
          <w:szCs w:val="28"/>
        </w:rPr>
        <w:t>2.资金管理和使用情况；</w:t>
      </w:r>
    </w:p>
    <w:p>
      <w:pPr>
        <w:ind w:firstLine="560" w:firstLineChars="200"/>
        <w:rPr>
          <w:rFonts w:ascii="宋体" w:eastAsia="宋体" w:hAnsi="宋体" w:cs="宋体"/>
          <w:sz w:val="28"/>
          <w:szCs w:val="28"/>
        </w:rPr>
      </w:pPr>
      <w:r>
        <w:rPr>
          <w:rFonts w:ascii="宋体" w:eastAsia="宋体" w:hAnsi="宋体" w:cs="宋体" w:hint="eastAsia"/>
          <w:sz w:val="28"/>
          <w:szCs w:val="28"/>
        </w:rPr>
        <w:t>3.相关管理制度办法的健全性及执行情况；</w:t>
      </w:r>
    </w:p>
    <w:p>
      <w:pPr>
        <w:ind w:firstLine="560" w:firstLineChars="200"/>
        <w:rPr>
          <w:rFonts w:ascii="宋体" w:eastAsia="宋体" w:hAnsi="宋体" w:cs="宋体"/>
          <w:sz w:val="28"/>
          <w:szCs w:val="28"/>
        </w:rPr>
      </w:pPr>
      <w:r>
        <w:rPr>
          <w:rFonts w:ascii="宋体" w:eastAsia="宋体" w:hAnsi="宋体" w:cs="宋体" w:hint="eastAsia"/>
          <w:sz w:val="28"/>
          <w:szCs w:val="28"/>
        </w:rPr>
        <w:t>4.实现的产出情况；</w:t>
      </w:r>
    </w:p>
    <w:p>
      <w:pPr>
        <w:ind w:firstLine="560" w:firstLineChars="200"/>
        <w:rPr>
          <w:rFonts w:ascii="宋体" w:eastAsia="宋体" w:hAnsi="宋体" w:cs="宋体"/>
          <w:sz w:val="28"/>
          <w:szCs w:val="28"/>
        </w:rPr>
      </w:pPr>
      <w:r>
        <w:rPr>
          <w:rFonts w:ascii="宋体" w:eastAsia="宋体" w:hAnsi="宋体" w:cs="宋体" w:hint="eastAsia"/>
          <w:sz w:val="28"/>
          <w:szCs w:val="28"/>
        </w:rPr>
        <w:t>5.取得的效益情况；</w:t>
      </w:r>
    </w:p>
    <w:p>
      <w:pPr>
        <w:ind w:firstLine="560" w:firstLineChars="200"/>
        <w:rPr>
          <w:rFonts w:ascii="宋体" w:eastAsia="宋体" w:hAnsi="宋体" w:cs="宋体"/>
          <w:sz w:val="28"/>
          <w:szCs w:val="28"/>
        </w:rPr>
      </w:pPr>
      <w:r>
        <w:rPr>
          <w:rFonts w:ascii="宋体" w:eastAsia="宋体" w:hAnsi="宋体" w:cs="宋体" w:hint="eastAsia"/>
          <w:sz w:val="28"/>
          <w:szCs w:val="28"/>
        </w:rPr>
        <w:t>6.其他相关内容；</w:t>
      </w:r>
    </w:p>
    <w:p>
      <w:pPr>
        <w:ind w:firstLine="560" w:firstLineChars="200"/>
        <w:rPr>
          <w:rFonts w:ascii="宋体" w:eastAsia="宋体" w:hAnsi="宋体" w:cs="宋体"/>
          <w:sz w:val="28"/>
          <w:szCs w:val="28"/>
        </w:rPr>
      </w:pPr>
      <w:r>
        <w:rPr>
          <w:rFonts w:ascii="宋体" w:eastAsia="宋体" w:hAnsi="宋体" w:cs="宋体" w:hint="eastAsia"/>
          <w:sz w:val="28"/>
          <w:szCs w:val="28"/>
        </w:rPr>
        <w:t>评价范围包括2019年度围场县地方政府新增一般债</w:t>
      </w:r>
      <w:r>
        <w:rPr>
          <w:rFonts w:ascii="宋体" w:eastAsia="宋体" w:hAnsi="宋体" w:cs="宋体" w:hint="eastAsia"/>
          <w:sz w:val="28"/>
          <w:szCs w:val="28"/>
          <w:lang w:eastAsia="zh-CN"/>
        </w:rPr>
        <w:t>券</w:t>
      </w:r>
      <w:r>
        <w:rPr>
          <w:rFonts w:ascii="宋体" w:eastAsia="宋体" w:hAnsi="宋体" w:cs="宋体" w:hint="eastAsia"/>
          <w:sz w:val="28"/>
          <w:szCs w:val="28"/>
        </w:rPr>
        <w:t>资金的预算投入、支出情况。</w:t>
      </w:r>
    </w:p>
    <w:p>
      <w:pPr>
        <w:pStyle w:val="NormalWeb"/>
        <w:shd w:val="clear" w:color="auto" w:fill="FFFFFF"/>
        <w:spacing w:before="0" w:beforeAutospacing="0" w:after="0" w:afterAutospacing="0"/>
        <w:ind w:firstLine="640" w:firstLineChars="200"/>
        <w:outlineLvl w:val="1"/>
        <w:rPr>
          <w:rFonts w:ascii="楷体" w:eastAsia="楷体" w:hAnsi="楷体" w:cs="楷体"/>
          <w:b/>
          <w:bCs/>
          <w:color w:val="000000" w:themeColor="text1"/>
          <w:kern w:val="2"/>
          <w:sz w:val="32"/>
          <w:szCs w:val="32"/>
          <w14:textFill>
            <w14:solidFill>
              <w14:schemeClr w14:val="tx1"/>
            </w14:solidFill>
          </w14:textFill>
        </w:rPr>
      </w:pPr>
      <w:bookmarkStart w:id="24" w:name="_Toc30379"/>
      <w:bookmarkStart w:id="25" w:name="_Toc28016"/>
      <w:r>
        <w:rPr>
          <w:rFonts w:ascii="楷体" w:eastAsia="楷体" w:hAnsi="楷体" w:cs="楷体" w:hint="eastAsia"/>
          <w:b/>
          <w:bCs/>
          <w:color w:val="000000" w:themeColor="text1"/>
          <w:kern w:val="2"/>
          <w:sz w:val="32"/>
          <w:szCs w:val="32"/>
          <w14:textFill>
            <w14:solidFill>
              <w14:schemeClr w14:val="tx1"/>
            </w14:solidFill>
          </w14:textFill>
        </w:rPr>
        <w:t>（四）绩效评价标准和方法</w:t>
      </w:r>
      <w:bookmarkEnd w:id="24"/>
      <w:bookmarkEnd w:id="25"/>
    </w:p>
    <w:p>
      <w:pPr>
        <w:ind w:firstLine="560" w:firstLineChars="200"/>
        <w:rPr>
          <w:rFonts w:ascii="宋体" w:eastAsia="宋体" w:hAnsi="宋体" w:cs="宋体"/>
          <w:sz w:val="28"/>
          <w:szCs w:val="28"/>
        </w:rPr>
      </w:pPr>
      <w:r>
        <w:rPr>
          <w:rFonts w:ascii="宋体" w:eastAsia="宋体" w:hAnsi="宋体" w:cs="宋体" w:hint="eastAsia"/>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17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eastAsia="宋体" w:hAnsi="宋体" w:cs="宋体"/>
          <w:sz w:val="28"/>
          <w:szCs w:val="28"/>
        </w:rPr>
      </w:pPr>
      <w:r>
        <w:rPr>
          <w:rFonts w:ascii="宋体" w:eastAsia="宋体" w:hAnsi="宋体" w:cs="宋体" w:hint="eastAsia"/>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eastAsia="宋体" w:hAnsi="宋体" w:cs="宋体"/>
          <w:sz w:val="28"/>
          <w:szCs w:val="28"/>
        </w:rPr>
      </w:pPr>
      <w:r>
        <w:rPr>
          <w:rFonts w:ascii="宋体" w:eastAsia="宋体" w:hAnsi="宋体" w:cs="宋体" w:hint="eastAsia"/>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ind w:firstLine="560" w:firstLineChars="200"/>
        <w:rPr>
          <w:rFonts w:ascii="宋体" w:eastAsia="宋体" w:hAnsi="宋体" w:cs="宋体"/>
          <w:sz w:val="28"/>
          <w:szCs w:val="28"/>
        </w:rPr>
      </w:pPr>
      <w:r>
        <w:rPr>
          <w:rFonts w:ascii="宋体" w:eastAsia="宋体" w:hAnsi="宋体" w:cs="宋体" w:hint="eastAsia"/>
          <w:sz w:val="28"/>
          <w:szCs w:val="28"/>
        </w:rPr>
        <w:t>评价方法：</w:t>
      </w:r>
    </w:p>
    <w:p>
      <w:pPr>
        <w:ind w:firstLine="560" w:firstLineChars="200"/>
        <w:rPr>
          <w:rFonts w:ascii="宋体" w:eastAsia="宋体" w:hAnsi="宋体" w:cs="宋体"/>
          <w:sz w:val="28"/>
          <w:szCs w:val="28"/>
        </w:rPr>
      </w:pPr>
      <w:r>
        <w:rPr>
          <w:rFonts w:ascii="宋体" w:eastAsia="宋体" w:hAnsi="宋体" w:cs="宋体" w:hint="eastAsia"/>
          <w:sz w:val="28"/>
          <w:szCs w:val="28"/>
        </w:rPr>
        <w:t>1、层次分析法</w:t>
      </w:r>
    </w:p>
    <w:p>
      <w:pPr>
        <w:ind w:firstLine="560" w:firstLineChars="200"/>
        <w:rPr>
          <w:rFonts w:ascii="宋体" w:eastAsia="宋体" w:hAnsi="宋体" w:cs="宋体"/>
          <w:sz w:val="28"/>
          <w:szCs w:val="28"/>
        </w:rPr>
      </w:pPr>
      <w:r>
        <w:rPr>
          <w:rFonts w:ascii="宋体" w:eastAsia="宋体" w:hAnsi="宋体" w:cs="宋体" w:hint="eastAsia"/>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ind w:firstLine="560" w:firstLineChars="200"/>
        <w:rPr>
          <w:rFonts w:ascii="宋体" w:eastAsia="宋体" w:hAnsi="宋体" w:cs="宋体"/>
          <w:sz w:val="28"/>
          <w:szCs w:val="28"/>
        </w:rPr>
      </w:pPr>
      <w:r>
        <w:rPr>
          <w:rFonts w:ascii="宋体" w:eastAsia="宋体" w:hAnsi="宋体" w:cs="宋体" w:hint="eastAsia"/>
          <w:sz w:val="28"/>
          <w:szCs w:val="28"/>
        </w:rPr>
        <w:t>2、对比分析法</w:t>
      </w:r>
    </w:p>
    <w:p>
      <w:pPr>
        <w:ind w:firstLine="560" w:firstLineChars="200"/>
        <w:rPr>
          <w:rFonts w:ascii="宋体" w:eastAsia="宋体" w:hAnsi="宋体" w:cs="宋体"/>
          <w:sz w:val="28"/>
          <w:szCs w:val="28"/>
        </w:rPr>
      </w:pPr>
      <w:r>
        <w:rPr>
          <w:rFonts w:ascii="宋体" w:eastAsia="宋体" w:hAnsi="宋体" w:cs="宋体" w:hint="eastAsia"/>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ind w:firstLine="560" w:firstLineChars="200"/>
        <w:rPr>
          <w:rFonts w:ascii="宋体" w:eastAsia="宋体" w:hAnsi="宋体" w:cs="宋体"/>
          <w:sz w:val="28"/>
          <w:szCs w:val="28"/>
        </w:rPr>
      </w:pPr>
      <w:r>
        <w:rPr>
          <w:rFonts w:ascii="宋体" w:eastAsia="宋体" w:hAnsi="宋体" w:cs="宋体" w:hint="eastAsia"/>
          <w:sz w:val="28"/>
          <w:szCs w:val="28"/>
        </w:rPr>
        <w:t>3、成本效益分析法。是指将投入与产出、效益进行关联性分析的方法。</w:t>
      </w:r>
    </w:p>
    <w:p>
      <w:pPr>
        <w:ind w:firstLine="560" w:firstLineChars="200"/>
        <w:rPr>
          <w:rFonts w:ascii="宋体" w:eastAsia="宋体" w:hAnsi="宋体" w:cs="宋体"/>
          <w:sz w:val="28"/>
          <w:szCs w:val="28"/>
        </w:rPr>
      </w:pPr>
      <w:r>
        <w:rPr>
          <w:rFonts w:ascii="宋体" w:eastAsia="宋体" w:hAnsi="宋体" w:cs="宋体" w:hint="eastAsia"/>
          <w:sz w:val="28"/>
          <w:szCs w:val="28"/>
        </w:rPr>
        <w:t>4、因素分析法。是指综合分析影响绩效目标实现、实施效果的内外部因素的方法。</w:t>
      </w:r>
    </w:p>
    <w:p>
      <w:pPr>
        <w:ind w:firstLine="560" w:firstLineChars="200"/>
        <w:rPr>
          <w:rFonts w:ascii="宋体" w:eastAsia="宋体" w:hAnsi="宋体" w:cs="宋体"/>
          <w:sz w:val="28"/>
          <w:szCs w:val="28"/>
        </w:rPr>
      </w:pPr>
      <w:r>
        <w:rPr>
          <w:rFonts w:ascii="宋体" w:eastAsia="宋体" w:hAnsi="宋体" w:cs="宋体" w:hint="eastAsia"/>
          <w:sz w:val="28"/>
          <w:szCs w:val="28"/>
        </w:rPr>
        <w:t>5、调查法</w:t>
      </w:r>
    </w:p>
    <w:p>
      <w:pPr>
        <w:ind w:firstLine="560" w:firstLineChars="200"/>
        <w:rPr>
          <w:rFonts w:ascii="宋体" w:eastAsia="宋体" w:hAnsi="宋体" w:cs="宋体"/>
          <w:sz w:val="28"/>
          <w:szCs w:val="28"/>
        </w:rPr>
      </w:pPr>
      <w:r>
        <w:rPr>
          <w:rFonts w:ascii="宋体" w:eastAsia="宋体" w:hAnsi="宋体" w:cs="宋体" w:hint="eastAsia"/>
          <w:sz w:val="28"/>
          <w:szCs w:val="28"/>
        </w:rPr>
        <w:t>掌握客观、真实的信息、数据是后评价工作的先决条件和基础，在很多项目中，经常采用收集档案资料、座谈、电话、走访及调查等方法相结合的方式。</w:t>
      </w:r>
    </w:p>
    <w:p>
      <w:pPr>
        <w:pStyle w:val="NormalWeb"/>
        <w:shd w:val="clear" w:color="auto" w:fill="FFFFFF"/>
        <w:spacing w:before="0" w:beforeAutospacing="0" w:after="0" w:afterAutospacing="0"/>
        <w:ind w:firstLine="640" w:firstLineChars="200"/>
        <w:outlineLvl w:val="1"/>
        <w:rPr>
          <w:rFonts w:ascii="楷体" w:eastAsia="楷体" w:hAnsi="楷体" w:cs="楷体"/>
          <w:b/>
          <w:bCs/>
          <w:color w:val="000000" w:themeColor="text1"/>
          <w:kern w:val="2"/>
          <w:sz w:val="32"/>
          <w:szCs w:val="32"/>
          <w14:textFill>
            <w14:solidFill>
              <w14:schemeClr w14:val="tx1"/>
            </w14:solidFill>
          </w14:textFill>
        </w:rPr>
      </w:pPr>
      <w:bookmarkStart w:id="26" w:name="_Toc8164"/>
      <w:bookmarkStart w:id="27" w:name="_Toc20778"/>
      <w:bookmarkStart w:id="28" w:name="_Toc12042"/>
      <w:bookmarkStart w:id="29" w:name="_Toc29690"/>
      <w:r>
        <w:rPr>
          <w:rFonts w:ascii="楷体" w:eastAsia="楷体" w:hAnsi="楷体" w:cs="楷体" w:hint="eastAsia"/>
          <w:b/>
          <w:bCs/>
          <w:color w:val="000000" w:themeColor="text1"/>
          <w:kern w:val="2"/>
          <w:sz w:val="32"/>
          <w:szCs w:val="32"/>
          <w14:textFill>
            <w14:solidFill>
              <w14:schemeClr w14:val="tx1"/>
            </w14:solidFill>
          </w14:textFill>
        </w:rPr>
        <w:t>（五）绩效评价工作过程</w:t>
      </w:r>
      <w:bookmarkEnd w:id="26"/>
      <w:bookmarkEnd w:id="27"/>
      <w:bookmarkEnd w:id="28"/>
    </w:p>
    <w:p>
      <w:pPr>
        <w:ind w:firstLine="560" w:firstLineChars="200"/>
        <w:rPr>
          <w:rFonts w:ascii="宋体" w:eastAsia="宋体" w:hAnsi="宋体" w:cs="宋体"/>
          <w:sz w:val="28"/>
          <w:szCs w:val="28"/>
        </w:rPr>
      </w:pPr>
      <w:bookmarkStart w:id="30" w:name="_Toc2087"/>
      <w:bookmarkStart w:id="31" w:name="_Toc13042"/>
      <w:bookmarkStart w:id="32" w:name="_Toc17563"/>
      <w:bookmarkStart w:id="33" w:name="_Toc18780"/>
      <w:bookmarkStart w:id="34" w:name="_Toc22556"/>
      <w:bookmarkStart w:id="35" w:name="_Toc31807"/>
      <w:r>
        <w:rPr>
          <w:rFonts w:ascii="宋体" w:eastAsia="宋体" w:hAnsi="宋体" w:cs="宋体" w:hint="eastAsia"/>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30"/>
      <w:bookmarkEnd w:id="31"/>
      <w:bookmarkEnd w:id="32"/>
      <w:bookmarkEnd w:id="33"/>
      <w:bookmarkEnd w:id="34"/>
      <w:bookmarkEnd w:id="35"/>
    </w:p>
    <w:p>
      <w:pPr>
        <w:spacing w:before="156" w:beforeLines="50" w:after="156" w:afterLines="50"/>
        <w:ind w:left="420" w:firstLine="280" w:leftChars="200" w:firstLineChars="100"/>
        <w:outlineLvl w:val="1"/>
        <w:rPr>
          <w:rFonts w:ascii="宋体" w:eastAsia="宋体" w:hAnsi="宋体" w:cs="宋体"/>
          <w:b/>
          <w:bCs/>
          <w:kern w:val="0"/>
          <w:sz w:val="28"/>
          <w:szCs w:val="28"/>
        </w:rPr>
      </w:pPr>
      <w:bookmarkStart w:id="36" w:name="_Toc14572"/>
      <w:bookmarkStart w:id="37" w:name="_Toc24311"/>
      <w:bookmarkStart w:id="38" w:name="_Toc24529"/>
      <w:bookmarkStart w:id="39" w:name="_Toc15494"/>
      <w:bookmarkStart w:id="40" w:name="_Toc14297"/>
      <w:bookmarkStart w:id="41" w:name="_Toc19058"/>
      <w:bookmarkStart w:id="42" w:name="_Toc1487"/>
      <w:bookmarkStart w:id="43" w:name="_Toc24972"/>
      <w:bookmarkStart w:id="44" w:name="_Toc17036"/>
      <w:bookmarkStart w:id="45" w:name="_Toc27413"/>
      <w:r>
        <w:rPr>
          <w:rFonts w:ascii="宋体" w:eastAsia="宋体" w:hAnsi="宋体" w:cs="宋体" w:hint="eastAsia"/>
          <w:b/>
          <w:bCs/>
          <w:kern w:val="0"/>
          <w:sz w:val="28"/>
          <w:szCs w:val="28"/>
        </w:rPr>
        <w:t>1、明确项目团队的职责与分工</w:t>
      </w:r>
      <w:bookmarkEnd w:id="36"/>
      <w:bookmarkEnd w:id="37"/>
      <w:bookmarkEnd w:id="38"/>
      <w:bookmarkEnd w:id="39"/>
      <w:bookmarkEnd w:id="40"/>
      <w:bookmarkEnd w:id="41"/>
      <w:bookmarkEnd w:id="42"/>
      <w:bookmarkEnd w:id="43"/>
      <w:bookmarkEnd w:id="44"/>
      <w:bookmarkEnd w:id="45"/>
    </w:p>
    <w:tbl>
      <w:tblPr>
        <w:tblStyle w:val="TableGrid"/>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81"/>
        <w:gridCol w:w="1705"/>
        <w:gridCol w:w="1428"/>
        <w:gridCol w:w="4311"/>
      </w:tblGrid>
      <w:tr>
        <w:tblPrEx>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80"/>
          <w:tblHeader/>
          <w:jc w:val="center"/>
        </w:trPr>
        <w:tc>
          <w:tcPr>
            <w:tcW w:w="881" w:type="dxa"/>
            <w:shd w:val="clear" w:color="auto" w:fill="BFBFBF" w:themeFill="background1" w:themeFillShade="BF"/>
            <w:vAlign w:val="center"/>
          </w:tcPr>
          <w:p>
            <w:pPr>
              <w:jc w:val="center"/>
              <w:rPr>
                <w:rFonts w:ascii="宋体" w:eastAsia="宋体" w:hAnsi="宋体" w:cs="宋体"/>
                <w:b/>
                <w:bCs/>
                <w:kern w:val="0"/>
                <w:sz w:val="24"/>
              </w:rPr>
            </w:pPr>
            <w:r>
              <w:rPr>
                <w:rFonts w:ascii="宋体" w:eastAsia="宋体" w:hAnsi="宋体" w:cs="宋体" w:hint="eastAsia"/>
                <w:b/>
                <w:bCs/>
                <w:kern w:val="0"/>
                <w:sz w:val="24"/>
              </w:rPr>
              <w:t>序号</w:t>
            </w:r>
          </w:p>
        </w:tc>
        <w:tc>
          <w:tcPr>
            <w:tcW w:w="1705" w:type="dxa"/>
            <w:shd w:val="clear" w:color="auto" w:fill="BFBFBF" w:themeFill="background1" w:themeFillShade="BF"/>
            <w:vAlign w:val="center"/>
          </w:tcPr>
          <w:p>
            <w:pPr>
              <w:jc w:val="center"/>
              <w:rPr>
                <w:rFonts w:ascii="宋体" w:eastAsia="宋体" w:hAnsi="宋体" w:cs="宋体"/>
                <w:b/>
                <w:bCs/>
                <w:kern w:val="0"/>
                <w:sz w:val="24"/>
              </w:rPr>
            </w:pPr>
            <w:r>
              <w:rPr>
                <w:rFonts w:ascii="宋体" w:eastAsia="宋体" w:hAnsi="宋体" w:cs="宋体" w:hint="eastAsia"/>
                <w:b/>
                <w:bCs/>
                <w:kern w:val="0"/>
                <w:sz w:val="24"/>
              </w:rPr>
              <w:t>职务</w:t>
            </w:r>
          </w:p>
        </w:tc>
        <w:tc>
          <w:tcPr>
            <w:tcW w:w="1428" w:type="dxa"/>
            <w:shd w:val="clear" w:color="auto" w:fill="BFBFBF" w:themeFill="background1" w:themeFillShade="BF"/>
            <w:vAlign w:val="center"/>
          </w:tcPr>
          <w:p>
            <w:pPr>
              <w:jc w:val="center"/>
              <w:rPr>
                <w:rFonts w:ascii="宋体" w:eastAsia="宋体" w:hAnsi="宋体" w:cs="宋体"/>
                <w:b/>
                <w:bCs/>
                <w:kern w:val="0"/>
                <w:sz w:val="24"/>
              </w:rPr>
            </w:pPr>
            <w:r>
              <w:rPr>
                <w:rFonts w:ascii="宋体" w:eastAsia="宋体" w:hAnsi="宋体" w:cs="宋体" w:hint="eastAsia"/>
                <w:b/>
                <w:bCs/>
                <w:kern w:val="0"/>
                <w:sz w:val="24"/>
              </w:rPr>
              <w:t>负责人</w:t>
            </w:r>
          </w:p>
        </w:tc>
        <w:tc>
          <w:tcPr>
            <w:tcW w:w="4311" w:type="dxa"/>
            <w:shd w:val="clear" w:color="auto" w:fill="BFBFBF" w:themeFill="background1" w:themeFillShade="BF"/>
            <w:vAlign w:val="center"/>
          </w:tcPr>
          <w:p>
            <w:pPr>
              <w:pStyle w:val="1"/>
              <w:ind w:firstLine="0"/>
              <w:jc w:val="center"/>
              <w:rPr>
                <w:rFonts w:ascii="宋体" w:eastAsia="宋体" w:hAnsi="宋体" w:cs="宋体"/>
                <w:b/>
                <w:bCs/>
                <w:kern w:val="0"/>
                <w:sz w:val="24"/>
              </w:rPr>
            </w:pPr>
            <w:r>
              <w:rPr>
                <w:rFonts w:ascii="宋体" w:eastAsia="宋体" w:hAnsi="宋体" w:cs="宋体" w:hint="eastAsia"/>
                <w:b/>
                <w:bCs/>
                <w:kern w:val="0"/>
                <w:sz w:val="24"/>
              </w:rPr>
              <w:t>工作职责</w:t>
            </w: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pStyle w:val="1"/>
              <w:ind w:firstLine="0"/>
              <w:jc w:val="center"/>
              <w:rPr>
                <w:rFonts w:ascii="宋体" w:eastAsia="宋体" w:hAnsi="宋体" w:cs="宋体"/>
                <w:b/>
                <w:bCs/>
                <w:spacing w:val="15"/>
                <w:sz w:val="24"/>
              </w:rPr>
            </w:pPr>
            <w:r>
              <w:rPr>
                <w:rFonts w:ascii="宋体" w:eastAsia="宋体" w:hAnsi="宋体" w:cs="宋体" w:hint="eastAsia"/>
                <w:b/>
                <w:bCs/>
                <w:spacing w:val="15"/>
                <w:sz w:val="24"/>
              </w:rPr>
              <w:t>1</w:t>
            </w:r>
          </w:p>
        </w:tc>
        <w:tc>
          <w:tcPr>
            <w:tcW w:w="1705" w:type="dxa"/>
            <w:vMerge w:val="restart"/>
            <w:vAlign w:val="center"/>
          </w:tcPr>
          <w:p>
            <w:pPr>
              <w:jc w:val="center"/>
              <w:rPr>
                <w:rFonts w:ascii="宋体" w:eastAsia="宋体" w:hAnsi="宋体" w:cs="宋体"/>
                <w:kern w:val="0"/>
                <w:sz w:val="24"/>
              </w:rPr>
            </w:pPr>
            <w:r>
              <w:rPr>
                <w:rFonts w:ascii="宋体" w:eastAsia="宋体" w:hAnsi="宋体" w:cs="宋体" w:hint="eastAsia"/>
                <w:kern w:val="0"/>
                <w:sz w:val="24"/>
              </w:rPr>
              <w:t>负责人</w:t>
            </w:r>
          </w:p>
        </w:tc>
        <w:tc>
          <w:tcPr>
            <w:tcW w:w="1428" w:type="dxa"/>
            <w:vAlign w:val="center"/>
          </w:tcPr>
          <w:p>
            <w:pPr>
              <w:jc w:val="center"/>
              <w:rPr>
                <w:rFonts w:ascii="宋体" w:eastAsia="宋体" w:hAnsi="宋体" w:cs="宋体"/>
                <w:kern w:val="0"/>
                <w:sz w:val="24"/>
                <w:highlight w:val="yellow"/>
              </w:rPr>
            </w:pPr>
            <w:r>
              <w:rPr>
                <w:rFonts w:ascii="宋体" w:eastAsia="宋体" w:hAnsi="宋体" w:cs="宋体" w:hint="eastAsia"/>
                <w:kern w:val="0"/>
                <w:sz w:val="24"/>
              </w:rPr>
              <w:t>崔春华</w:t>
            </w:r>
          </w:p>
        </w:tc>
        <w:tc>
          <w:tcPr>
            <w:tcW w:w="4311" w:type="dxa"/>
            <w:vMerge w:val="restart"/>
            <w:vAlign w:val="center"/>
          </w:tcPr>
          <w:p>
            <w:pPr>
              <w:jc w:val="center"/>
              <w:rPr>
                <w:rFonts w:ascii="宋体" w:eastAsia="宋体" w:hAnsi="宋体" w:cs="宋体"/>
                <w:kern w:val="0"/>
                <w:sz w:val="24"/>
              </w:rPr>
            </w:pPr>
            <w:r>
              <w:rPr>
                <w:rFonts w:ascii="宋体" w:eastAsia="宋体" w:hAnsi="宋体" w:cs="宋体" w:hint="eastAsia"/>
                <w:kern w:val="0"/>
                <w:sz w:val="24"/>
              </w:rPr>
              <w:t>主持全面工作</w:t>
            </w: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pStyle w:val="1"/>
              <w:ind w:firstLine="0"/>
              <w:jc w:val="center"/>
              <w:rPr>
                <w:rFonts w:ascii="宋体" w:eastAsia="宋体" w:hAnsi="宋体" w:cs="宋体"/>
                <w:b/>
                <w:bCs/>
                <w:spacing w:val="15"/>
                <w:sz w:val="24"/>
              </w:rPr>
            </w:pPr>
            <w:r>
              <w:rPr>
                <w:rFonts w:ascii="宋体" w:eastAsia="宋体" w:hAnsi="宋体" w:cs="宋体" w:hint="eastAsia"/>
                <w:b/>
                <w:bCs/>
                <w:spacing w:val="15"/>
                <w:sz w:val="24"/>
              </w:rPr>
              <w:t>2</w:t>
            </w:r>
          </w:p>
        </w:tc>
        <w:tc>
          <w:tcPr>
            <w:tcW w:w="1705" w:type="dxa"/>
            <w:vMerge/>
            <w:vAlign w:val="center"/>
          </w:tcPr>
          <w:p>
            <w:pPr>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白秀云</w:t>
            </w:r>
          </w:p>
        </w:tc>
        <w:tc>
          <w:tcPr>
            <w:tcW w:w="4311" w:type="dxa"/>
            <w:vMerge/>
            <w:vAlign w:val="center"/>
          </w:tcPr>
          <w:p>
            <w:pPr>
              <w:jc w:val="center"/>
              <w:rPr>
                <w:rFonts w:ascii="宋体" w:eastAsia="宋体" w:hAnsi="宋体" w:cs="宋体"/>
                <w:kern w:val="0"/>
                <w:sz w:val="24"/>
              </w:rPr>
            </w:pPr>
          </w:p>
        </w:tc>
      </w:tr>
      <w:tr>
        <w:tblPrEx>
          <w:tblW w:w="8325" w:type="dxa"/>
          <w:jc w:val="center"/>
          <w:tblLayout w:type="fixed"/>
          <w:tblCellMar>
            <w:top w:w="0" w:type="dxa"/>
            <w:left w:w="108" w:type="dxa"/>
            <w:bottom w:w="0" w:type="dxa"/>
            <w:right w:w="108" w:type="dxa"/>
          </w:tblCellMar>
        </w:tblPrEx>
        <w:trPr>
          <w:trHeight w:val="808"/>
          <w:jc w:val="center"/>
        </w:trPr>
        <w:tc>
          <w:tcPr>
            <w:tcW w:w="881" w:type="dxa"/>
            <w:vAlign w:val="center"/>
          </w:tcPr>
          <w:p>
            <w:pPr>
              <w:pStyle w:val="1"/>
              <w:ind w:firstLine="0"/>
              <w:jc w:val="center"/>
              <w:rPr>
                <w:rFonts w:ascii="宋体" w:eastAsia="宋体" w:hAnsi="宋体" w:cs="宋体"/>
                <w:b/>
                <w:bCs/>
                <w:spacing w:val="15"/>
                <w:sz w:val="24"/>
                <w:highlight w:val="yellow"/>
              </w:rPr>
            </w:pPr>
            <w:r>
              <w:rPr>
                <w:rFonts w:ascii="宋体" w:eastAsia="宋体" w:hAnsi="宋体" w:cs="宋体" w:hint="eastAsia"/>
                <w:b/>
                <w:bCs/>
                <w:spacing w:val="15"/>
                <w:sz w:val="24"/>
              </w:rPr>
              <w:t>3</w:t>
            </w:r>
          </w:p>
        </w:tc>
        <w:tc>
          <w:tcPr>
            <w:tcW w:w="1705" w:type="dxa"/>
            <w:vMerge w:val="restart"/>
            <w:vAlign w:val="center"/>
          </w:tcPr>
          <w:p>
            <w:pPr>
              <w:jc w:val="center"/>
              <w:rPr>
                <w:rFonts w:ascii="宋体" w:eastAsia="宋体" w:hAnsi="宋体" w:cs="宋体"/>
                <w:kern w:val="0"/>
                <w:sz w:val="24"/>
              </w:rPr>
            </w:pPr>
            <w:r>
              <w:rPr>
                <w:rFonts w:ascii="宋体" w:eastAsia="宋体" w:hAnsi="宋体" w:cs="宋体" w:hint="eastAsia"/>
                <w:kern w:val="0"/>
                <w:sz w:val="24"/>
              </w:rPr>
              <w:t>协调</w:t>
            </w:r>
          </w:p>
        </w:tc>
        <w:tc>
          <w:tcPr>
            <w:tcW w:w="1428" w:type="dxa"/>
            <w:vAlign w:val="center"/>
          </w:tcPr>
          <w:p>
            <w:pPr>
              <w:jc w:val="center"/>
              <w:rPr>
                <w:rFonts w:ascii="宋体" w:eastAsia="宋体" w:hAnsi="宋体" w:cs="宋体"/>
                <w:kern w:val="0"/>
                <w:sz w:val="24"/>
                <w:highlight w:val="yellow"/>
              </w:rPr>
            </w:pPr>
            <w:r>
              <w:rPr>
                <w:rFonts w:ascii="宋体" w:eastAsia="宋体" w:hAnsi="宋体" w:cs="宋体" w:hint="eastAsia"/>
                <w:kern w:val="0"/>
                <w:sz w:val="24"/>
              </w:rPr>
              <w:t>王雪</w:t>
            </w:r>
          </w:p>
        </w:tc>
        <w:tc>
          <w:tcPr>
            <w:tcW w:w="4311" w:type="dxa"/>
            <w:vAlign w:val="center"/>
          </w:tcPr>
          <w:p>
            <w:pPr>
              <w:rPr>
                <w:rFonts w:ascii="宋体" w:eastAsia="宋体" w:hAnsi="宋体" w:cs="宋体"/>
                <w:kern w:val="0"/>
                <w:sz w:val="24"/>
              </w:rPr>
            </w:pPr>
            <w:r>
              <w:rPr>
                <w:rFonts w:ascii="宋体" w:eastAsia="宋体" w:hAnsi="宋体" w:cs="宋体" w:hint="eastAsia"/>
                <w:spacing w:val="15"/>
                <w:sz w:val="24"/>
              </w:rPr>
              <w:t>负责协调项目实施机构、项目公司等与项目有关的部门及机构</w:t>
            </w:r>
          </w:p>
        </w:tc>
      </w:tr>
      <w:tr>
        <w:tblPrEx>
          <w:tblW w:w="8325" w:type="dxa"/>
          <w:jc w:val="center"/>
          <w:tblLayout w:type="fixed"/>
          <w:tblCellMar>
            <w:top w:w="0" w:type="dxa"/>
            <w:left w:w="108" w:type="dxa"/>
            <w:bottom w:w="0" w:type="dxa"/>
            <w:right w:w="108" w:type="dxa"/>
          </w:tblCellMar>
        </w:tblPrEx>
        <w:trPr>
          <w:trHeight w:val="795"/>
          <w:jc w:val="center"/>
        </w:trPr>
        <w:tc>
          <w:tcPr>
            <w:tcW w:w="881" w:type="dxa"/>
            <w:vAlign w:val="center"/>
          </w:tcPr>
          <w:p>
            <w:pPr>
              <w:pStyle w:val="1"/>
              <w:ind w:firstLine="0"/>
              <w:jc w:val="center"/>
              <w:rPr>
                <w:rFonts w:ascii="宋体" w:eastAsia="宋体" w:hAnsi="宋体" w:cs="宋体"/>
                <w:b/>
                <w:bCs/>
                <w:spacing w:val="15"/>
                <w:sz w:val="24"/>
              </w:rPr>
            </w:pPr>
            <w:r>
              <w:rPr>
                <w:rFonts w:ascii="宋体" w:eastAsia="宋体" w:hAnsi="宋体" w:cs="宋体" w:hint="eastAsia"/>
                <w:b/>
                <w:bCs/>
                <w:spacing w:val="15"/>
                <w:sz w:val="24"/>
              </w:rPr>
              <w:t>4</w:t>
            </w:r>
          </w:p>
        </w:tc>
        <w:tc>
          <w:tcPr>
            <w:tcW w:w="1705" w:type="dxa"/>
            <w:vMerge/>
            <w:vAlign w:val="center"/>
          </w:tcPr>
          <w:p>
            <w:pPr>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穆阳</w:t>
            </w:r>
          </w:p>
        </w:tc>
        <w:tc>
          <w:tcPr>
            <w:tcW w:w="4311" w:type="dxa"/>
            <w:vAlign w:val="center"/>
          </w:tcPr>
          <w:p>
            <w:pPr>
              <w:rPr>
                <w:rFonts w:ascii="宋体" w:eastAsia="宋体" w:hAnsi="宋体" w:cs="宋体"/>
                <w:spacing w:val="15"/>
                <w:sz w:val="24"/>
              </w:rPr>
            </w:pPr>
            <w:r>
              <w:rPr>
                <w:rFonts w:ascii="宋体" w:eastAsia="宋体" w:hAnsi="宋体" w:cs="宋体" w:hint="eastAsia"/>
                <w:spacing w:val="15"/>
                <w:sz w:val="24"/>
              </w:rPr>
              <w:t>负责绩效评价工作小组成员的协调等相关工作。</w:t>
            </w: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pStyle w:val="1"/>
              <w:ind w:firstLine="0"/>
              <w:jc w:val="center"/>
              <w:rPr>
                <w:rFonts w:ascii="宋体" w:eastAsia="宋体" w:hAnsi="宋体" w:cs="宋体"/>
                <w:b/>
                <w:bCs/>
                <w:spacing w:val="15"/>
                <w:sz w:val="24"/>
              </w:rPr>
            </w:pPr>
            <w:r>
              <w:rPr>
                <w:rFonts w:ascii="宋体" w:eastAsia="宋体" w:hAnsi="宋体" w:cs="宋体" w:hint="eastAsia"/>
                <w:b/>
                <w:bCs/>
                <w:spacing w:val="15"/>
                <w:sz w:val="24"/>
              </w:rPr>
              <w:t>5</w:t>
            </w:r>
          </w:p>
        </w:tc>
        <w:tc>
          <w:tcPr>
            <w:tcW w:w="1705" w:type="dxa"/>
            <w:vMerge w:val="restart"/>
            <w:vAlign w:val="center"/>
          </w:tcPr>
          <w:p>
            <w:pPr>
              <w:pStyle w:val="1"/>
              <w:ind w:firstLine="0"/>
              <w:jc w:val="center"/>
              <w:rPr>
                <w:rFonts w:ascii="宋体" w:eastAsia="宋体" w:hAnsi="宋体" w:cs="宋体"/>
                <w:kern w:val="0"/>
                <w:sz w:val="24"/>
              </w:rPr>
            </w:pPr>
            <w:r>
              <w:rPr>
                <w:rFonts w:ascii="宋体" w:eastAsia="宋体" w:hAnsi="宋体" w:cs="宋体" w:hint="eastAsia"/>
                <w:kern w:val="0"/>
                <w:sz w:val="24"/>
              </w:rPr>
              <w:t>监管审核</w:t>
            </w: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吴丽珍</w:t>
            </w:r>
          </w:p>
        </w:tc>
        <w:tc>
          <w:tcPr>
            <w:tcW w:w="4311" w:type="dxa"/>
            <w:vMerge w:val="restart"/>
            <w:vAlign w:val="center"/>
          </w:tcPr>
          <w:p>
            <w:pPr>
              <w:rPr>
                <w:rFonts w:ascii="宋体" w:eastAsia="宋体" w:hAnsi="宋体" w:cs="宋体"/>
                <w:kern w:val="0"/>
                <w:sz w:val="24"/>
              </w:rPr>
            </w:pPr>
            <w:r>
              <w:rPr>
                <w:rFonts w:ascii="宋体" w:eastAsia="宋体" w:hAnsi="宋体" w:cs="宋体" w:hint="eastAsia"/>
                <w:kern w:val="0"/>
                <w:sz w:val="24"/>
              </w:rPr>
              <w:t>资料检查、管理、归档</w:t>
            </w: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pStyle w:val="1"/>
              <w:ind w:firstLine="0"/>
              <w:jc w:val="center"/>
              <w:rPr>
                <w:rFonts w:ascii="宋体" w:eastAsia="宋体" w:hAnsi="宋体" w:cs="宋体"/>
                <w:b/>
                <w:bCs/>
                <w:spacing w:val="15"/>
                <w:sz w:val="24"/>
              </w:rPr>
            </w:pPr>
            <w:r>
              <w:rPr>
                <w:rFonts w:ascii="宋体" w:eastAsia="宋体" w:hAnsi="宋体" w:cs="宋体" w:hint="eastAsia"/>
                <w:b/>
                <w:bCs/>
                <w:spacing w:val="15"/>
                <w:sz w:val="24"/>
              </w:rPr>
              <w:t>6</w:t>
            </w:r>
          </w:p>
        </w:tc>
        <w:tc>
          <w:tcPr>
            <w:tcW w:w="1705" w:type="dxa"/>
            <w:vMerge/>
            <w:vAlign w:val="center"/>
          </w:tcPr>
          <w:p>
            <w:pPr>
              <w:pStyle w:val="1"/>
              <w:ind w:firstLine="0"/>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穆阳</w:t>
            </w:r>
          </w:p>
        </w:tc>
        <w:tc>
          <w:tcPr>
            <w:tcW w:w="4311" w:type="dxa"/>
            <w:vMerge/>
            <w:vAlign w:val="center"/>
          </w:tcPr>
          <w:p>
            <w:pPr>
              <w:jc w:val="center"/>
              <w:rPr>
                <w:rFonts w:ascii="宋体" w:eastAsia="宋体" w:hAnsi="宋体" w:cs="宋体"/>
                <w:kern w:val="0"/>
                <w:sz w:val="24"/>
              </w:rPr>
            </w:pP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jc w:val="center"/>
              <w:rPr>
                <w:rFonts w:ascii="宋体" w:eastAsia="宋体" w:hAnsi="宋体" w:cs="宋体"/>
                <w:b/>
                <w:bCs/>
                <w:spacing w:val="15"/>
                <w:sz w:val="24"/>
              </w:rPr>
            </w:pPr>
            <w:r>
              <w:rPr>
                <w:rFonts w:ascii="宋体" w:eastAsia="宋体" w:hAnsi="宋体" w:cs="宋体" w:hint="eastAsia"/>
                <w:b/>
                <w:bCs/>
                <w:spacing w:val="15"/>
                <w:sz w:val="24"/>
              </w:rPr>
              <w:t>7</w:t>
            </w:r>
          </w:p>
        </w:tc>
        <w:tc>
          <w:tcPr>
            <w:tcW w:w="1705" w:type="dxa"/>
            <w:vMerge w:val="restart"/>
            <w:vAlign w:val="center"/>
          </w:tcPr>
          <w:p>
            <w:pPr>
              <w:jc w:val="center"/>
              <w:rPr>
                <w:rFonts w:ascii="宋体" w:eastAsia="宋体" w:hAnsi="宋体" w:cs="宋体"/>
                <w:kern w:val="0"/>
                <w:sz w:val="24"/>
              </w:rPr>
            </w:pPr>
            <w:r>
              <w:rPr>
                <w:rFonts w:ascii="宋体" w:eastAsia="宋体" w:hAnsi="宋体" w:cs="宋体" w:hint="eastAsia"/>
                <w:kern w:val="0"/>
                <w:sz w:val="24"/>
              </w:rPr>
              <w:t>项目评价</w:t>
            </w: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崔春华</w:t>
            </w:r>
          </w:p>
        </w:tc>
        <w:tc>
          <w:tcPr>
            <w:tcW w:w="4311" w:type="dxa"/>
            <w:vMerge w:val="restart"/>
            <w:vAlign w:val="center"/>
          </w:tcPr>
          <w:p>
            <w:pPr>
              <w:rPr>
                <w:rFonts w:ascii="宋体" w:eastAsia="宋体" w:hAnsi="宋体" w:cs="宋体"/>
                <w:kern w:val="0"/>
                <w:sz w:val="24"/>
              </w:rPr>
            </w:pPr>
            <w:r>
              <w:rPr>
                <w:rFonts w:ascii="宋体" w:eastAsia="宋体" w:hAnsi="宋体" w:cs="宋体" w:hint="eastAsia"/>
                <w:kern w:val="0"/>
                <w:sz w:val="24"/>
              </w:rPr>
              <w:t>现场调查、走访，出具绩效评价报告</w:t>
            </w: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jc w:val="center"/>
              <w:rPr>
                <w:rFonts w:ascii="宋体" w:eastAsia="宋体" w:hAnsi="宋体" w:cs="宋体"/>
                <w:b/>
                <w:bCs/>
                <w:spacing w:val="15"/>
                <w:sz w:val="24"/>
              </w:rPr>
            </w:pPr>
            <w:r>
              <w:rPr>
                <w:rFonts w:ascii="宋体" w:eastAsia="宋体" w:hAnsi="宋体" w:cs="宋体" w:hint="eastAsia"/>
                <w:b/>
                <w:bCs/>
                <w:spacing w:val="15"/>
                <w:sz w:val="24"/>
              </w:rPr>
              <w:t>8</w:t>
            </w:r>
          </w:p>
        </w:tc>
        <w:tc>
          <w:tcPr>
            <w:tcW w:w="1705" w:type="dxa"/>
            <w:vMerge/>
            <w:vAlign w:val="center"/>
          </w:tcPr>
          <w:p>
            <w:pPr>
              <w:pStyle w:val="1"/>
              <w:ind w:firstLine="0"/>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白秀云</w:t>
            </w:r>
          </w:p>
        </w:tc>
        <w:tc>
          <w:tcPr>
            <w:tcW w:w="4311" w:type="dxa"/>
            <w:vMerge/>
            <w:vAlign w:val="center"/>
          </w:tcPr>
          <w:p>
            <w:pPr>
              <w:jc w:val="center"/>
              <w:rPr>
                <w:rFonts w:ascii="宋体" w:eastAsia="宋体" w:hAnsi="宋体" w:cs="宋体"/>
                <w:kern w:val="0"/>
                <w:sz w:val="24"/>
              </w:rPr>
            </w:pP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jc w:val="center"/>
              <w:rPr>
                <w:rFonts w:ascii="宋体" w:eastAsia="宋体" w:hAnsi="宋体" w:cs="宋体"/>
                <w:b/>
                <w:bCs/>
                <w:spacing w:val="15"/>
                <w:sz w:val="24"/>
              </w:rPr>
            </w:pPr>
            <w:r>
              <w:rPr>
                <w:rFonts w:ascii="宋体" w:eastAsia="宋体" w:hAnsi="宋体" w:cs="宋体" w:hint="eastAsia"/>
                <w:b/>
                <w:bCs/>
                <w:spacing w:val="15"/>
                <w:sz w:val="24"/>
              </w:rPr>
              <w:t>9</w:t>
            </w:r>
          </w:p>
        </w:tc>
        <w:tc>
          <w:tcPr>
            <w:tcW w:w="1705" w:type="dxa"/>
            <w:vMerge/>
            <w:vAlign w:val="center"/>
          </w:tcPr>
          <w:p>
            <w:pPr>
              <w:pStyle w:val="1"/>
              <w:ind w:firstLine="0"/>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穆阳</w:t>
            </w:r>
          </w:p>
        </w:tc>
        <w:tc>
          <w:tcPr>
            <w:tcW w:w="4311" w:type="dxa"/>
            <w:vMerge/>
            <w:vAlign w:val="center"/>
          </w:tcPr>
          <w:p>
            <w:pPr>
              <w:jc w:val="center"/>
              <w:rPr>
                <w:rFonts w:ascii="宋体" w:eastAsia="宋体" w:hAnsi="宋体" w:cs="宋体"/>
                <w:kern w:val="0"/>
                <w:sz w:val="24"/>
              </w:rPr>
            </w:pP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jc w:val="center"/>
              <w:rPr>
                <w:rFonts w:ascii="宋体" w:eastAsia="宋体" w:hAnsi="宋体" w:cs="宋体"/>
                <w:b/>
                <w:bCs/>
                <w:spacing w:val="15"/>
                <w:sz w:val="24"/>
              </w:rPr>
            </w:pPr>
            <w:r>
              <w:rPr>
                <w:rFonts w:ascii="宋体" w:eastAsia="宋体" w:hAnsi="宋体" w:cs="宋体" w:hint="eastAsia"/>
                <w:b/>
                <w:bCs/>
                <w:spacing w:val="15"/>
                <w:sz w:val="24"/>
              </w:rPr>
              <w:t>10</w:t>
            </w:r>
          </w:p>
        </w:tc>
        <w:tc>
          <w:tcPr>
            <w:tcW w:w="1705" w:type="dxa"/>
            <w:vMerge/>
            <w:vAlign w:val="center"/>
          </w:tcPr>
          <w:p>
            <w:pPr>
              <w:pStyle w:val="1"/>
              <w:ind w:firstLine="0"/>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敖立军</w:t>
            </w:r>
          </w:p>
        </w:tc>
        <w:tc>
          <w:tcPr>
            <w:tcW w:w="4311" w:type="dxa"/>
            <w:vMerge/>
            <w:vAlign w:val="center"/>
          </w:tcPr>
          <w:p>
            <w:pPr>
              <w:jc w:val="center"/>
              <w:rPr>
                <w:rFonts w:ascii="宋体" w:eastAsia="宋体" w:hAnsi="宋体" w:cs="宋体"/>
                <w:kern w:val="0"/>
                <w:sz w:val="24"/>
              </w:rPr>
            </w:pPr>
          </w:p>
        </w:tc>
      </w:tr>
      <w:tr>
        <w:tblPrEx>
          <w:tblW w:w="8325" w:type="dxa"/>
          <w:jc w:val="center"/>
          <w:tblLayout w:type="fixed"/>
          <w:tblCellMar>
            <w:top w:w="0" w:type="dxa"/>
            <w:left w:w="108" w:type="dxa"/>
            <w:bottom w:w="0" w:type="dxa"/>
            <w:right w:w="108" w:type="dxa"/>
          </w:tblCellMar>
        </w:tblPrEx>
        <w:trPr>
          <w:trHeight w:val="680"/>
          <w:jc w:val="center"/>
        </w:trPr>
        <w:tc>
          <w:tcPr>
            <w:tcW w:w="881" w:type="dxa"/>
            <w:vAlign w:val="center"/>
          </w:tcPr>
          <w:p>
            <w:pPr>
              <w:jc w:val="center"/>
              <w:rPr>
                <w:rFonts w:ascii="宋体" w:eastAsia="宋体" w:hAnsi="宋体" w:cs="宋体"/>
                <w:b/>
                <w:bCs/>
                <w:spacing w:val="15"/>
                <w:sz w:val="24"/>
              </w:rPr>
            </w:pPr>
            <w:r>
              <w:rPr>
                <w:rFonts w:ascii="宋体" w:eastAsia="宋体" w:hAnsi="宋体" w:cs="宋体" w:hint="eastAsia"/>
                <w:b/>
                <w:bCs/>
                <w:spacing w:val="15"/>
                <w:sz w:val="24"/>
              </w:rPr>
              <w:t>11</w:t>
            </w:r>
          </w:p>
        </w:tc>
        <w:tc>
          <w:tcPr>
            <w:tcW w:w="1705" w:type="dxa"/>
            <w:vMerge/>
            <w:vAlign w:val="center"/>
          </w:tcPr>
          <w:p>
            <w:pPr>
              <w:pStyle w:val="1"/>
              <w:ind w:firstLine="0"/>
              <w:jc w:val="center"/>
              <w:rPr>
                <w:rFonts w:ascii="宋体" w:eastAsia="宋体" w:hAnsi="宋体" w:cs="宋体"/>
                <w:kern w:val="0"/>
                <w:sz w:val="24"/>
              </w:rPr>
            </w:pPr>
          </w:p>
        </w:tc>
        <w:tc>
          <w:tcPr>
            <w:tcW w:w="1428" w:type="dxa"/>
            <w:vAlign w:val="center"/>
          </w:tcPr>
          <w:p>
            <w:pPr>
              <w:jc w:val="center"/>
              <w:rPr>
                <w:rFonts w:ascii="宋体" w:eastAsia="宋体" w:hAnsi="宋体" w:cs="宋体"/>
                <w:kern w:val="0"/>
                <w:sz w:val="24"/>
              </w:rPr>
            </w:pPr>
            <w:r>
              <w:rPr>
                <w:rFonts w:ascii="宋体" w:eastAsia="宋体" w:hAnsi="宋体" w:cs="宋体" w:hint="eastAsia"/>
                <w:kern w:val="0"/>
                <w:sz w:val="24"/>
              </w:rPr>
              <w:t>杨莉洁</w:t>
            </w:r>
          </w:p>
        </w:tc>
        <w:tc>
          <w:tcPr>
            <w:tcW w:w="4311" w:type="dxa"/>
            <w:vMerge/>
            <w:vAlign w:val="center"/>
          </w:tcPr>
          <w:p>
            <w:pPr>
              <w:jc w:val="center"/>
              <w:rPr>
                <w:rFonts w:ascii="宋体" w:eastAsia="宋体" w:hAnsi="宋体" w:cs="宋体"/>
                <w:kern w:val="0"/>
                <w:sz w:val="24"/>
              </w:rPr>
            </w:pPr>
          </w:p>
        </w:tc>
      </w:tr>
    </w:tbl>
    <w:p>
      <w:pPr>
        <w:spacing w:before="156" w:beforeLines="50" w:after="156" w:afterLines="50"/>
        <w:ind w:left="420" w:firstLine="280" w:leftChars="200" w:firstLineChars="100"/>
        <w:outlineLvl w:val="1"/>
        <w:rPr>
          <w:rFonts w:ascii="宋体" w:eastAsia="宋体" w:hAnsi="宋体" w:cs="宋体"/>
          <w:b/>
          <w:bCs/>
          <w:kern w:val="0"/>
          <w:sz w:val="28"/>
          <w:szCs w:val="28"/>
        </w:rPr>
      </w:pPr>
      <w:bookmarkStart w:id="46" w:name="_Toc6642"/>
      <w:bookmarkStart w:id="47" w:name="_Toc27143"/>
      <w:bookmarkStart w:id="48" w:name="_Toc31637"/>
      <w:bookmarkStart w:id="49" w:name="_Toc29931"/>
      <w:bookmarkStart w:id="50" w:name="_Toc28394"/>
      <w:bookmarkStart w:id="51" w:name="_Toc25494"/>
      <w:r>
        <w:rPr>
          <w:rFonts w:ascii="宋体" w:eastAsia="宋体" w:hAnsi="宋体" w:cs="宋体" w:hint="eastAsia"/>
          <w:b/>
          <w:bCs/>
          <w:kern w:val="0"/>
          <w:sz w:val="28"/>
          <w:szCs w:val="28"/>
        </w:rPr>
        <w:t>2、评价工作各相关当事方的职责</w:t>
      </w:r>
      <w:bookmarkEnd w:id="46"/>
      <w:bookmarkEnd w:id="47"/>
      <w:bookmarkEnd w:id="48"/>
      <w:bookmarkEnd w:id="49"/>
      <w:bookmarkEnd w:id="50"/>
      <w:bookmarkEnd w:id="51"/>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4"/>
        <w:gridCol w:w="2263"/>
        <w:gridCol w:w="517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78"/>
          <w:tblHeader/>
          <w:jc w:val="center"/>
        </w:trPr>
        <w:tc>
          <w:tcPr>
            <w:tcW w:w="844" w:type="dxa"/>
            <w:shd w:val="clear" w:color="auto" w:fill="BEBEBE"/>
            <w:vAlign w:val="center"/>
          </w:tcPr>
          <w:p>
            <w:pPr>
              <w:jc w:val="center"/>
              <w:rPr>
                <w:rFonts w:ascii="宋体" w:eastAsia="宋体" w:hAnsi="宋体"/>
                <w:b/>
                <w:bCs/>
                <w:kern w:val="0"/>
                <w:sz w:val="24"/>
              </w:rPr>
            </w:pPr>
            <w:r>
              <w:rPr>
                <w:rFonts w:ascii="宋体" w:eastAsia="宋体" w:hAnsi="宋体" w:hint="eastAsia"/>
                <w:b/>
                <w:bCs/>
                <w:kern w:val="0"/>
                <w:sz w:val="24"/>
              </w:rPr>
              <w:t>序号</w:t>
            </w:r>
          </w:p>
        </w:tc>
        <w:tc>
          <w:tcPr>
            <w:tcW w:w="2263" w:type="dxa"/>
            <w:shd w:val="clear" w:color="auto" w:fill="BEBEBE"/>
            <w:vAlign w:val="center"/>
          </w:tcPr>
          <w:p>
            <w:pPr>
              <w:jc w:val="center"/>
              <w:rPr>
                <w:rFonts w:ascii="宋体" w:eastAsia="宋体" w:hAnsi="宋体"/>
                <w:b/>
                <w:bCs/>
                <w:kern w:val="0"/>
                <w:sz w:val="24"/>
              </w:rPr>
            </w:pPr>
            <w:r>
              <w:rPr>
                <w:rFonts w:ascii="宋体" w:eastAsia="宋体" w:hAnsi="宋体" w:hint="eastAsia"/>
                <w:b/>
                <w:bCs/>
                <w:spacing w:val="15"/>
                <w:kern w:val="0"/>
                <w:sz w:val="24"/>
              </w:rPr>
              <w:t>各相关当事方</w:t>
            </w:r>
          </w:p>
        </w:tc>
        <w:tc>
          <w:tcPr>
            <w:tcW w:w="5172" w:type="dxa"/>
            <w:shd w:val="clear" w:color="auto" w:fill="BEBEBE"/>
            <w:vAlign w:val="center"/>
          </w:tcPr>
          <w:p>
            <w:pPr>
              <w:jc w:val="center"/>
              <w:rPr>
                <w:rFonts w:ascii="宋体" w:eastAsia="宋体" w:hAnsi="宋体"/>
                <w:b/>
                <w:bCs/>
                <w:kern w:val="0"/>
                <w:sz w:val="24"/>
              </w:rPr>
            </w:pPr>
            <w:r>
              <w:rPr>
                <w:rFonts w:ascii="宋体" w:eastAsia="宋体" w:hAnsi="宋体" w:hint="eastAsia"/>
                <w:b/>
                <w:bCs/>
                <w:kern w:val="0"/>
                <w:sz w:val="24"/>
              </w:rPr>
              <w:t>职责</w:t>
            </w:r>
          </w:p>
        </w:tc>
      </w:tr>
      <w:tr>
        <w:tblPrEx>
          <w:tblW w:w="0" w:type="auto"/>
          <w:jc w:val="center"/>
          <w:tblLayout w:type="fixed"/>
          <w:tblCellMar>
            <w:top w:w="0" w:type="dxa"/>
            <w:left w:w="108" w:type="dxa"/>
            <w:bottom w:w="0" w:type="dxa"/>
            <w:right w:w="108" w:type="dxa"/>
          </w:tblCellMar>
        </w:tblPrEx>
        <w:trPr>
          <w:trHeight w:val="1913"/>
          <w:jc w:val="center"/>
        </w:trPr>
        <w:tc>
          <w:tcPr>
            <w:tcW w:w="844" w:type="dxa"/>
            <w:vAlign w:val="center"/>
          </w:tcPr>
          <w:p>
            <w:pPr>
              <w:jc w:val="center"/>
              <w:rPr>
                <w:rFonts w:ascii="宋体" w:eastAsia="宋体" w:hAnsi="宋体"/>
                <w:b/>
                <w:bCs/>
                <w:kern w:val="0"/>
                <w:sz w:val="24"/>
              </w:rPr>
            </w:pPr>
            <w:r>
              <w:rPr>
                <w:rFonts w:ascii="宋体" w:eastAsia="宋体" w:hAnsi="宋体" w:hint="eastAsia"/>
                <w:b/>
                <w:bCs/>
                <w:kern w:val="0"/>
                <w:sz w:val="24"/>
              </w:rPr>
              <w:t>1</w:t>
            </w:r>
          </w:p>
        </w:tc>
        <w:tc>
          <w:tcPr>
            <w:tcW w:w="2263" w:type="dxa"/>
            <w:vAlign w:val="center"/>
          </w:tcPr>
          <w:p>
            <w:pPr>
              <w:jc w:val="center"/>
              <w:rPr>
                <w:rFonts w:ascii="宋体" w:eastAsia="宋体" w:hAnsi="宋体"/>
                <w:spacing w:val="15"/>
                <w:kern w:val="0"/>
                <w:sz w:val="24"/>
              </w:rPr>
            </w:pPr>
            <w:r>
              <w:rPr>
                <w:rFonts w:ascii="宋体" w:eastAsia="宋体" w:hAnsi="宋体" w:hint="eastAsia"/>
                <w:spacing w:val="15"/>
                <w:kern w:val="0"/>
                <w:sz w:val="24"/>
              </w:rPr>
              <w:t>委托方</w:t>
            </w:r>
          </w:p>
        </w:tc>
        <w:tc>
          <w:tcPr>
            <w:tcW w:w="5172" w:type="dxa"/>
            <w:vAlign w:val="center"/>
          </w:tcPr>
          <w:p>
            <w:pPr>
              <w:numPr>
                <w:ilvl w:val="0"/>
                <w:numId w:val="1"/>
              </w:numPr>
              <w:rPr>
                <w:rFonts w:ascii="宋体" w:eastAsia="宋体" w:hAnsi="宋体" w:cs="宋体"/>
                <w:spacing w:val="15"/>
                <w:kern w:val="0"/>
                <w:sz w:val="24"/>
              </w:rPr>
            </w:pPr>
            <w:r>
              <w:rPr>
                <w:rFonts w:ascii="宋体" w:eastAsia="宋体" w:hAnsi="宋体" w:cs="宋体" w:hint="eastAsia"/>
                <w:spacing w:val="15"/>
                <w:kern w:val="0"/>
                <w:sz w:val="24"/>
              </w:rPr>
              <w:t>明确王雪同志参加绩效评价工作，负责与相关部门沟通协调，确保绩效评价工作正常开展。</w:t>
            </w:r>
          </w:p>
          <w:p>
            <w:pPr>
              <w:rPr>
                <w:rFonts w:ascii="宋体" w:eastAsia="宋体" w:hAnsi="宋体"/>
                <w:spacing w:val="15"/>
                <w:kern w:val="0"/>
                <w:sz w:val="24"/>
              </w:rPr>
            </w:pPr>
            <w:r>
              <w:rPr>
                <w:rFonts w:ascii="宋体" w:eastAsia="宋体" w:hAnsi="宋体" w:cs="宋体" w:hint="eastAsia"/>
                <w:spacing w:val="15"/>
                <w:kern w:val="0"/>
                <w:sz w:val="24"/>
              </w:rPr>
              <w:t>2.整理好由委托方提供的与该项目有关的相关资料。</w:t>
            </w:r>
          </w:p>
        </w:tc>
      </w:tr>
      <w:tr>
        <w:tblPrEx>
          <w:tblW w:w="0" w:type="auto"/>
          <w:jc w:val="center"/>
          <w:tblLayout w:type="fixed"/>
          <w:tblCellMar>
            <w:top w:w="0" w:type="dxa"/>
            <w:left w:w="108" w:type="dxa"/>
            <w:bottom w:w="0" w:type="dxa"/>
            <w:right w:w="108" w:type="dxa"/>
          </w:tblCellMar>
        </w:tblPrEx>
        <w:trPr>
          <w:trHeight w:val="882"/>
          <w:jc w:val="center"/>
        </w:trPr>
        <w:tc>
          <w:tcPr>
            <w:tcW w:w="844" w:type="dxa"/>
            <w:vAlign w:val="center"/>
          </w:tcPr>
          <w:p>
            <w:pPr>
              <w:jc w:val="center"/>
              <w:rPr>
                <w:rFonts w:ascii="宋体" w:eastAsia="宋体" w:hAnsi="宋体"/>
                <w:b/>
                <w:bCs/>
                <w:kern w:val="0"/>
                <w:sz w:val="24"/>
              </w:rPr>
            </w:pPr>
            <w:r>
              <w:rPr>
                <w:rFonts w:ascii="宋体" w:eastAsia="宋体" w:hAnsi="宋体" w:hint="eastAsia"/>
                <w:b/>
                <w:bCs/>
                <w:kern w:val="0"/>
                <w:sz w:val="24"/>
              </w:rPr>
              <w:t>2</w:t>
            </w:r>
          </w:p>
        </w:tc>
        <w:tc>
          <w:tcPr>
            <w:tcW w:w="2263" w:type="dxa"/>
            <w:vAlign w:val="center"/>
          </w:tcPr>
          <w:p>
            <w:pPr>
              <w:jc w:val="center"/>
              <w:rPr>
                <w:rFonts w:ascii="宋体" w:eastAsia="宋体" w:hAnsi="宋体"/>
                <w:spacing w:val="15"/>
                <w:kern w:val="0"/>
                <w:sz w:val="24"/>
              </w:rPr>
            </w:pPr>
            <w:r>
              <w:rPr>
                <w:rFonts w:ascii="宋体" w:eastAsia="宋体" w:hAnsi="宋体" w:hint="eastAsia"/>
                <w:spacing w:val="15"/>
                <w:kern w:val="0"/>
                <w:sz w:val="24"/>
              </w:rPr>
              <w:t>建设单位</w:t>
            </w:r>
          </w:p>
        </w:tc>
        <w:tc>
          <w:tcPr>
            <w:tcW w:w="5172" w:type="dxa"/>
            <w:vAlign w:val="center"/>
          </w:tcPr>
          <w:p>
            <w:pPr>
              <w:rPr>
                <w:rFonts w:ascii="宋体" w:eastAsia="宋体" w:hAnsi="宋体" w:cs="宋体"/>
                <w:spacing w:val="15"/>
                <w:kern w:val="0"/>
                <w:sz w:val="24"/>
              </w:rPr>
            </w:pPr>
            <w:r>
              <w:rPr>
                <w:rFonts w:ascii="宋体" w:eastAsia="宋体" w:hAnsi="宋体" w:cs="宋体" w:hint="eastAsia"/>
                <w:spacing w:val="15"/>
                <w:kern w:val="0"/>
                <w:sz w:val="24"/>
              </w:rPr>
              <w:t>提供项目决策资料、实施过程资料等与该项目有关的相关资料。</w:t>
            </w:r>
          </w:p>
        </w:tc>
      </w:tr>
      <w:tr>
        <w:tblPrEx>
          <w:tblW w:w="0" w:type="auto"/>
          <w:jc w:val="center"/>
          <w:tblLayout w:type="fixed"/>
          <w:tblCellMar>
            <w:top w:w="0" w:type="dxa"/>
            <w:left w:w="108" w:type="dxa"/>
            <w:bottom w:w="0" w:type="dxa"/>
            <w:right w:w="108" w:type="dxa"/>
          </w:tblCellMar>
        </w:tblPrEx>
        <w:trPr>
          <w:trHeight w:val="2012"/>
          <w:jc w:val="center"/>
        </w:trPr>
        <w:tc>
          <w:tcPr>
            <w:tcW w:w="844" w:type="dxa"/>
            <w:vAlign w:val="center"/>
          </w:tcPr>
          <w:p>
            <w:pPr>
              <w:jc w:val="center"/>
              <w:rPr>
                <w:rFonts w:ascii="宋体" w:eastAsia="宋体" w:hAnsi="宋体"/>
                <w:b/>
                <w:bCs/>
                <w:kern w:val="0"/>
                <w:sz w:val="24"/>
              </w:rPr>
            </w:pPr>
            <w:r>
              <w:rPr>
                <w:rFonts w:ascii="宋体" w:eastAsia="宋体" w:hAnsi="宋体" w:hint="eastAsia"/>
                <w:b/>
                <w:bCs/>
                <w:kern w:val="0"/>
                <w:sz w:val="24"/>
              </w:rPr>
              <w:t>3</w:t>
            </w:r>
          </w:p>
        </w:tc>
        <w:tc>
          <w:tcPr>
            <w:tcW w:w="2263" w:type="dxa"/>
            <w:vAlign w:val="center"/>
          </w:tcPr>
          <w:p>
            <w:pPr>
              <w:jc w:val="center"/>
              <w:rPr>
                <w:rFonts w:ascii="宋体" w:eastAsia="宋体" w:hAnsi="宋体"/>
                <w:spacing w:val="15"/>
                <w:kern w:val="0"/>
                <w:sz w:val="24"/>
              </w:rPr>
            </w:pPr>
            <w:r>
              <w:rPr>
                <w:rFonts w:ascii="宋体" w:eastAsia="宋体" w:hAnsi="宋体" w:hint="eastAsia"/>
                <w:spacing w:val="15"/>
                <w:kern w:val="0"/>
                <w:sz w:val="24"/>
              </w:rPr>
              <w:t>受托方</w:t>
            </w:r>
          </w:p>
        </w:tc>
        <w:tc>
          <w:tcPr>
            <w:tcW w:w="5172" w:type="dxa"/>
            <w:vAlign w:val="center"/>
          </w:tcPr>
          <w:p>
            <w:pPr>
              <w:rPr>
                <w:rFonts w:ascii="宋体" w:eastAsia="宋体" w:hAnsi="宋体" w:cs="宋体"/>
                <w:spacing w:val="15"/>
                <w:kern w:val="0"/>
                <w:sz w:val="24"/>
              </w:rPr>
            </w:pPr>
            <w:r>
              <w:rPr>
                <w:rFonts w:ascii="宋体" w:eastAsia="宋体" w:hAnsi="宋体" w:cs="宋体" w:hint="eastAsia"/>
                <w:spacing w:val="15"/>
                <w:kern w:val="0"/>
                <w:sz w:val="24"/>
              </w:rPr>
              <w:t>1.对</w:t>
            </w:r>
            <w:r>
              <w:rPr>
                <w:rFonts w:ascii="宋体" w:eastAsia="宋体" w:hAnsi="宋体" w:cs="宋体" w:hint="eastAsia"/>
                <w:sz w:val="24"/>
              </w:rPr>
              <w:t>本</w:t>
            </w:r>
            <w:r>
              <w:rPr>
                <w:rFonts w:ascii="宋体" w:eastAsia="宋体" w:hAnsi="宋体" w:cs="宋体" w:hint="eastAsia"/>
                <w:spacing w:val="15"/>
                <w:kern w:val="0"/>
                <w:sz w:val="24"/>
              </w:rPr>
              <w:t>项目资金安排的使用情况，组织实施情况和绩效目标实现程度及效果进行评价；</w:t>
            </w:r>
          </w:p>
          <w:p>
            <w:pPr>
              <w:rPr>
                <w:rFonts w:ascii="宋体" w:eastAsia="宋体" w:hAnsi="宋体"/>
                <w:spacing w:val="15"/>
                <w:kern w:val="0"/>
                <w:sz w:val="24"/>
              </w:rPr>
            </w:pPr>
            <w:r>
              <w:rPr>
                <w:rFonts w:ascii="宋体" w:eastAsia="宋体" w:hAnsi="宋体" w:cs="宋体" w:hint="eastAsia"/>
                <w:spacing w:val="15"/>
                <w:kern w:val="0"/>
                <w:sz w:val="24"/>
              </w:rPr>
              <w:t>2.对</w:t>
            </w:r>
            <w:r>
              <w:rPr>
                <w:rFonts w:ascii="宋体" w:eastAsia="宋体" w:hAnsi="宋体" w:cs="宋体" w:hint="eastAsia"/>
                <w:sz w:val="24"/>
              </w:rPr>
              <w:t>本</w:t>
            </w:r>
            <w:r>
              <w:rPr>
                <w:rFonts w:ascii="宋体" w:eastAsia="宋体" w:hAnsi="宋体" w:cs="宋体" w:hint="eastAsia"/>
                <w:spacing w:val="15"/>
                <w:kern w:val="0"/>
                <w:sz w:val="24"/>
              </w:rPr>
              <w:t>项目进行第三方绩效评价服务，并出具绩效评价报告；</w:t>
            </w:r>
          </w:p>
        </w:tc>
      </w:tr>
    </w:tbl>
    <w:p>
      <w:pPr>
        <w:ind w:firstLine="560" w:firstLineChars="200"/>
        <w:rPr>
          <w:rFonts w:ascii="宋体" w:eastAsia="宋体" w:hAnsi="宋体" w:cs="宋体"/>
          <w:b/>
          <w:bCs/>
          <w:sz w:val="28"/>
          <w:szCs w:val="28"/>
        </w:rPr>
      </w:pPr>
      <w:r>
        <w:rPr>
          <w:rFonts w:ascii="宋体" w:eastAsia="宋体" w:hAnsi="宋体" w:cs="宋体" w:hint="eastAsia"/>
          <w:b/>
          <w:bCs/>
          <w:sz w:val="28"/>
          <w:szCs w:val="28"/>
        </w:rPr>
        <w:t>3、资料收集与调查</w:t>
      </w:r>
    </w:p>
    <w:p>
      <w:pPr>
        <w:ind w:firstLine="560" w:firstLineChars="200"/>
        <w:rPr>
          <w:rFonts w:ascii="宋体" w:eastAsia="宋体" w:hAnsi="宋体" w:cs="宋体"/>
          <w:sz w:val="28"/>
          <w:szCs w:val="28"/>
        </w:rPr>
      </w:pPr>
      <w:r>
        <w:rPr>
          <w:rFonts w:ascii="宋体" w:eastAsia="宋体" w:hAnsi="宋体" w:cs="宋体" w:hint="eastAsia"/>
          <w:sz w:val="28"/>
          <w:szCs w:val="28"/>
        </w:rPr>
        <w:t>明确开展绩效评价工作所需的资料收集与调查方案，包括资料收集内容与途径、数据资料来源以及具体的调查方法。</w:t>
      </w:r>
    </w:p>
    <w:p>
      <w:pPr>
        <w:pStyle w:val="BodyText"/>
        <w:spacing w:before="1"/>
        <w:ind w:left="0" w:firstLine="560" w:firstLineChars="200"/>
        <w:rPr>
          <w:rFonts w:ascii="楷体" w:eastAsia="楷体" w:hAnsi="楷体" w:cs="楷体"/>
          <w:b/>
          <w:kern w:val="0"/>
        </w:rPr>
      </w:pPr>
      <w:r>
        <w:rPr>
          <w:rFonts w:ascii="楷体" w:eastAsia="楷体" w:hAnsi="楷体" w:cs="楷体" w:hint="eastAsia"/>
          <w:b/>
          <w:kern w:val="0"/>
        </w:rPr>
        <w:t>1）、资料调查法</w:t>
      </w:r>
    </w:p>
    <w:p>
      <w:pPr>
        <w:ind w:firstLine="560" w:firstLineChars="200"/>
        <w:rPr>
          <w:rFonts w:ascii="宋体" w:eastAsia="宋体" w:hAnsi="宋体" w:cs="宋体"/>
          <w:sz w:val="28"/>
          <w:szCs w:val="28"/>
        </w:rPr>
      </w:pPr>
      <w:r>
        <w:rPr>
          <w:rFonts w:ascii="宋体" w:eastAsia="宋体" w:hAnsi="宋体" w:cs="宋体" w:hint="eastAsia"/>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BodyText"/>
        <w:spacing w:before="1"/>
        <w:ind w:left="0" w:firstLine="560" w:firstLineChars="200"/>
        <w:rPr>
          <w:rFonts w:ascii="楷体" w:eastAsia="楷体" w:hAnsi="楷体" w:cs="楷体"/>
          <w:b/>
          <w:kern w:val="0"/>
        </w:rPr>
      </w:pPr>
      <w:r>
        <w:rPr>
          <w:rFonts w:ascii="楷体" w:eastAsia="楷体" w:hAnsi="楷体" w:cs="楷体" w:hint="eastAsia"/>
          <w:b/>
          <w:kern w:val="0"/>
        </w:rPr>
        <w:t>2）、座谈调查法</w:t>
      </w:r>
    </w:p>
    <w:p>
      <w:pPr>
        <w:ind w:firstLine="560" w:firstLineChars="200"/>
        <w:rPr>
          <w:rFonts w:ascii="仿宋" w:eastAsia="仿宋" w:hAnsi="仿宋" w:cs="宋体"/>
          <w:bCs/>
          <w:kern w:val="0"/>
          <w:sz w:val="32"/>
          <w:szCs w:val="32"/>
        </w:rPr>
      </w:pPr>
      <w:r>
        <w:rPr>
          <w:rFonts w:ascii="宋体" w:eastAsia="宋体" w:hAnsi="宋体" w:cs="宋体" w:hint="eastAsia"/>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BodyText"/>
        <w:spacing w:before="1"/>
        <w:ind w:left="0" w:firstLine="560" w:firstLineChars="200"/>
        <w:rPr>
          <w:rFonts w:ascii="楷体" w:eastAsia="楷体" w:hAnsi="楷体" w:cs="楷体"/>
          <w:b/>
          <w:kern w:val="0"/>
        </w:rPr>
      </w:pPr>
      <w:r>
        <w:rPr>
          <w:rFonts w:ascii="楷体" w:eastAsia="楷体" w:hAnsi="楷体" w:cs="楷体" w:hint="eastAsia"/>
          <w:b/>
          <w:kern w:val="0"/>
        </w:rPr>
        <w:t>3）、走访调查法</w:t>
      </w:r>
    </w:p>
    <w:p>
      <w:pPr>
        <w:ind w:firstLine="560" w:firstLineChars="200"/>
        <w:rPr>
          <w:rFonts w:ascii="宋体" w:eastAsia="宋体" w:hAnsi="宋体" w:cs="宋体"/>
          <w:sz w:val="28"/>
          <w:szCs w:val="28"/>
        </w:rPr>
      </w:pPr>
      <w:r>
        <w:rPr>
          <w:rFonts w:ascii="宋体" w:eastAsia="宋体" w:hAnsi="宋体" w:cs="宋体" w:hint="eastAsia"/>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0" w:firstLineChars="200"/>
        <w:rPr>
          <w:rFonts w:ascii="宋体" w:eastAsia="宋体" w:hAnsi="宋体" w:cs="宋体"/>
          <w:b/>
          <w:bCs/>
          <w:sz w:val="28"/>
          <w:szCs w:val="28"/>
        </w:rPr>
      </w:pPr>
      <w:r>
        <w:rPr>
          <w:rFonts w:ascii="宋体" w:eastAsia="宋体" w:hAnsi="宋体" w:cs="宋体" w:hint="eastAsia"/>
          <w:b/>
          <w:bCs/>
          <w:sz w:val="28"/>
          <w:szCs w:val="28"/>
        </w:rPr>
        <w:t>4、明确绩效评价工作质量控制措施</w:t>
      </w:r>
    </w:p>
    <w:p>
      <w:pPr>
        <w:spacing w:line="360" w:lineRule="auto"/>
        <w:ind w:firstLine="560" w:firstLineChars="200"/>
        <w:rPr>
          <w:rFonts w:ascii="宋体" w:eastAsia="宋体" w:hAnsi="宋体" w:cs="宋体"/>
          <w:sz w:val="28"/>
          <w:szCs w:val="28"/>
        </w:rPr>
      </w:pPr>
      <w:r>
        <w:rPr>
          <w:rFonts w:ascii="宋体" w:eastAsia="宋体" w:hAnsi="宋体" w:cs="宋体" w:hint="eastAsia"/>
          <w:sz w:val="28"/>
          <w:szCs w:val="28"/>
        </w:rPr>
        <w:t>整个实施过程中对具体绩效评价质量监控主要有外部监控和内部监控两个方面。</w:t>
      </w:r>
    </w:p>
    <w:p>
      <w:pPr>
        <w:spacing w:line="360" w:lineRule="auto"/>
        <w:ind w:firstLine="560" w:firstLineChars="200"/>
        <w:rPr>
          <w:rFonts w:ascii="宋体" w:eastAsia="宋体" w:hAnsi="宋体" w:cs="宋体"/>
          <w:sz w:val="28"/>
          <w:szCs w:val="28"/>
        </w:rPr>
      </w:pPr>
      <w:r>
        <w:rPr>
          <w:rFonts w:ascii="宋体" w:eastAsia="宋体" w:hAnsi="宋体" w:cs="宋体" w:hint="eastAsia"/>
          <w:sz w:val="28"/>
          <w:szCs w:val="28"/>
        </w:rPr>
        <w:t>外部监控主要包括财政部门或预算单位对评价小组成员评价工作组能力评价、第三方绩效评价方案的审核、评价实施过程的监控、评价报告的审核、评价质量评审；</w:t>
      </w:r>
    </w:p>
    <w:p>
      <w:pPr>
        <w:spacing w:line="360" w:lineRule="auto"/>
        <w:ind w:firstLine="560" w:firstLineChars="200"/>
        <w:rPr>
          <w:rFonts w:ascii="宋体" w:eastAsia="宋体" w:hAnsi="宋体" w:cs="宋体"/>
          <w:sz w:val="28"/>
          <w:szCs w:val="28"/>
        </w:rPr>
      </w:pPr>
      <w:bookmarkStart w:id="52" w:name="_Toc17781"/>
      <w:bookmarkStart w:id="53" w:name="_Toc332"/>
      <w:bookmarkStart w:id="54" w:name="_Toc27067"/>
      <w:bookmarkStart w:id="55" w:name="_Toc24530"/>
      <w:r>
        <w:rPr>
          <w:rFonts w:ascii="宋体" w:eastAsia="宋体" w:hAnsi="宋体" w:cs="宋体" w:hint="eastAsia"/>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2"/>
      <w:bookmarkEnd w:id="53"/>
      <w:bookmarkEnd w:id="54"/>
      <w:bookmarkEnd w:id="55"/>
    </w:p>
    <w:p>
      <w:pPr>
        <w:ind w:firstLine="640" w:firstLineChars="200"/>
        <w:outlineLvl w:val="0"/>
        <w:rPr>
          <w:rFonts w:ascii="黑体" w:eastAsia="黑体" w:hAnsi="黑体" w:cs="黑体"/>
          <w:b/>
          <w:bCs/>
          <w:sz w:val="32"/>
          <w:szCs w:val="32"/>
        </w:rPr>
      </w:pPr>
      <w:bookmarkStart w:id="56" w:name="_Toc20611"/>
      <w:r>
        <w:rPr>
          <w:rFonts w:ascii="黑体" w:eastAsia="黑体" w:hAnsi="黑体" w:cs="黑体" w:hint="eastAsia"/>
          <w:b/>
          <w:bCs/>
          <w:sz w:val="32"/>
          <w:szCs w:val="32"/>
        </w:rPr>
        <w:t>三、</w:t>
      </w:r>
      <w:bookmarkEnd w:id="29"/>
      <w:r>
        <w:rPr>
          <w:rFonts w:ascii="黑体" w:eastAsia="黑体" w:hAnsi="黑体" w:cs="黑体" w:hint="eastAsia"/>
          <w:b/>
          <w:bCs/>
          <w:sz w:val="32"/>
          <w:szCs w:val="32"/>
        </w:rPr>
        <w:t>项目实施及资金使用情况</w:t>
      </w:r>
      <w:bookmarkEnd w:id="56"/>
    </w:p>
    <w:p>
      <w:pPr>
        <w:ind w:firstLine="640" w:firstLineChars="200"/>
        <w:outlineLvl w:val="1"/>
        <w:rPr>
          <w:rFonts w:ascii="楷体" w:eastAsia="楷体" w:hAnsi="楷体" w:cs="楷体"/>
          <w:b/>
          <w:bCs/>
          <w:sz w:val="32"/>
          <w:szCs w:val="32"/>
        </w:rPr>
      </w:pPr>
      <w:bookmarkStart w:id="57" w:name="_Toc15753"/>
      <w:bookmarkStart w:id="58" w:name="_Toc6786"/>
      <w:r>
        <w:rPr>
          <w:rFonts w:ascii="楷体" w:eastAsia="楷体" w:hAnsi="楷体" w:cs="楷体" w:hint="eastAsia"/>
          <w:b/>
          <w:bCs/>
          <w:sz w:val="32"/>
          <w:szCs w:val="32"/>
        </w:rPr>
        <w:t>（一）项目实施情况</w:t>
      </w:r>
      <w:bookmarkEnd w:id="57"/>
      <w:bookmarkEnd w:id="58"/>
    </w:p>
    <w:p>
      <w:pPr>
        <w:adjustRightInd w:val="0"/>
        <w:snapToGrid w:val="0"/>
        <w:spacing w:line="600" w:lineRule="exact"/>
        <w:ind w:firstLine="560" w:firstLineChars="200"/>
        <w:rPr>
          <w:rFonts w:ascii="宋体" w:eastAsia="宋体" w:hAnsi="宋体" w:cs="宋体"/>
          <w:sz w:val="28"/>
          <w:szCs w:val="28"/>
        </w:rPr>
      </w:pPr>
      <w:r>
        <w:rPr>
          <w:rFonts w:ascii="宋体" w:eastAsia="宋体" w:hAnsi="宋体" w:cs="宋体" w:hint="eastAsia"/>
          <w:sz w:val="28"/>
          <w:szCs w:val="28"/>
        </w:rPr>
        <w:t>2016年2月25日，围场满族蒙古族自治县发展改革局对围场县东山市民休闲公园建设项目可行性研究报告做了批复。</w:t>
      </w:r>
    </w:p>
    <w:p>
      <w:pPr>
        <w:adjustRightInd w:val="0"/>
        <w:snapToGrid w:val="0"/>
        <w:spacing w:line="600" w:lineRule="exact"/>
        <w:ind w:firstLine="560" w:firstLineChars="200"/>
        <w:rPr>
          <w:rFonts w:ascii="宋体" w:eastAsia="宋体" w:hAnsi="宋体" w:cs="宋体"/>
          <w:sz w:val="28"/>
          <w:szCs w:val="28"/>
        </w:rPr>
      </w:pPr>
      <w:r>
        <w:rPr>
          <w:rFonts w:ascii="宋体" w:eastAsia="宋体" w:hAnsi="宋体" w:cs="宋体" w:hint="eastAsia"/>
          <w:sz w:val="28"/>
          <w:szCs w:val="28"/>
        </w:rPr>
        <w:t>东山市民休闲公园占地面积15.2公顷，其他配套建筑面积2015.8平方米，其他场地建设面积11000平方米。</w:t>
      </w:r>
    </w:p>
    <w:p>
      <w:pPr>
        <w:adjustRightInd w:val="0"/>
        <w:snapToGrid w:val="0"/>
        <w:spacing w:line="600" w:lineRule="exact"/>
        <w:ind w:firstLine="560" w:firstLineChars="200"/>
        <w:rPr>
          <w:rFonts w:ascii="宋体" w:eastAsia="宋体" w:hAnsi="宋体" w:cs="宋体"/>
          <w:sz w:val="28"/>
          <w:szCs w:val="28"/>
        </w:rPr>
      </w:pPr>
      <w:r>
        <w:rPr>
          <w:rFonts w:ascii="宋体" w:eastAsia="宋体" w:hAnsi="宋体" w:cs="宋体" w:hint="eastAsia"/>
          <w:sz w:val="28"/>
          <w:szCs w:val="28"/>
        </w:rPr>
        <w:t>2016年9月1日,围场满族蒙古族自治县住房和城乡规划建设局通过公开招标方式,经评标委员会专家评审，最终确定河北绿城园林绿化工程有限公司为东山市民休闲公园建设项目中标单位，中标价1571.409万元；并于2016年9月11日双方签订了建设工程施工合同，同时约定了工程承包范围、合同工期、质量标准、合同价款等相关事宜。</w:t>
      </w:r>
    </w:p>
    <w:p>
      <w:pPr>
        <w:adjustRightInd w:val="0"/>
        <w:snapToGrid w:val="0"/>
        <w:spacing w:line="600" w:lineRule="exact"/>
        <w:ind w:firstLine="560" w:firstLineChars="200"/>
        <w:rPr>
          <w:rFonts w:ascii="宋体" w:eastAsia="宋体" w:hAnsi="宋体" w:cs="宋体"/>
          <w:sz w:val="28"/>
          <w:szCs w:val="28"/>
        </w:rPr>
      </w:pPr>
      <w:r>
        <w:rPr>
          <w:rFonts w:ascii="宋体" w:eastAsia="宋体" w:hAnsi="宋体" w:cs="宋体" w:hint="eastAsia"/>
          <w:sz w:val="28"/>
          <w:szCs w:val="28"/>
        </w:rPr>
        <w:t>计划开工日期：2016年9月16日；计划竣工日期：2016年12月27日；工期：103日历天。</w:t>
      </w:r>
    </w:p>
    <w:p>
      <w:pPr>
        <w:ind w:firstLine="560" w:firstLineChars="200"/>
        <w:rPr>
          <w:rFonts w:ascii="宋体" w:eastAsia="宋体" w:hAnsi="宋体" w:cs="宋体"/>
          <w:sz w:val="28"/>
          <w:szCs w:val="28"/>
        </w:rPr>
      </w:pPr>
      <w:r>
        <w:rPr>
          <w:rFonts w:ascii="宋体" w:eastAsia="宋体" w:hAnsi="宋体" w:cs="宋体" w:hint="eastAsia"/>
          <w:sz w:val="28"/>
          <w:szCs w:val="28"/>
        </w:rPr>
        <w:t>本项目于2017年10月30日竣工，建设完工后由建设单位组织，其他责任主体参加共同验收，竣工验收报告显示：本工程已按合同约定完成设计文件规定的内容，技术档案和施工管理资料齐全，主要建筑材料、构配件、设备试验报告齐全有效，施工单位组织自评质量为合格，同意竣工验收。</w:t>
      </w:r>
    </w:p>
    <w:p>
      <w:pPr>
        <w:adjustRightInd w:val="0"/>
        <w:snapToGrid w:val="0"/>
        <w:spacing w:line="360" w:lineRule="auto"/>
        <w:ind w:firstLine="640" w:firstLineChars="200"/>
        <w:outlineLvl w:val="1"/>
        <w:rPr>
          <w:rFonts w:ascii="楷体" w:eastAsia="楷体" w:hAnsi="楷体" w:cs="楷体"/>
          <w:b/>
          <w:kern w:val="0"/>
          <w:sz w:val="32"/>
          <w:szCs w:val="32"/>
        </w:rPr>
      </w:pPr>
      <w:bookmarkStart w:id="59" w:name="_Toc14809"/>
      <w:bookmarkStart w:id="60" w:name="_Toc11091"/>
      <w:r>
        <w:rPr>
          <w:rFonts w:ascii="楷体" w:eastAsia="楷体" w:hAnsi="楷体" w:cs="楷体" w:hint="eastAsia"/>
          <w:b/>
          <w:kern w:val="0"/>
          <w:sz w:val="32"/>
          <w:szCs w:val="32"/>
        </w:rPr>
        <w:t>（二）资金使用情况</w:t>
      </w:r>
      <w:bookmarkEnd w:id="59"/>
      <w:bookmarkEnd w:id="60"/>
    </w:p>
    <w:p>
      <w:pPr>
        <w:ind w:firstLine="560" w:firstLineChars="200"/>
        <w:rPr>
          <w:rFonts w:ascii="宋体" w:eastAsia="宋体" w:hAnsi="宋体" w:cs="宋体"/>
          <w:sz w:val="28"/>
          <w:szCs w:val="28"/>
        </w:rPr>
      </w:pPr>
      <w:bookmarkStart w:id="61" w:name="_Toc15054"/>
      <w:bookmarkStart w:id="62" w:name="_Toc13622"/>
      <w:r>
        <w:rPr>
          <w:rFonts w:ascii="宋体" w:eastAsia="宋体" w:hAnsi="宋体" w:cs="宋体" w:hint="eastAsia"/>
          <w:sz w:val="28"/>
          <w:szCs w:val="28"/>
        </w:rPr>
        <w:t>2017年10月23日，财政拨付债券专项资金2000万元。</w:t>
      </w:r>
    </w:p>
    <w:p>
      <w:pPr>
        <w:ind w:firstLine="560" w:firstLineChars="200"/>
        <w:rPr>
          <w:rFonts w:ascii="宋体" w:eastAsia="宋体" w:hAnsi="宋体" w:cs="宋体"/>
          <w:sz w:val="28"/>
          <w:szCs w:val="28"/>
        </w:rPr>
      </w:pPr>
      <w:r>
        <w:rPr>
          <w:rFonts w:ascii="宋体" w:eastAsia="宋体" w:hAnsi="宋体" w:cs="宋体" w:hint="eastAsia"/>
          <w:sz w:val="28"/>
          <w:szCs w:val="28"/>
        </w:rPr>
        <w:t>2017年12月25日，围场县住房和城乡规划建设局支付河北绿城园林绿化工程有限公司工程款471.422696万元。</w:t>
      </w:r>
    </w:p>
    <w:p>
      <w:pPr>
        <w:ind w:firstLine="560" w:firstLineChars="200"/>
        <w:rPr>
          <w:rFonts w:ascii="楷体" w:eastAsia="楷体" w:hAnsi="楷体" w:cs="楷体"/>
          <w:b/>
          <w:bCs/>
          <w:sz w:val="32"/>
          <w:szCs w:val="32"/>
        </w:rPr>
      </w:pPr>
      <w:r>
        <w:rPr>
          <w:rFonts w:ascii="宋体" w:eastAsia="宋体" w:hAnsi="宋体" w:cs="宋体" w:hint="eastAsia"/>
          <w:sz w:val="28"/>
          <w:szCs w:val="28"/>
        </w:rPr>
        <w:t>使用债券资金清晰，支付凭证和发票齐全。</w:t>
      </w:r>
      <w:bookmarkEnd w:id="61"/>
      <w:bookmarkEnd w:id="62"/>
    </w:p>
    <w:p>
      <w:pPr>
        <w:ind w:firstLine="640" w:firstLineChars="200"/>
        <w:outlineLvl w:val="0"/>
        <w:rPr>
          <w:rFonts w:ascii="黑体" w:eastAsia="黑体" w:hAnsi="黑体" w:cs="黑体"/>
          <w:sz w:val="32"/>
          <w:szCs w:val="32"/>
        </w:rPr>
      </w:pPr>
      <w:bookmarkStart w:id="63" w:name="_Toc25872"/>
      <w:r>
        <w:rPr>
          <w:rFonts w:ascii="黑体" w:eastAsia="黑体" w:hAnsi="黑体" w:cs="黑体" w:hint="eastAsia"/>
          <w:sz w:val="32"/>
          <w:szCs w:val="32"/>
        </w:rPr>
        <w:t>四、绩效评价分析与结论</w:t>
      </w:r>
      <w:bookmarkEnd w:id="63"/>
    </w:p>
    <w:p>
      <w:pPr>
        <w:adjustRightInd w:val="0"/>
        <w:snapToGrid w:val="0"/>
        <w:spacing w:line="360" w:lineRule="auto"/>
        <w:ind w:firstLine="640" w:firstLineChars="200"/>
        <w:outlineLvl w:val="1"/>
        <w:rPr>
          <w:rFonts w:ascii="楷体" w:eastAsia="楷体" w:hAnsi="楷体" w:cs="楷体"/>
          <w:b/>
          <w:kern w:val="0"/>
          <w:sz w:val="32"/>
          <w:szCs w:val="32"/>
        </w:rPr>
      </w:pPr>
      <w:bookmarkStart w:id="64" w:name="_Toc2427"/>
      <w:bookmarkStart w:id="65" w:name="_Toc16548"/>
      <w:r>
        <w:rPr>
          <w:rFonts w:ascii="楷体" w:eastAsia="楷体" w:hAnsi="楷体" w:cs="楷体" w:hint="eastAsia"/>
          <w:b/>
          <w:kern w:val="0"/>
          <w:sz w:val="32"/>
          <w:szCs w:val="32"/>
        </w:rPr>
        <w:t>（一）绩效评价分析</w:t>
      </w:r>
      <w:bookmarkEnd w:id="64"/>
      <w:bookmarkEnd w:id="65"/>
    </w:p>
    <w:p>
      <w:pPr>
        <w:ind w:firstLine="560" w:firstLineChars="200"/>
        <w:rPr>
          <w:rFonts w:ascii="宋体" w:eastAsia="宋体" w:hAnsi="宋体" w:cs="宋体"/>
          <w:sz w:val="28"/>
          <w:szCs w:val="28"/>
        </w:rPr>
      </w:pPr>
      <w:r>
        <w:rPr>
          <w:rFonts w:ascii="宋体" w:eastAsia="宋体" w:hAnsi="宋体" w:cs="宋体" w:hint="eastAsia"/>
          <w:sz w:val="28"/>
          <w:szCs w:val="28"/>
        </w:rPr>
        <w:t>1.投入指标</w:t>
      </w:r>
    </w:p>
    <w:p>
      <w:pPr>
        <w:ind w:firstLine="560" w:firstLineChars="200"/>
        <w:rPr>
          <w:rFonts w:ascii="宋体" w:eastAsia="宋体" w:hAnsi="宋体" w:cs="宋体"/>
          <w:sz w:val="28"/>
          <w:szCs w:val="28"/>
        </w:rPr>
      </w:pPr>
      <w:r>
        <w:rPr>
          <w:rFonts w:ascii="宋体" w:eastAsia="宋体" w:hAnsi="宋体" w:cs="宋体" w:hint="eastAsia"/>
          <w:sz w:val="28"/>
          <w:szCs w:val="28"/>
        </w:rPr>
        <w:t>投入指标绩效评价设定分值为10分，考评得分 10分。</w:t>
      </w:r>
    </w:p>
    <w:p>
      <w:pPr>
        <w:ind w:firstLine="560" w:firstLineChars="200"/>
        <w:rPr>
          <w:rFonts w:ascii="宋体" w:eastAsia="宋体" w:hAnsi="宋体" w:cs="宋体"/>
          <w:sz w:val="28"/>
          <w:szCs w:val="28"/>
        </w:rPr>
      </w:pPr>
      <w:r>
        <w:rPr>
          <w:rFonts w:ascii="宋体" w:eastAsia="宋体" w:hAnsi="宋体" w:cs="宋体" w:hint="eastAsia"/>
          <w:sz w:val="28"/>
          <w:szCs w:val="28"/>
        </w:rPr>
        <w:t>（1）项目立项管理</w:t>
      </w:r>
    </w:p>
    <w:p>
      <w:pPr>
        <w:ind w:firstLine="560" w:firstLineChars="200"/>
        <w:rPr>
          <w:rFonts w:ascii="宋体" w:eastAsia="宋体" w:hAnsi="宋体" w:cs="宋体"/>
          <w:sz w:val="28"/>
          <w:szCs w:val="28"/>
        </w:rPr>
      </w:pPr>
      <w:r>
        <w:rPr>
          <w:rFonts w:ascii="宋体" w:eastAsia="宋体" w:hAnsi="宋体" w:cs="宋体" w:hint="eastAsia"/>
          <w:sz w:val="28"/>
          <w:szCs w:val="28"/>
        </w:rPr>
        <w:t>①项目立项合规性指标标准分值为5分，考评得分5分。</w:t>
      </w:r>
    </w:p>
    <w:p>
      <w:pPr>
        <w:ind w:firstLine="560" w:firstLineChars="200"/>
        <w:rPr>
          <w:rFonts w:ascii="宋体" w:eastAsia="宋体" w:hAnsi="宋体" w:cs="宋体"/>
          <w:sz w:val="28"/>
          <w:szCs w:val="28"/>
        </w:rPr>
      </w:pPr>
      <w:r>
        <w:rPr>
          <w:rFonts w:ascii="宋体" w:eastAsia="宋体" w:hAnsi="宋体" w:cs="宋体" w:hint="eastAsia"/>
          <w:sz w:val="28"/>
          <w:szCs w:val="28"/>
        </w:rPr>
        <w:t>2016年2月25日，围场满族蒙古族自治县发展改革局对围场县东山市民休闲公园建设项目可行性研究报告做了批复。本项目立项合规、方案可行、设立过程符合政策规定。</w:t>
      </w:r>
    </w:p>
    <w:p>
      <w:pPr>
        <w:ind w:firstLine="560" w:firstLineChars="200"/>
        <w:rPr>
          <w:rFonts w:ascii="宋体" w:eastAsia="宋体" w:hAnsi="宋体" w:cs="宋体"/>
          <w:sz w:val="28"/>
          <w:szCs w:val="28"/>
        </w:rPr>
      </w:pPr>
      <w:r>
        <w:rPr>
          <w:rFonts w:ascii="宋体" w:eastAsia="宋体" w:hAnsi="宋体" w:cs="宋体" w:hint="eastAsia"/>
          <w:sz w:val="28"/>
          <w:szCs w:val="28"/>
        </w:rPr>
        <w:t>②项目投入经济性、筹资合规性指标标准分值为3分，考评得分3分。</w:t>
      </w:r>
    </w:p>
    <w:p>
      <w:pPr>
        <w:ind w:firstLine="560" w:firstLineChars="200"/>
        <w:rPr>
          <w:rFonts w:ascii="宋体" w:eastAsia="宋体" w:hAnsi="宋体" w:cs="宋体"/>
          <w:sz w:val="28"/>
          <w:szCs w:val="28"/>
        </w:rPr>
      </w:pPr>
      <w:r>
        <w:rPr>
          <w:rFonts w:ascii="宋体" w:eastAsia="宋体" w:hAnsi="宋体" w:cs="宋体" w:hint="eastAsia"/>
          <w:sz w:val="28"/>
          <w:szCs w:val="28"/>
        </w:rPr>
        <w:t>建设单位按照项目所设定的绩效目标依据充分，投入可行，资金来源合规，符合客观实际，能够达到设定的目标。</w:t>
      </w:r>
    </w:p>
    <w:p>
      <w:pPr>
        <w:ind w:firstLine="560" w:firstLineChars="200"/>
        <w:rPr>
          <w:rFonts w:ascii="宋体" w:eastAsia="宋体" w:hAnsi="宋体" w:cs="宋体"/>
          <w:sz w:val="28"/>
          <w:szCs w:val="28"/>
        </w:rPr>
      </w:pPr>
      <w:r>
        <w:rPr>
          <w:rFonts w:ascii="宋体" w:eastAsia="宋体" w:hAnsi="宋体" w:cs="宋体" w:hint="eastAsia"/>
          <w:sz w:val="28"/>
          <w:szCs w:val="28"/>
        </w:rPr>
        <w:t>③项目可持续性指标标准分值为2分，考评得分2分。</w:t>
      </w:r>
    </w:p>
    <w:p>
      <w:pPr>
        <w:ind w:firstLine="560" w:firstLineChars="200"/>
        <w:rPr>
          <w:rFonts w:ascii="宋体" w:eastAsia="宋体" w:hAnsi="宋体" w:cs="宋体"/>
          <w:sz w:val="28"/>
          <w:szCs w:val="28"/>
        </w:rPr>
      </w:pPr>
      <w:r>
        <w:rPr>
          <w:rFonts w:ascii="宋体" w:eastAsia="宋体" w:hAnsi="宋体" w:cs="宋体" w:hint="eastAsia"/>
          <w:sz w:val="28"/>
          <w:szCs w:val="28"/>
        </w:rPr>
        <w:t>建设单位严格按照方案实施，依据绩效目标设定的绩效指标清晰、合理、细化、可衡量。通过对围场县东山市民休闲公园建设项目的分析，我方认为方案可行，设施功能完善，建成后能够满足居民正常使用，未来可持续性强。</w:t>
      </w:r>
    </w:p>
    <w:p>
      <w:pPr>
        <w:ind w:firstLine="560" w:firstLineChars="200"/>
        <w:rPr>
          <w:rFonts w:ascii="宋体" w:eastAsia="宋体" w:hAnsi="宋体" w:cs="宋体"/>
          <w:sz w:val="28"/>
          <w:szCs w:val="28"/>
        </w:rPr>
      </w:pPr>
      <w:r>
        <w:rPr>
          <w:rFonts w:ascii="宋体" w:eastAsia="宋体" w:hAnsi="宋体" w:cs="宋体" w:hint="eastAsia"/>
          <w:sz w:val="28"/>
          <w:szCs w:val="28"/>
        </w:rPr>
        <w:t>2.管理指标</w:t>
      </w:r>
    </w:p>
    <w:p>
      <w:pPr>
        <w:ind w:firstLine="560" w:firstLineChars="200"/>
        <w:rPr>
          <w:rFonts w:ascii="宋体" w:eastAsia="宋体" w:hAnsi="宋体" w:cs="宋体"/>
          <w:sz w:val="28"/>
          <w:szCs w:val="28"/>
        </w:rPr>
      </w:pPr>
      <w:r>
        <w:rPr>
          <w:rFonts w:ascii="宋体" w:eastAsia="宋体" w:hAnsi="宋体" w:cs="宋体" w:hint="eastAsia"/>
          <w:sz w:val="28"/>
          <w:szCs w:val="28"/>
        </w:rPr>
        <w:t>管理指标绩效评价设定分值为30分，考评得分29分。</w:t>
      </w:r>
    </w:p>
    <w:p>
      <w:pPr>
        <w:ind w:firstLine="560" w:firstLineChars="200"/>
        <w:rPr>
          <w:rFonts w:ascii="宋体" w:eastAsia="宋体" w:hAnsi="宋体" w:cs="宋体"/>
          <w:sz w:val="28"/>
          <w:szCs w:val="28"/>
        </w:rPr>
      </w:pPr>
      <w:r>
        <w:rPr>
          <w:rFonts w:ascii="宋体" w:eastAsia="宋体" w:hAnsi="宋体" w:cs="宋体" w:hint="eastAsia"/>
          <w:sz w:val="28"/>
          <w:szCs w:val="28"/>
        </w:rPr>
        <w:t>（1）业务管理指标绩效评价设定分值为15分，考评得分14分。</w:t>
      </w:r>
    </w:p>
    <w:p>
      <w:pPr>
        <w:ind w:firstLine="560" w:firstLineChars="200"/>
        <w:rPr>
          <w:rFonts w:ascii="宋体" w:eastAsia="宋体" w:hAnsi="宋体" w:cs="宋体"/>
          <w:sz w:val="28"/>
          <w:szCs w:val="28"/>
        </w:rPr>
      </w:pPr>
      <w:r>
        <w:rPr>
          <w:rFonts w:ascii="宋体" w:eastAsia="宋体" w:hAnsi="宋体" w:cs="宋体" w:hint="eastAsia"/>
          <w:sz w:val="28"/>
          <w:szCs w:val="28"/>
        </w:rPr>
        <w:t>①项目资料的完整性指标标准分值为6分，考评得分5分。</w:t>
      </w:r>
    </w:p>
    <w:p>
      <w:pPr>
        <w:ind w:firstLine="560" w:firstLineChars="200"/>
        <w:rPr>
          <w:rFonts w:ascii="宋体" w:eastAsia="宋体" w:hAnsi="宋体" w:cs="宋体"/>
          <w:sz w:val="28"/>
          <w:szCs w:val="28"/>
        </w:rPr>
      </w:pPr>
      <w:r>
        <w:rPr>
          <w:rFonts w:ascii="宋体" w:eastAsia="宋体" w:hAnsi="宋体" w:cs="宋体" w:hint="eastAsia"/>
          <w:sz w:val="28"/>
          <w:szCs w:val="28"/>
        </w:rPr>
        <w:t>围场县东山市民休闲公园建设项目绩效评价所需资料基本齐全，财务凭证有效，但竣工验收报告内容描述过于简单且无竣工验收具体时间，我方最终给予此项考核指标扣减1分。</w:t>
      </w:r>
    </w:p>
    <w:p>
      <w:pPr>
        <w:ind w:firstLine="560" w:firstLineChars="200"/>
        <w:rPr>
          <w:rFonts w:ascii="宋体" w:eastAsia="宋体" w:hAnsi="宋体" w:cs="宋体"/>
          <w:sz w:val="28"/>
          <w:szCs w:val="28"/>
        </w:rPr>
      </w:pPr>
      <w:r>
        <w:rPr>
          <w:rFonts w:ascii="宋体" w:eastAsia="宋体" w:hAnsi="宋体" w:cs="宋体" w:hint="eastAsia"/>
          <w:sz w:val="28"/>
          <w:szCs w:val="28"/>
        </w:rPr>
        <w:t>②项目公开招投标情况指标标准分值为6分，考评得分6分。</w:t>
      </w:r>
    </w:p>
    <w:p>
      <w:pPr>
        <w:ind w:firstLine="560" w:firstLineChars="200"/>
        <w:rPr>
          <w:rFonts w:ascii="宋体" w:eastAsia="宋体" w:hAnsi="宋体" w:cs="宋体"/>
          <w:sz w:val="28"/>
          <w:szCs w:val="28"/>
        </w:rPr>
      </w:pPr>
      <w:r>
        <w:rPr>
          <w:rFonts w:ascii="宋体" w:eastAsia="宋体" w:hAnsi="宋体" w:cs="宋体" w:hint="eastAsia"/>
          <w:sz w:val="28"/>
          <w:szCs w:val="28"/>
        </w:rPr>
        <w:t>新增债券资金安排的情况均已公示，本项目没有发现应该招标没有招标的情况。</w:t>
      </w:r>
    </w:p>
    <w:p>
      <w:pPr>
        <w:ind w:firstLine="560" w:firstLineChars="200"/>
        <w:rPr>
          <w:rFonts w:ascii="宋体" w:eastAsia="宋体" w:hAnsi="宋体" w:cs="宋体"/>
          <w:sz w:val="28"/>
          <w:szCs w:val="28"/>
        </w:rPr>
      </w:pPr>
      <w:r>
        <w:rPr>
          <w:rFonts w:ascii="宋体" w:eastAsia="宋体" w:hAnsi="宋体" w:cs="宋体" w:hint="eastAsia"/>
          <w:sz w:val="28"/>
          <w:szCs w:val="28"/>
        </w:rPr>
        <w:t>③变更控制情况指标标准分值为3分，考评得分3分。</w:t>
      </w:r>
    </w:p>
    <w:p>
      <w:pPr>
        <w:ind w:firstLine="560" w:firstLineChars="200"/>
        <w:rPr>
          <w:sz w:val="28"/>
          <w:szCs w:val="28"/>
        </w:rPr>
      </w:pPr>
      <w:r>
        <w:rPr>
          <w:rFonts w:ascii="宋体" w:eastAsia="宋体" w:hAnsi="宋体" w:cs="宋体" w:hint="eastAsia"/>
          <w:sz w:val="28"/>
          <w:szCs w:val="28"/>
        </w:rPr>
        <w:t>本次使用的债券资金列入到本项目工程款中，债券资金使用部分项目变更控制情况较好，没有对工程进度造成影响，项目能够按照资金使用情况顺利进行。</w:t>
      </w:r>
    </w:p>
    <w:p>
      <w:pPr>
        <w:pStyle w:val="Default"/>
        <w:ind w:firstLine="560" w:firstLineChars="200"/>
        <w:jc w:val="both"/>
        <w:rPr>
          <w:rFonts w:hAnsi="宋体" w:cs="宋体"/>
          <w:kern w:val="2"/>
          <w:sz w:val="28"/>
          <w:szCs w:val="28"/>
        </w:rPr>
      </w:pPr>
      <w:r>
        <w:rPr>
          <w:rFonts w:hAnsi="宋体" w:cs="宋体" w:hint="eastAsia"/>
          <w:kern w:val="2"/>
          <w:sz w:val="28"/>
          <w:szCs w:val="28"/>
        </w:rPr>
        <w:t>（2）财务管理指标绩效评价设定分值为15分，考评得分15分。</w:t>
      </w:r>
    </w:p>
    <w:p>
      <w:pPr>
        <w:ind w:firstLine="560" w:firstLineChars="200"/>
        <w:rPr>
          <w:rFonts w:ascii="宋体" w:eastAsia="宋体" w:hAnsi="宋体" w:cs="宋体"/>
          <w:sz w:val="28"/>
          <w:szCs w:val="28"/>
        </w:rPr>
      </w:pPr>
      <w:r>
        <w:rPr>
          <w:rFonts w:ascii="宋体" w:eastAsia="宋体" w:hAnsi="宋体" w:cs="宋体" w:hint="eastAsia"/>
          <w:sz w:val="28"/>
          <w:szCs w:val="28"/>
        </w:rPr>
        <w:t>①资金使用合规性指标标准分值为5分，考评得分5分。</w:t>
      </w:r>
    </w:p>
    <w:p>
      <w:pPr>
        <w:ind w:firstLine="560" w:firstLineChars="200"/>
        <w:rPr>
          <w:rFonts w:ascii="宋体" w:eastAsia="宋体" w:hAnsi="宋体" w:cs="宋体"/>
          <w:sz w:val="28"/>
          <w:szCs w:val="28"/>
        </w:rPr>
      </w:pPr>
      <w:r>
        <w:rPr>
          <w:rFonts w:ascii="宋体" w:eastAsia="宋体" w:hAnsi="宋体" w:cs="宋体" w:hint="eastAsia"/>
          <w:sz w:val="28"/>
          <w:szCs w:val="28"/>
        </w:rPr>
        <w:t>本项目债券资金全部用于东山市民休闲公园建设项目，均未用于经常性支出，未用于中央明令禁止的项目支出，资金使用合规。</w:t>
      </w:r>
    </w:p>
    <w:p>
      <w:pPr>
        <w:ind w:firstLine="560" w:firstLineChars="200"/>
        <w:rPr>
          <w:rFonts w:ascii="宋体" w:eastAsia="宋体" w:hAnsi="宋体" w:cs="宋体"/>
          <w:sz w:val="28"/>
          <w:szCs w:val="28"/>
        </w:rPr>
      </w:pPr>
      <w:r>
        <w:rPr>
          <w:rFonts w:ascii="宋体" w:eastAsia="宋体" w:hAnsi="宋体" w:cs="宋体" w:hint="eastAsia"/>
          <w:sz w:val="28"/>
          <w:szCs w:val="28"/>
        </w:rPr>
        <w:t>②县级财政国库集中支付情况指标标准分值为6分，考评得分6分。</w:t>
      </w:r>
    </w:p>
    <w:p>
      <w:pPr>
        <w:ind w:firstLine="560" w:firstLineChars="200"/>
        <w:rPr>
          <w:rFonts w:ascii="宋体" w:eastAsia="宋体" w:hAnsi="宋体" w:cs="宋体"/>
          <w:sz w:val="28"/>
          <w:szCs w:val="28"/>
        </w:rPr>
      </w:pPr>
      <w:r>
        <w:rPr>
          <w:rFonts w:ascii="宋体" w:eastAsia="宋体" w:hAnsi="宋体" w:cs="宋体" w:hint="eastAsia"/>
          <w:sz w:val="28"/>
          <w:szCs w:val="28"/>
        </w:rPr>
        <w:t>本项目已按国库集中支付制度要求，按照围政〔2019〕100号文件分配方案在县级财政集中支付，支付凭证完整有效。</w:t>
      </w:r>
    </w:p>
    <w:p>
      <w:pPr>
        <w:ind w:firstLine="560" w:firstLineChars="200"/>
        <w:rPr>
          <w:rFonts w:ascii="宋体" w:eastAsia="宋体" w:hAnsi="宋体" w:cs="宋体"/>
          <w:sz w:val="28"/>
          <w:szCs w:val="28"/>
        </w:rPr>
      </w:pPr>
      <w:r>
        <w:rPr>
          <w:rFonts w:ascii="宋体" w:eastAsia="宋体" w:hAnsi="宋体" w:cs="宋体" w:hint="eastAsia"/>
          <w:sz w:val="28"/>
          <w:szCs w:val="28"/>
        </w:rPr>
        <w:t>③会计制度执行情况（项目单位）指标标准分值为4分，考评得分4分。</w:t>
      </w:r>
    </w:p>
    <w:p>
      <w:pPr>
        <w:ind w:firstLine="560" w:firstLineChars="200"/>
        <w:rPr>
          <w:rFonts w:ascii="宋体" w:eastAsia="宋体" w:hAnsi="宋体" w:cs="宋体"/>
          <w:sz w:val="28"/>
          <w:szCs w:val="28"/>
        </w:rPr>
      </w:pPr>
      <w:r>
        <w:rPr>
          <w:rFonts w:ascii="宋体" w:eastAsia="宋体" w:hAnsi="宋体" w:cs="宋体" w:hint="eastAsia"/>
          <w:sz w:val="28"/>
          <w:szCs w:val="28"/>
        </w:rPr>
        <w:t>我方绩效评价小组在对该项目财务资料检查时未发现资金有挪用、抽逃、延迟支付现象，项目建设资金使用合理，账务处理基本合规。</w:t>
      </w:r>
    </w:p>
    <w:p>
      <w:pPr>
        <w:ind w:firstLine="560" w:firstLineChars="200"/>
        <w:rPr>
          <w:rFonts w:ascii="宋体" w:eastAsia="宋体" w:hAnsi="宋体" w:cs="宋体"/>
          <w:sz w:val="28"/>
          <w:szCs w:val="28"/>
        </w:rPr>
      </w:pPr>
      <w:r>
        <w:rPr>
          <w:rFonts w:ascii="宋体" w:eastAsia="宋体" w:hAnsi="宋体" w:cs="宋体" w:hint="eastAsia"/>
          <w:sz w:val="28"/>
          <w:szCs w:val="28"/>
        </w:rPr>
        <w:t>3.产出指标</w:t>
      </w:r>
    </w:p>
    <w:p>
      <w:pPr>
        <w:ind w:firstLine="560" w:firstLineChars="200"/>
        <w:rPr>
          <w:rFonts w:ascii="宋体" w:eastAsia="宋体" w:hAnsi="宋体" w:cs="宋体"/>
          <w:sz w:val="28"/>
          <w:szCs w:val="28"/>
        </w:rPr>
      </w:pPr>
      <w:r>
        <w:rPr>
          <w:rFonts w:ascii="宋体" w:eastAsia="宋体" w:hAnsi="宋体" w:cs="宋体" w:hint="eastAsia"/>
          <w:sz w:val="28"/>
          <w:szCs w:val="28"/>
        </w:rPr>
        <w:t>产出指标绩效评价设定分值为30分，考评得分26分。</w:t>
      </w:r>
    </w:p>
    <w:p>
      <w:pPr>
        <w:ind w:firstLine="560" w:firstLineChars="200"/>
        <w:rPr>
          <w:rFonts w:ascii="宋体" w:eastAsia="宋体" w:hAnsi="宋体" w:cs="宋体"/>
          <w:sz w:val="28"/>
          <w:szCs w:val="28"/>
        </w:rPr>
      </w:pPr>
      <w:r>
        <w:rPr>
          <w:rFonts w:ascii="宋体" w:eastAsia="宋体" w:hAnsi="宋体" w:cs="宋体" w:hint="eastAsia"/>
          <w:sz w:val="28"/>
          <w:szCs w:val="28"/>
        </w:rPr>
        <w:t>（1）项目产出管理</w:t>
      </w:r>
    </w:p>
    <w:p>
      <w:pPr>
        <w:ind w:firstLine="560" w:firstLineChars="200"/>
        <w:rPr>
          <w:rFonts w:ascii="宋体" w:eastAsia="宋体" w:hAnsi="宋体" w:cs="宋体"/>
          <w:sz w:val="28"/>
          <w:szCs w:val="28"/>
        </w:rPr>
      </w:pPr>
      <w:r>
        <w:rPr>
          <w:rFonts w:ascii="宋体" w:eastAsia="宋体" w:hAnsi="宋体" w:cs="宋体" w:hint="eastAsia"/>
          <w:sz w:val="28"/>
          <w:szCs w:val="28"/>
        </w:rPr>
        <w:t>①工程完工情况指标标准分值为10分，考评得分10分。</w:t>
      </w:r>
    </w:p>
    <w:p>
      <w:pPr>
        <w:ind w:firstLine="560" w:firstLineChars="200"/>
        <w:rPr>
          <w:rFonts w:ascii="宋体" w:eastAsia="宋体" w:hAnsi="宋体" w:cs="宋体"/>
          <w:sz w:val="28"/>
          <w:szCs w:val="28"/>
        </w:rPr>
      </w:pPr>
      <w:r>
        <w:rPr>
          <w:rFonts w:ascii="宋体" w:eastAsia="宋体" w:hAnsi="宋体" w:cs="宋体" w:hint="eastAsia"/>
          <w:sz w:val="28"/>
          <w:szCs w:val="28"/>
        </w:rPr>
        <w:t>项目已完成的工程投资与计划实施的实际工程总投资基本吻合，主要工程量按照要求全部完成。</w:t>
      </w:r>
    </w:p>
    <w:p>
      <w:pPr>
        <w:ind w:firstLine="560" w:firstLineChars="200"/>
        <w:rPr>
          <w:rFonts w:ascii="宋体" w:eastAsia="宋体" w:hAnsi="宋体" w:cs="宋体"/>
          <w:sz w:val="28"/>
          <w:szCs w:val="28"/>
        </w:rPr>
      </w:pPr>
      <w:r>
        <w:rPr>
          <w:rFonts w:ascii="宋体" w:eastAsia="宋体" w:hAnsi="宋体" w:cs="宋体" w:hint="eastAsia"/>
          <w:sz w:val="28"/>
          <w:szCs w:val="28"/>
        </w:rPr>
        <w:t>②工期控制情况指标标准分值为10分，考评得分8分。</w:t>
      </w:r>
    </w:p>
    <w:p>
      <w:pPr>
        <w:ind w:firstLine="560" w:firstLineChars="200"/>
        <w:rPr>
          <w:rFonts w:ascii="宋体" w:eastAsia="宋体" w:hAnsi="宋体" w:cs="宋体"/>
          <w:sz w:val="28"/>
          <w:szCs w:val="28"/>
        </w:rPr>
      </w:pPr>
      <w:r>
        <w:rPr>
          <w:rFonts w:ascii="宋体" w:eastAsia="宋体" w:hAnsi="宋体" w:cs="宋体" w:hint="eastAsia"/>
          <w:sz w:val="28"/>
          <w:szCs w:val="28"/>
        </w:rPr>
        <w:t>由于本项目中标日期为9月中旬，围场地区气温开始转凉，导致一些栽植工程无法进行，部分项目需转到次年才能施工，我方通过查阅本工程项目竣工验收报告，竣工时间为2017年10月30日，竣工时间出现严重滞后，我方给予此项考核指标扣减2分。</w:t>
      </w:r>
    </w:p>
    <w:p>
      <w:pPr>
        <w:ind w:firstLine="560" w:firstLineChars="200"/>
        <w:rPr>
          <w:rFonts w:ascii="宋体" w:eastAsia="宋体" w:hAnsi="宋体" w:cs="宋体"/>
          <w:sz w:val="28"/>
          <w:szCs w:val="28"/>
        </w:rPr>
      </w:pPr>
      <w:r>
        <w:rPr>
          <w:rFonts w:ascii="宋体" w:eastAsia="宋体" w:hAnsi="宋体" w:cs="宋体" w:hint="eastAsia"/>
          <w:sz w:val="28"/>
          <w:szCs w:val="28"/>
        </w:rPr>
        <w:t>③完工项目验收情况指标标准分值为10分，考评得分8分。</w:t>
      </w:r>
    </w:p>
    <w:p>
      <w:pPr>
        <w:ind w:firstLine="560" w:firstLineChars="200"/>
        <w:rPr>
          <w:rFonts w:ascii="宋体" w:eastAsia="宋体" w:hAnsi="宋体" w:cs="宋体"/>
          <w:sz w:val="28"/>
          <w:szCs w:val="28"/>
        </w:rPr>
      </w:pPr>
      <w:r>
        <w:rPr>
          <w:rFonts w:ascii="宋体" w:eastAsia="宋体" w:hAnsi="宋体" w:cs="宋体" w:hint="eastAsia"/>
          <w:sz w:val="28"/>
          <w:szCs w:val="28"/>
        </w:rPr>
        <w:t>本项目完工后，建设单位组织验收，设计、施工、监理单位参加。项目已完成总承包合同约定的所有工程量，资料齐全，主要建筑材料合格，复试合格，施工单位组织自评质量为合格，但此竣工验收报告最终验收结论不详，我方给予此项指标扣减2分。</w:t>
      </w:r>
    </w:p>
    <w:p>
      <w:pPr>
        <w:ind w:firstLine="560" w:firstLineChars="200"/>
        <w:rPr>
          <w:rFonts w:ascii="宋体" w:eastAsia="宋体" w:hAnsi="宋体" w:cs="宋体"/>
          <w:sz w:val="28"/>
          <w:szCs w:val="28"/>
        </w:rPr>
      </w:pPr>
      <w:r>
        <w:rPr>
          <w:rFonts w:ascii="宋体" w:eastAsia="宋体" w:hAnsi="宋体" w:cs="宋体" w:hint="eastAsia"/>
          <w:sz w:val="28"/>
          <w:szCs w:val="28"/>
        </w:rPr>
        <w:t>4.效益指标</w:t>
      </w:r>
    </w:p>
    <w:p>
      <w:pPr>
        <w:ind w:firstLine="560" w:firstLineChars="200"/>
        <w:rPr>
          <w:rFonts w:ascii="宋体" w:eastAsia="宋体" w:hAnsi="宋体" w:cs="宋体"/>
          <w:sz w:val="28"/>
          <w:szCs w:val="28"/>
        </w:rPr>
      </w:pPr>
      <w:r>
        <w:rPr>
          <w:rFonts w:ascii="宋体" w:eastAsia="宋体" w:hAnsi="宋体" w:cs="宋体" w:hint="eastAsia"/>
          <w:sz w:val="28"/>
          <w:szCs w:val="28"/>
        </w:rPr>
        <w:t>效益指标绩效评价设定分值为30分，考评得分26分。</w:t>
      </w:r>
    </w:p>
    <w:p>
      <w:pPr>
        <w:ind w:firstLine="560" w:firstLineChars="200"/>
        <w:rPr>
          <w:rFonts w:ascii="宋体" w:eastAsia="宋体" w:hAnsi="宋体" w:cs="宋体"/>
          <w:sz w:val="28"/>
          <w:szCs w:val="28"/>
        </w:rPr>
      </w:pPr>
      <w:r>
        <w:rPr>
          <w:rFonts w:ascii="宋体" w:eastAsia="宋体" w:hAnsi="宋体" w:cs="宋体" w:hint="eastAsia"/>
          <w:sz w:val="28"/>
          <w:szCs w:val="28"/>
        </w:rPr>
        <w:t>（1）社会效益指标绩效评价设定分值为20分，考评得分20分。</w:t>
      </w:r>
    </w:p>
    <w:p>
      <w:pPr>
        <w:ind w:firstLine="560" w:firstLineChars="200"/>
        <w:rPr>
          <w:rFonts w:ascii="宋体" w:eastAsia="宋体" w:hAnsi="宋体" w:cs="宋体"/>
          <w:sz w:val="28"/>
          <w:szCs w:val="28"/>
        </w:rPr>
      </w:pPr>
      <w:r>
        <w:rPr>
          <w:rFonts w:ascii="宋体" w:eastAsia="宋体" w:hAnsi="宋体" w:cs="宋体" w:hint="eastAsia"/>
          <w:sz w:val="28"/>
          <w:szCs w:val="28"/>
        </w:rPr>
        <w:t>①总体目标实现情况指标标准分值为8分，考评得分8分。</w:t>
      </w:r>
    </w:p>
    <w:p>
      <w:pPr>
        <w:ind w:firstLine="560" w:firstLineChars="200"/>
        <w:rPr>
          <w:rFonts w:ascii="宋体" w:eastAsia="宋体" w:hAnsi="宋体" w:cs="宋体"/>
          <w:sz w:val="28"/>
          <w:szCs w:val="28"/>
        </w:rPr>
      </w:pPr>
      <w:r>
        <w:rPr>
          <w:rFonts w:ascii="宋体" w:eastAsia="宋体" w:hAnsi="宋体" w:cs="宋体" w:hint="eastAsia"/>
          <w:sz w:val="28"/>
          <w:szCs w:val="28"/>
        </w:rPr>
        <w:t>围场县东山市民休闲公园建设项目完工部分按批复设定的总体目标全面实现，达到预期目标。</w:t>
      </w:r>
    </w:p>
    <w:p>
      <w:pPr>
        <w:ind w:firstLine="560" w:firstLineChars="200"/>
        <w:rPr>
          <w:rFonts w:ascii="宋体" w:eastAsia="宋体" w:hAnsi="宋体" w:cs="宋体"/>
          <w:sz w:val="28"/>
          <w:szCs w:val="28"/>
        </w:rPr>
      </w:pPr>
      <w:r>
        <w:rPr>
          <w:rFonts w:ascii="宋体" w:eastAsia="宋体" w:hAnsi="宋体" w:cs="宋体" w:hint="eastAsia"/>
          <w:sz w:val="28"/>
          <w:szCs w:val="28"/>
        </w:rPr>
        <w:t>②社会效益实现情况指标标准分值为8分，考评得分8分。</w:t>
      </w:r>
    </w:p>
    <w:p>
      <w:pPr>
        <w:ind w:firstLine="560" w:firstLineChars="200"/>
        <w:rPr>
          <w:rFonts w:ascii="宋体" w:eastAsia="宋体" w:hAnsi="宋体" w:cs="宋体"/>
          <w:sz w:val="28"/>
          <w:szCs w:val="28"/>
        </w:rPr>
      </w:pPr>
      <w:r>
        <w:rPr>
          <w:rFonts w:ascii="宋体" w:eastAsia="宋体" w:hAnsi="宋体" w:cs="宋体" w:hint="eastAsia"/>
          <w:sz w:val="28"/>
          <w:szCs w:val="28"/>
        </w:rPr>
        <w:t>项目建设完成后能够大大提升景观效益，对周边地区发展十分有利，居民生活质量明显提升，可增加一些就业机会，通过公园建设可以组织一些有意义的文化宣传和科普教育活动，提升项目的多样性功能。</w:t>
      </w:r>
    </w:p>
    <w:p>
      <w:pPr>
        <w:ind w:firstLine="560" w:firstLineChars="200"/>
        <w:rPr>
          <w:rFonts w:ascii="宋体" w:eastAsia="宋体" w:hAnsi="宋体" w:cs="宋体"/>
          <w:sz w:val="28"/>
          <w:szCs w:val="28"/>
        </w:rPr>
      </w:pPr>
      <w:r>
        <w:rPr>
          <w:rFonts w:ascii="宋体" w:eastAsia="宋体" w:hAnsi="宋体" w:cs="宋体" w:hint="eastAsia"/>
          <w:sz w:val="28"/>
          <w:szCs w:val="28"/>
        </w:rPr>
        <w:t>③社会环境（生态环境等）改善情况指标标准分值为4分，考评得分4分。</w:t>
      </w:r>
    </w:p>
    <w:p>
      <w:pPr>
        <w:ind w:firstLine="560" w:firstLineChars="200"/>
        <w:rPr>
          <w:rFonts w:ascii="宋体" w:eastAsia="宋体" w:hAnsi="宋体" w:cs="宋体"/>
          <w:sz w:val="28"/>
          <w:szCs w:val="28"/>
        </w:rPr>
      </w:pPr>
      <w:r>
        <w:rPr>
          <w:rFonts w:ascii="宋体" w:eastAsia="宋体" w:hAnsi="宋体" w:cs="宋体" w:hint="eastAsia"/>
          <w:sz w:val="28"/>
          <w:szCs w:val="28"/>
        </w:rPr>
        <w:t>东山市民休闲公园项目建设，可以涵养水源、调节局部气候、净化空气、控制水土流失、生物多样性资源保护，生态环境明显提升。</w:t>
      </w:r>
    </w:p>
    <w:p>
      <w:pPr>
        <w:ind w:firstLine="560" w:firstLineChars="200"/>
        <w:rPr>
          <w:rFonts w:ascii="宋体" w:eastAsia="宋体" w:hAnsi="宋体" w:cs="宋体"/>
          <w:sz w:val="28"/>
          <w:szCs w:val="28"/>
        </w:rPr>
      </w:pPr>
      <w:r>
        <w:rPr>
          <w:rFonts w:ascii="宋体" w:eastAsia="宋体" w:hAnsi="宋体" w:cs="宋体" w:hint="eastAsia"/>
          <w:sz w:val="28"/>
          <w:szCs w:val="28"/>
        </w:rPr>
        <w:t>（2）经济效益指标绩效评价设定分值为10分，考评得分6分。</w:t>
      </w:r>
    </w:p>
    <w:p>
      <w:pPr>
        <w:ind w:firstLine="560" w:firstLineChars="200"/>
        <w:rPr>
          <w:rFonts w:ascii="宋体" w:eastAsia="宋体" w:hAnsi="宋体" w:cs="宋体"/>
          <w:sz w:val="28"/>
          <w:szCs w:val="28"/>
        </w:rPr>
      </w:pPr>
      <w:r>
        <w:rPr>
          <w:rFonts w:ascii="宋体" w:eastAsia="宋体" w:hAnsi="宋体" w:cs="宋体" w:hint="eastAsia"/>
          <w:sz w:val="28"/>
          <w:szCs w:val="28"/>
        </w:rPr>
        <w:t>①直接经济效益指标标准分值为3分，考评得分1分。</w:t>
      </w:r>
    </w:p>
    <w:p>
      <w:pPr>
        <w:ind w:firstLine="560" w:firstLineChars="200"/>
        <w:rPr>
          <w:rFonts w:ascii="宋体" w:eastAsia="宋体" w:hAnsi="宋体" w:cs="宋体"/>
          <w:sz w:val="28"/>
          <w:szCs w:val="28"/>
        </w:rPr>
      </w:pPr>
      <w:r>
        <w:rPr>
          <w:rFonts w:ascii="宋体" w:eastAsia="宋体" w:hAnsi="宋体" w:cs="宋体" w:hint="eastAsia"/>
          <w:sz w:val="28"/>
          <w:szCs w:val="28"/>
        </w:rPr>
        <w:t>由于东山市民休闲公园建设项目的投入为社会公益性项目，因此不产生直接经济效益。</w:t>
      </w:r>
    </w:p>
    <w:p>
      <w:pPr>
        <w:ind w:firstLine="560" w:firstLineChars="200"/>
        <w:rPr>
          <w:rFonts w:ascii="宋体" w:eastAsia="宋体" w:hAnsi="宋体" w:cs="宋体"/>
          <w:sz w:val="28"/>
          <w:szCs w:val="28"/>
        </w:rPr>
      </w:pPr>
      <w:r>
        <w:rPr>
          <w:rFonts w:ascii="宋体" w:eastAsia="宋体" w:hAnsi="宋体" w:cs="宋体" w:hint="eastAsia"/>
          <w:sz w:val="28"/>
          <w:szCs w:val="28"/>
        </w:rPr>
        <w:t>②间接经济效益指标标准分值7分，考评得分5分。</w:t>
      </w:r>
    </w:p>
    <w:p>
      <w:pPr>
        <w:ind w:firstLine="560" w:firstLineChars="200"/>
        <w:rPr>
          <w:rFonts w:ascii="宋体" w:eastAsia="宋体" w:hAnsi="宋体" w:cs="宋体"/>
          <w:sz w:val="28"/>
          <w:szCs w:val="28"/>
        </w:rPr>
      </w:pPr>
      <w:r>
        <w:rPr>
          <w:rFonts w:ascii="宋体" w:eastAsia="宋体" w:hAnsi="宋体" w:cs="宋体" w:hint="eastAsia"/>
          <w:sz w:val="28"/>
          <w:szCs w:val="28"/>
        </w:rPr>
        <w:t>项目建设可带动围场县城旅游业发展，促进社会进步，还可以为招商引资创造极佳条件，拉动围场满族蒙古族自治县经济发展，另外可以带动周边地价的上涨，随着后续项目的开发建设，会带来一定的间接经济效益。</w:t>
      </w:r>
    </w:p>
    <w:p>
      <w:pPr>
        <w:adjustRightInd w:val="0"/>
        <w:snapToGrid w:val="0"/>
        <w:spacing w:line="360" w:lineRule="auto"/>
        <w:ind w:firstLine="640" w:firstLineChars="200"/>
        <w:outlineLvl w:val="1"/>
        <w:rPr>
          <w:rFonts w:ascii="楷体" w:eastAsia="楷体" w:hAnsi="楷体" w:cs="楷体"/>
          <w:b/>
          <w:kern w:val="0"/>
          <w:sz w:val="32"/>
          <w:szCs w:val="32"/>
        </w:rPr>
      </w:pPr>
      <w:bookmarkStart w:id="66" w:name="_Toc14098"/>
      <w:bookmarkStart w:id="67" w:name="_Toc22148"/>
      <w:r>
        <w:rPr>
          <w:rFonts w:ascii="楷体" w:eastAsia="楷体" w:hAnsi="楷体" w:cs="楷体" w:hint="eastAsia"/>
          <w:b/>
          <w:kern w:val="0"/>
          <w:sz w:val="32"/>
          <w:szCs w:val="32"/>
        </w:rPr>
        <w:t>（二）绩效评价结论</w:t>
      </w:r>
      <w:bookmarkEnd w:id="66"/>
      <w:bookmarkEnd w:id="67"/>
    </w:p>
    <w:p>
      <w:pPr>
        <w:widowControl/>
        <w:ind w:firstLine="560" w:firstLineChars="200"/>
        <w:jc w:val="left"/>
        <w:rPr>
          <w:rFonts w:ascii="宋体" w:eastAsia="宋体" w:hAnsi="宋体" w:cs="宋体"/>
          <w:sz w:val="28"/>
          <w:szCs w:val="28"/>
        </w:rPr>
      </w:pPr>
      <w:r>
        <w:rPr>
          <w:rFonts w:ascii="宋体" w:eastAsia="宋体" w:hAnsi="宋体" w:cs="宋体" w:hint="eastAsia"/>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widowControl/>
        <w:ind w:firstLine="560" w:firstLineChars="200"/>
        <w:jc w:val="left"/>
        <w:rPr>
          <w:rFonts w:ascii="宋体" w:eastAsia="宋体" w:hAnsi="宋体" w:cs="宋体"/>
          <w:sz w:val="28"/>
          <w:szCs w:val="28"/>
        </w:rPr>
      </w:pPr>
      <w:r>
        <w:rPr>
          <w:rFonts w:ascii="宋体" w:eastAsia="宋体" w:hAnsi="宋体" w:cs="宋体" w:hint="eastAsia"/>
          <w:sz w:val="28"/>
          <w:szCs w:val="28"/>
        </w:rPr>
        <w:t>绩效评价指标综合得分情况：</w:t>
      </w:r>
    </w:p>
    <w:p>
      <w:pPr>
        <w:widowControl/>
        <w:ind w:firstLine="560" w:firstLineChars="200"/>
        <w:jc w:val="left"/>
        <w:rPr>
          <w:rFonts w:ascii="宋体" w:eastAsia="宋体" w:hAnsi="宋体" w:cs="宋体"/>
          <w:sz w:val="28"/>
          <w:szCs w:val="28"/>
        </w:rPr>
      </w:pPr>
      <w:r>
        <w:rPr>
          <w:rFonts w:ascii="宋体" w:eastAsia="宋体" w:hAnsi="宋体" w:cs="宋体" w:hint="eastAsia"/>
          <w:sz w:val="28"/>
          <w:szCs w:val="28"/>
        </w:rPr>
        <w:t>围场县东山市民休闲公园建设项目绩效考评结果，其中：投入指标考评得分10分、管理指标考评得分29分、产出指标考评得分26分、效益指标考评得分26分。通过对各项指标的具体分析评价，汇总得出本次绩效评价考核综合得分为91分，总体评价为“优”。</w:t>
      </w:r>
    </w:p>
    <w:p>
      <w:pPr>
        <w:widowControl/>
        <w:ind w:firstLine="560" w:firstLineChars="200"/>
        <w:jc w:val="left"/>
        <w:rPr>
          <w:rFonts w:ascii="宋体" w:eastAsia="宋体" w:hAnsi="宋体" w:cs="宋体"/>
          <w:bCs/>
          <w:kern w:val="0"/>
          <w:sz w:val="28"/>
          <w:szCs w:val="28"/>
        </w:rPr>
      </w:pPr>
      <w:r>
        <w:rPr>
          <w:rFonts w:ascii="宋体" w:eastAsia="宋体" w:hAnsi="宋体" w:cs="宋体" w:hint="eastAsia"/>
          <w:sz w:val="28"/>
          <w:szCs w:val="28"/>
        </w:rPr>
        <w:t>通过项目建设，对社会效益影响是长期的，促进了围场县的经济繁荣和稳定发展。</w:t>
      </w:r>
    </w:p>
    <w:p>
      <w:pPr>
        <w:widowControl/>
        <w:ind w:firstLine="560" w:firstLineChars="200"/>
        <w:jc w:val="left"/>
        <w:rPr>
          <w:rFonts w:ascii="宋体" w:eastAsia="宋体" w:hAnsi="宋体" w:cs="宋体"/>
          <w:sz w:val="28"/>
          <w:szCs w:val="28"/>
        </w:rPr>
      </w:pPr>
      <w:r>
        <w:rPr>
          <w:rFonts w:ascii="宋体" w:eastAsia="宋体" w:hAnsi="宋体" w:cs="宋体" w:hint="eastAsia"/>
          <w:sz w:val="28"/>
          <w:szCs w:val="28"/>
        </w:rPr>
        <w:t>评价结果表明，围场县东山市民休闲公园建设项目组织和管理能够较好地执行相关规定要求，对项目资金的监督管理总体有效，本项目实施持续性较明显。资金使用合理合规，为围场县的经济繁荣作出了贡献。</w:t>
      </w:r>
    </w:p>
    <w:p>
      <w:pPr>
        <w:adjustRightInd w:val="0"/>
        <w:snapToGrid w:val="0"/>
        <w:spacing w:line="360" w:lineRule="auto"/>
        <w:ind w:firstLine="640" w:firstLineChars="200"/>
        <w:outlineLvl w:val="0"/>
        <w:rPr>
          <w:rFonts w:ascii="黑体" w:eastAsia="黑体" w:hAnsi="黑体" w:cs="黑体"/>
          <w:bCs/>
          <w:kern w:val="0"/>
          <w:sz w:val="32"/>
          <w:szCs w:val="32"/>
        </w:rPr>
      </w:pPr>
      <w:bookmarkStart w:id="68" w:name="_Toc32395"/>
      <w:bookmarkStart w:id="69" w:name="_Toc29435"/>
      <w:r>
        <w:rPr>
          <w:rFonts w:ascii="黑体" w:eastAsia="黑体" w:hAnsi="黑体" w:cs="黑体" w:hint="eastAsia"/>
          <w:bCs/>
          <w:kern w:val="0"/>
          <w:sz w:val="32"/>
          <w:szCs w:val="32"/>
        </w:rPr>
        <w:t>五、</w:t>
      </w:r>
      <w:bookmarkEnd w:id="68"/>
      <w:r>
        <w:rPr>
          <w:rFonts w:ascii="黑体" w:eastAsia="黑体" w:hAnsi="黑体" w:cs="黑体" w:hint="eastAsia"/>
          <w:bCs/>
          <w:kern w:val="0"/>
          <w:sz w:val="32"/>
          <w:szCs w:val="32"/>
        </w:rPr>
        <w:t>意见及建议</w:t>
      </w:r>
      <w:bookmarkEnd w:id="69"/>
    </w:p>
    <w:p>
      <w:pPr>
        <w:widowControl/>
        <w:ind w:firstLine="560" w:firstLineChars="200"/>
        <w:jc w:val="left"/>
        <w:rPr>
          <w:rFonts w:ascii="宋体" w:eastAsia="宋体" w:hAnsi="宋体" w:cs="宋体"/>
          <w:sz w:val="28"/>
          <w:szCs w:val="28"/>
        </w:rPr>
      </w:pPr>
      <w:r>
        <w:rPr>
          <w:rFonts w:ascii="宋体" w:eastAsia="宋体" w:hAnsi="宋体" w:cs="宋体" w:hint="eastAsia"/>
          <w:sz w:val="28"/>
          <w:szCs w:val="28"/>
        </w:rPr>
        <w:t>应加强项目管理、完善建设程序，为了提高建设资金使用效益，建设单位应成立专项资金管理小组，设立专项账户，资金使用严格按照上级专项补助资金管理办法执行，政府有关部门和项目主管部门要加强监管和检查，加强财务管理工作。</w:t>
      </w:r>
    </w:p>
    <w:p>
      <w:pPr>
        <w:pStyle w:val="Heading2"/>
        <w:spacing w:line="240" w:lineRule="auto"/>
        <w:ind w:firstLine="640" w:firstLineChars="200"/>
        <w:rPr>
          <w:rFonts w:ascii="楷体" w:eastAsia="楷体" w:hAnsi="楷体" w:cs="楷体"/>
        </w:rPr>
      </w:pPr>
      <w:bookmarkStart w:id="70" w:name="_Toc26763"/>
      <w:bookmarkStart w:id="71" w:name="_Toc7010"/>
      <w:bookmarkStart w:id="72" w:name="_Toc15246"/>
      <w:bookmarkStart w:id="73" w:name="_Toc5786"/>
      <w:bookmarkStart w:id="74" w:name="_Toc25821"/>
      <w:bookmarkStart w:id="75" w:name="_Toc31396"/>
      <w:r>
        <w:rPr>
          <w:rFonts w:ascii="楷体" w:eastAsia="楷体" w:hAnsi="楷体" w:cs="楷体" w:hint="eastAsia"/>
        </w:rPr>
        <w:t>（一）强化绩效理念，深入推进评价工作</w:t>
      </w:r>
      <w:bookmarkEnd w:id="70"/>
      <w:bookmarkEnd w:id="71"/>
      <w:bookmarkEnd w:id="72"/>
      <w:bookmarkEnd w:id="73"/>
      <w:bookmarkEnd w:id="74"/>
      <w:bookmarkEnd w:id="75"/>
    </w:p>
    <w:p>
      <w:pPr>
        <w:widowControl/>
        <w:ind w:firstLine="560" w:firstLineChars="200"/>
        <w:jc w:val="left"/>
        <w:rPr>
          <w:rFonts w:ascii="宋体" w:eastAsia="宋体" w:hAnsi="宋体" w:cs="宋体"/>
          <w:sz w:val="28"/>
          <w:szCs w:val="28"/>
        </w:rPr>
      </w:pPr>
      <w:r>
        <w:rPr>
          <w:rFonts w:ascii="宋体" w:eastAsia="宋体" w:hAnsi="宋体" w:cs="宋体" w:hint="eastAsia"/>
          <w:sz w:val="28"/>
          <w:szCs w:val="28"/>
        </w:rPr>
        <w:t>进一步强化各部门绩效管理理念，健全完善制度办法，切实加强组织领导，深入推进评价工作，提升整体绩效管理水平。</w:t>
      </w:r>
    </w:p>
    <w:p>
      <w:pPr>
        <w:pStyle w:val="Heading2"/>
        <w:spacing w:line="240" w:lineRule="auto"/>
        <w:ind w:firstLine="640" w:firstLineChars="200"/>
        <w:rPr>
          <w:rFonts w:ascii="楷体" w:eastAsia="楷体" w:hAnsi="楷体" w:cs="楷体"/>
        </w:rPr>
      </w:pPr>
      <w:bookmarkStart w:id="76" w:name="_Toc14241"/>
      <w:bookmarkStart w:id="77" w:name="_Toc19932"/>
      <w:bookmarkStart w:id="78" w:name="_Toc10505"/>
      <w:bookmarkStart w:id="79" w:name="_Toc21411"/>
      <w:bookmarkStart w:id="80" w:name="_Toc6863"/>
      <w:bookmarkStart w:id="81" w:name="_Toc11860"/>
      <w:r>
        <w:rPr>
          <w:rFonts w:ascii="楷体" w:eastAsia="楷体" w:hAnsi="楷体" w:cs="楷体" w:hint="eastAsia"/>
        </w:rPr>
        <w:t>（二）强化事前准备，切实提升评价质量</w:t>
      </w:r>
      <w:bookmarkEnd w:id="76"/>
      <w:bookmarkEnd w:id="77"/>
      <w:bookmarkEnd w:id="78"/>
      <w:bookmarkEnd w:id="79"/>
      <w:bookmarkEnd w:id="80"/>
      <w:bookmarkEnd w:id="81"/>
    </w:p>
    <w:p>
      <w:pPr>
        <w:widowControl/>
        <w:ind w:firstLine="560" w:firstLineChars="200"/>
        <w:jc w:val="left"/>
        <w:rPr>
          <w:rFonts w:ascii="宋体" w:eastAsia="宋体" w:hAnsi="宋体" w:cs="宋体"/>
          <w:sz w:val="28"/>
          <w:szCs w:val="28"/>
        </w:rPr>
      </w:pPr>
      <w:r>
        <w:rPr>
          <w:rFonts w:ascii="宋体" w:eastAsia="宋体" w:hAnsi="宋体" w:cs="宋体"/>
          <w:sz w:val="28"/>
          <w:szCs w:val="28"/>
        </w:rPr>
        <w:t>在推进自身评价工作开展时，结合评价工作实际，规范评价标准，确保绩效评价结果规范化、科学化，切实提高评价质量。</w:t>
      </w:r>
      <w:bookmarkStart w:id="82" w:name="_Toc11787"/>
      <w:bookmarkStart w:id="83" w:name="_Toc3001"/>
      <w:bookmarkStart w:id="84" w:name="_Toc30061"/>
      <w:bookmarkStart w:id="85" w:name="_Toc21034"/>
      <w:bookmarkStart w:id="86" w:name="_Toc10592"/>
    </w:p>
    <w:p>
      <w:pPr>
        <w:pStyle w:val="Heading2"/>
        <w:spacing w:line="240" w:lineRule="auto"/>
        <w:ind w:firstLine="640" w:firstLineChars="200"/>
        <w:rPr>
          <w:rFonts w:ascii="楷体" w:eastAsia="楷体" w:hAnsi="楷体" w:cs="楷体"/>
        </w:rPr>
      </w:pPr>
      <w:bookmarkStart w:id="87" w:name="_Toc16658"/>
      <w:r>
        <w:rPr>
          <w:rFonts w:ascii="楷体" w:eastAsia="楷体" w:hAnsi="楷体" w:cs="楷体" w:hint="eastAsia"/>
        </w:rPr>
        <w:t>（三）强化结果应用，不断巩固评价</w:t>
      </w:r>
      <w:bookmarkEnd w:id="82"/>
      <w:bookmarkEnd w:id="83"/>
      <w:bookmarkEnd w:id="84"/>
      <w:bookmarkEnd w:id="85"/>
      <w:bookmarkEnd w:id="86"/>
      <w:r>
        <w:rPr>
          <w:rFonts w:ascii="楷体" w:eastAsia="楷体" w:hAnsi="楷体" w:cs="楷体" w:hint="eastAsia"/>
        </w:rPr>
        <w:t>成效</w:t>
      </w:r>
      <w:bookmarkEnd w:id="87"/>
    </w:p>
    <w:p>
      <w:pPr>
        <w:ind w:firstLine="560" w:firstLineChars="200"/>
        <w:rPr>
          <w:rFonts w:ascii="宋体" w:eastAsia="宋体" w:hAnsi="宋体" w:cs="宋体"/>
          <w:sz w:val="28"/>
          <w:szCs w:val="28"/>
        </w:rPr>
      </w:pPr>
      <w:r>
        <w:rPr>
          <w:rFonts w:ascii="宋体" w:eastAsia="宋体" w:hAnsi="宋体" w:cs="宋体"/>
          <w:sz w:val="28"/>
          <w:szCs w:val="28"/>
        </w:rPr>
        <w:t>加强评价结果的运用，将绩效评价结果纳入</w:t>
      </w:r>
      <w:r>
        <w:rPr>
          <w:rFonts w:ascii="宋体" w:eastAsia="宋体" w:hAnsi="宋体" w:cs="宋体" w:hint="eastAsia"/>
          <w:sz w:val="28"/>
          <w:szCs w:val="28"/>
        </w:rPr>
        <w:t>本单位</w:t>
      </w:r>
      <w:r>
        <w:rPr>
          <w:rFonts w:ascii="宋体" w:eastAsia="宋体" w:hAnsi="宋体" w:cs="宋体"/>
          <w:sz w:val="28"/>
          <w:szCs w:val="28"/>
        </w:rPr>
        <w:t>的年终考核中来，成为考核奖惩</w:t>
      </w:r>
      <w:r>
        <w:rPr>
          <w:rFonts w:ascii="宋体" w:eastAsia="宋体" w:hAnsi="宋体" w:cs="宋体" w:hint="eastAsia"/>
          <w:sz w:val="28"/>
          <w:szCs w:val="28"/>
        </w:rPr>
        <w:t>的</w:t>
      </w:r>
      <w:r>
        <w:rPr>
          <w:rFonts w:ascii="宋体" w:eastAsia="宋体" w:hAnsi="宋体" w:cs="宋体"/>
          <w:sz w:val="28"/>
          <w:szCs w:val="28"/>
        </w:rPr>
        <w:t>重要指标，区县和部门对绩效评价中发现的问题进一步整改落实，不断促进民生工程工作提质增效</w:t>
      </w:r>
      <w:r>
        <w:rPr>
          <w:rFonts w:hAnsi="宋体" w:cs="宋体" w:hint="eastAsia"/>
          <w:sz w:val="28"/>
          <w:szCs w:val="28"/>
        </w:rPr>
        <w:t>。</w:t>
      </w:r>
    </w:p>
    <w:p>
      <w:pPr>
        <w:adjustRightInd w:val="0"/>
        <w:snapToGrid w:val="0"/>
        <w:spacing w:line="360" w:lineRule="auto"/>
        <w:ind w:firstLine="640" w:firstLineChars="200"/>
        <w:outlineLvl w:val="0"/>
        <w:rPr>
          <w:rFonts w:ascii="黑体" w:eastAsia="黑体" w:hAnsi="黑体" w:cs="黑体"/>
          <w:bCs/>
          <w:kern w:val="0"/>
          <w:sz w:val="32"/>
          <w:szCs w:val="32"/>
        </w:rPr>
      </w:pPr>
      <w:bookmarkStart w:id="88" w:name="_Toc24195"/>
      <w:r>
        <w:rPr>
          <w:rFonts w:ascii="黑体" w:eastAsia="黑体" w:hAnsi="黑体" w:cs="黑体" w:hint="eastAsia"/>
          <w:bCs/>
          <w:kern w:val="0"/>
          <w:sz w:val="32"/>
          <w:szCs w:val="32"/>
        </w:rPr>
        <w:t>六、附件</w:t>
      </w:r>
      <w:bookmarkEnd w:id="88"/>
    </w:p>
    <w:p>
      <w:pPr>
        <w:pStyle w:val="Heading2"/>
        <w:rPr>
          <w:rFonts w:ascii="宋体" w:eastAsia="宋体" w:hAnsi="宋体" w:cs="宋体"/>
          <w:sz w:val="28"/>
          <w:szCs w:val="28"/>
        </w:rPr>
      </w:pPr>
      <w:bookmarkStart w:id="89" w:name="_Toc164"/>
      <w:r>
        <w:rPr>
          <w:rFonts w:ascii="楷体" w:eastAsia="楷体" w:hAnsi="楷体" w:cs="楷体" w:hint="eastAsia"/>
        </w:rPr>
        <w:t>绩效评价指标体系得分表</w:t>
      </w:r>
      <w:bookmarkEnd w:id="89"/>
    </w:p>
    <w:p>
      <w:pPr>
        <w:rPr>
          <w:rFonts w:ascii="宋体" w:eastAsia="宋体" w:hAnsi="宋体" w:cs="宋体"/>
          <w:sz w:val="28"/>
          <w:szCs w:val="28"/>
        </w:rPr>
      </w:pPr>
    </w:p>
    <w:p>
      <w:pPr>
        <w:rPr>
          <w:rFonts w:ascii="宋体" w:eastAsia="宋体" w:hAnsi="宋体" w:cs="宋体"/>
          <w:sz w:val="28"/>
          <w:szCs w:val="28"/>
        </w:rPr>
      </w:pPr>
    </w:p>
    <w:p>
      <w:pPr>
        <w:rPr>
          <w:rFonts w:ascii="宋体" w:eastAsia="宋体" w:hAnsi="宋体" w:cs="宋体"/>
          <w:sz w:val="28"/>
          <w:szCs w:val="28"/>
        </w:rPr>
      </w:pPr>
    </w:p>
    <w:p>
      <w:pPr>
        <w:adjustRightInd w:val="0"/>
        <w:snapToGrid w:val="0"/>
        <w:spacing w:line="540" w:lineRule="exact"/>
        <w:outlineLvl w:val="0"/>
        <w:rPr>
          <w:rFonts w:asciiTheme="minorEastAsia" w:hAnsiTheme="minorEastAsia"/>
          <w:sz w:val="32"/>
          <w:szCs w:val="32"/>
        </w:rPr>
      </w:pPr>
      <w:bookmarkStart w:id="90" w:name="_Toc15162"/>
      <w:r>
        <w:rPr>
          <w:rFonts w:asciiTheme="minorEastAsia" w:hAnsiTheme="minorEastAsia" w:hint="eastAsia"/>
          <w:sz w:val="32"/>
          <w:szCs w:val="32"/>
        </w:rPr>
        <w:t>承德燕山会计师事务所         中国注册会计师：</w:t>
      </w:r>
      <w:bookmarkEnd w:id="90"/>
      <w:r>
        <w:rPr>
          <w:rFonts w:asciiTheme="minorEastAsia" w:hAnsiTheme="minorEastAsia" w:hint="eastAsia"/>
          <w:sz w:val="32"/>
          <w:szCs w:val="32"/>
        </w:rPr>
        <w:t>崔春华</w:t>
      </w:r>
    </w:p>
    <w:p>
      <w:pPr>
        <w:adjustRightInd w:val="0"/>
        <w:snapToGrid w:val="0"/>
        <w:spacing w:line="540" w:lineRule="exact"/>
        <w:ind w:firstLine="640" w:firstLineChars="200"/>
        <w:outlineLvl w:val="0"/>
        <w:rPr>
          <w:rFonts w:asciiTheme="minorEastAsia" w:hAnsiTheme="minorEastAsia"/>
          <w:sz w:val="32"/>
          <w:szCs w:val="32"/>
        </w:rPr>
      </w:pPr>
      <w:bookmarkStart w:id="91" w:name="_Toc14815"/>
      <w:r>
        <w:rPr>
          <w:rFonts w:asciiTheme="minorEastAsia" w:hAnsiTheme="minorEastAsia" w:hint="eastAsia"/>
          <w:sz w:val="32"/>
          <w:szCs w:val="32"/>
        </w:rPr>
        <w:t>有限责任公司</w:t>
      </w:r>
      <w:bookmarkEnd w:id="91"/>
    </w:p>
    <w:p>
      <w:pPr>
        <w:ind w:firstLine="640" w:firstLineChars="200"/>
        <w:outlineLvl w:val="0"/>
        <w:rPr>
          <w:rFonts w:asciiTheme="minorEastAsia" w:hAnsiTheme="minorEastAsia"/>
          <w:sz w:val="32"/>
          <w:szCs w:val="32"/>
        </w:rPr>
      </w:pPr>
      <w:bookmarkStart w:id="92" w:name="_Toc13463"/>
      <w:r>
        <w:rPr>
          <w:rFonts w:asciiTheme="minorEastAsia" w:hAnsiTheme="minorEastAsia" w:hint="eastAsia"/>
          <w:sz w:val="32"/>
          <w:szCs w:val="32"/>
        </w:rPr>
        <w:t>河北·承德               中国注册会计师：</w:t>
      </w:r>
      <w:bookmarkEnd w:id="92"/>
      <w:r>
        <w:rPr>
          <w:rFonts w:asciiTheme="minorEastAsia" w:hAnsiTheme="minorEastAsia" w:hint="eastAsia"/>
          <w:sz w:val="32"/>
          <w:szCs w:val="32"/>
        </w:rPr>
        <w:t>白秀云</w:t>
      </w:r>
    </w:p>
    <w:p>
      <w:pPr>
        <w:ind w:firstLine="640" w:firstLineChars="200"/>
        <w:rPr>
          <w:rFonts w:asciiTheme="minorEastAsia" w:hAnsiTheme="minorEastAsia"/>
          <w:sz w:val="32"/>
          <w:szCs w:val="32"/>
        </w:rPr>
      </w:pPr>
      <w:r>
        <w:rPr>
          <w:rFonts w:asciiTheme="minorEastAsia" w:hAnsiTheme="minorEastAsia" w:hint="eastAsia"/>
          <w:sz w:val="32"/>
          <w:szCs w:val="32"/>
        </w:rPr>
        <w:t xml:space="preserve">                           </w:t>
      </w:r>
      <w:bookmarkStart w:id="93" w:name="_Toc29542"/>
    </w:p>
    <w:p>
      <w:pPr>
        <w:ind w:firstLine="640" w:firstLineChars="200"/>
        <w:rPr>
          <w:rFonts w:asciiTheme="minorEastAsia" w:hAnsiTheme="minorEastAsia"/>
          <w:sz w:val="32"/>
          <w:szCs w:val="32"/>
        </w:rPr>
      </w:pPr>
    </w:p>
    <w:p>
      <w:pPr>
        <w:ind w:firstLine="4160" w:firstLineChars="1300"/>
        <w:rPr>
          <w:rFonts w:ascii="宋体" w:eastAsia="宋体" w:hAnsi="宋体" w:cs="宋体"/>
          <w:sz w:val="28"/>
          <w:szCs w:val="28"/>
        </w:rPr>
        <w:sectPr>
          <w:footerReference w:type="default" r:id="rId11"/>
          <w:pgSz w:w="11906" w:h="16838"/>
          <w:pgMar w:top="1440" w:right="1800" w:bottom="1440" w:left="1800" w:header="851" w:footer="992" w:gutter="0"/>
          <w:pgNumType w:start="1"/>
          <w:cols w:num="1" w:space="425"/>
          <w:docGrid w:type="lines" w:linePitch="312" w:charSpace="0"/>
        </w:sectPr>
      </w:pPr>
      <w:r>
        <w:rPr>
          <w:rFonts w:asciiTheme="minorEastAsia" w:hAnsiTheme="minorEastAsia" w:hint="eastAsia"/>
          <w:sz w:val="32"/>
          <w:szCs w:val="32"/>
        </w:rPr>
        <w:t>二○二〇年十二月二十八日</w:t>
      </w:r>
      <w:bookmarkEnd w:id="93"/>
    </w:p>
    <w:p>
      <w:pPr>
        <w:jc w:val="center"/>
        <w:rPr>
          <w:rFonts w:ascii="宋体" w:eastAsia="宋体" w:hAnsi="宋体" w:cs="宋体"/>
          <w:b/>
          <w:bCs/>
          <w:sz w:val="28"/>
          <w:szCs w:val="28"/>
          <w:highlight w:val="yellow"/>
        </w:rPr>
      </w:pPr>
      <w:r>
        <w:rPr>
          <w:rFonts w:ascii="宋体" w:eastAsia="宋体" w:hAnsi="宋体" w:cs="宋体" w:hint="eastAsia"/>
          <w:b/>
          <w:bCs/>
          <w:sz w:val="28"/>
          <w:szCs w:val="28"/>
        </w:rPr>
        <w:t>围场县东山市民休闲公园建设项目绩效评价指标体系得分表</w:t>
      </w:r>
    </w:p>
    <w:tbl>
      <w:tblPr>
        <w:tblStyle w:val="TableGrid"/>
        <w:tblW w:w="4900" w:type="pc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845"/>
        <w:gridCol w:w="2137"/>
        <w:gridCol w:w="4803"/>
        <w:gridCol w:w="3358"/>
        <w:gridCol w:w="1748"/>
      </w:tblGrid>
      <w:tr>
        <w:tblPrEx>
          <w:tblW w:w="4900" w:type="pct"/>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897"/>
        </w:trPr>
        <w:tc>
          <w:tcPr>
            <w:tcW w:w="664"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一级指标</w:t>
            </w:r>
          </w:p>
        </w:tc>
        <w:tc>
          <w:tcPr>
            <w:tcW w:w="769"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二级指标</w:t>
            </w:r>
          </w:p>
        </w:tc>
        <w:tc>
          <w:tcPr>
            <w:tcW w:w="1728"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三级指标</w:t>
            </w:r>
          </w:p>
        </w:tc>
        <w:tc>
          <w:tcPr>
            <w:tcW w:w="1208"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考核标准</w:t>
            </w:r>
          </w:p>
        </w:tc>
        <w:tc>
          <w:tcPr>
            <w:tcW w:w="629" w:type="pct"/>
            <w:shd w:val="clear" w:color="auto" w:fill="BFBFBF" w:themeFill="background1" w:themeFillShade="BF"/>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asciiTheme="minorEastAsia" w:hAnsiTheme="minorEastAsia" w:hint="eastAsia"/>
                <w:b/>
                <w:bCs/>
                <w:sz w:val="24"/>
              </w:rPr>
              <w:t>考核得分</w:t>
            </w:r>
          </w:p>
        </w:tc>
      </w:tr>
      <w:tr>
        <w:tblPrEx>
          <w:tblW w:w="4900" w:type="pct"/>
          <w:tblInd w:w="126" w:type="dxa"/>
          <w:tblCellMar>
            <w:top w:w="0" w:type="dxa"/>
            <w:left w:w="108" w:type="dxa"/>
            <w:bottom w:w="0" w:type="dxa"/>
            <w:right w:w="108" w:type="dxa"/>
          </w:tblCellMar>
        </w:tblPrEx>
        <w:trPr>
          <w:trHeight w:hRule="exact" w:val="1572"/>
        </w:trPr>
        <w:tc>
          <w:tcPr>
            <w:tcW w:w="664"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投入指标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项目立项管理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（10分）</w:t>
            </w: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1、项目立项合规性、必要性、实施的可行性（5分）；</w:t>
            </w:r>
          </w:p>
        </w:tc>
        <w:tc>
          <w:tcPr>
            <w:tcW w:w="1208"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立项手续合规、方案可行得5分，无立项扣2分，方案欠佳扣2分；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5</w:t>
            </w:r>
          </w:p>
        </w:tc>
      </w:tr>
      <w:tr>
        <w:tblPrEx>
          <w:tblW w:w="4900" w:type="pct"/>
          <w:tblInd w:w="126" w:type="dxa"/>
          <w:tblCellMar>
            <w:top w:w="0" w:type="dxa"/>
            <w:left w:w="108" w:type="dxa"/>
            <w:bottom w:w="0" w:type="dxa"/>
            <w:right w:w="108" w:type="dxa"/>
          </w:tblCellMar>
        </w:tblPrEx>
        <w:trPr>
          <w:trHeight w:hRule="exact" w:val="1489"/>
        </w:trPr>
        <w:tc>
          <w:tcPr>
            <w:tcW w:w="664"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2、项目投入经济性、筹资合规性（3分）；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项目投入可行、资金来源合规得3分，投入经济性不明显得2分，经济性差不得分；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w:t>
            </w:r>
          </w:p>
        </w:tc>
      </w:tr>
      <w:tr>
        <w:tblPrEx>
          <w:tblW w:w="4900" w:type="pct"/>
          <w:tblInd w:w="126" w:type="dxa"/>
          <w:tblCellMar>
            <w:top w:w="0" w:type="dxa"/>
            <w:left w:w="108" w:type="dxa"/>
            <w:bottom w:w="0" w:type="dxa"/>
            <w:right w:w="108" w:type="dxa"/>
          </w:tblCellMar>
        </w:tblPrEx>
        <w:trPr>
          <w:trHeight w:hRule="exact" w:val="1251"/>
        </w:trPr>
        <w:tc>
          <w:tcPr>
            <w:tcW w:w="664"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3、项目可持续性（2分）；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项目能达到正常设计使用年限得2分，达不到不得分；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2</w:t>
            </w:r>
          </w:p>
        </w:tc>
      </w:tr>
      <w:tr>
        <w:tblPrEx>
          <w:tblW w:w="4900" w:type="pct"/>
          <w:tblInd w:w="126" w:type="dxa"/>
          <w:tblCellMar>
            <w:top w:w="0" w:type="dxa"/>
            <w:left w:w="108" w:type="dxa"/>
            <w:bottom w:w="0" w:type="dxa"/>
            <w:right w:w="108" w:type="dxa"/>
          </w:tblCellMar>
        </w:tblPrEx>
        <w:trPr>
          <w:trHeight w:val="1766"/>
        </w:trPr>
        <w:tc>
          <w:tcPr>
            <w:tcW w:w="664"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管理指标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业务管理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（15分）</w:t>
            </w: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4、项目资料的完整性（6分）；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项目资料（实施方案、施工合同、竣工验收报告）完整得6分，资料不完整每有一项扣1分；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5</w:t>
            </w:r>
          </w:p>
        </w:tc>
      </w:tr>
      <w:tr>
        <w:tblPrEx>
          <w:tblW w:w="4900" w:type="pct"/>
          <w:tblInd w:w="126" w:type="dxa"/>
          <w:tblCellMar>
            <w:top w:w="0" w:type="dxa"/>
            <w:left w:w="108" w:type="dxa"/>
            <w:bottom w:w="0" w:type="dxa"/>
            <w:right w:w="108" w:type="dxa"/>
          </w:tblCellMar>
        </w:tblPrEx>
        <w:trPr>
          <w:trHeight w:val="1364"/>
        </w:trPr>
        <w:tc>
          <w:tcPr>
            <w:tcW w:w="664"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5、项目公开招投标情况（6分）；</w:t>
            </w:r>
          </w:p>
        </w:tc>
        <w:tc>
          <w:tcPr>
            <w:tcW w:w="1208"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项目依法依规招投标得6分，应该招标项目没有招标不得分；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6</w:t>
            </w:r>
          </w:p>
        </w:tc>
      </w:tr>
      <w:tr>
        <w:tblPrEx>
          <w:tblW w:w="4900" w:type="pct"/>
          <w:tblInd w:w="126" w:type="dxa"/>
          <w:tblCellMar>
            <w:top w:w="0" w:type="dxa"/>
            <w:left w:w="108" w:type="dxa"/>
            <w:bottom w:w="0" w:type="dxa"/>
            <w:right w:w="108" w:type="dxa"/>
          </w:tblCellMar>
        </w:tblPrEx>
        <w:trPr>
          <w:trHeight w:val="1350"/>
        </w:trPr>
        <w:tc>
          <w:tcPr>
            <w:tcW w:w="664"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6、变更控制情况（3分）；</w:t>
            </w:r>
          </w:p>
        </w:tc>
        <w:tc>
          <w:tcPr>
            <w:tcW w:w="1208"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债券资金使用无变更得3分，变更费用每超过投资额1%，扣0.5分；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w:t>
            </w:r>
          </w:p>
        </w:tc>
      </w:tr>
      <w:tr>
        <w:tblPrEx>
          <w:tblW w:w="4900" w:type="pct"/>
          <w:tblInd w:w="126" w:type="dxa"/>
          <w:tblCellMar>
            <w:top w:w="0" w:type="dxa"/>
            <w:left w:w="108" w:type="dxa"/>
            <w:bottom w:w="0" w:type="dxa"/>
            <w:right w:w="108" w:type="dxa"/>
          </w:tblCellMar>
        </w:tblPrEx>
        <w:trPr>
          <w:trHeight w:val="1440"/>
        </w:trPr>
        <w:tc>
          <w:tcPr>
            <w:tcW w:w="664"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财务管理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（15分）</w:t>
            </w:r>
          </w:p>
        </w:tc>
        <w:tc>
          <w:tcPr>
            <w:tcW w:w="1728" w:type="pct"/>
            <w:vAlign w:val="center"/>
          </w:tcPr>
          <w:p>
            <w:pPr>
              <w:pStyle w:val="1"/>
              <w:kinsoku w:val="0"/>
              <w:overflowPunct w:val="0"/>
              <w:autoSpaceDE w:val="0"/>
              <w:autoSpaceDN w:val="0"/>
              <w:adjustRightInd w:val="0"/>
              <w:snapToGrid w:val="0"/>
              <w:spacing w:before="163" w:after="163"/>
              <w:ind w:firstLine="0"/>
              <w:jc w:val="left"/>
              <w:rPr>
                <w:rFonts w:ascii="宋体" w:eastAsia="宋体" w:hAnsi="宋体" w:cs="宋体"/>
                <w:bCs/>
                <w:sz w:val="24"/>
              </w:rPr>
            </w:pPr>
            <w:r>
              <w:rPr>
                <w:rFonts w:ascii="宋体" w:eastAsia="宋体" w:hAnsi="宋体" w:cs="宋体" w:hint="eastAsia"/>
                <w:color w:val="000000"/>
                <w:sz w:val="24"/>
              </w:rPr>
              <w:t>7、资金使用合规性（5分）</w:t>
            </w:r>
          </w:p>
        </w:tc>
        <w:tc>
          <w:tcPr>
            <w:tcW w:w="1208" w:type="pct"/>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债券资金未用于经常性支出，未用于中央明令禁止的项目支出得5分，发现资金使用不合规每有一项扣1分；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5</w:t>
            </w:r>
          </w:p>
        </w:tc>
      </w:tr>
      <w:tr>
        <w:tblPrEx>
          <w:tblW w:w="4900" w:type="pct"/>
          <w:tblInd w:w="126" w:type="dxa"/>
          <w:tblCellMar>
            <w:top w:w="0" w:type="dxa"/>
            <w:left w:w="108" w:type="dxa"/>
            <w:bottom w:w="0" w:type="dxa"/>
            <w:right w:w="108" w:type="dxa"/>
          </w:tblCellMar>
        </w:tblPrEx>
        <w:trPr>
          <w:trHeight w:val="1333"/>
        </w:trPr>
        <w:tc>
          <w:tcPr>
            <w:tcW w:w="664"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jc w:val="left"/>
              <w:rPr>
                <w:rFonts w:ascii="宋体" w:eastAsia="宋体" w:hAnsi="宋体" w:cs="宋体"/>
                <w:bCs/>
                <w:sz w:val="24"/>
              </w:rPr>
            </w:pPr>
            <w:r>
              <w:rPr>
                <w:rFonts w:ascii="宋体" w:eastAsia="宋体" w:hAnsi="宋体" w:cs="宋体" w:hint="eastAsia"/>
                <w:color w:val="000000"/>
                <w:sz w:val="24"/>
              </w:rPr>
              <w:t>8、县级财政国库集中支付情况（6分）；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及时拨付项目资金得6分，未及时拨付每发现一次扣1分；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6</w:t>
            </w:r>
          </w:p>
        </w:tc>
      </w:tr>
      <w:tr>
        <w:tblPrEx>
          <w:tblW w:w="4900" w:type="pct"/>
          <w:tblInd w:w="126" w:type="dxa"/>
          <w:tblCellMar>
            <w:top w:w="0" w:type="dxa"/>
            <w:left w:w="108" w:type="dxa"/>
            <w:bottom w:w="0" w:type="dxa"/>
            <w:right w:w="108" w:type="dxa"/>
          </w:tblCellMar>
        </w:tblPrEx>
        <w:trPr>
          <w:trHeight w:val="1408"/>
        </w:trPr>
        <w:tc>
          <w:tcPr>
            <w:tcW w:w="664"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jc w:val="left"/>
              <w:rPr>
                <w:rFonts w:ascii="宋体" w:eastAsia="宋体" w:hAnsi="宋体" w:cs="宋体"/>
                <w:color w:val="000000"/>
                <w:sz w:val="24"/>
              </w:rPr>
            </w:pPr>
            <w:r>
              <w:rPr>
                <w:rFonts w:ascii="宋体" w:eastAsia="宋体" w:hAnsi="宋体" w:cs="宋体" w:hint="eastAsia"/>
                <w:color w:val="000000"/>
                <w:sz w:val="24"/>
              </w:rPr>
              <w:t>9、会计制度执行情况（4分）；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未发现资金有挪用、抽逃、延迟支付现象得4分，每发现一次扣减1分；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4</w:t>
            </w:r>
          </w:p>
        </w:tc>
      </w:tr>
      <w:tr>
        <w:tblPrEx>
          <w:tblW w:w="4900" w:type="pct"/>
          <w:tblInd w:w="126" w:type="dxa"/>
          <w:tblCellMar>
            <w:top w:w="0" w:type="dxa"/>
            <w:left w:w="108" w:type="dxa"/>
            <w:bottom w:w="0" w:type="dxa"/>
            <w:right w:w="108" w:type="dxa"/>
          </w:tblCellMar>
        </w:tblPrEx>
        <w:trPr>
          <w:trHeight w:val="1408"/>
        </w:trPr>
        <w:tc>
          <w:tcPr>
            <w:tcW w:w="664"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产出指标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项目产出管理</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（30分）</w:t>
            </w: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10、工程完工情况（10分）；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考核期内项目全部完工得10分，每有一项未完工扣2分；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w:t>
            </w:r>
          </w:p>
        </w:tc>
      </w:tr>
      <w:tr>
        <w:tblPrEx>
          <w:tblW w:w="4900" w:type="pct"/>
          <w:tblInd w:w="126" w:type="dxa"/>
          <w:tblCellMar>
            <w:top w:w="0" w:type="dxa"/>
            <w:left w:w="108" w:type="dxa"/>
            <w:bottom w:w="0" w:type="dxa"/>
            <w:right w:w="108" w:type="dxa"/>
          </w:tblCellMar>
        </w:tblPrEx>
        <w:trPr>
          <w:trHeight w:val="1068"/>
        </w:trPr>
        <w:tc>
          <w:tcPr>
            <w:tcW w:w="664" w:type="pct"/>
            <w:vMerge/>
            <w:vAlign w:val="center"/>
          </w:tcPr>
          <w:p>
            <w:pPr>
              <w:pStyle w:val="1"/>
              <w:kinsoku w:val="0"/>
              <w:overflowPunct w:val="0"/>
              <w:autoSpaceDE w:val="0"/>
              <w:autoSpaceDN w:val="0"/>
              <w:adjustRightInd w:val="0"/>
              <w:snapToGrid w:val="0"/>
              <w:spacing w:before="163" w:after="163"/>
              <w:ind w:firstLine="0"/>
              <w:jc w:val="center"/>
              <w:rPr>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11、工期控制情况（10分）；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计划工期内完工得10分，超期完工扣2分；评价期内仍未完工不得分；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8</w:t>
            </w:r>
          </w:p>
        </w:tc>
      </w:tr>
      <w:tr>
        <w:tblPrEx>
          <w:tblW w:w="4900" w:type="pct"/>
          <w:tblInd w:w="126" w:type="dxa"/>
          <w:tblCellMar>
            <w:top w:w="0" w:type="dxa"/>
            <w:left w:w="108" w:type="dxa"/>
            <w:bottom w:w="0" w:type="dxa"/>
            <w:right w:w="108" w:type="dxa"/>
          </w:tblCellMar>
        </w:tblPrEx>
        <w:trPr>
          <w:trHeight w:val="1408"/>
        </w:trPr>
        <w:tc>
          <w:tcPr>
            <w:tcW w:w="664"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12、完工项目验收情况（10分）；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完工后项目通过竣工验收合格得10分，完工后延迟验收扣2分，验收不合格不得分；完工后未经验收扣5分；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8</w:t>
            </w:r>
          </w:p>
        </w:tc>
      </w:tr>
      <w:tr>
        <w:tblPrEx>
          <w:tblW w:w="4900" w:type="pct"/>
          <w:tblInd w:w="126" w:type="dxa"/>
          <w:tblCellMar>
            <w:top w:w="0" w:type="dxa"/>
            <w:left w:w="108" w:type="dxa"/>
            <w:bottom w:w="0" w:type="dxa"/>
            <w:right w:w="108" w:type="dxa"/>
          </w:tblCellMar>
        </w:tblPrEx>
        <w:trPr>
          <w:trHeight w:val="1408"/>
        </w:trPr>
        <w:tc>
          <w:tcPr>
            <w:tcW w:w="664"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效益指标</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（30份）</w:t>
            </w:r>
          </w:p>
        </w:tc>
        <w:tc>
          <w:tcPr>
            <w:tcW w:w="769"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社会效益情况</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（20分）</w:t>
            </w: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13、总体目标实现情况（8分）；</w:t>
            </w:r>
          </w:p>
        </w:tc>
        <w:tc>
          <w:tcPr>
            <w:tcW w:w="1208" w:type="pct"/>
          </w:tcPr>
          <w:p>
            <w:pPr>
              <w:kinsoku w:val="0"/>
              <w:overflowPunct w:val="0"/>
              <w:autoSpaceDE w:val="0"/>
              <w:autoSpaceDN w:val="0"/>
              <w:adjustRightInd w:val="0"/>
              <w:snapToGrid w:val="0"/>
              <w:spacing w:before="163" w:after="163"/>
              <w:rPr>
                <w:rFonts w:asciiTheme="minorEastAsia" w:hAnsiTheme="minorEastAsia" w:cs="Times New Roman"/>
                <w:kern w:val="0"/>
                <w:sz w:val="24"/>
              </w:rPr>
            </w:pPr>
            <w:r>
              <w:rPr>
                <w:rFonts w:asciiTheme="minorEastAsia" w:hAnsiTheme="minorEastAsia" w:hint="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asciiTheme="minorEastAsia" w:hAnsiTheme="minorEastAsia" w:hint="eastAsia"/>
                <w:bCs/>
                <w:sz w:val="24"/>
              </w:rPr>
              <w:t>8</w:t>
            </w:r>
          </w:p>
        </w:tc>
      </w:tr>
      <w:tr>
        <w:tblPrEx>
          <w:tblW w:w="4900" w:type="pct"/>
          <w:tblInd w:w="126" w:type="dxa"/>
          <w:tblCellMar>
            <w:top w:w="0" w:type="dxa"/>
            <w:left w:w="108" w:type="dxa"/>
            <w:bottom w:w="0" w:type="dxa"/>
            <w:right w:w="108" w:type="dxa"/>
          </w:tblCellMar>
        </w:tblPrEx>
        <w:trPr>
          <w:trHeight w:val="1408"/>
        </w:trPr>
        <w:tc>
          <w:tcPr>
            <w:tcW w:w="664" w:type="pct"/>
            <w:vMerge/>
            <w:vAlign w:val="center"/>
          </w:tcPr>
          <w:p>
            <w:pPr>
              <w:pStyle w:val="1"/>
              <w:kinsoku w:val="0"/>
              <w:overflowPunct w:val="0"/>
              <w:autoSpaceDE w:val="0"/>
              <w:autoSpaceDN w:val="0"/>
              <w:adjustRightInd w:val="0"/>
              <w:snapToGrid w:val="0"/>
              <w:spacing w:before="163" w:after="163"/>
              <w:ind w:firstLine="0"/>
              <w:rPr>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14、社会效益实现情况（</w:t>
            </w:r>
            <w:r>
              <w:rPr>
                <w:rFonts w:ascii="宋体" w:eastAsia="宋体" w:hAnsi="宋体" w:cs="宋体"/>
                <w:color w:val="000000"/>
                <w:sz w:val="24"/>
              </w:rPr>
              <w:t>8</w:t>
            </w:r>
            <w:r>
              <w:rPr>
                <w:rFonts w:ascii="宋体" w:eastAsia="宋体" w:hAnsi="宋体" w:cs="宋体" w:hint="eastAsia"/>
                <w:color w:val="000000"/>
                <w:sz w:val="24"/>
              </w:rPr>
              <w:t>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项目的建设对社会效益明显提升得8分，效益不明显得4分，社会效益差不得分；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W w:w="4900" w:type="pct"/>
          <w:tblInd w:w="126" w:type="dxa"/>
          <w:tblCellMar>
            <w:top w:w="0" w:type="dxa"/>
            <w:left w:w="108" w:type="dxa"/>
            <w:bottom w:w="0" w:type="dxa"/>
            <w:right w:w="108" w:type="dxa"/>
          </w:tblCellMar>
        </w:tblPrEx>
        <w:trPr>
          <w:trHeight w:val="1408"/>
        </w:trPr>
        <w:tc>
          <w:tcPr>
            <w:tcW w:w="664"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bCs/>
                <w:sz w:val="24"/>
              </w:rPr>
            </w:pPr>
            <w:r>
              <w:rPr>
                <w:rFonts w:ascii="宋体" w:eastAsia="宋体" w:hAnsi="宋体" w:cs="宋体" w:hint="eastAsia"/>
                <w:color w:val="000000"/>
                <w:sz w:val="24"/>
              </w:rPr>
              <w:t>15、社会环境（生态环境等）改善情况（</w:t>
            </w:r>
            <w:r>
              <w:rPr>
                <w:rFonts w:ascii="宋体" w:eastAsia="宋体" w:hAnsi="宋体" w:cs="宋体"/>
                <w:color w:val="000000"/>
                <w:sz w:val="24"/>
              </w:rPr>
              <w:t>4</w:t>
            </w:r>
            <w:r>
              <w:rPr>
                <w:rFonts w:ascii="宋体" w:eastAsia="宋体" w:hAnsi="宋体" w:cs="宋体" w:hint="eastAsia"/>
                <w:color w:val="000000"/>
                <w:sz w:val="24"/>
              </w:rPr>
              <w:t>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Theme="minorEastAsia" w:hAnsiTheme="minorEastAsia" w:hint="eastAsia"/>
                <w:bCs/>
                <w:sz w:val="24"/>
              </w:rPr>
              <w:t>项目建设对社会环境（生态环境）有明显提升得4分，提升不明显得2分，影响社会环境不得分；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4</w:t>
            </w:r>
          </w:p>
        </w:tc>
      </w:tr>
      <w:tr>
        <w:tblPrEx>
          <w:tblW w:w="4900" w:type="pct"/>
          <w:tblInd w:w="126" w:type="dxa"/>
          <w:tblCellMar>
            <w:top w:w="0" w:type="dxa"/>
            <w:left w:w="108" w:type="dxa"/>
            <w:bottom w:w="0" w:type="dxa"/>
            <w:right w:w="108" w:type="dxa"/>
          </w:tblCellMar>
        </w:tblPrEx>
        <w:trPr>
          <w:trHeight w:val="1588"/>
        </w:trPr>
        <w:tc>
          <w:tcPr>
            <w:tcW w:w="664"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经济效益情况</w:t>
            </w:r>
          </w:p>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（10分）</w:t>
            </w: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color w:val="000000"/>
                <w:sz w:val="24"/>
              </w:rPr>
            </w:pPr>
            <w:r>
              <w:rPr>
                <w:rFonts w:ascii="宋体" w:eastAsia="宋体" w:hAnsi="宋体" w:cs="宋体" w:hint="eastAsia"/>
                <w:color w:val="000000"/>
                <w:sz w:val="24"/>
              </w:rPr>
              <w:t>16、项目建设带来的直接经济效益（3分）；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宋体" w:eastAsia="宋体" w:hAnsi="宋体" w:cs="Times New Roman" w:hint="eastAsia"/>
                <w:bCs/>
                <w:sz w:val="24"/>
                <w:lang w:bidi="ar"/>
              </w:rPr>
              <w:t>项目建设能够持续带动当地直接经济效益明显提升得3分，直接经济效益不明显扣1分，无直接经济效益扣2分；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仿宋" w:eastAsia="仿宋" w:hAnsi="仿宋"/>
                <w:color w:val="000000"/>
                <w:sz w:val="24"/>
              </w:rPr>
            </w:pPr>
            <w:r>
              <w:rPr>
                <w:rFonts w:ascii="仿宋" w:eastAsia="仿宋" w:hAnsi="仿宋" w:hint="eastAsia"/>
                <w:color w:val="000000"/>
                <w:sz w:val="24"/>
              </w:rPr>
              <w:t>1</w:t>
            </w:r>
          </w:p>
        </w:tc>
      </w:tr>
      <w:tr>
        <w:tblPrEx>
          <w:tblW w:w="4900" w:type="pct"/>
          <w:tblInd w:w="126" w:type="dxa"/>
          <w:tblCellMar>
            <w:top w:w="0" w:type="dxa"/>
            <w:left w:w="108" w:type="dxa"/>
            <w:bottom w:w="0" w:type="dxa"/>
            <w:right w:w="108" w:type="dxa"/>
          </w:tblCellMar>
        </w:tblPrEx>
        <w:trPr>
          <w:trHeight w:val="1588"/>
        </w:trPr>
        <w:tc>
          <w:tcPr>
            <w:tcW w:w="664"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
              <w:kinsoku w:val="0"/>
              <w:overflowPunct w:val="0"/>
              <w:autoSpaceDE w:val="0"/>
              <w:autoSpaceDN w:val="0"/>
              <w:adjustRightInd w:val="0"/>
              <w:snapToGrid w:val="0"/>
              <w:spacing w:before="163" w:after="163"/>
              <w:ind w:firstLine="0"/>
              <w:rPr>
                <w:rFonts w:ascii="宋体" w:eastAsia="宋体" w:hAnsi="宋体" w:cs="宋体"/>
                <w:color w:val="000000"/>
                <w:sz w:val="24"/>
              </w:rPr>
            </w:pPr>
            <w:r>
              <w:rPr>
                <w:rFonts w:ascii="宋体" w:eastAsia="宋体" w:hAnsi="宋体" w:cs="宋体" w:hint="eastAsia"/>
                <w:color w:val="000000"/>
                <w:sz w:val="24"/>
              </w:rPr>
              <w:t>17、项目建设带来的间接经济效益（7分）；</w:t>
            </w:r>
          </w:p>
        </w:tc>
        <w:tc>
          <w:tcPr>
            <w:tcW w:w="1208" w:type="pct"/>
          </w:tcPr>
          <w:p>
            <w:pPr>
              <w:pStyle w:val="1"/>
              <w:kinsoku w:val="0"/>
              <w:overflowPunct w:val="0"/>
              <w:autoSpaceDE w:val="0"/>
              <w:autoSpaceDN w:val="0"/>
              <w:adjustRightInd w:val="0"/>
              <w:snapToGrid w:val="0"/>
              <w:spacing w:before="163" w:after="163"/>
              <w:ind w:firstLine="0"/>
              <w:rPr>
                <w:rFonts w:asciiTheme="minorEastAsia" w:hAnsiTheme="minorEastAsia"/>
                <w:bCs/>
                <w:sz w:val="24"/>
              </w:rPr>
            </w:pPr>
            <w:r>
              <w:rPr>
                <w:rFonts w:ascii="宋体" w:eastAsia="宋体" w:hAnsi="宋体" w:cs="Times New Roman" w:hint="eastAsia"/>
                <w:bCs/>
                <w:sz w:val="24"/>
                <w:lang w:bidi="ar"/>
              </w:rPr>
              <w:t>项目建设能够持续带动当地间接经济效益明显提升得7分，经济效益不明显得5分；</w:t>
            </w:r>
          </w:p>
        </w:tc>
        <w:tc>
          <w:tcPr>
            <w:tcW w:w="629" w:type="pct"/>
            <w:vAlign w:val="center"/>
          </w:tcPr>
          <w:p>
            <w:pPr>
              <w:pStyle w:val="1"/>
              <w:kinsoku w:val="0"/>
              <w:overflowPunct w:val="0"/>
              <w:autoSpaceDE w:val="0"/>
              <w:autoSpaceDN w:val="0"/>
              <w:adjustRightInd w:val="0"/>
              <w:snapToGrid w:val="0"/>
              <w:spacing w:before="163" w:after="163"/>
              <w:ind w:firstLine="0"/>
              <w:jc w:val="center"/>
              <w:rPr>
                <w:rFonts w:ascii="仿宋" w:eastAsia="仿宋" w:hAnsi="仿宋"/>
                <w:color w:val="000000"/>
                <w:sz w:val="24"/>
              </w:rPr>
            </w:pPr>
            <w:r>
              <w:rPr>
                <w:rFonts w:ascii="仿宋" w:eastAsia="仿宋" w:hAnsi="仿宋" w:hint="eastAsia"/>
                <w:color w:val="000000"/>
                <w:sz w:val="24"/>
              </w:rPr>
              <w:t>5</w:t>
            </w:r>
          </w:p>
        </w:tc>
      </w:tr>
      <w:tr>
        <w:tblPrEx>
          <w:tblW w:w="4900" w:type="pct"/>
          <w:tblInd w:w="126" w:type="dxa"/>
          <w:tblCellMar>
            <w:top w:w="0" w:type="dxa"/>
            <w:left w:w="108" w:type="dxa"/>
            <w:bottom w:w="0" w:type="dxa"/>
            <w:right w:w="108" w:type="dxa"/>
          </w:tblCellMar>
        </w:tblPrEx>
        <w:trPr>
          <w:trHeight w:val="1046"/>
        </w:trPr>
        <w:tc>
          <w:tcPr>
            <w:tcW w:w="664"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总分</w:t>
            </w:r>
          </w:p>
        </w:tc>
        <w:tc>
          <w:tcPr>
            <w:tcW w:w="769" w:type="pct"/>
            <w:vAlign w:val="center"/>
          </w:tcPr>
          <w:p>
            <w:pPr>
              <w:pStyle w:val="1"/>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hint="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asciiTheme="minorEastAsia" w:hAnsiTheme="minorEastAsia" w:hint="eastAsia"/>
                <w:bCs/>
                <w:sz w:val="24"/>
              </w:rPr>
              <w:t>91</w:t>
            </w:r>
          </w:p>
        </w:tc>
      </w:tr>
    </w:tbl>
    <w:p>
      <w:pPr>
        <w:rPr>
          <w:rFonts w:ascii="宋体" w:eastAsia="宋体" w:hAnsi="宋体" w:cs="宋体"/>
          <w:sz w:val="28"/>
          <w:szCs w:val="28"/>
        </w:rPr>
      </w:pPr>
    </w:p>
    <w:sectPr>
      <w:pgSz w:w="16838" w:h="11906" w:orient="landscape"/>
      <w:pgMar w:top="1800" w:right="1440" w:bottom="1800" w:left="144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2010609030101010101"/>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pPr>
                      <w:pStyle w:val="Foo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C2C8A76"/>
    <w:multiLevelType w:val="singleLevel"/>
    <w:tmpl w:val="EC2C8A7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A52C9E"/>
    <w:rsid w:val="00400C36"/>
    <w:rsid w:val="009B3D78"/>
    <w:rsid w:val="009F4926"/>
    <w:rsid w:val="00AD3B34"/>
    <w:rsid w:val="00BE1595"/>
    <w:rsid w:val="00F71DFB"/>
    <w:rsid w:val="0241670B"/>
    <w:rsid w:val="03906ECE"/>
    <w:rsid w:val="03A306CD"/>
    <w:rsid w:val="03B73450"/>
    <w:rsid w:val="047E3D7B"/>
    <w:rsid w:val="06B3136F"/>
    <w:rsid w:val="09DF3A36"/>
    <w:rsid w:val="0A0A7811"/>
    <w:rsid w:val="0A617961"/>
    <w:rsid w:val="0BA22D9D"/>
    <w:rsid w:val="0CF76258"/>
    <w:rsid w:val="0D892288"/>
    <w:rsid w:val="0FF14209"/>
    <w:rsid w:val="105E04DB"/>
    <w:rsid w:val="11CA6AB4"/>
    <w:rsid w:val="12192A13"/>
    <w:rsid w:val="13426D82"/>
    <w:rsid w:val="155D51F4"/>
    <w:rsid w:val="1671287C"/>
    <w:rsid w:val="179E01C8"/>
    <w:rsid w:val="18B14196"/>
    <w:rsid w:val="19B12636"/>
    <w:rsid w:val="1C0818FD"/>
    <w:rsid w:val="1DCB30AC"/>
    <w:rsid w:val="1E3912B7"/>
    <w:rsid w:val="21C358CA"/>
    <w:rsid w:val="25D00022"/>
    <w:rsid w:val="261A33D3"/>
    <w:rsid w:val="27DD72F2"/>
    <w:rsid w:val="284D6241"/>
    <w:rsid w:val="297639A8"/>
    <w:rsid w:val="2B052CF6"/>
    <w:rsid w:val="2B284D4B"/>
    <w:rsid w:val="2C137100"/>
    <w:rsid w:val="2FE473B6"/>
    <w:rsid w:val="30DA7549"/>
    <w:rsid w:val="327F7BC1"/>
    <w:rsid w:val="32FF511F"/>
    <w:rsid w:val="36DC7BF1"/>
    <w:rsid w:val="39FB1AB6"/>
    <w:rsid w:val="3BB5552B"/>
    <w:rsid w:val="3D7533AC"/>
    <w:rsid w:val="3EE432ED"/>
    <w:rsid w:val="41A52C9E"/>
    <w:rsid w:val="429E3EAA"/>
    <w:rsid w:val="46437D54"/>
    <w:rsid w:val="47C37A03"/>
    <w:rsid w:val="48771478"/>
    <w:rsid w:val="48E449AC"/>
    <w:rsid w:val="4A924A90"/>
    <w:rsid w:val="4B440C85"/>
    <w:rsid w:val="4C1C24FD"/>
    <w:rsid w:val="4D6E4357"/>
    <w:rsid w:val="4DF57240"/>
    <w:rsid w:val="4EE8726C"/>
    <w:rsid w:val="4F5D274A"/>
    <w:rsid w:val="4F887C83"/>
    <w:rsid w:val="518B1CD9"/>
    <w:rsid w:val="51BE417B"/>
    <w:rsid w:val="53AD2E58"/>
    <w:rsid w:val="54252E1D"/>
    <w:rsid w:val="569318BE"/>
    <w:rsid w:val="577B4A42"/>
    <w:rsid w:val="59204C76"/>
    <w:rsid w:val="5B267031"/>
    <w:rsid w:val="5DFA18B2"/>
    <w:rsid w:val="6A236F78"/>
    <w:rsid w:val="6A7944CD"/>
    <w:rsid w:val="6F886C32"/>
    <w:rsid w:val="70443140"/>
    <w:rsid w:val="710016B0"/>
    <w:rsid w:val="73B7023C"/>
    <w:rsid w:val="73F80939"/>
    <w:rsid w:val="75840E38"/>
    <w:rsid w:val="772B6771"/>
    <w:rsid w:val="77AB17FD"/>
    <w:rsid w:val="7C7712BF"/>
    <w:rsid w:val="7D87276F"/>
    <w:rsid w:val="7EE268D3"/>
    <w:rsid w:val="7FA62DC1"/>
  </w:rsids>
  <w:docVars>
    <w:docVar w:name="commondata" w:val="eyJoZGlkIjoiNjhlNDhkZTc0NjRhMjU1NjU1Y2NkNTk0NDgxZWRjZDY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autoRedefine/>
    <w:qFormat/>
    <w:pPr>
      <w:keepNext/>
      <w:keepLines/>
      <w:outlineLvl w:val="0"/>
    </w:pPr>
    <w:rPr>
      <w:rFonts w:ascii="黑体" w:eastAsia="宋体" w:hAnsi="黑体" w:cs="黑体"/>
      <w:b/>
      <w:bCs/>
      <w:kern w:val="44"/>
      <w:sz w:val="28"/>
      <w:szCs w:val="28"/>
    </w:rPr>
  </w:style>
  <w:style w:type="paragraph" w:styleId="Heading2">
    <w:name w:val="heading 2"/>
    <w:basedOn w:val="Normal"/>
    <w:next w:val="Normal"/>
    <w:autoRedefine/>
    <w:uiPriority w:val="99"/>
    <w:qFormat/>
    <w:pPr>
      <w:keepNext/>
      <w:keepLines/>
      <w:spacing w:line="360" w:lineRule="auto"/>
      <w:ind w:firstLine="560"/>
      <w:jc w:val="left"/>
      <w:outlineLvl w:val="1"/>
    </w:pPr>
    <w:rPr>
      <w:rFonts w:ascii="Cambria" w:eastAsia="仿宋" w:hAnsi="Cambria"/>
      <w:b/>
      <w:bCs/>
      <w:sz w:val="32"/>
      <w:szCs w:val="32"/>
    </w:rPr>
  </w:style>
  <w:style w:type="paragraph" w:styleId="Heading3">
    <w:name w:val="heading 3"/>
    <w:basedOn w:val="Normal"/>
    <w:next w:val="Normal"/>
    <w:autoRedefine/>
    <w:qFormat/>
    <w:pPr>
      <w:keepNext/>
      <w:keepLines/>
      <w:ind w:left="840" w:leftChars="400"/>
      <w:outlineLvl w:val="2"/>
    </w:pPr>
    <w:rPr>
      <w:rFonts w:cs="Times New Roman" w:hint="eastAsia"/>
      <w:b/>
      <w:sz w:val="32"/>
    </w:rPr>
  </w:style>
  <w:style w:type="character" w:default="1" w:styleId="DefaultParagraphFont">
    <w:name w:val="Default Paragraph Font"/>
    <w:autoRedefine/>
    <w:uiPriority w:val="1"/>
    <w:semiHidden/>
    <w:unhideWhenUsed/>
    <w:qFormat/>
  </w:style>
  <w:style w:type="table" w:default="1" w:styleId="TableNormal">
    <w:name w:val="Normal Table"/>
    <w:autoRedefine/>
    <w:uiPriority w:val="99"/>
    <w:semiHidden/>
    <w:unhideWhenUsed/>
    <w:qFormat/>
    <w:tblPr>
      <w:tblCellMar>
        <w:top w:w="0" w:type="dxa"/>
        <w:left w:w="108" w:type="dxa"/>
        <w:bottom w:w="0" w:type="dxa"/>
        <w:right w:w="108" w:type="dxa"/>
      </w:tblCellMar>
    </w:tblPr>
  </w:style>
  <w:style w:type="paragraph" w:styleId="BodyText">
    <w:name w:val="Body Text"/>
    <w:basedOn w:val="Normal"/>
    <w:uiPriority w:val="1"/>
    <w:qFormat/>
    <w:pPr>
      <w:ind w:left="520"/>
    </w:pPr>
    <w:rPr>
      <w:rFonts w:ascii="Noto Sans CJK JP Black" w:eastAsia="Noto Sans CJK JP Black" w:hAnsi="Noto Sans CJK JP Black" w:cs="Noto Sans CJK JP Black"/>
      <w:sz w:val="28"/>
      <w:szCs w:val="28"/>
    </w:rPr>
  </w:style>
  <w:style w:type="paragraph" w:styleId="BalloonText">
    <w:name w:val="Balloon Text"/>
    <w:basedOn w:val="Normal"/>
    <w:link w:val="a"/>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autoRedefine/>
    <w:qFormat/>
  </w:style>
  <w:style w:type="paragraph" w:styleId="TOC2">
    <w:name w:val="toc 2"/>
    <w:basedOn w:val="Normal"/>
    <w:next w:val="Normal"/>
    <w:autoRedefine/>
    <w:qFormat/>
    <w:pPr>
      <w:ind w:left="420" w:leftChars="200"/>
    </w:pPr>
  </w:style>
  <w:style w:type="paragraph" w:styleId="NormalWeb">
    <w:name w:val="Normal (Web)"/>
    <w:basedOn w:val="Normal"/>
    <w:autoRedefine/>
    <w:uiPriority w:val="99"/>
    <w:semiHidden/>
    <w:unhideWhenUsed/>
    <w:qFormat/>
    <w:pPr>
      <w:widowControl/>
      <w:spacing w:before="100" w:beforeAutospacing="1" w:after="100" w:afterAutospacing="1"/>
      <w:jc w:val="left"/>
    </w:pPr>
    <w:rPr>
      <w:rFonts w:ascii="宋体" w:eastAsia="宋体" w:hAnsi="宋体" w:cs="宋体"/>
      <w:kern w:val="0"/>
      <w:sz w:val="24"/>
    </w:rPr>
  </w:style>
  <w:style w:type="table" w:styleId="TableGrid">
    <w:name w:val="Table Grid"/>
    <w:basedOn w:val="TableNormal"/>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autoRedefine/>
    <w:qFormat/>
    <w:pPr>
      <w:widowControl w:val="0"/>
      <w:autoSpaceDE w:val="0"/>
      <w:autoSpaceDN w:val="0"/>
      <w:adjustRightInd w:val="0"/>
      <w:spacing w:line="240" w:lineRule="atLeast"/>
      <w:jc w:val="center"/>
    </w:pPr>
    <w:rPr>
      <w:rFonts w:ascii="宋体" w:eastAsia="宋体" w:hAnsi="Times New Roman" w:cs="Times New Roman"/>
      <w:sz w:val="21"/>
      <w:szCs w:val="22"/>
      <w:lang w:val="en-US" w:eastAsia="zh-CN" w:bidi="ar-SA"/>
    </w:rPr>
  </w:style>
  <w:style w:type="paragraph" w:customStyle="1" w:styleId="1">
    <w:name w:val="列出段落1"/>
    <w:basedOn w:val="Normal"/>
    <w:autoRedefine/>
    <w:uiPriority w:val="99"/>
    <w:qFormat/>
    <w:pPr>
      <w:ind w:firstLine="420"/>
    </w:pPr>
  </w:style>
  <w:style w:type="paragraph" w:styleId="ListParagraph">
    <w:name w:val="List Paragraph"/>
    <w:basedOn w:val="Normal"/>
    <w:autoRedefine/>
    <w:uiPriority w:val="99"/>
    <w:unhideWhenUsed/>
    <w:qFormat/>
    <w:pPr>
      <w:ind w:firstLine="420" w:firstLineChars="200"/>
    </w:pPr>
  </w:style>
  <w:style w:type="paragraph" w:customStyle="1" w:styleId="WPSOffice1">
    <w:name w:val="WPSOffice手动目录 1"/>
    <w:autoRedefine/>
    <w:qFormat/>
    <w:rPr>
      <w:rFonts w:ascii="Times New Roman" w:eastAsia="宋体" w:hAnsi="Times New Roman" w:cs="Times New Roman"/>
      <w:lang w:val="en-US" w:eastAsia="zh-CN" w:bidi="ar-SA"/>
    </w:rPr>
  </w:style>
  <w:style w:type="paragraph" w:customStyle="1" w:styleId="WPSOffice2">
    <w:name w:val="WPSOffice手动目录 2"/>
    <w:autoRedefine/>
    <w:qFormat/>
    <w:pPr>
      <w:ind w:left="200" w:leftChars="200"/>
    </w:pPr>
    <w:rPr>
      <w:rFonts w:ascii="Times New Roman" w:eastAsia="宋体" w:hAnsi="Times New Roman" w:cs="Times New Roman"/>
      <w:lang w:val="en-US" w:eastAsia="zh-CN" w:bidi="ar-SA"/>
    </w:rPr>
  </w:style>
  <w:style w:type="character" w:customStyle="1" w:styleId="a">
    <w:name w:val="批注框文本 字符"/>
    <w:basedOn w:val="DefaultParagraphFont"/>
    <w:link w:val="BalloonText"/>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wmf" /><Relationship Id="rId8" Type="http://schemas.openxmlformats.org/officeDocument/2006/relationships/oleObject" Target="embeddings/oleObject1.bin" /><Relationship Id="rId9" Type="http://schemas.openxmlformats.org/officeDocument/2006/relationships/footer" Target="foot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32</Pages>
  <Words>2215</Words>
  <Characters>12632</Characters>
  <Application>Microsoft Office Word</Application>
  <DocSecurity>0</DocSecurity>
  <Lines>105</Lines>
  <Paragraphs>29</Paragraphs>
  <ScaleCrop>false</ScaleCrop>
  <Company>china</Company>
  <LinksUpToDate>false</LinksUpToDate>
  <CharactersWithSpaces>14818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WPS_1551162903</cp:lastModifiedBy>
  <cp:revision>3</cp:revision>
  <cp:lastPrinted>2021-04-25T03:16:00Z</cp:lastPrinted>
  <dcterms:created xsi:type="dcterms:W3CDTF">2021-03-02T02:44:00Z</dcterms:created>
  <dcterms:modified xsi:type="dcterms:W3CDTF">2023-12-28T00:21:10Z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DAA1F51971B6458FBEE3EC10A69D4F46</vt:lpwstr>
  </property>
  <property fmtid="{D5CDD505-2E9C-101B-9397-08002B2CF9AE}" pid="3" name="KSOProductBuildVer">
    <vt:lpwstr>2052-12.1.0.16120</vt:lpwstr>
  </property>
</Properties>
</file>