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hint="eastAsia"/>
          <w:color w:val="auto"/>
          <w:lang w:val="en-US" w:eastAsia="zh-CN"/>
        </w:rPr>
      </w:pPr>
    </w:p>
    <w:p>
      <w:pPr>
        <w:rPr>
          <w:rFonts w:ascii="Times New Roman" w:hAnsi="Times New Roman" w:eastAsia="仿宋_GB2312" w:cs="Times New Roman"/>
          <w:color w:val="auto"/>
          <w:sz w:val="36"/>
          <w:szCs w:val="36"/>
        </w:rPr>
      </w:pPr>
    </w:p>
    <w:p>
      <w:pPr>
        <w:rPr>
          <w:rFonts w:ascii="Times New Roman" w:hAnsi="Times New Roman" w:eastAsia="仿宋_GB2312" w:cs="Times New Roman"/>
          <w:color w:val="auto"/>
          <w:sz w:val="36"/>
          <w:szCs w:val="36"/>
        </w:rPr>
      </w:pPr>
    </w:p>
    <w:p>
      <w:pPr>
        <w:adjustRightInd w:val="0"/>
        <w:snapToGrid w:val="0"/>
        <w:jc w:val="center"/>
        <w:outlineLvl w:val="0"/>
        <w:rPr>
          <w:rFonts w:ascii="Times New Roman" w:hAnsi="Times New Roman" w:eastAsia="方正小标宋_GBK" w:cs="Times New Roman"/>
          <w:bCs/>
          <w:color w:val="auto"/>
          <w:sz w:val="72"/>
          <w:szCs w:val="72"/>
        </w:rPr>
      </w:pPr>
      <w:r>
        <w:rPr>
          <w:rFonts w:ascii="Times New Roman" w:hAnsi="Times New Roman" w:eastAsia="方正小标宋_GBK" w:cs="Times New Roman"/>
          <w:bCs/>
          <w:color w:val="auto"/>
          <w:sz w:val="72"/>
          <w:szCs w:val="72"/>
        </w:rPr>
        <w:t>建设项目环境影响报告表</w:t>
      </w:r>
    </w:p>
    <w:p>
      <w:pPr>
        <w:adjustRightInd w:val="0"/>
        <w:snapToGrid w:val="0"/>
        <w:spacing w:before="249" w:beforeLines="80"/>
        <w:jc w:val="center"/>
        <w:rPr>
          <w:rFonts w:ascii="Times New Roman" w:hAnsi="Times New Roman" w:eastAsia="楷体_GB2312" w:cs="Times New Roman"/>
          <w:bCs/>
          <w:color w:val="auto"/>
          <w:sz w:val="48"/>
          <w:szCs w:val="48"/>
        </w:rPr>
      </w:pPr>
      <w:r>
        <w:rPr>
          <w:rFonts w:ascii="Times New Roman" w:hAnsi="Times New Roman" w:eastAsia="楷体_GB2312" w:cs="Times New Roman"/>
          <w:bCs/>
          <w:color w:val="auto"/>
          <w:sz w:val="48"/>
          <w:szCs w:val="48"/>
        </w:rPr>
        <w:t>（污染影响类）</w:t>
      </w:r>
    </w:p>
    <w:p>
      <w:pPr>
        <w:adjustRightInd w:val="0"/>
        <w:snapToGrid w:val="0"/>
        <w:spacing w:before="249" w:beforeLines="80"/>
        <w:jc w:val="center"/>
        <w:rPr>
          <w:rFonts w:hint="eastAsia" w:ascii="Times New Roman" w:hAnsi="Times New Roman" w:eastAsia="楷体_GB2312" w:cs="Times New Roman"/>
          <w:bCs/>
          <w:color w:val="auto"/>
          <w:sz w:val="48"/>
          <w:szCs w:val="48"/>
          <w:lang w:eastAsia="zh-CN"/>
        </w:rPr>
      </w:pPr>
      <w:r>
        <w:rPr>
          <w:rFonts w:hint="eastAsia" w:ascii="Times New Roman" w:hAnsi="Times New Roman" w:eastAsia="楷体_GB2312" w:cs="Times New Roman"/>
          <w:bCs/>
          <w:color w:val="auto"/>
          <w:sz w:val="48"/>
          <w:szCs w:val="48"/>
          <w:lang w:eastAsia="zh-CN"/>
        </w:rPr>
        <w:t>（</w:t>
      </w:r>
      <w:r>
        <w:rPr>
          <w:rFonts w:hint="eastAsia" w:ascii="Times New Roman" w:hAnsi="Times New Roman" w:eastAsia="楷体_GB2312" w:cs="Times New Roman"/>
          <w:bCs/>
          <w:color w:val="auto"/>
          <w:sz w:val="48"/>
          <w:szCs w:val="48"/>
          <w:lang w:val="en-US" w:eastAsia="zh-CN"/>
        </w:rPr>
        <w:t>报批版</w:t>
      </w:r>
      <w:r>
        <w:rPr>
          <w:rFonts w:hint="eastAsia" w:ascii="Times New Roman" w:hAnsi="Times New Roman" w:eastAsia="楷体_GB2312" w:cs="Times New Roman"/>
          <w:bCs/>
          <w:color w:val="auto"/>
          <w:sz w:val="48"/>
          <w:szCs w:val="48"/>
          <w:lang w:eastAsia="zh-CN"/>
        </w:rPr>
        <w:t>）</w:t>
      </w:r>
    </w:p>
    <w:p>
      <w:pPr>
        <w:rPr>
          <w:rFonts w:ascii="Times New Roman" w:hAnsi="Times New Roman" w:cs="Times New Roman"/>
          <w:color w:val="auto"/>
        </w:rPr>
      </w:pPr>
    </w:p>
    <w:p>
      <w:pPr>
        <w:jc w:val="center"/>
        <w:rPr>
          <w:rFonts w:ascii="Times New Roman" w:hAnsi="Times New Roman" w:eastAsia="仿宋" w:cs="Times New Roman"/>
          <w:color w:val="auto"/>
          <w:sz w:val="52"/>
          <w:szCs w:val="52"/>
        </w:rPr>
      </w:pPr>
    </w:p>
    <w:p>
      <w:pPr>
        <w:rPr>
          <w:rFonts w:ascii="Times New Roman" w:hAnsi="Times New Roman" w:eastAsia="仿宋" w:cs="Times New Roman"/>
          <w:color w:val="auto"/>
          <w:sz w:val="44"/>
          <w:szCs w:val="44"/>
        </w:rPr>
      </w:pPr>
    </w:p>
    <w:p>
      <w:pPr>
        <w:rPr>
          <w:rFonts w:ascii="Times New Roman" w:hAnsi="Times New Roman" w:eastAsia="仿宋" w:cs="Times New Roman"/>
          <w:color w:val="auto"/>
          <w:sz w:val="44"/>
          <w:szCs w:val="44"/>
        </w:rPr>
      </w:pPr>
    </w:p>
    <w:p>
      <w:pPr>
        <w:rPr>
          <w:rFonts w:ascii="Times New Roman" w:hAnsi="Times New Roman" w:eastAsia="仿宋" w:cs="Times New Roman"/>
          <w:color w:val="auto"/>
          <w:sz w:val="44"/>
          <w:szCs w:val="44"/>
        </w:rPr>
      </w:pPr>
    </w:p>
    <w:p>
      <w:pPr>
        <w:pStyle w:val="9"/>
        <w:rPr>
          <w:rFonts w:ascii="Times New Roman" w:hAnsi="Times New Roman" w:eastAsia="仿宋" w:cs="Times New Roman"/>
          <w:color w:val="auto"/>
          <w:sz w:val="44"/>
          <w:szCs w:val="44"/>
        </w:rPr>
      </w:pPr>
    </w:p>
    <w:p>
      <w:pPr>
        <w:pStyle w:val="9"/>
        <w:ind w:left="0" w:leftChars="0" w:firstLine="0" w:firstLineChars="0"/>
        <w:rPr>
          <w:rFonts w:ascii="Times New Roman" w:hAnsi="Times New Roman" w:eastAsia="仿宋" w:cs="Times New Roman"/>
          <w:color w:val="auto"/>
          <w:sz w:val="44"/>
          <w:szCs w:val="44"/>
        </w:rPr>
      </w:pPr>
    </w:p>
    <w:p>
      <w:pPr>
        <w:adjustRightInd w:val="0"/>
        <w:snapToGrid w:val="0"/>
        <w:spacing w:line="360" w:lineRule="auto"/>
        <w:jc w:val="left"/>
        <w:rPr>
          <w:rFonts w:hint="default" w:ascii="Times New Roman" w:hAnsi="Times New Roman" w:eastAsia="仿宋_GB2312" w:cs="Times New Roman"/>
          <w:color w:val="auto"/>
          <w:sz w:val="36"/>
          <w:szCs w:val="36"/>
          <w:u w:val="single"/>
          <w:lang w:val="en-US" w:eastAsia="zh-CN"/>
        </w:rPr>
      </w:pPr>
      <w:r>
        <w:rPr>
          <w:rFonts w:ascii="Times New Roman" w:hAnsi="Times New Roman" w:eastAsia="仿宋_GB2312" w:cs="Times New Roman"/>
          <w:color w:val="auto"/>
          <w:sz w:val="36"/>
          <w:szCs w:val="36"/>
        </w:rPr>
        <w:t>项目名称：</w:t>
      </w:r>
      <w:r>
        <w:rPr>
          <w:rFonts w:hint="eastAsia" w:ascii="Times New Roman" w:hAnsi="Times New Roman" w:eastAsia="仿宋_GB2312" w:cs="Times New Roman"/>
          <w:color w:val="auto"/>
          <w:sz w:val="36"/>
          <w:szCs w:val="36"/>
          <w:u w:val="single"/>
          <w:lang w:val="en-US" w:eastAsia="zh-CN"/>
        </w:rPr>
        <w:t xml:space="preserve">      承德市德德食品加工有限公司        </w:t>
      </w:r>
    </w:p>
    <w:p>
      <w:pPr>
        <w:adjustRightInd w:val="0"/>
        <w:snapToGrid w:val="0"/>
        <w:spacing w:line="360" w:lineRule="auto"/>
        <w:ind w:firstLine="1800" w:firstLineChars="500"/>
        <w:jc w:val="left"/>
        <w:rPr>
          <w:rFonts w:hint="default" w:ascii="Times New Roman" w:hAnsi="Times New Roman" w:eastAsia="仿宋_GB2312" w:cs="Times New Roman"/>
          <w:color w:val="auto"/>
          <w:sz w:val="36"/>
          <w:szCs w:val="36"/>
          <w:u w:val="single"/>
          <w:lang w:val="en-US" w:eastAsia="zh-CN"/>
        </w:rPr>
      </w:pPr>
      <w:r>
        <w:rPr>
          <w:rFonts w:hint="eastAsia" w:ascii="Times New Roman" w:hAnsi="Times New Roman" w:eastAsia="仿宋_GB2312" w:cs="Times New Roman"/>
          <w:color w:val="auto"/>
          <w:sz w:val="36"/>
          <w:szCs w:val="36"/>
          <w:u w:val="single"/>
          <w:lang w:val="en-US" w:eastAsia="zh-CN"/>
        </w:rPr>
        <w:t xml:space="preserve">    生物质锅炉及污水处理设施建设项目            </w:t>
      </w:r>
    </w:p>
    <w:p>
      <w:pPr>
        <w:adjustRightInd w:val="0"/>
        <w:snapToGrid w:val="0"/>
        <w:spacing w:line="360" w:lineRule="auto"/>
        <w:jc w:val="left"/>
        <w:rPr>
          <w:rFonts w:hint="eastAsia" w:ascii="Times New Roman" w:hAnsi="Times New Roman" w:eastAsia="仿宋_GB2312" w:cs="Times New Roman"/>
          <w:color w:val="auto"/>
          <w:sz w:val="36"/>
          <w:szCs w:val="36"/>
          <w:u w:val="single"/>
          <w:lang w:val="en-US" w:eastAsia="zh-CN"/>
        </w:rPr>
      </w:pPr>
      <w:r>
        <w:rPr>
          <w:rFonts w:ascii="Times New Roman" w:hAnsi="Times New Roman" w:eastAsia="仿宋_GB2312" w:cs="Times New Roman"/>
          <w:color w:val="auto"/>
          <w:spacing w:val="-20"/>
          <w:sz w:val="36"/>
          <w:szCs w:val="36"/>
        </w:rPr>
        <w:t>建设单位（盖章）：</w:t>
      </w:r>
      <w:r>
        <w:rPr>
          <w:rFonts w:ascii="Times New Roman" w:hAnsi="Times New Roman" w:eastAsia="仿宋_GB2312" w:cs="Times New Roman"/>
          <w:color w:val="auto"/>
          <w:spacing w:val="-20"/>
          <w:sz w:val="36"/>
          <w:szCs w:val="36"/>
          <w:u w:val="single"/>
        </w:rPr>
        <w:t xml:space="preserve"> </w:t>
      </w:r>
      <w:r>
        <w:rPr>
          <w:rFonts w:hint="eastAsia" w:ascii="Times New Roman" w:hAnsi="Times New Roman" w:eastAsia="仿宋_GB2312" w:cs="Times New Roman"/>
          <w:color w:val="auto"/>
          <w:spacing w:val="-20"/>
          <w:sz w:val="36"/>
          <w:szCs w:val="36"/>
          <w:u w:val="single"/>
          <w:lang w:val="en-US" w:eastAsia="zh-CN"/>
        </w:rPr>
        <w:t xml:space="preserve">   </w:t>
      </w:r>
      <w:r>
        <w:rPr>
          <w:rFonts w:hint="eastAsia" w:ascii="Times New Roman" w:hAnsi="Times New Roman" w:eastAsia="仿宋_GB2312" w:cs="Times New Roman"/>
          <w:color w:val="auto"/>
          <w:sz w:val="36"/>
          <w:szCs w:val="36"/>
          <w:u w:val="single"/>
          <w:lang w:val="en-US" w:eastAsia="zh-CN"/>
        </w:rPr>
        <w:t xml:space="preserve">承德市德德食品加工有限公司      </w:t>
      </w:r>
    </w:p>
    <w:p>
      <w:pPr>
        <w:adjustRightInd w:val="0"/>
        <w:snapToGrid w:val="0"/>
        <w:spacing w:line="360" w:lineRule="auto"/>
        <w:rPr>
          <w:rFonts w:hint="default" w:ascii="Times New Roman" w:hAnsi="Times New Roman" w:eastAsia="仿宋_GB2312" w:cs="Times New Roman"/>
          <w:color w:val="auto"/>
          <w:sz w:val="36"/>
          <w:szCs w:val="36"/>
          <w:u w:val="single"/>
          <w:lang w:val="en-US" w:eastAsia="zh-CN"/>
        </w:rPr>
      </w:pPr>
      <w:r>
        <w:rPr>
          <w:rFonts w:ascii="Times New Roman" w:hAnsi="Times New Roman" w:eastAsia="仿宋_GB2312" w:cs="Times New Roman"/>
          <w:color w:val="auto"/>
          <w:sz w:val="36"/>
          <w:szCs w:val="36"/>
        </w:rPr>
        <w:t>编制日期：</w:t>
      </w:r>
      <w:r>
        <w:rPr>
          <w:rFonts w:hint="eastAsia" w:ascii="Times New Roman" w:hAnsi="Times New Roman" w:eastAsia="仿宋_GB2312" w:cs="Times New Roman"/>
          <w:color w:val="auto"/>
          <w:sz w:val="36"/>
          <w:szCs w:val="36"/>
          <w:u w:val="single"/>
          <w:lang w:val="en-US" w:eastAsia="zh-CN"/>
        </w:rPr>
        <w:t xml:space="preserve">             2</w:t>
      </w:r>
      <w:r>
        <w:rPr>
          <w:rFonts w:ascii="Times New Roman" w:hAnsi="Times New Roman" w:eastAsia="仿宋_GB2312" w:cs="Times New Roman"/>
          <w:color w:val="auto"/>
          <w:sz w:val="36"/>
          <w:szCs w:val="36"/>
          <w:u w:val="single"/>
        </w:rPr>
        <w:t>02</w:t>
      </w:r>
      <w:r>
        <w:rPr>
          <w:rFonts w:hint="eastAsia" w:ascii="Times New Roman" w:hAnsi="Times New Roman" w:eastAsia="仿宋_GB2312" w:cs="Times New Roman"/>
          <w:color w:val="auto"/>
          <w:sz w:val="36"/>
          <w:szCs w:val="36"/>
          <w:u w:val="single"/>
          <w:lang w:val="en-US" w:eastAsia="zh-CN"/>
        </w:rPr>
        <w:t>4</w:t>
      </w:r>
      <w:r>
        <w:rPr>
          <w:rFonts w:ascii="Times New Roman" w:hAnsi="Times New Roman" w:eastAsia="仿宋_GB2312" w:cs="Times New Roman"/>
          <w:color w:val="auto"/>
          <w:sz w:val="36"/>
          <w:szCs w:val="36"/>
          <w:u w:val="single"/>
        </w:rPr>
        <w:t>年</w:t>
      </w:r>
      <w:r>
        <w:rPr>
          <w:rFonts w:hint="eastAsia" w:ascii="Times New Roman" w:hAnsi="Times New Roman" w:eastAsia="仿宋_GB2312" w:cs="Times New Roman"/>
          <w:color w:val="auto"/>
          <w:sz w:val="36"/>
          <w:szCs w:val="36"/>
          <w:u w:val="single"/>
          <w:lang w:val="en-US" w:eastAsia="zh-CN"/>
        </w:rPr>
        <w:t>3</w:t>
      </w:r>
      <w:r>
        <w:rPr>
          <w:rFonts w:ascii="Times New Roman" w:hAnsi="Times New Roman" w:eastAsia="仿宋_GB2312" w:cs="Times New Roman"/>
          <w:color w:val="auto"/>
          <w:sz w:val="36"/>
          <w:szCs w:val="36"/>
          <w:u w:val="single"/>
        </w:rPr>
        <w:t>月</w:t>
      </w:r>
      <w:r>
        <w:rPr>
          <w:rFonts w:hint="eastAsia" w:ascii="Times New Roman" w:hAnsi="Times New Roman" w:eastAsia="仿宋_GB2312" w:cs="Times New Roman"/>
          <w:color w:val="auto"/>
          <w:sz w:val="36"/>
          <w:szCs w:val="36"/>
          <w:u w:val="single"/>
          <w:lang w:val="en-US" w:eastAsia="zh-CN"/>
        </w:rPr>
        <w:t xml:space="preserve">                      </w:t>
      </w:r>
    </w:p>
    <w:p>
      <w:pPr>
        <w:adjustRightInd w:val="0"/>
        <w:snapToGrid w:val="0"/>
        <w:spacing w:line="360" w:lineRule="auto"/>
        <w:ind w:firstLine="1040"/>
        <w:rPr>
          <w:rFonts w:ascii="Times New Roman" w:hAnsi="Times New Roman" w:eastAsia="仿宋_GB2312" w:cs="Times New Roman"/>
          <w:color w:val="auto"/>
          <w:sz w:val="36"/>
          <w:szCs w:val="36"/>
          <w:u w:val="single"/>
        </w:rPr>
      </w:pPr>
      <w:bookmarkStart w:id="0" w:name="_Hlk57884087"/>
    </w:p>
    <w:p>
      <w:pPr>
        <w:adjustRightInd w:val="0"/>
        <w:snapToGrid w:val="0"/>
        <w:spacing w:line="288" w:lineRule="auto"/>
        <w:ind w:firstLine="1040"/>
        <w:rPr>
          <w:rFonts w:ascii="Times New Roman" w:hAnsi="Times New Roman" w:eastAsia="仿宋_GB2312" w:cs="Times New Roman"/>
          <w:color w:val="auto"/>
          <w:sz w:val="36"/>
          <w:szCs w:val="36"/>
        </w:rPr>
      </w:pPr>
    </w:p>
    <w:bookmarkEnd w:id="0"/>
    <w:p>
      <w:pPr>
        <w:adjustRightInd w:val="0"/>
        <w:snapToGrid w:val="0"/>
        <w:spacing w:line="288" w:lineRule="auto"/>
        <w:jc w:val="center"/>
        <w:rPr>
          <w:rFonts w:ascii="Times New Roman" w:hAnsi="Times New Roman" w:eastAsia="楷体_GB2312" w:cs="Times New Roman"/>
          <w:color w:val="auto"/>
          <w:sz w:val="36"/>
          <w:szCs w:val="36"/>
        </w:rPr>
        <w:sectPr>
          <w:footerReference r:id="rId3" w:type="default"/>
          <w:pgSz w:w="11906" w:h="16838"/>
          <w:pgMar w:top="1702" w:right="1531" w:bottom="1702" w:left="1531" w:header="851" w:footer="1077" w:gutter="0"/>
          <w:pgBorders>
            <w:top w:val="none" w:sz="0" w:space="0"/>
            <w:left w:val="none" w:sz="0" w:space="0"/>
            <w:bottom w:val="none" w:sz="0" w:space="0"/>
            <w:right w:val="none" w:sz="0" w:space="0"/>
          </w:pgBorders>
          <w:pgNumType w:start="1"/>
          <w:cols w:space="425" w:num="1"/>
          <w:docGrid w:type="lines" w:linePitch="312" w:charSpace="0"/>
        </w:sectPr>
      </w:pPr>
      <w:r>
        <w:rPr>
          <w:rFonts w:ascii="Times New Roman" w:hAnsi="Times New Roman" w:eastAsia="楷体_GB2312" w:cs="Times New Roman"/>
          <w:color w:val="auto"/>
          <w:sz w:val="36"/>
          <w:szCs w:val="36"/>
        </w:rPr>
        <w:t>中华人民共和国生态环境部制</w:t>
      </w:r>
    </w:p>
    <w:p>
      <w:pPr>
        <w:pStyle w:val="19"/>
        <w:spacing w:beforeAutospacing="0" w:afterAutospacing="0" w:line="360" w:lineRule="auto"/>
        <w:jc w:val="center"/>
        <w:outlineLvl w:val="0"/>
        <w:rPr>
          <w:rFonts w:hint="default" w:ascii="Times New Roman" w:hAnsi="Times New Roman" w:eastAsia="黑体"/>
          <w:color w:val="auto"/>
          <w:sz w:val="30"/>
          <w:szCs w:val="30"/>
        </w:rPr>
      </w:pPr>
      <w:r>
        <w:rPr>
          <w:rFonts w:hint="default" w:ascii="Times New Roman" w:hAnsi="Times New Roman" w:eastAsia="黑体"/>
          <w:snapToGrid w:val="0"/>
          <w:color w:val="auto"/>
          <w:sz w:val="30"/>
          <w:szCs w:val="30"/>
        </w:rPr>
        <w:t>一、建设项目基本情况</w:t>
      </w:r>
    </w:p>
    <w:tbl>
      <w:tblPr>
        <w:tblStyle w:val="23"/>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54"/>
        <w:gridCol w:w="1305"/>
        <w:gridCol w:w="1945"/>
        <w:gridCol w:w="2151"/>
        <w:gridCol w:w="3003"/>
        <w:gridCol w:w="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4007" w:type="pct"/>
            <w:gridSpan w:val="4"/>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承德市德德食品加工有限公司生物质锅炉及污水处理设施建设项目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4007"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2311-130828-89-03-442393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建设单位联系人</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孟晓燕</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联系方式</w:t>
            </w:r>
          </w:p>
        </w:tc>
        <w:tc>
          <w:tcPr>
            <w:tcW w:w="1696"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1773695</w:t>
            </w:r>
            <w:r>
              <w:rPr>
                <w:rFonts w:hint="eastAsia" w:ascii="Times New Roman" w:hAnsi="Times New Roman" w:cs="Times New Roman"/>
                <w:color w:val="auto"/>
                <w:sz w:val="24"/>
                <w:szCs w:val="24"/>
                <w:highlight w:val="none"/>
                <w:lang w:val="en-US" w:eastAsia="zh-CN"/>
              </w:rPr>
              <w:t>****</w:t>
            </w:r>
            <w:bookmarkStart w:id="31" w:name="_GoBack"/>
            <w:bookmarkEnd w:id="3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4007"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szCs w:val="24"/>
                <w:lang w:val="en-US" w:eastAsia="zh-CN"/>
              </w:rPr>
              <w:t>河北省承德市围场满族蒙古族自治县半截塔镇什八克村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地理坐标</w:t>
            </w:r>
          </w:p>
        </w:tc>
        <w:tc>
          <w:tcPr>
            <w:tcW w:w="4007"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hAnsi="Times New Roman" w:eastAsia="宋体" w:cs="Times New Roman"/>
                <w:color w:val="auto"/>
                <w:sz w:val="24"/>
                <w:highlight w:val="none"/>
              </w:rPr>
            </w:pPr>
            <w:bookmarkStart w:id="1" w:name="_Hlk93325224"/>
            <w:r>
              <w:rPr>
                <w:rFonts w:hint="default" w:ascii="Times New Roman" w:hAnsi="Times New Roman" w:eastAsia="宋体" w:cs="Times New Roman"/>
                <w:color w:val="auto"/>
                <w:sz w:val="24"/>
                <w:highlight w:val="none"/>
                <w:u w:val="single"/>
              </w:rPr>
              <w:t>11</w:t>
            </w:r>
            <w:r>
              <w:rPr>
                <w:rFonts w:hint="eastAsia" w:ascii="Times New Roman" w:hAnsi="Times New Roman" w:eastAsia="宋体" w:cs="Times New Roman"/>
                <w:color w:val="auto"/>
                <w:sz w:val="24"/>
                <w:highlight w:val="none"/>
                <w:u w:val="single"/>
                <w:lang w:val="en-US" w:eastAsia="zh-CN"/>
              </w:rPr>
              <w:t>7</w:t>
            </w:r>
            <w:r>
              <w:rPr>
                <w:rFonts w:hint="default" w:ascii="Times New Roman" w:hAnsi="Times New Roman" w:eastAsia="宋体" w:cs="Times New Roman"/>
                <w:color w:val="auto"/>
                <w:sz w:val="24"/>
                <w:highlight w:val="none"/>
              </w:rPr>
              <w:t>度</w:t>
            </w:r>
            <w:r>
              <w:rPr>
                <w:rFonts w:hint="eastAsia" w:ascii="Times New Roman" w:hAnsi="Times New Roman" w:eastAsia="宋体" w:cs="Times New Roman"/>
                <w:color w:val="auto"/>
                <w:sz w:val="24"/>
                <w:highlight w:val="none"/>
                <w:u w:val="single"/>
                <w:lang w:val="en-US" w:eastAsia="zh-CN"/>
              </w:rPr>
              <w:t>25</w:t>
            </w:r>
            <w:r>
              <w:rPr>
                <w:rFonts w:hint="default" w:ascii="Times New Roman" w:hAnsi="Times New Roman" w:eastAsia="宋体" w:cs="Times New Roman"/>
                <w:color w:val="auto"/>
                <w:sz w:val="24"/>
                <w:highlight w:val="none"/>
              </w:rPr>
              <w:t>分</w:t>
            </w:r>
            <w:r>
              <w:rPr>
                <w:rFonts w:hint="eastAsia" w:ascii="Times New Roman" w:hAnsi="Times New Roman" w:eastAsia="宋体" w:cs="Times New Roman"/>
                <w:color w:val="auto"/>
                <w:sz w:val="24"/>
                <w:highlight w:val="none"/>
                <w:u w:val="single"/>
                <w:lang w:val="en-US" w:eastAsia="zh-CN"/>
              </w:rPr>
              <w:t>24.662</w:t>
            </w:r>
            <w:r>
              <w:rPr>
                <w:rFonts w:hint="default" w:ascii="Times New Roman" w:hAnsi="Times New Roman" w:eastAsia="宋体" w:cs="Times New Roman"/>
                <w:color w:val="auto"/>
                <w:sz w:val="24"/>
                <w:highlight w:val="none"/>
              </w:rPr>
              <w:t>秒，</w:t>
            </w:r>
            <w:r>
              <w:rPr>
                <w:rFonts w:hint="default" w:ascii="Times New Roman" w:hAnsi="Times New Roman" w:eastAsia="宋体" w:cs="Times New Roman"/>
                <w:color w:val="auto"/>
                <w:sz w:val="24"/>
                <w:highlight w:val="none"/>
                <w:u w:val="single"/>
              </w:rPr>
              <w:t>4</w:t>
            </w:r>
            <w:r>
              <w:rPr>
                <w:rFonts w:hint="eastAsia" w:ascii="Times New Roman" w:hAnsi="Times New Roman" w:eastAsia="宋体" w:cs="Times New Roman"/>
                <w:color w:val="auto"/>
                <w:sz w:val="24"/>
                <w:highlight w:val="none"/>
                <w:u w:val="single"/>
                <w:lang w:val="en-US" w:eastAsia="zh-CN"/>
              </w:rPr>
              <w:t>1</w:t>
            </w:r>
            <w:r>
              <w:rPr>
                <w:rFonts w:hint="default" w:ascii="Times New Roman" w:hAnsi="Times New Roman" w:eastAsia="宋体" w:cs="Times New Roman"/>
                <w:color w:val="auto"/>
                <w:sz w:val="24"/>
                <w:highlight w:val="none"/>
              </w:rPr>
              <w:t>度</w:t>
            </w:r>
            <w:r>
              <w:rPr>
                <w:rFonts w:hint="eastAsia" w:ascii="Times New Roman" w:hAnsi="Times New Roman" w:eastAsia="宋体" w:cs="Times New Roman"/>
                <w:color w:val="auto"/>
                <w:sz w:val="24"/>
                <w:highlight w:val="none"/>
                <w:u w:val="single"/>
                <w:lang w:val="en-US" w:eastAsia="zh-CN"/>
              </w:rPr>
              <w:t>56</w:t>
            </w:r>
            <w:r>
              <w:rPr>
                <w:rFonts w:hint="default" w:ascii="Times New Roman" w:hAnsi="Times New Roman" w:eastAsia="宋体" w:cs="Times New Roman"/>
                <w:color w:val="auto"/>
                <w:sz w:val="24"/>
                <w:highlight w:val="none"/>
              </w:rPr>
              <w:t>分</w:t>
            </w:r>
            <w:r>
              <w:rPr>
                <w:rFonts w:hint="eastAsia" w:ascii="Times New Roman" w:hAnsi="Times New Roman" w:eastAsia="宋体" w:cs="Times New Roman"/>
                <w:color w:val="auto"/>
                <w:sz w:val="24"/>
                <w:highlight w:val="none"/>
                <w:u w:val="single"/>
                <w:lang w:val="en-US" w:eastAsia="zh-CN"/>
              </w:rPr>
              <w:t>35.603</w:t>
            </w:r>
            <w:r>
              <w:rPr>
                <w:rFonts w:hint="default" w:ascii="Times New Roman" w:hAnsi="Times New Roman" w:eastAsia="宋体" w:cs="Times New Roman"/>
                <w:color w:val="auto"/>
                <w:sz w:val="24"/>
                <w:highlight w:val="none"/>
              </w:rPr>
              <w:t>秒</w:t>
            </w:r>
            <w:bookmarkEnd w:id="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lang w:val="en-US"/>
              </w:rPr>
            </w:pPr>
            <w:r>
              <w:rPr>
                <w:rFonts w:hint="default" w:ascii="Times New Roman" w:hAnsi="Times New Roman" w:cs="Times New Roman"/>
                <w:color w:val="auto"/>
                <w:sz w:val="24"/>
                <w:szCs w:val="24"/>
                <w:lang w:val="en-US" w:eastAsia="zh-CN"/>
              </w:rPr>
              <w:t>D4430热力生产和供应</w:t>
            </w:r>
            <w:r>
              <w:rPr>
                <w:rFonts w:hint="eastAsia" w:ascii="Times New Roman" w:hAnsi="Times New Roman" w:cs="Times New Roman"/>
                <w:color w:val="auto"/>
                <w:sz w:val="24"/>
                <w:szCs w:val="24"/>
                <w:lang w:val="en-US" w:eastAsia="zh-CN"/>
              </w:rPr>
              <w:t>；D4630污水处理及其再生利用；C1353肉制品及副产品加工；C1321宠物饲料加工</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rPr>
            </w:pPr>
            <w:bookmarkStart w:id="2" w:name="_Hlk49843745"/>
            <w:r>
              <w:rPr>
                <w:rFonts w:hint="default" w:ascii="Times New Roman" w:hAnsi="Times New Roman" w:eastAsia="宋体" w:cs="Times New Roman"/>
                <w:color w:val="auto"/>
                <w:sz w:val="24"/>
              </w:rPr>
              <w:t>建设项目</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bookmarkEnd w:id="2"/>
          </w:p>
        </w:tc>
        <w:tc>
          <w:tcPr>
            <w:tcW w:w="1696"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 xml:space="preserve">四十一、电力、热力生产和供应业-91热力生产和供应工程（包括建设单位自建自用的供热工程）；四十三、水的生产和供应业-95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val="en-US" w:eastAsia="zh-CN"/>
              </w:rPr>
              <w:t xml:space="preserve">                                                                                                                                                                                                                                                                                                                                                          污水处理及其再生利用；十、农副食品加工业-15谷物研磨131*、饲料加工132*；18屠宰及肉类加工135*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建设性质</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lang w:val="en-US" w:eastAsia="zh-CN"/>
              </w:rPr>
              <w:t xml:space="preserve">                                                                                                                                                            </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新建（迁建）</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改建</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扩建</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技术改造</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1696"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首次申报项目</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不予批准后再次申报项目</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超五年重新审核项目</w:t>
            </w:r>
          </w:p>
          <w:p>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备案）部门（选填）</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围场满族蒙古族自治县行政审批局</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备案）文号（选填）</w:t>
            </w:r>
          </w:p>
        </w:tc>
        <w:tc>
          <w:tcPr>
            <w:tcW w:w="1696"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围审批备字[2023]185号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总投资（万元）</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354.023</w:t>
            </w:r>
          </w:p>
        </w:tc>
        <w:tc>
          <w:tcPr>
            <w:tcW w:w="1213"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环保投资（万元）</w:t>
            </w:r>
          </w:p>
        </w:tc>
        <w:tc>
          <w:tcPr>
            <w:tcW w:w="1696"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环保投资占比（%）</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33.90</w:t>
            </w:r>
          </w:p>
        </w:tc>
        <w:tc>
          <w:tcPr>
            <w:tcW w:w="1213"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1696"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1个月（2024.3-2024.4）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是否开工建设</w:t>
            </w:r>
          </w:p>
        </w:tc>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52"/>
            </w:r>
            <w:r>
              <w:rPr>
                <w:rFonts w:hint="default" w:ascii="Times New Roman" w:hAnsi="Times New Roman" w:eastAsia="宋体" w:cs="Times New Roman"/>
                <w:color w:val="auto"/>
                <w:sz w:val="24"/>
                <w:highlight w:val="none"/>
              </w:rPr>
              <w:t>否</w:t>
            </w:r>
          </w:p>
          <w:p>
            <w:pPr>
              <w:adjustRightInd w:val="0"/>
              <w:snapToGrid w:val="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是：</w:t>
            </w:r>
          </w:p>
        </w:tc>
        <w:tc>
          <w:tcPr>
            <w:tcW w:w="1213"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highlight w:val="none"/>
              </w:rPr>
            </w:pPr>
            <w:r>
              <w:rPr>
                <w:rFonts w:hint="default" w:ascii="Times New Roman" w:hAnsi="Times New Roman" w:eastAsia="宋体" w:cs="Times New Roman"/>
                <w:color w:val="auto"/>
                <w:spacing w:val="-6"/>
                <w:sz w:val="24"/>
                <w:highlight w:val="none"/>
              </w:rPr>
              <w:t>用地（用海）</w:t>
            </w:r>
          </w:p>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6"/>
                <w:sz w:val="24"/>
                <w:highlight w:val="none"/>
              </w:rPr>
              <w:t>面积（m</w:t>
            </w:r>
            <w:r>
              <w:rPr>
                <w:rFonts w:hint="default" w:ascii="Times New Roman" w:hAnsi="Times New Roman" w:eastAsia="宋体" w:cs="Times New Roman"/>
                <w:color w:val="auto"/>
                <w:spacing w:val="-6"/>
                <w:sz w:val="24"/>
                <w:highlight w:val="none"/>
                <w:vertAlign w:val="superscript"/>
              </w:rPr>
              <w:t>2</w:t>
            </w:r>
            <w:r>
              <w:rPr>
                <w:rFonts w:hint="default" w:ascii="Times New Roman" w:hAnsi="Times New Roman" w:eastAsia="宋体" w:cs="Times New Roman"/>
                <w:color w:val="auto"/>
                <w:spacing w:val="-6"/>
                <w:sz w:val="24"/>
                <w:highlight w:val="none"/>
              </w:rPr>
              <w:t>）</w:t>
            </w:r>
          </w:p>
        </w:tc>
        <w:tc>
          <w:tcPr>
            <w:tcW w:w="1696" w:type="pct"/>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16647.63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05"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专项评价设置情况</w:t>
            </w:r>
          </w:p>
        </w:tc>
        <w:tc>
          <w:tcPr>
            <w:tcW w:w="4007" w:type="pct"/>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djustRightInd w:val="0"/>
              <w:snapToGrid w:val="0"/>
              <w:spacing w:line="360" w:lineRule="auto"/>
              <w:jc w:val="center"/>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spacing w:val="-6"/>
                <w:sz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33"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规划情况</w:t>
            </w:r>
          </w:p>
        </w:tc>
        <w:tc>
          <w:tcPr>
            <w:tcW w:w="4007" w:type="pct"/>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djustRightInd w:val="0"/>
              <w:snapToGrid w:val="0"/>
              <w:spacing w:line="360" w:lineRule="auto"/>
              <w:jc w:val="left"/>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eastAsia="宋体" w:cs="Times New Roman"/>
                <w:color w:val="auto"/>
                <w:spacing w:val="-6"/>
                <w:sz w:val="24"/>
                <w:highlight w:val="none"/>
                <w:lang w:val="en-US" w:eastAsia="zh-CN"/>
              </w:rPr>
              <w:t>规划名称：《河北围场经济开发区总体规划（2023-2035年）》</w:t>
            </w:r>
          </w:p>
          <w:p>
            <w:pPr>
              <w:adjustRightInd w:val="0"/>
              <w:snapToGrid w:val="0"/>
              <w:spacing w:line="360" w:lineRule="auto"/>
              <w:jc w:val="left"/>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eastAsia="宋体" w:cs="Times New Roman"/>
                <w:color w:val="auto"/>
                <w:spacing w:val="-6"/>
                <w:sz w:val="24"/>
                <w:highlight w:val="none"/>
                <w:lang w:val="en-US" w:eastAsia="zh-CN"/>
              </w:rPr>
              <w:t>审批机关：河北省生态环境厅</w:t>
            </w:r>
          </w:p>
          <w:p>
            <w:pPr>
              <w:adjustRightInd w:val="0"/>
              <w:snapToGrid w:val="0"/>
              <w:spacing w:line="360" w:lineRule="auto"/>
              <w:jc w:val="left"/>
              <w:rPr>
                <w:rFonts w:hint="eastAsia" w:ascii="Times New Roman" w:hAnsi="Times New Roman" w:eastAsia="宋体" w:cs="Times New Roman"/>
                <w:color w:val="auto"/>
                <w:spacing w:val="-6"/>
                <w:sz w:val="24"/>
                <w:highlight w:val="none"/>
                <w:lang w:val="en-US" w:eastAsia="zh-CN"/>
              </w:rPr>
            </w:pPr>
            <w:r>
              <w:rPr>
                <w:rFonts w:hint="default" w:ascii="Times New Roman" w:hAnsi="Times New Roman" w:eastAsia="宋体" w:cs="Times New Roman"/>
                <w:color w:val="auto"/>
                <w:spacing w:val="-6"/>
                <w:sz w:val="24"/>
                <w:highlight w:val="none"/>
                <w:lang w:val="en-US" w:eastAsia="zh-CN"/>
              </w:rPr>
              <w:t>审批文号：冀环环评函〔2023〕1602号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7"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规划环境影响</w:t>
            </w:r>
          </w:p>
          <w:p>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评价情况</w:t>
            </w:r>
          </w:p>
        </w:tc>
        <w:tc>
          <w:tcPr>
            <w:tcW w:w="4007" w:type="pct"/>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djustRightInd w:val="0"/>
              <w:snapToGrid w:val="0"/>
              <w:spacing w:line="360" w:lineRule="auto"/>
              <w:jc w:val="left"/>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eastAsia="宋体" w:cs="Times New Roman"/>
                <w:color w:val="auto"/>
                <w:spacing w:val="-6"/>
                <w:sz w:val="24"/>
                <w:highlight w:val="none"/>
                <w:lang w:val="en-US" w:eastAsia="zh-CN"/>
              </w:rPr>
              <w:t>规划环评文件名称：《河北围场经济开发区总体规划（2023-2035年）环境影响报告书》；</w:t>
            </w:r>
          </w:p>
          <w:p>
            <w:pPr>
              <w:adjustRightInd w:val="0"/>
              <w:snapToGrid w:val="0"/>
              <w:spacing w:line="360" w:lineRule="auto"/>
              <w:jc w:val="left"/>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eastAsia="宋体" w:cs="Times New Roman"/>
                <w:color w:val="auto"/>
                <w:spacing w:val="-6"/>
                <w:sz w:val="24"/>
                <w:highlight w:val="none"/>
                <w:lang w:val="en-US" w:eastAsia="zh-CN"/>
              </w:rPr>
              <w:t>审查机关：河北省生态环境厅</w:t>
            </w:r>
          </w:p>
          <w:p>
            <w:pPr>
              <w:adjustRightInd w:val="0"/>
              <w:snapToGrid w:val="0"/>
              <w:spacing w:line="360" w:lineRule="auto"/>
              <w:jc w:val="left"/>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eastAsia="宋体" w:cs="Times New Roman"/>
                <w:color w:val="auto"/>
                <w:spacing w:val="-6"/>
                <w:sz w:val="24"/>
                <w:highlight w:val="none"/>
                <w:lang w:val="en-US" w:eastAsia="zh-CN"/>
              </w:rPr>
              <w:t>审查文件名称：关于《河北围场经济开发区总体规划（2023-2035年）环境影响报告书》的审查意见</w:t>
            </w:r>
          </w:p>
          <w:p>
            <w:pPr>
              <w:adjustRightInd w:val="0"/>
              <w:snapToGrid w:val="0"/>
              <w:spacing w:line="360" w:lineRule="auto"/>
              <w:jc w:val="left"/>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eastAsia="宋体" w:cs="Times New Roman"/>
                <w:color w:val="auto"/>
                <w:spacing w:val="-6"/>
                <w:sz w:val="24"/>
                <w:highlight w:val="none"/>
                <w:lang w:val="en-US" w:eastAsia="zh-CN"/>
              </w:rPr>
              <w:t>文号：冀环环评函〔2023〕1602号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992" w:type="pct"/>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规划及规划环境影响评价符合性分析</w:t>
            </w:r>
          </w:p>
        </w:tc>
        <w:tc>
          <w:tcPr>
            <w:tcW w:w="4007" w:type="pct"/>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21"/>
                <w:sz w:val="24"/>
                <w:szCs w:val="24"/>
                <w:lang w:val="en-US" w:eastAsia="zh-CN"/>
              </w:rPr>
            </w:pPr>
            <w:r>
              <w:rPr>
                <w:rFonts w:hint="default" w:ascii="Times New Roman" w:hAnsi="Times New Roman" w:cs="Times New Roman"/>
                <w:color w:val="auto"/>
                <w:kern w:val="21"/>
                <w:sz w:val="24"/>
                <w:szCs w:val="24"/>
                <w:lang w:val="en-US" w:eastAsia="zh-CN"/>
              </w:rPr>
              <w:t>与《</w:t>
            </w:r>
            <w:r>
              <w:rPr>
                <w:rFonts w:hint="default" w:ascii="Times New Roman" w:hAnsi="Times New Roman" w:cs="Times New Roman"/>
                <w:color w:val="auto"/>
                <w:kern w:val="21"/>
                <w:sz w:val="24"/>
                <w:szCs w:val="24"/>
                <w:lang w:eastAsia="zh-CN"/>
              </w:rPr>
              <w:t>河北围场经济开发区总体规划（2023-2035年）</w:t>
            </w:r>
            <w:r>
              <w:rPr>
                <w:rFonts w:hint="default" w:ascii="Times New Roman" w:hAnsi="Times New Roman" w:cs="Times New Roman"/>
                <w:color w:val="auto"/>
                <w:kern w:val="21"/>
                <w:sz w:val="24"/>
                <w:szCs w:val="24"/>
                <w:lang w:val="en-US" w:eastAsia="zh-CN"/>
              </w:rPr>
              <w:t>》符合性分析：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21"/>
                <w:sz w:val="24"/>
                <w:szCs w:val="24"/>
                <w:lang w:eastAsia="zh-CN"/>
              </w:rPr>
            </w:pPr>
            <w:r>
              <w:rPr>
                <w:rFonts w:hint="default" w:ascii="Times New Roman" w:hAnsi="Times New Roman" w:cs="Times New Roman"/>
                <w:color w:val="auto"/>
                <w:kern w:val="21"/>
                <w:sz w:val="24"/>
                <w:szCs w:val="24"/>
                <w:lang w:val="en-US" w:eastAsia="zh-CN"/>
              </w:rPr>
              <w:t>规划中北部经济活跃区内的农产品医药加工产业组团主要产业发展方向为</w:t>
            </w:r>
            <w:r>
              <w:rPr>
                <w:rFonts w:hint="default" w:ascii="Times New Roman" w:hAnsi="Times New Roman" w:cs="Times New Roman"/>
                <w:color w:val="auto"/>
                <w:kern w:val="21"/>
                <w:sz w:val="24"/>
                <w:szCs w:val="24"/>
                <w:lang w:eastAsia="zh-CN"/>
              </w:rPr>
              <w:t>农副食品加工、中药饮片加工、中成药生产及酒、饮料和精制茶制造业。</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color w:val="auto"/>
              </w:rPr>
            </w:pPr>
            <w:r>
              <w:rPr>
                <w:rFonts w:hint="default" w:ascii="Times New Roman" w:hAnsi="Times New Roman" w:cs="Times New Roman"/>
                <w:color w:val="auto"/>
                <w:kern w:val="21"/>
                <w:sz w:val="24"/>
                <w:szCs w:val="24"/>
                <w:lang w:val="en-US" w:eastAsia="zh-CN"/>
              </w:rPr>
              <w:t>项目位于河北省</w:t>
            </w:r>
            <w:r>
              <w:rPr>
                <w:rFonts w:hint="eastAsia" w:ascii="Times New Roman" w:hAnsi="Times New Roman" w:cs="Times New Roman"/>
                <w:color w:val="auto"/>
                <w:kern w:val="21"/>
                <w:sz w:val="24"/>
                <w:szCs w:val="24"/>
                <w:lang w:val="en-US" w:eastAsia="zh-CN"/>
              </w:rPr>
              <w:t>承德市围场满族蒙古族自治县半截塔镇什八克村</w:t>
            </w:r>
            <w:r>
              <w:rPr>
                <w:rFonts w:hint="default" w:ascii="Times New Roman" w:hAnsi="Times New Roman" w:cs="Times New Roman"/>
                <w:color w:val="auto"/>
                <w:kern w:val="21"/>
                <w:sz w:val="24"/>
                <w:szCs w:val="24"/>
                <w:lang w:val="en-US" w:eastAsia="zh-CN"/>
              </w:rPr>
              <w:t>，属于北部经济活跃区内的农产品医药加工产业组团。</w:t>
            </w:r>
            <w:r>
              <w:rPr>
                <w:rFonts w:hint="eastAsia" w:ascii="Times New Roman" w:hAnsi="Times New Roman" w:cs="Times New Roman"/>
                <w:color w:val="auto"/>
                <w:kern w:val="21"/>
                <w:sz w:val="24"/>
                <w:szCs w:val="24"/>
                <w:lang w:val="en-US" w:eastAsia="zh-CN"/>
              </w:rPr>
              <w:t>承德市德德食品加工有限公司</w:t>
            </w:r>
            <w:r>
              <w:rPr>
                <w:rFonts w:hint="default" w:ascii="Times New Roman" w:hAnsi="Times New Roman" w:eastAsia="宋体" w:cs="Times New Roman"/>
                <w:color w:val="auto"/>
                <w:kern w:val="0"/>
                <w:sz w:val="24"/>
                <w:szCs w:val="24"/>
                <w:highlight w:val="none"/>
                <w:lang w:val="en-US" w:eastAsia="zh-CN"/>
              </w:rPr>
              <w:t>符合</w:t>
            </w:r>
            <w:r>
              <w:rPr>
                <w:rFonts w:hint="default"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sz w:val="24"/>
                <w:szCs w:val="24"/>
                <w:highlight w:val="none"/>
              </w:rPr>
              <w:t>河北围场经济开发区总体规划（2023-2035年）</w:t>
            </w:r>
            <w:r>
              <w:rPr>
                <w:rFonts w:hint="default" w:ascii="Times New Roman" w:hAnsi="Times New Roman" w:cs="Times New Roman"/>
                <w:color w:val="auto"/>
                <w:kern w:val="21"/>
                <w:sz w:val="24"/>
                <w:szCs w:val="24"/>
                <w:highlight w:val="none"/>
                <w:lang w:val="en-US" w:eastAsia="zh-CN"/>
              </w:rPr>
              <w:t>》的产业发展方向。</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0"/>
              <w:jc w:val="both"/>
              <w:textAlignment w:val="auto"/>
              <w:rPr>
                <w:rFonts w:hint="default" w:ascii="Times New Roman" w:hAnsi="Times New Roman" w:cs="Times New Roman"/>
                <w:color w:val="auto"/>
                <w:kern w:val="21"/>
                <w:sz w:val="24"/>
                <w:szCs w:val="24"/>
                <w:lang w:val="en-US" w:eastAsia="zh-CN"/>
              </w:rPr>
            </w:pPr>
            <w:r>
              <w:rPr>
                <w:rFonts w:hint="eastAsia" w:ascii="Times New Roman" w:hAnsi="Times New Roman" w:cs="Times New Roman"/>
                <w:color w:val="auto"/>
                <w:kern w:val="21"/>
                <w:sz w:val="24"/>
                <w:szCs w:val="24"/>
                <w:lang w:val="en-US" w:eastAsia="zh-CN"/>
              </w:rPr>
              <w:t>（2）</w:t>
            </w:r>
            <w:r>
              <w:rPr>
                <w:rFonts w:hint="default" w:ascii="Times New Roman" w:hAnsi="Times New Roman" w:cs="Times New Roman"/>
                <w:color w:val="auto"/>
                <w:kern w:val="21"/>
                <w:sz w:val="24"/>
                <w:szCs w:val="24"/>
                <w:lang w:val="en-US" w:eastAsia="zh-CN"/>
              </w:rPr>
              <w:t>与</w:t>
            </w:r>
            <w:r>
              <w:rPr>
                <w:rFonts w:hint="default" w:ascii="Times New Roman" w:hAnsi="Times New Roman" w:cs="Times New Roman"/>
                <w:color w:val="auto"/>
                <w:kern w:val="21"/>
                <w:sz w:val="24"/>
                <w:szCs w:val="24"/>
                <w:lang w:eastAsia="zh-CN"/>
              </w:rPr>
              <w:t>《河北围场经济开发区总体规划（2023-2035年）环境影响报告书》</w:t>
            </w:r>
            <w:r>
              <w:rPr>
                <w:rFonts w:hint="default" w:ascii="Times New Roman" w:hAnsi="Times New Roman" w:cs="Times New Roman"/>
                <w:color w:val="auto"/>
                <w:kern w:val="21"/>
                <w:sz w:val="24"/>
                <w:szCs w:val="24"/>
                <w:lang w:val="en-US" w:eastAsia="zh-CN"/>
              </w:rPr>
              <w:t>符合性分析：</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0"/>
              <w:jc w:val="both"/>
              <w:textAlignment w:val="auto"/>
              <w:rPr>
                <w:rFonts w:hint="default" w:ascii="Times New Roman" w:hAnsi="Times New Roman" w:eastAsia="新宋体" w:cs="Times New Roman"/>
                <w:color w:val="auto"/>
                <w:sz w:val="24"/>
                <w:szCs w:val="24"/>
                <w:lang w:eastAsia="zh-CN"/>
              </w:rPr>
            </w:pPr>
            <w:r>
              <w:rPr>
                <w:rFonts w:hint="default" w:ascii="Times New Roman" w:hAnsi="Times New Roman" w:cs="Times New Roman"/>
                <w:color w:val="auto"/>
                <w:kern w:val="21"/>
                <w:sz w:val="24"/>
                <w:szCs w:val="24"/>
                <w:lang w:val="en-US" w:eastAsia="zh-CN"/>
              </w:rPr>
              <w:t>规划中北部经济活跃区内的农产品医药加工产业组团主要产业发展方向为</w:t>
            </w:r>
            <w:r>
              <w:rPr>
                <w:rFonts w:hint="default" w:ascii="Times New Roman" w:hAnsi="Times New Roman" w:eastAsia="新宋体" w:cs="Times New Roman"/>
                <w:color w:val="auto"/>
                <w:sz w:val="24"/>
                <w:szCs w:val="24"/>
              </w:rPr>
              <w:t>农副食品加工、中药饮片加工、中成药生产及酒、饮料和精制茶制造业</w:t>
            </w:r>
            <w:r>
              <w:rPr>
                <w:rFonts w:hint="default" w:ascii="Times New Roman" w:hAnsi="Times New Roman" w:eastAsia="新宋体"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0"/>
              <w:jc w:val="both"/>
              <w:textAlignment w:val="auto"/>
              <w:rPr>
                <w:rFonts w:hint="default" w:ascii="Times New Roman" w:hAnsi="Times New Roman" w:cs="Times New Roman"/>
                <w:color w:val="auto"/>
                <w:kern w:val="21"/>
                <w:sz w:val="24"/>
                <w:szCs w:val="24"/>
                <w:lang w:val="en-US" w:eastAsia="zh-CN"/>
              </w:rPr>
            </w:pPr>
            <w:r>
              <w:rPr>
                <w:rFonts w:hint="default" w:ascii="Times New Roman" w:hAnsi="Times New Roman" w:cs="Times New Roman"/>
                <w:color w:val="auto"/>
                <w:kern w:val="21"/>
                <w:sz w:val="24"/>
                <w:szCs w:val="24"/>
                <w:lang w:val="en-US" w:eastAsia="zh-CN"/>
              </w:rPr>
              <w:t>项目位于河北省</w:t>
            </w:r>
            <w:r>
              <w:rPr>
                <w:rFonts w:hint="eastAsia" w:ascii="Times New Roman" w:hAnsi="Times New Roman" w:cs="Times New Roman"/>
                <w:color w:val="auto"/>
                <w:kern w:val="21"/>
                <w:sz w:val="24"/>
                <w:szCs w:val="24"/>
                <w:lang w:val="en-US" w:eastAsia="zh-CN"/>
              </w:rPr>
              <w:t>承德市围场满族蒙古族自治县半截塔镇什八克村</w:t>
            </w:r>
            <w:r>
              <w:rPr>
                <w:rFonts w:hint="default" w:ascii="Times New Roman" w:hAnsi="Times New Roman" w:cs="Times New Roman"/>
                <w:color w:val="auto"/>
                <w:kern w:val="21"/>
                <w:sz w:val="24"/>
                <w:szCs w:val="24"/>
                <w:lang w:val="en-US" w:eastAsia="zh-CN"/>
              </w:rPr>
              <w:t>，属于北部经济活跃区内的农产品医药加工产业组团。本项目</w:t>
            </w:r>
            <w:r>
              <w:rPr>
                <w:rFonts w:hint="eastAsia" w:ascii="Times New Roman" w:hAnsi="Times New Roman" w:cs="Times New Roman"/>
                <w:color w:val="auto"/>
                <w:kern w:val="21"/>
                <w:sz w:val="24"/>
                <w:szCs w:val="24"/>
                <w:lang w:val="en-US" w:eastAsia="zh-CN"/>
              </w:rPr>
              <w:t>为承德市德德食品加工有限公司</w:t>
            </w:r>
            <w:r>
              <w:rPr>
                <w:rFonts w:hint="default" w:ascii="Times New Roman" w:hAnsi="Times New Roman" w:cs="Times New Roman"/>
                <w:color w:val="auto"/>
                <w:kern w:val="21"/>
                <w:sz w:val="24"/>
                <w:szCs w:val="24"/>
                <w:lang w:val="en-US" w:eastAsia="zh-CN"/>
              </w:rPr>
              <w:t>半截塔镇牛羊副食品加工项目</w:t>
            </w:r>
            <w:r>
              <w:rPr>
                <w:rFonts w:hint="eastAsia" w:ascii="Times New Roman" w:hAnsi="Times New Roman" w:cs="Times New Roman"/>
                <w:color w:val="auto"/>
                <w:kern w:val="21"/>
                <w:sz w:val="24"/>
                <w:szCs w:val="24"/>
                <w:lang w:val="en-US" w:eastAsia="zh-CN"/>
              </w:rPr>
              <w:t>重新报批项目，农产品医药加工产业组团</w:t>
            </w:r>
            <w:r>
              <w:rPr>
                <w:rFonts w:hint="default" w:ascii="Times New Roman" w:hAnsi="Times New Roman" w:cs="Times New Roman"/>
                <w:color w:val="auto"/>
                <w:kern w:val="21"/>
                <w:sz w:val="24"/>
                <w:szCs w:val="24"/>
                <w:lang w:val="en-US" w:eastAsia="zh-CN"/>
              </w:rPr>
              <w:t>产业发展策略</w:t>
            </w:r>
            <w:r>
              <w:rPr>
                <w:rFonts w:hint="eastAsia" w:ascii="Times New Roman" w:hAnsi="Times New Roman" w:cs="Times New Roman"/>
                <w:color w:val="auto"/>
                <w:kern w:val="21"/>
                <w:sz w:val="24"/>
                <w:szCs w:val="24"/>
                <w:lang w:val="en-US" w:eastAsia="zh-CN"/>
              </w:rPr>
              <w:t>中将该项目纳入发展规划中</w:t>
            </w:r>
            <w:r>
              <w:rPr>
                <w:rFonts w:hint="eastAsia"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lang w:val="en-US" w:eastAsia="zh-CN"/>
              </w:rPr>
              <w:t>《</w:t>
            </w:r>
            <w:r>
              <w:rPr>
                <w:rFonts w:hint="default" w:ascii="Times New Roman" w:hAnsi="Times New Roman" w:cs="Times New Roman"/>
                <w:color w:val="auto"/>
                <w:kern w:val="21"/>
                <w:sz w:val="24"/>
                <w:szCs w:val="24"/>
                <w:lang w:eastAsia="zh-CN"/>
              </w:rPr>
              <w:t>河北围场经济开发区总体规划（2023-2035年）环境影响报告书</w:t>
            </w:r>
            <w:r>
              <w:rPr>
                <w:rFonts w:hint="default" w:ascii="Times New Roman" w:hAnsi="Times New Roman" w:cs="Times New Roman"/>
                <w:color w:val="auto"/>
                <w:kern w:val="21"/>
                <w:sz w:val="24"/>
                <w:szCs w:val="24"/>
                <w:lang w:val="en-US" w:eastAsia="zh-CN"/>
              </w:rPr>
              <w:t>》</w:t>
            </w:r>
            <w:r>
              <w:rPr>
                <w:rFonts w:hint="eastAsia" w:ascii="Times New Roman" w:hAnsi="Times New Roman" w:cs="Times New Roman"/>
                <w:color w:val="auto"/>
                <w:kern w:val="21"/>
                <w:sz w:val="24"/>
                <w:szCs w:val="24"/>
                <w:lang w:val="en-US" w:eastAsia="zh-CN"/>
              </w:rPr>
              <w:t>指出本企业为规划重点项目，承德市德德食品加工有限公司预估废气排放情况</w:t>
            </w:r>
            <w:r>
              <w:rPr>
                <w:rFonts w:hint="eastAsia" w:ascii="Times New Roman" w:hAnsi="Times New Roman" w:cs="Times New Roman"/>
                <w:color w:val="auto"/>
                <w:kern w:val="21"/>
                <w:sz w:val="24"/>
                <w:szCs w:val="24"/>
                <w:highlight w:val="none"/>
                <w:lang w:val="en-US" w:eastAsia="zh-CN"/>
              </w:rPr>
              <w:t>颗粒物：0.112t/a、二氧化硫：0.168t/a、氮氧化物0.842t/a、氨0.32t/a、硫化氢0.008t/a；COD：3.781t/a、氨氮0.453t/a。</w:t>
            </w:r>
            <w:r>
              <w:rPr>
                <w:rFonts w:hint="default" w:ascii="Times New Roman" w:hAnsi="Times New Roman" w:cs="Times New Roman"/>
                <w:color w:val="auto"/>
                <w:kern w:val="21"/>
                <w:sz w:val="24"/>
                <w:szCs w:val="24"/>
                <w:lang w:val="en-US" w:eastAsia="zh-CN"/>
              </w:rPr>
              <w:t>项目建设符合《</w:t>
            </w:r>
            <w:r>
              <w:rPr>
                <w:rFonts w:hint="default" w:ascii="Times New Roman" w:hAnsi="Times New Roman" w:cs="Times New Roman"/>
                <w:color w:val="auto"/>
                <w:kern w:val="21"/>
                <w:sz w:val="24"/>
                <w:szCs w:val="24"/>
                <w:lang w:eastAsia="zh-CN"/>
              </w:rPr>
              <w:t>河北围场经济开发区总体规划（2023-2035年）环境影响报告书</w:t>
            </w:r>
            <w:r>
              <w:rPr>
                <w:rFonts w:hint="default" w:ascii="Times New Roman" w:hAnsi="Times New Roman" w:cs="Times New Roman"/>
                <w:color w:val="auto"/>
                <w:kern w:val="21"/>
                <w:sz w:val="24"/>
                <w:szCs w:val="24"/>
                <w:lang w:val="en-US" w:eastAsia="zh-CN"/>
              </w:rPr>
              <w:t>》的相关要求。</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cs="Times New Roman"/>
                <w:color w:val="auto"/>
                <w:kern w:val="21"/>
                <w:sz w:val="24"/>
                <w:szCs w:val="24"/>
                <w:lang w:val="en-US" w:eastAsia="zh-CN"/>
              </w:rPr>
            </w:pPr>
            <w:r>
              <w:rPr>
                <w:rFonts w:hint="default" w:ascii="Times New Roman" w:hAnsi="Times New Roman" w:cs="Times New Roman"/>
                <w:color w:val="auto"/>
                <w:kern w:val="21"/>
                <w:sz w:val="24"/>
                <w:szCs w:val="24"/>
                <w:lang w:val="en-US" w:eastAsia="zh-CN"/>
              </w:rPr>
              <w:t>与《</w:t>
            </w:r>
            <w:r>
              <w:rPr>
                <w:rFonts w:hint="default" w:ascii="Times New Roman" w:hAnsi="Times New Roman" w:eastAsia="宋体" w:cs="Times New Roman"/>
                <w:color w:val="auto"/>
                <w:kern w:val="21"/>
                <w:sz w:val="24"/>
                <w:szCs w:val="24"/>
                <w:lang w:val="en-US" w:eastAsia="zh-CN"/>
              </w:rPr>
              <w:t>河北围场经济开发区总体规划（2023-2035年）环境影响报告书</w:t>
            </w:r>
            <w:r>
              <w:rPr>
                <w:rFonts w:hint="default" w:ascii="Times New Roman" w:hAnsi="Times New Roman" w:cs="Times New Roman"/>
                <w:color w:val="auto"/>
                <w:kern w:val="21"/>
                <w:sz w:val="24"/>
                <w:szCs w:val="24"/>
                <w:lang w:val="en-US" w:eastAsia="zh-CN"/>
              </w:rPr>
              <w:t>》审查意见的符合性</w:t>
            </w:r>
          </w:p>
          <w:p>
            <w:pPr>
              <w:pStyle w:val="62"/>
              <w:keepNext w:val="0"/>
              <w:keepLines w:val="0"/>
              <w:pageBreakBefore w:val="0"/>
              <w:widowControl w:val="0"/>
              <w:numPr>
                <w:ilvl w:val="0"/>
                <w:numId w:val="4"/>
              </w:numPr>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szCs w:val="21"/>
                <w:lang w:val="en-US" w:eastAsia="zh-CN"/>
              </w:rPr>
              <w:t>与</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审查意见</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符合性分析表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860"/>
              <w:gridCol w:w="2616"/>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审查意见内容</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本项目相关内容</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落实国家、区域发展战略，坚持生态优先、提质增效，以生态环境质量改善为核心，做好与各级国土空间规划和</w:t>
                  </w:r>
                  <w:r>
                    <w:rPr>
                      <w:rFonts w:hint="default" w:ascii="Times New Roman" w:hAnsi="Times New Roman"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三线一单</w:t>
                  </w:r>
                  <w:r>
                    <w:rPr>
                      <w:rFonts w:hint="default" w:ascii="Times New Roman" w:hAnsi="Times New Roman"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生态环境分区管控体系的协调衔接</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经后文分析，项目建设符合围场国土空间规划和承德市“三线一单”的管控要求</w:t>
                  </w:r>
                  <w:r>
                    <w:rPr>
                      <w:rFonts w:hint="eastAsia" w:ascii="Times New Roman" w:hAnsi="Times New Roman" w:eastAsia="宋体" w:cs="Times New Roman"/>
                      <w:b w:val="0"/>
                      <w:bCs w:val="0"/>
                      <w:color w:val="auto"/>
                      <w:sz w:val="21"/>
                      <w:szCs w:val="21"/>
                      <w:vertAlign w:val="baseline"/>
                      <w:lang w:val="en-US" w:eastAsia="zh-CN"/>
                    </w:rPr>
                    <w:t>。</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推进绿色低碳发展，实现减污降碳协同增效目标。根据国家、地方碳减排和碳达峰行动方案及路径要求，进一步优化开发区产业结构，引导产业健康低碳发展，提升工业能效；推进能源消费绿色低碳化转型，严格控制煤炭消费总量，加快燃气基础设施建设，扩大电气化终端用能设备使用比例，大力发展新能源；推动形成绿色低碳运输方式等</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ascii="Times New Roman" w:hAnsi="Times New Roman" w:eastAsia="宋体" w:cs="Times New Roman"/>
                      <w:b w:val="0"/>
                      <w:bCs w:val="0"/>
                      <w:color w:val="auto"/>
                      <w:sz w:val="21"/>
                      <w:szCs w:val="21"/>
                      <w:highlight w:val="none"/>
                      <w:vertAlign w:val="baseline"/>
                      <w:lang w:val="en-US" w:eastAsia="zh-CN"/>
                    </w:rPr>
                    <w:t>采用生物质为燃料，建设3t/h生物质锅炉1台用于取暖期取暖、2t/h生物质锅炉1台用于生产供热。</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严格环境准入条件，落实生态环境准入要求。落实《报告书》提出的开发区生态环境准入要求和现有企业环境管理要求；严格落实地表水环境减缓对策及措施，进一步降低规划实施对地表水环境的影响；推进区域水资源集约节约利用，逐步增加再生水使用比例，严格控制新水用量；强化现有及入区企业污染物及碳排放控制要求，促进开发区产业转型升级与生态环境保护、人居环境安全相协调</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本项目为《河北围场经济开发区总体规划（2023-2035年）环境影响报告书》中规划的在建项目，项目建设符合开发区生态环境准入要求，项目</w:t>
                  </w:r>
                  <w:r>
                    <w:rPr>
                      <w:rFonts w:hint="eastAsia" w:ascii="Times New Roman" w:hAnsi="Times New Roman" w:eastAsia="宋体" w:cs="Times New Roman"/>
                      <w:b w:val="0"/>
                      <w:bCs w:val="0"/>
                      <w:color w:val="auto"/>
                      <w:sz w:val="21"/>
                      <w:szCs w:val="21"/>
                      <w:vertAlign w:val="baseline"/>
                      <w:lang w:val="en-US" w:eastAsia="zh-CN"/>
                    </w:rPr>
                    <w:t>食堂废水经隔油池处理后与生活污水一同进入化粪池进行预处理，生产废水与预处理后的生活污水一同经厂区污水处理站处理后通过</w:t>
                  </w:r>
                  <w:r>
                    <w:rPr>
                      <w:rFonts w:hint="default" w:ascii="Times New Roman" w:hAnsi="Times New Roman" w:eastAsia="宋体" w:cs="Times New Roman"/>
                      <w:b w:val="0"/>
                      <w:bCs w:val="0"/>
                      <w:color w:val="auto"/>
                      <w:sz w:val="21"/>
                      <w:szCs w:val="21"/>
                      <w:vertAlign w:val="baseline"/>
                      <w:lang w:val="en-US" w:eastAsia="zh-CN"/>
                    </w:rPr>
                    <w:t>管网排放至半截塔污水处理厂</w:t>
                  </w:r>
                  <w:r>
                    <w:rPr>
                      <w:rFonts w:hint="eastAsia" w:ascii="Times New Roman" w:hAnsi="Times New Roman" w:eastAsia="宋体" w:cs="Times New Roman"/>
                      <w:b w:val="0"/>
                      <w:bCs w:val="0"/>
                      <w:color w:val="auto"/>
                      <w:sz w:val="21"/>
                      <w:szCs w:val="21"/>
                      <w:vertAlign w:val="baseline"/>
                      <w:lang w:val="en-US" w:eastAsia="zh-CN"/>
                    </w:rPr>
                    <w:t>。</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严格空间管控要求，进一步优化空间布局。结合国土空间总体规划最新成果以及“三线一单”生态环境分区管控要求，进一步强化空间管控。禁止在规划绿地范围内开展与绿地无关的建设活动；禁止违规占用河道管理范围及国家重点公益林；加强对开发区周边生态保护红线等环境敏感区的保护，合理布局入区污染企业，严格遵守其相关管理要求；落实开发区内沙化土地开发前、建设过程中、开发后三阶段的防沙治沙措施；合理控制周边建设项目布局，确保开发区内企业与敏感点保持足够的环境风险防护距离，减少突发事件可能对居民区环境产生的影响。</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项目建设符合《河北围场经济开发区国土空间总体规划》（2023-2035）的要求</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严守环境质量底线，强化污染物排放总量管控。根据国家、河北省及承德市污染防治规划和区域“三线一单”生态环境分区管控相关要求，严格落实《报告书》提出的污染物排放管控要求，制定并落实开发区污染物减排方案，采取有效措施减少污染物排放量，确保区域环境质量持续改善，促进产业发展与生态环境保护相协调</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本项目废气、废水、噪声、固体废物符合</w:t>
                  </w:r>
                  <w:r>
                    <w:rPr>
                      <w:rFonts w:hint="default" w:ascii="Times New Roman" w:hAnsi="Times New Roman" w:eastAsia="宋体" w:cs="Times New Roman"/>
                      <w:b w:val="0"/>
                      <w:bCs w:val="0"/>
                      <w:color w:val="auto"/>
                      <w:sz w:val="21"/>
                      <w:szCs w:val="21"/>
                      <w:vertAlign w:val="baseline"/>
                      <w:lang w:val="en-US" w:eastAsia="zh-CN"/>
                    </w:rPr>
                    <w:t>《河北围场经济开发区总体规划（2023-2035年）环境影响报告书》提出的污染物排放管控要求</w:t>
                  </w:r>
                  <w:r>
                    <w:rPr>
                      <w:rFonts w:hint="eastAsia" w:ascii="Times New Roman" w:hAnsi="Times New Roman" w:cs="Times New Roman"/>
                      <w:b w:val="0"/>
                      <w:bCs w:val="0"/>
                      <w:color w:val="auto"/>
                      <w:sz w:val="21"/>
                      <w:szCs w:val="21"/>
                      <w:vertAlign w:val="baseline"/>
                      <w:lang w:val="en-US" w:eastAsia="zh-CN"/>
                    </w:rPr>
                    <w:t>。</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优化运输方式，落实应急运输响应方案。鼓励开发区提高清洁能源汽车运输比例，优化区域运输方式，减轻运输产生的不利环境影响。结合秋冬行业错峰生产和重污染天气应急响应要求，在黄色及以上重污染天气预警期间，重点用车企业实施应急运输响应。</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lang w:val="en-US" w:eastAsia="zh-CN"/>
                    </w:rPr>
                    <w:t>清洁能源汽车运输，减轻运输产生的不利环境影响。</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w:t>
                  </w:r>
                </w:p>
              </w:tc>
              <w:tc>
                <w:tcPr>
                  <w:tcW w:w="2078"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健全完善环境监测体系，强化环境风险防范。建立完善包括环境空气、地表水、地下水、土壤生态环境等环境要素的监控体系；落实开发区及区域三级环境风险防控设施及应急处置措施，建立应急响应联动机制。严格落实《报告书》提出的各项环境风险防控措施，提升环境风险防控和应急响应能力，保障区域环境安全</w:t>
                  </w:r>
                </w:p>
              </w:tc>
              <w:tc>
                <w:tcPr>
                  <w:tcW w:w="1901"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lang w:val="en-US" w:eastAsia="zh-CN"/>
                    </w:rPr>
                    <w:t>严格落实《河北围场经济开发区总体规划（2023-2035年）环境影响报告书》提出的各项环境风险防控措施，提升环境风险防控和应急响应能力，保障区域环境安全</w:t>
                  </w:r>
                  <w:r>
                    <w:rPr>
                      <w:rFonts w:hint="default" w:ascii="Times New Roman" w:hAnsi="Times New Roman" w:cs="Times New Roman"/>
                      <w:b w:val="0"/>
                      <w:bCs w:val="0"/>
                      <w:color w:val="auto"/>
                      <w:sz w:val="21"/>
                      <w:szCs w:val="21"/>
                      <w:vertAlign w:val="baseline"/>
                      <w:lang w:val="en-US" w:eastAsia="zh-CN"/>
                    </w:rPr>
                    <w:t>。</w:t>
                  </w:r>
                </w:p>
              </w:tc>
              <w:tc>
                <w:tcPr>
                  <w:tcW w:w="59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符合要求</w:t>
                  </w:r>
                </w:p>
              </w:tc>
            </w:tr>
          </w:tbl>
          <w:p>
            <w:pPr>
              <w:autoSpaceDE w:val="0"/>
              <w:autoSpaceDN w:val="0"/>
              <w:adjustRightInd w:val="0"/>
              <w:snapToGrid w:val="0"/>
              <w:spacing w:line="360" w:lineRule="exact"/>
              <w:jc w:val="center"/>
              <w:rPr>
                <w:rFonts w:hint="default" w:ascii="Times New Roman" w:hAnsi="Times New Roman" w:eastAsia="宋体" w:cs="Times New Roman"/>
                <w:color w:val="auto"/>
                <w:kern w:val="0"/>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pct"/>
          <w:trHeight w:val="1021" w:hRule="atLeast"/>
          <w:jc w:val="center"/>
        </w:trPr>
        <w:tc>
          <w:tcPr>
            <w:tcW w:w="256" w:type="pct"/>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pPr>
              <w:rPr>
                <w:rFonts w:hint="default" w:ascii="Times New Roman" w:hAnsi="Times New Roman" w:eastAsia="宋体" w:cs="Times New Roman"/>
                <w:color w:val="auto"/>
                <w:kern w:val="0"/>
                <w:sz w:val="24"/>
              </w:rPr>
            </w:pPr>
            <w:r>
              <w:rPr>
                <w:rFonts w:hint="default" w:ascii="Times New Roman" w:hAnsi="Times New Roman" w:cs="Times New Roman"/>
                <w:color w:val="auto"/>
              </w:rPr>
              <w:br w:type="page"/>
            </w:r>
            <w:r>
              <w:rPr>
                <w:rFonts w:hint="default" w:ascii="Times New Roman" w:hAnsi="Times New Roman" w:eastAsia="宋体" w:cs="Times New Roman"/>
                <w:color w:val="auto"/>
                <w:kern w:val="0"/>
                <w:sz w:val="24"/>
              </w:rPr>
              <w:t>其他符合性分析</w:t>
            </w:r>
          </w:p>
        </w:tc>
        <w:tc>
          <w:tcPr>
            <w:tcW w:w="4740" w:type="pct"/>
            <w:gridSpan w:val="4"/>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1、三线一单符合性</w:t>
            </w:r>
          </w:p>
          <w:p>
            <w:pPr>
              <w:pStyle w:val="39"/>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关于以改善环境质量为核心加强环境影响评价管理的通知》（环境保护部文件：环环评[2016]150号）、《承德市人民政府关于加快实施“三线一单”生态环境分区管控的意见》（承德市生态环境局2021年6月18发布），进行项目“三线一单”符合性分析，判定内容如下表所示：</w:t>
            </w:r>
          </w:p>
          <w:p>
            <w:pPr>
              <w:pStyle w:val="62"/>
              <w:keepNext w:val="0"/>
              <w:keepLines w:val="0"/>
              <w:pageBreakBefore w:val="0"/>
              <w:widowControl w:val="0"/>
              <w:numPr>
                <w:ilvl w:val="0"/>
                <w:numId w:val="4"/>
              </w:numPr>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项目与“三线一单”符合性分析表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862"/>
              <w:gridCol w:w="2903"/>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236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分析内容</w:t>
                  </w:r>
                </w:p>
              </w:tc>
              <w:tc>
                <w:tcPr>
                  <w:tcW w:w="17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企业情况</w:t>
                  </w:r>
                </w:p>
              </w:tc>
              <w:tc>
                <w:tcPr>
                  <w:tcW w:w="46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生态保护红线</w:t>
                  </w:r>
                </w:p>
              </w:tc>
              <w:tc>
                <w:tcPr>
                  <w:tcW w:w="236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rPr>
                    <w:t>生态保护红线是生态空间范围内具有特殊重要生</w:t>
                  </w:r>
                  <w:r>
                    <w:rPr>
                      <w:rFonts w:hint="eastAsia" w:ascii="Times New Roman" w:hAnsi="Times New Roman" w:cs="Times New Roman"/>
                      <w:color w:val="auto"/>
                      <w:lang w:val="en-US" w:eastAsia="zh-CN"/>
                    </w:rPr>
                    <w:t>态</w:t>
                  </w:r>
                  <w:r>
                    <w:rPr>
                      <w:rFonts w:hint="default" w:ascii="Times New Roman" w:hAnsi="Times New Roman" w:cs="Times New Roman"/>
                      <w:color w:val="auto"/>
                    </w:rPr>
                    <w:t>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w:t>
                  </w:r>
                  <w:r>
                    <w:rPr>
                      <w:rFonts w:hint="default" w:ascii="Times New Roman" w:hAnsi="Times New Roman" w:cs="Times New Roman"/>
                      <w:color w:val="auto"/>
                      <w:highlight w:val="none"/>
                    </w:rPr>
                    <w:t>通讯</w:t>
                  </w:r>
                  <w:r>
                    <w:rPr>
                      <w:rFonts w:hint="default" w:ascii="Times New Roman" w:hAnsi="Times New Roman" w:cs="Times New Roman"/>
                      <w:color w:val="auto"/>
                    </w:rPr>
                    <w:t>、输变电等重要</w:t>
                  </w:r>
                  <w:r>
                    <w:rPr>
                      <w:rFonts w:hint="eastAsia" w:ascii="Times New Roman" w:hAnsi="Times New Roman" w:cs="Times New Roman"/>
                      <w:color w:val="auto"/>
                      <w:lang w:val="en-US" w:eastAsia="zh-CN"/>
                    </w:rPr>
                    <w:t>基</w:t>
                  </w:r>
                  <w:r>
                    <w:rPr>
                      <w:rFonts w:hint="default" w:ascii="Times New Roman" w:hAnsi="Times New Roman" w:cs="Times New Roman"/>
                      <w:color w:val="auto"/>
                    </w:rPr>
                    <w:t>础设施项目外，在生态保护红线范围内，严控各类开发建设活动，依法不予审批技改工业项目和矿产开发项目的环评文件。</w:t>
                  </w:r>
                </w:p>
              </w:tc>
              <w:tc>
                <w:tcPr>
                  <w:tcW w:w="17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根据承德市生态保护红线成果，本项目不在生态保护红线范围内，距离项目最近生态保护红线位于</w:t>
                  </w:r>
                  <w:r>
                    <w:rPr>
                      <w:rFonts w:hint="eastAsia" w:ascii="Times New Roman" w:hAnsi="Times New Roman" w:cs="Times New Roman"/>
                      <w:color w:val="auto"/>
                      <w:szCs w:val="21"/>
                      <w:lang w:val="en-US" w:eastAsia="zh-CN"/>
                    </w:rPr>
                    <w:t>厂区西南方向1379</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rPr>
                    <w:t>，关系图详见附图。</w:t>
                  </w:r>
                </w:p>
              </w:tc>
              <w:tc>
                <w:tcPr>
                  <w:tcW w:w="46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环境质量底线</w:t>
                  </w:r>
                </w:p>
              </w:tc>
              <w:tc>
                <w:tcPr>
                  <w:tcW w:w="236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7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根据《202</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年承德市生态环境状况公报》中</w:t>
                  </w:r>
                  <w:r>
                    <w:rPr>
                      <w:rFonts w:hint="eastAsia" w:ascii="Times New Roman" w:hAnsi="Times New Roman" w:cs="Times New Roman"/>
                      <w:color w:val="auto"/>
                      <w:szCs w:val="21"/>
                      <w:lang w:val="en-US" w:eastAsia="zh-CN"/>
                    </w:rPr>
                    <w:t>围场县</w:t>
                  </w:r>
                  <w:r>
                    <w:rPr>
                      <w:rFonts w:hint="default" w:ascii="Times New Roman" w:hAnsi="Times New Roman" w:cs="Times New Roman"/>
                      <w:color w:val="auto"/>
                      <w:szCs w:val="21"/>
                    </w:rPr>
                    <w:t>大气常规污染物数据，项目所在区域环境空气中，O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日最大8小时年均值、PM</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年均值、PM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年均值、SO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年均值、NO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年均值、CO24小时平均值和TSP24小时均值均满足《环境空气质量标准》（GB3095-2012）及其修改单中的二级标准，项目所在区域为达标区。项目运营期</w:t>
                  </w:r>
                  <w:r>
                    <w:rPr>
                      <w:rFonts w:hint="eastAsia" w:ascii="Times New Roman" w:hAnsi="Times New Roman" w:cs="Times New Roman"/>
                      <w:color w:val="auto"/>
                      <w:szCs w:val="21"/>
                      <w:lang w:val="en-US" w:eastAsia="zh-CN"/>
                    </w:rPr>
                    <w:t>废气主要为锅炉产生的烟气，食品加工过程中及污水处理站产生的恶臭气体以及生物质储存产生的无组织颗粒物</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采取相应措施后可达标排放</w:t>
                  </w:r>
                  <w:r>
                    <w:rPr>
                      <w:rFonts w:hint="default" w:ascii="Times New Roman" w:hAnsi="Times New Roman" w:cs="Times New Roman"/>
                      <w:color w:val="auto"/>
                      <w:szCs w:val="21"/>
                    </w:rPr>
                    <w:t>，符合环境质量底线的要求。</w:t>
                  </w:r>
                </w:p>
              </w:tc>
              <w:tc>
                <w:tcPr>
                  <w:tcW w:w="46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资源利用上线</w:t>
                  </w:r>
                </w:p>
              </w:tc>
              <w:tc>
                <w:tcPr>
                  <w:tcW w:w="236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17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highlight w:val="none"/>
                    </w:rPr>
                    <w:t>用电量</w:t>
                  </w:r>
                  <w:r>
                    <w:rPr>
                      <w:rFonts w:hint="eastAsia" w:ascii="Times New Roman" w:hAnsi="Times New Roman" w:cs="Times New Roman"/>
                      <w:color w:val="auto"/>
                      <w:szCs w:val="21"/>
                      <w:highlight w:val="none"/>
                      <w:lang w:val="en-US" w:eastAsia="zh-CN"/>
                    </w:rPr>
                    <w:t>24.5</w:t>
                  </w:r>
                  <w:r>
                    <w:rPr>
                      <w:rFonts w:hint="default" w:ascii="Times New Roman" w:hAnsi="Times New Roman" w:cs="Times New Roman"/>
                      <w:color w:val="auto"/>
                      <w:szCs w:val="21"/>
                      <w:highlight w:val="none"/>
                    </w:rPr>
                    <w:t>万kW·h</w:t>
                  </w:r>
                  <w:r>
                    <w:rPr>
                      <w:rFonts w:hint="default" w:ascii="Times New Roman" w:hAnsi="Times New Roman" w:cs="Times New Roman"/>
                      <w:bCs/>
                      <w:color w:val="auto"/>
                      <w:szCs w:val="21"/>
                      <w:highlight w:val="none"/>
                    </w:rPr>
                    <w:t>/a</w:t>
                  </w:r>
                  <w:r>
                    <w:rPr>
                      <w:rFonts w:hint="default" w:ascii="Times New Roman" w:hAnsi="Times New Roman" w:cs="Times New Roman"/>
                      <w:color w:val="auto"/>
                      <w:szCs w:val="21"/>
                      <w:highlight w:val="none"/>
                    </w:rPr>
                    <w:t>，用水量为</w:t>
                  </w:r>
                  <w:r>
                    <w:rPr>
                      <w:rFonts w:hint="eastAsia" w:ascii="Times New Roman" w:hAnsi="Times New Roman" w:cs="Times New Roman"/>
                      <w:color w:val="auto"/>
                      <w:szCs w:val="21"/>
                      <w:highlight w:val="none"/>
                      <w:lang w:val="en-US" w:eastAsia="zh-CN"/>
                    </w:rPr>
                    <w:t>103780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bCs/>
                      <w:color w:val="auto"/>
                      <w:szCs w:val="21"/>
                      <w:highlight w:val="none"/>
                    </w:rPr>
                    <w:t>/a</w:t>
                  </w:r>
                  <w:r>
                    <w:rPr>
                      <w:rFonts w:hint="default" w:ascii="Times New Roman" w:hAnsi="Times New Roman" w:cs="Times New Roman"/>
                      <w:color w:val="auto"/>
                      <w:szCs w:val="21"/>
                      <w:highlight w:val="none"/>
                    </w:rPr>
                    <w:t>，项目占地面积为</w:t>
                  </w:r>
                  <w:r>
                    <w:rPr>
                      <w:rFonts w:hint="eastAsia" w:ascii="Times New Roman" w:hAnsi="Times New Roman" w:eastAsia="宋体" w:cs="Times New Roman"/>
                      <w:color w:val="auto"/>
                      <w:sz w:val="21"/>
                      <w:szCs w:val="21"/>
                      <w:highlight w:val="none"/>
                      <w:lang w:val="en-US" w:eastAsia="zh-CN"/>
                    </w:rPr>
                    <w:t>16647.63</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为工业用地，</w:t>
                  </w:r>
                  <w:r>
                    <w:rPr>
                      <w:rFonts w:hint="default" w:ascii="Times New Roman" w:hAnsi="Times New Roman" w:cs="Times New Roman"/>
                      <w:color w:val="auto"/>
                      <w:szCs w:val="21"/>
                      <w:lang w:val="en-US" w:eastAsia="zh-CN"/>
                    </w:rPr>
                    <w:t>不</w:t>
                  </w:r>
                  <w:r>
                    <w:rPr>
                      <w:rFonts w:hint="default" w:ascii="Times New Roman" w:hAnsi="Times New Roman" w:cs="Times New Roman"/>
                      <w:color w:val="auto"/>
                      <w:szCs w:val="21"/>
                    </w:rPr>
                    <w:t>涉及突破资源利用上限。</w:t>
                  </w:r>
                </w:p>
              </w:tc>
              <w:tc>
                <w:tcPr>
                  <w:tcW w:w="46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负面</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清单</w:t>
                  </w:r>
                </w:p>
              </w:tc>
              <w:tc>
                <w:tcPr>
                  <w:tcW w:w="236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环境准入负面清单是基于生态保护红线、环境质量底线和资源利用上线，以清单方式列出的禁止、限制等差别化环境准入条件和要求。</w:t>
                  </w:r>
                </w:p>
              </w:tc>
              <w:tc>
                <w:tcPr>
                  <w:tcW w:w="17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lang w:val="en-US" w:eastAsia="zh-CN"/>
                    </w:rPr>
                    <w:t>项目属于《国民经济行业分类》（GB/T4754-2017）中</w:t>
                  </w:r>
                  <w:r>
                    <w:rPr>
                      <w:rFonts w:hint="eastAsia" w:ascii="Times New Roman" w:hAnsi="Times New Roman" w:cs="Times New Roman"/>
                      <w:color w:val="auto"/>
                      <w:lang w:val="en-US" w:eastAsia="zh-CN"/>
                    </w:rPr>
                    <w:t>4430</w:t>
                  </w:r>
                  <w:r>
                    <w:rPr>
                      <w:rFonts w:hint="default" w:ascii="Times New Roman" w:hAnsi="Times New Roman" w:cs="Times New Roman"/>
                      <w:color w:val="auto"/>
                      <w:lang w:val="en-US" w:eastAsia="zh-CN"/>
                    </w:rPr>
                    <w:t>热力生产和供应</w:t>
                  </w:r>
                  <w:r>
                    <w:rPr>
                      <w:rFonts w:hint="eastAsia" w:ascii="Times New Roman" w:hAnsi="Times New Roman" w:cs="Times New Roman"/>
                      <w:color w:val="auto"/>
                      <w:lang w:val="en-US" w:eastAsia="zh-CN"/>
                    </w:rPr>
                    <w:t>；4630污水处理及其再生利用；1353肉制品及副产品加工；1321宠物饲料加工；根据</w:t>
                  </w:r>
                  <w:r>
                    <w:rPr>
                      <w:rFonts w:hint="default" w:ascii="Times New Roman" w:hAnsi="Times New Roman" w:cs="Times New Roman"/>
                      <w:color w:val="auto"/>
                      <w:highlight w:val="none"/>
                      <w:lang w:val="en-US" w:eastAsia="zh-CN"/>
                    </w:rPr>
                    <w:t>《产业结构调整指导目录</w:t>
                  </w:r>
                  <w:r>
                    <w:rPr>
                      <w:rFonts w:hint="eastAsia" w:ascii="Times New Roman" w:hAnsi="Times New Roman" w:cs="Times New Roman"/>
                      <w:color w:val="auto"/>
                      <w:highlight w:val="none"/>
                      <w:lang w:val="en-US" w:eastAsia="zh-CN"/>
                    </w:rPr>
                    <w:t>（2024</w:t>
                  </w:r>
                  <w:r>
                    <w:rPr>
                      <w:rFonts w:hint="default" w:ascii="Times New Roman" w:hAnsi="Times New Roman" w:cs="Times New Roman"/>
                      <w:color w:val="auto"/>
                      <w:highlight w:val="none"/>
                      <w:lang w:val="en-US" w:eastAsia="zh-CN"/>
                    </w:rPr>
                    <w:t>年本</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属于允许类</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不属于</w:t>
                  </w:r>
                  <w:r>
                    <w:rPr>
                      <w:rFonts w:hint="default" w:ascii="Times New Roman" w:hAnsi="Times New Roman" w:cs="Times New Roman"/>
                      <w:color w:val="auto"/>
                      <w:lang w:val="en-US" w:eastAsia="zh-CN"/>
                    </w:rPr>
                    <w:t>《康保县等坝上六县国家重点生态功能</w:t>
                  </w:r>
                  <w:r>
                    <w:rPr>
                      <w:rFonts w:hint="default" w:ascii="Times New Roman" w:hAnsi="Times New Roman" w:cs="Times New Roman"/>
                      <w:color w:val="auto"/>
                      <w:szCs w:val="22"/>
                    </w:rPr>
                    <w:t>区产业准入负面清单（试行）》</w:t>
                  </w:r>
                  <w:r>
                    <w:rPr>
                      <w:rFonts w:hint="eastAsia" w:ascii="Times New Roman" w:hAnsi="Times New Roman" w:cs="Times New Roman"/>
                      <w:color w:val="auto"/>
                      <w:szCs w:val="22"/>
                      <w:lang w:eastAsia="zh-CN"/>
                    </w:rPr>
                    <w:t>（</w:t>
                  </w:r>
                  <w:r>
                    <w:rPr>
                      <w:rFonts w:hint="eastAsia" w:ascii="Times New Roman" w:hAnsi="Times New Roman" w:cs="Times New Roman"/>
                      <w:color w:val="auto"/>
                      <w:szCs w:val="22"/>
                      <w:lang w:val="en-US" w:eastAsia="zh-CN"/>
                    </w:rPr>
                    <w:t>冀发改规划[2017]248号</w:t>
                  </w:r>
                  <w:r>
                    <w:rPr>
                      <w:rFonts w:hint="eastAsia" w:ascii="Times New Roman" w:hAnsi="Times New Roman" w:cs="Times New Roman"/>
                      <w:color w:val="auto"/>
                      <w:szCs w:val="22"/>
                      <w:lang w:eastAsia="zh-CN"/>
                    </w:rPr>
                    <w:t>）</w:t>
                  </w:r>
                  <w:r>
                    <w:rPr>
                      <w:rFonts w:hint="default" w:ascii="Times New Roman" w:hAnsi="Times New Roman" w:cs="Times New Roman"/>
                      <w:color w:val="auto"/>
                      <w:szCs w:val="22"/>
                      <w:lang w:eastAsia="zh-CN"/>
                    </w:rPr>
                    <w:t>限制行业类型、禁止行业</w:t>
                  </w:r>
                  <w:r>
                    <w:rPr>
                      <w:rFonts w:hint="eastAsia" w:ascii="Times New Roman" w:hAnsi="Times New Roman" w:cs="Times New Roman"/>
                      <w:color w:val="auto"/>
                      <w:szCs w:val="22"/>
                      <w:lang w:eastAsia="zh-CN"/>
                    </w:rPr>
                    <w:t>，</w:t>
                  </w:r>
                  <w:r>
                    <w:rPr>
                      <w:rFonts w:hint="default" w:ascii="Times New Roman" w:hAnsi="Times New Roman" w:cs="Times New Roman"/>
                      <w:color w:val="auto"/>
                    </w:rPr>
                    <w:t>运营过程中不使用国家明令禁止淘汰类和限制类工艺和设备，</w:t>
                  </w:r>
                  <w:r>
                    <w:rPr>
                      <w:rFonts w:hint="default" w:ascii="Times New Roman" w:hAnsi="Times New Roman" w:eastAsia="宋体" w:cs="Times New Roman"/>
                      <w:color w:val="auto"/>
                    </w:rPr>
                    <w:t>因此项目符合相关产业政策要求。</w:t>
                  </w:r>
                </w:p>
              </w:tc>
              <w:tc>
                <w:tcPr>
                  <w:tcW w:w="463"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rPr>
                <w:rFonts w:ascii="Times New Roman" w:hAnsi="Times New Roman" w:eastAsia="宋体" w:cs="Times New Roman"/>
                <w:b/>
                <w:bCs/>
                <w:color w:val="auto"/>
                <w:kern w:val="0"/>
                <w:sz w:val="24"/>
              </w:rPr>
            </w:pPr>
            <w:r>
              <w:rPr>
                <w:rFonts w:ascii="Times New Roman" w:hAnsi="Times New Roman" w:eastAsia="宋体" w:cs="Times New Roman"/>
                <w:color w:val="auto"/>
                <w:sz w:val="24"/>
              </w:rPr>
              <w:t>2021年6月18日，承德市人民政府发布了《承德市人民政府关于加快实施“三线一单”生态环境分区管控的意见》，对照该意见及承德市环境管控单元图分析如下：</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生态环境管控单元划分</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环境管控单元包括优先保护、重点管控和一般管控单元三类。</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优先保护单元。主要包括生态保护红线，各类自然保护地、饮用水水源保护区及其他重要生态功能区等一般生态空间。</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重点管控单元。主要包括城市规划区、省级以上产业园区和开发强度高、污染物排放强度大、环境问题较为突出的区域等。</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一般管控单元。优先保护单元和重点管控单元之外的其他区域。</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生态环境管控要求</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突出区域特征、发展定位和生态环境保护要求，立足经济绿色转型和高质量发展，以建设首都水源涵养功能区和生态环境支撑区为主导，统筹山水林田湖草沙生态系统整体保护，加大生态修复和环境治理力度，促进环境质量持续改善，实施生态空间分区管控。构建“</w:t>
            </w:r>
            <w:r>
              <w:rPr>
                <w:rFonts w:hint="default" w:ascii="Times New Roman" w:hAnsi="Times New Roman" w:eastAsia="Times New Roman" w:cs="Times New Roman"/>
                <w:color w:val="auto"/>
                <w:sz w:val="24"/>
                <w:szCs w:val="24"/>
              </w:rPr>
              <w:t>1+1+169</w:t>
            </w:r>
            <w:r>
              <w:rPr>
                <w:rFonts w:hint="default" w:ascii="Times New Roman" w:hAnsi="Times New Roman" w:eastAsia="宋体" w:cs="Times New Roman"/>
                <w:color w:val="auto"/>
                <w:sz w:val="24"/>
                <w:szCs w:val="24"/>
              </w:rPr>
              <w:t>”生态环境分区管控体系，实施生态环境准入清单管理。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为河北省生态环境准入总体清单，适用于全省范围；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为承德市生态环境准入清单，适用于市域范围；“</w:t>
            </w:r>
            <w:r>
              <w:rPr>
                <w:rFonts w:hint="default" w:ascii="Times New Roman" w:hAnsi="Times New Roman" w:eastAsia="Times New Roman" w:cs="Times New Roman"/>
                <w:color w:val="auto"/>
                <w:sz w:val="24"/>
                <w:szCs w:val="24"/>
              </w:rPr>
              <w:t>169</w:t>
            </w:r>
            <w:r>
              <w:rPr>
                <w:rFonts w:hint="default" w:ascii="Times New Roman" w:hAnsi="Times New Roman" w:eastAsia="宋体" w:cs="Times New Roman"/>
                <w:color w:val="auto"/>
                <w:sz w:val="24"/>
                <w:szCs w:val="24"/>
              </w:rPr>
              <w:t>”为生态环境管控单元准入清单，适用于环境管控单元范围。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分类管控要求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优先保护单元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严格落实生态保护红线管理要求，除有限人为活动外，依法依规禁止其他城镇和建设活动。一般生态空间突出生态保护，严禁不符合主体功能定位的各类开发活动，严禁任意改变用途。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重点管控单元</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城镇重点管控单元：优化工业布局，有序实施高污染、高排放工业企业整改或搬迁退出；强化交通污染源管控；完善污水治理设施；加快城镇河流水系环境整治；加强工业污染场地环境风险防控和开发再利用监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省级以上产业园区重点管控单元：严格产业准入，完善园区设施建设，推动设施提标改造；实施污染物总量控制，落实排污许可证制度；强化资源利用效率和地下水开采管控。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农业农村重点管控单元：优化规模化畜禽养殖布局，加快农村生态环境综合整治，逐步推进农村污水和生活垃圾治理；减少化肥农药施用量，优化农业种植结构，推动秸秆综合利用。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一般管控单元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严格执行国家和省关于产业准入、总量控制和污染物排放标准等管控要求。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一般生态空间管控要求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承德市生态功能主要为水源涵养与防风固沙型，其分类管控要求如下：针对水源涵养型一般生态空间，禁止新建与扩建各种损害生态系统水源涵养功能的项目，如无序采矿、毁林开荒、湿地和草地开垦、采砂采土等，现有相关开发建设活动，严格管控，引导其合理退出；禁止新建、扩建导致水体污染的产业项目，开展生态清洁小流域的建设；坚持自然恢复为主，人工造林为辅的原则；严格控制载畜量，实行以草定畜，在农牧交错区提倡农牧结合，发展生态产业，培育替代产业，减轻区内畜牧业对水源和生态系统的压力。针对</w:t>
            </w:r>
            <w:r>
              <w:rPr>
                <w:rFonts w:hint="default" w:ascii="Times New Roman" w:hAnsi="Times New Roman" w:eastAsia="宋体" w:cs="Times New Roman"/>
                <w:b w:val="0"/>
                <w:bCs w:val="0"/>
                <w:color w:val="auto"/>
                <w:sz w:val="24"/>
                <w:szCs w:val="24"/>
              </w:rPr>
              <w:t>防风固沙型</w:t>
            </w:r>
            <w:r>
              <w:rPr>
                <w:rFonts w:hint="default" w:ascii="Times New Roman" w:hAnsi="Times New Roman" w:eastAsia="宋体" w:cs="Times New Roman"/>
                <w:color w:val="auto"/>
                <w:sz w:val="24"/>
                <w:szCs w:val="24"/>
              </w:rPr>
              <w:t>一般生态空间应对主要沙尘源区、沙尘暴频发区实行封禁管理；严格控制放牧和草原生物资源的利用，加强植被恢复和保护；严格控制过度放牧、樵采、开荒，合理利用水资源，保障生态用水，提高区域生态系统防沙固沙的能力；开展荒漠植被和沙化土地封禁保护，加强退化林带修复，禁止滥开垦、滥放牧和滥樵采，构建乔灌草相结合的防护林体系；对防风固沙林只能进行抚育和更新性质的采伐；转变畜牧业生产方式，实行禁牧休牧，推行舍饲圈养，以草定畜，严格控制载畜量；加大退耕还林力度，恢复草原植被；加强对内陆河流的规划和管理，保护沙区湿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生态空间内应在重要水源保护区上游干流、支流沿岸的规划建设，在河道干流、支流两岸因地制宜划定生态缓冲带和生态绿化廊道。生态缓冲带内应保持自然岸线和生态系统的完整性，严禁建设项目侵占责任生态空间和“贴边”发展。在重要的生态功能区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四区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水源保护区、自然保护区、风景名胜区、湿地公园</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区域，严禁违规建设别墅类和高尔夫球场等项目，严禁</w:t>
            </w:r>
            <w:r>
              <w:rPr>
                <w:rFonts w:hint="eastAsia" w:ascii="Times New Roman" w:hAnsi="Times New Roman" w:eastAsia="宋体" w:cs="Times New Roman"/>
                <w:color w:val="auto"/>
                <w:sz w:val="24"/>
                <w:szCs w:val="24"/>
                <w:lang w:eastAsia="zh-CN"/>
              </w:rPr>
              <w:t>破坏</w:t>
            </w:r>
            <w:r>
              <w:rPr>
                <w:rFonts w:hint="default" w:ascii="Times New Roman" w:hAnsi="Times New Roman" w:eastAsia="宋体" w:cs="Times New Roman"/>
                <w:color w:val="auto"/>
                <w:sz w:val="24"/>
                <w:szCs w:val="24"/>
              </w:rPr>
              <w:t>生态环境功能的开发建设活动。严格饮用水水源保护区、自然保护区、风景名胜区、森林公园、地质公园等环境敏感区域及周边地区开发建设管理。在上述环境敏感区域内，严禁建设污染环境、破坏资源和景观的生产设施。对未经批准擅自建设“玻璃栈道”、观光索道等</w:t>
            </w:r>
            <w:r>
              <w:rPr>
                <w:rFonts w:hint="eastAsia" w:ascii="Times New Roman" w:hAnsi="Times New Roman" w:eastAsia="宋体" w:cs="Times New Roman"/>
                <w:color w:val="auto"/>
                <w:sz w:val="24"/>
                <w:szCs w:val="24"/>
                <w:lang w:eastAsia="zh-CN"/>
              </w:rPr>
              <w:t>破坏</w:t>
            </w:r>
            <w:r>
              <w:rPr>
                <w:rFonts w:hint="default" w:ascii="Times New Roman" w:hAnsi="Times New Roman" w:eastAsia="宋体" w:cs="Times New Roman"/>
                <w:color w:val="auto"/>
                <w:sz w:val="24"/>
                <w:szCs w:val="24"/>
              </w:rPr>
              <w:t>生态和景观的违法建设项目，可依法责令拆除并恢复原状。对擅自在法律法规规定禁止建设区域内建成的违法违规项目和设施，要依法采取行政处罚和移交司法部门强制执行等措施，依法责令拆除并恢复原状。未纳入生态保护红线的各类自然保护地等按照相关法律法规规定进行管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严格控制矿产资源开发范围。禁止在生态保护红线范围内及自然保护区、风景名胜区、地质遗迹保护区等各类保护地，以及饮用水水源保护区、文物保护范围内、永久基本农田、城镇开发边界内、铁路高速公路国道两侧规定范围内新建固体矿产开发项目，</w:t>
            </w:r>
            <w:r>
              <w:rPr>
                <w:rFonts w:hint="eastAsia" w:ascii="Times New Roman" w:hAnsi="Times New Roman" w:eastAsia="宋体" w:cs="Times New Roman"/>
                <w:color w:val="auto"/>
                <w:sz w:val="24"/>
                <w:szCs w:val="24"/>
                <w:lang w:eastAsia="zh-CN"/>
              </w:rPr>
              <w:t>已有</w:t>
            </w:r>
            <w:r>
              <w:rPr>
                <w:rFonts w:hint="default" w:ascii="Times New Roman" w:hAnsi="Times New Roman" w:eastAsia="宋体" w:cs="Times New Roman"/>
                <w:color w:val="auto"/>
                <w:sz w:val="24"/>
                <w:szCs w:val="24"/>
              </w:rPr>
              <w:t>的应当有序退出。严格控制承德坝上高原生态功能区、燕山一太行山生态涵养区、国家公益林等重点林区、水土流失重点预防区和水土流失重点治理区固体矿产资源开发。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项目位于</w:t>
            </w:r>
            <w:r>
              <w:rPr>
                <w:rFonts w:hint="eastAsia" w:ascii="Times New Roman" w:hAnsi="Times New Roman" w:eastAsia="宋体" w:cs="Times New Roman"/>
                <w:color w:val="auto"/>
                <w:sz w:val="24"/>
                <w:szCs w:val="24"/>
                <w:lang w:val="en-US" w:eastAsia="zh-CN"/>
              </w:rPr>
              <w:t>河北省</w:t>
            </w:r>
            <w:r>
              <w:rPr>
                <w:rFonts w:hint="eastAsia" w:cs="Times New Roman"/>
                <w:color w:val="auto"/>
                <w:sz w:val="24"/>
                <w:szCs w:val="24"/>
                <w:lang w:val="en-US" w:eastAsia="zh-CN"/>
              </w:rPr>
              <w:t>承德市围场满族蒙古族自治县半截塔镇什八克村</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根据《承德市“三线一单”生态环境准入清单》（承德市生态环境局，2021年6月）</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项目所属区域的环境管控空间编码</w:t>
            </w:r>
            <w:r>
              <w:rPr>
                <w:rFonts w:hint="eastAsia"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ZH130</w:t>
            </w:r>
            <w:r>
              <w:rPr>
                <w:rFonts w:hint="eastAsia" w:ascii="Times New Roman" w:hAnsi="Times New Roman" w:eastAsia="宋体" w:cs="Times New Roman"/>
                <w:color w:val="auto"/>
                <w:sz w:val="24"/>
                <w:szCs w:val="24"/>
                <w:highlight w:val="none"/>
                <w:lang w:val="en-US" w:eastAsia="zh-CN"/>
              </w:rPr>
              <w:t>82831479</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管控类型为</w:t>
            </w:r>
            <w:r>
              <w:rPr>
                <w:rFonts w:hint="eastAsia" w:ascii="Times New Roman" w:hAnsi="Times New Roman" w:eastAsia="宋体" w:cs="Times New Roman"/>
                <w:color w:val="auto"/>
                <w:sz w:val="24"/>
                <w:szCs w:val="24"/>
                <w:lang w:val="en-US" w:eastAsia="zh-CN"/>
              </w:rPr>
              <w:t>一般管控单元</w:t>
            </w:r>
            <w:r>
              <w:rPr>
                <w:rFonts w:hint="default" w:ascii="Times New Roman" w:hAnsi="Times New Roman" w:eastAsia="宋体" w:cs="Times New Roman"/>
                <w:color w:val="auto"/>
                <w:sz w:val="24"/>
                <w:szCs w:val="24"/>
              </w:rPr>
              <w:t>，环境要素类别为：</w:t>
            </w:r>
            <w:r>
              <w:rPr>
                <w:rFonts w:hint="eastAsia" w:ascii="Times New Roman" w:hAnsi="Times New Roman" w:eastAsia="宋体" w:cs="Times New Roman"/>
                <w:color w:val="auto"/>
                <w:sz w:val="24"/>
                <w:szCs w:val="24"/>
                <w:lang w:val="en-US" w:eastAsia="zh-CN"/>
              </w:rPr>
              <w:t>一般管控区、部分区域涉及农用地优先保护区</w:t>
            </w:r>
            <w:r>
              <w:rPr>
                <w:rFonts w:hint="default" w:ascii="Times New Roman" w:hAnsi="Times New Roman" w:eastAsia="宋体" w:cs="Times New Roman"/>
                <w:color w:val="auto"/>
                <w:sz w:val="24"/>
                <w:szCs w:val="24"/>
              </w:rPr>
              <w:t>，维度为：空间布局约束、污染物排放管控、环境风险防控、资源利用效率，项目环境管控单元准入清单符合性分析判定内容如下表所示：</w:t>
            </w:r>
          </w:p>
          <w:p>
            <w:pPr>
              <w:pStyle w:val="62"/>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项目环境管控单元准入清单符合性分析表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2808"/>
              <w:gridCol w:w="2825"/>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7" w:type="pct"/>
                  <w:vAlign w:val="center"/>
                </w:tcPr>
                <w:p>
                  <w:pPr>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维度</w:t>
                  </w:r>
                </w:p>
              </w:tc>
              <w:tc>
                <w:tcPr>
                  <w:tcW w:w="1717" w:type="pct"/>
                  <w:vAlign w:val="center"/>
                </w:tcPr>
                <w:p>
                  <w:pPr>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管控措施</w:t>
                  </w:r>
                </w:p>
              </w:tc>
              <w:tc>
                <w:tcPr>
                  <w:tcW w:w="1727" w:type="pct"/>
                  <w:vAlign w:val="center"/>
                </w:tcPr>
                <w:p>
                  <w:pPr>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企业情况</w:t>
                  </w:r>
                </w:p>
              </w:tc>
              <w:tc>
                <w:tcPr>
                  <w:tcW w:w="557" w:type="pct"/>
                  <w:vAlign w:val="center"/>
                </w:tcPr>
                <w:p>
                  <w:pPr>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7" w:type="pc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空间布局约束</w:t>
                  </w:r>
                </w:p>
              </w:tc>
              <w:tc>
                <w:tcPr>
                  <w:tcW w:w="1717" w:type="pct"/>
                  <w:vMerge w:val="restart"/>
                  <w:vAlign w:val="center"/>
                </w:tcPr>
                <w:p>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1、严格执行国家和省关于产业准入、总量控制和污染物排放标准等管控要求。</w:t>
                  </w:r>
                </w:p>
                <w:p>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2、农用地优先保护区执行承德市总体准入清单要求。</w:t>
                  </w:r>
                </w:p>
              </w:tc>
              <w:tc>
                <w:tcPr>
                  <w:tcW w:w="1727" w:type="pct"/>
                  <w:vMerge w:val="restart"/>
                  <w:vAlign w:val="center"/>
                </w:tcPr>
                <w:p>
                  <w:pPr>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1、</w:t>
                  </w:r>
                  <w:r>
                    <w:rPr>
                      <w:rFonts w:hint="default" w:ascii="Times New Roman" w:hAnsi="Times New Roman" w:cs="Times New Roman"/>
                      <w:color w:val="auto"/>
                    </w:rPr>
                    <w:t>经查阅</w:t>
                  </w:r>
                  <w:r>
                    <w:rPr>
                      <w:rFonts w:hint="default" w:ascii="Times New Roman" w:hAnsi="Times New Roman" w:cs="Times New Roman"/>
                      <w:color w:val="auto"/>
                      <w:highlight w:val="none"/>
                    </w:rPr>
                    <w:t>《产业结构调整指导目录</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2024</w:t>
                  </w:r>
                  <w:r>
                    <w:rPr>
                      <w:rFonts w:hint="default" w:ascii="Times New Roman" w:hAnsi="Times New Roman" w:cs="Times New Roman"/>
                      <w:color w:val="auto"/>
                      <w:highlight w:val="none"/>
                    </w:rPr>
                    <w:t>年本</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rPr>
                    <w:t>本项目为不属于限制类淘汰类，</w:t>
                  </w:r>
                  <w:r>
                    <w:rPr>
                      <w:rFonts w:hint="eastAsia" w:ascii="Times New Roman" w:hAnsi="Times New Roman" w:cs="Times New Roman"/>
                      <w:color w:val="auto"/>
                      <w:lang w:val="en-US" w:eastAsia="zh-CN"/>
                    </w:rPr>
                    <w:t>属于允许类；</w:t>
                  </w:r>
                  <w:r>
                    <w:rPr>
                      <w:rFonts w:hint="default" w:ascii="Times New Roman" w:hAnsi="Times New Roman" w:cs="Times New Roman"/>
                      <w:color w:val="auto"/>
                    </w:rPr>
                    <w:t>运营过程中不使用国家明令禁止淘汰类和限制类工艺和设备</w:t>
                  </w:r>
                  <w:r>
                    <w:rPr>
                      <w:rFonts w:hint="eastAsia" w:ascii="Times New Roman" w:hAnsi="Times New Roman" w:cs="Times New Roman"/>
                      <w:color w:val="auto"/>
                      <w:lang w:eastAsia="zh-CN"/>
                    </w:rPr>
                    <w:t>；</w:t>
                  </w:r>
                  <w:r>
                    <w:rPr>
                      <w:rFonts w:hint="eastAsia" w:ascii="Times New Roman" w:hAnsi="Times New Roman" w:eastAsia="宋体" w:cs="Times New Roman"/>
                      <w:color w:val="auto"/>
                      <w:kern w:val="2"/>
                      <w:sz w:val="21"/>
                      <w:szCs w:val="21"/>
                      <w:lang w:val="en-US" w:eastAsia="zh-CN" w:bidi="ar-SA"/>
                    </w:rPr>
                    <w:t>本项目运行期废气主要污染物为锅炉烟气、食品加工过程及污水处理站恶臭气体；</w:t>
                  </w:r>
                  <w:r>
                    <w:rPr>
                      <w:rFonts w:hint="eastAsia" w:ascii="Times New Roman" w:hAnsi="Times New Roman" w:eastAsia="宋体" w:cs="Times New Roman"/>
                      <w:color w:val="auto"/>
                      <w:kern w:val="2"/>
                      <w:sz w:val="21"/>
                      <w:szCs w:val="21"/>
                      <w:highlight w:val="none"/>
                      <w:lang w:val="en-US" w:eastAsia="zh-CN" w:bidi="ar-SA"/>
                    </w:rPr>
                    <w:t>经处理后可达标排放；</w:t>
                  </w:r>
                  <w:r>
                    <w:rPr>
                      <w:rFonts w:hint="eastAsia" w:ascii="Times New Roman" w:hAnsi="Times New Roman" w:cs="Times New Roman"/>
                      <w:b w:val="0"/>
                      <w:bCs/>
                      <w:color w:val="auto"/>
                      <w:sz w:val="21"/>
                      <w:szCs w:val="21"/>
                      <w:lang w:val="en-US" w:eastAsia="zh-CN"/>
                    </w:rPr>
                    <w:t>废水排入污水管网，</w:t>
                  </w:r>
                  <w:r>
                    <w:rPr>
                      <w:rFonts w:hint="eastAsia" w:ascii="Times New Roman" w:cs="Times New Roman"/>
                      <w:b w:val="0"/>
                      <w:bCs/>
                      <w:color w:val="auto"/>
                      <w:sz w:val="21"/>
                      <w:szCs w:val="21"/>
                      <w:lang w:val="en-US" w:eastAsia="zh-CN"/>
                    </w:rPr>
                    <w:t>进入</w:t>
                  </w:r>
                  <w:r>
                    <w:rPr>
                      <w:rFonts w:hint="eastAsia" w:ascii="Times New Roman" w:hAnsi="Times New Roman" w:cs="Times New Roman"/>
                      <w:b w:val="0"/>
                      <w:bCs/>
                      <w:color w:val="auto"/>
                      <w:sz w:val="21"/>
                      <w:szCs w:val="21"/>
                      <w:lang w:val="en-US" w:eastAsia="zh-CN"/>
                    </w:rPr>
                    <w:t>半截塔镇</w:t>
                  </w:r>
                  <w:r>
                    <w:rPr>
                      <w:rFonts w:hint="default" w:ascii="Times New Roman" w:hAnsi="Times New Roman" w:cs="Times New Roman"/>
                      <w:b w:val="0"/>
                      <w:bCs/>
                      <w:color w:val="auto"/>
                      <w:sz w:val="21"/>
                      <w:szCs w:val="21"/>
                      <w:lang w:val="en-US" w:eastAsia="zh-CN"/>
                    </w:rPr>
                    <w:t>污水处理厂处理</w:t>
                  </w:r>
                  <w:r>
                    <w:rPr>
                      <w:rFonts w:hint="eastAsia" w:ascii="Times New Roman" w:hAnsi="Times New Roman" w:eastAsia="宋体" w:cs="Times New Roman"/>
                      <w:color w:val="auto"/>
                      <w:kern w:val="2"/>
                      <w:sz w:val="21"/>
                      <w:szCs w:val="21"/>
                      <w:lang w:val="en-US" w:eastAsia="zh-CN" w:bidi="ar-SA"/>
                    </w:rPr>
                    <w:t>，</w:t>
                  </w:r>
                  <w:r>
                    <w:rPr>
                      <w:rFonts w:hint="eastAsia" w:ascii="Times New Roman" w:cs="Times New Roman"/>
                      <w:color w:val="auto"/>
                      <w:kern w:val="2"/>
                      <w:sz w:val="21"/>
                      <w:szCs w:val="21"/>
                      <w:lang w:val="en-US" w:eastAsia="zh-CN" w:bidi="ar-SA"/>
                    </w:rPr>
                    <w:t>污染物</w:t>
                  </w:r>
                  <w:r>
                    <w:rPr>
                      <w:rFonts w:hint="eastAsia" w:ascii="Times New Roman" w:hAnsi="Times New Roman" w:eastAsia="宋体" w:cs="Times New Roman"/>
                      <w:color w:val="auto"/>
                      <w:kern w:val="2"/>
                      <w:sz w:val="21"/>
                      <w:szCs w:val="21"/>
                      <w:lang w:val="en-US" w:eastAsia="zh-CN" w:bidi="ar-SA"/>
                    </w:rPr>
                    <w:t>产生量较少，符合总量控制要求，项目污染物满足达标排放要求。</w:t>
                  </w:r>
                </w:p>
                <w:p>
                  <w:pPr>
                    <w:snapToGri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eastAsia="宋体" w:cs="Times New Roman"/>
                      <w:color w:val="auto"/>
                      <w:kern w:val="2"/>
                      <w:sz w:val="21"/>
                      <w:szCs w:val="21"/>
                      <w:lang w:val="en-US" w:eastAsia="zh-CN" w:bidi="ar-SA"/>
                    </w:rPr>
                    <w:t>2、</w:t>
                  </w:r>
                  <w:r>
                    <w:rPr>
                      <w:rFonts w:hint="eastAsia" w:ascii="Times New Roman" w:hAnsi="Times New Roman" w:cs="Times New Roman"/>
                      <w:color w:val="auto"/>
                      <w:lang w:val="en-US" w:eastAsia="zh-CN"/>
                    </w:rPr>
                    <w:t>本项目不涉及农用地优先保护区。</w:t>
                  </w:r>
                </w:p>
              </w:tc>
              <w:tc>
                <w:tcPr>
                  <w:tcW w:w="557" w:type="pct"/>
                  <w:vMerge w:val="restar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7" w:type="pc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污染物排放管控</w:t>
                  </w:r>
                </w:p>
              </w:tc>
              <w:tc>
                <w:tcPr>
                  <w:tcW w:w="1717" w:type="pct"/>
                  <w:vMerge w:val="continue"/>
                  <w:vAlign w:val="center"/>
                </w:tcPr>
                <w:p>
                  <w:pPr>
                    <w:snapToGrid w:val="0"/>
                    <w:jc w:val="left"/>
                    <w:rPr>
                      <w:rFonts w:hint="default" w:ascii="Times New Roman" w:hAnsi="Times New Roman" w:eastAsia="宋体" w:cs="Times New Roman"/>
                      <w:color w:val="auto"/>
                      <w:szCs w:val="21"/>
                      <w:lang w:val="en-US" w:eastAsia="zh-CN"/>
                    </w:rPr>
                  </w:pPr>
                </w:p>
              </w:tc>
              <w:tc>
                <w:tcPr>
                  <w:tcW w:w="1727" w:type="pct"/>
                  <w:vMerge w:val="continue"/>
                  <w:vAlign w:val="center"/>
                </w:tcPr>
                <w:p>
                  <w:pPr>
                    <w:snapToGrid w:val="0"/>
                    <w:jc w:val="center"/>
                    <w:rPr>
                      <w:rFonts w:hint="default" w:ascii="Times New Roman" w:hAnsi="Times New Roman" w:eastAsia="宋体" w:cs="Times New Roman"/>
                      <w:color w:val="auto"/>
                      <w:szCs w:val="21"/>
                      <w:lang w:val="en-US" w:eastAsia="zh-CN"/>
                    </w:rPr>
                  </w:pPr>
                </w:p>
              </w:tc>
              <w:tc>
                <w:tcPr>
                  <w:tcW w:w="557" w:type="pct"/>
                  <w:vMerge w:val="continue"/>
                  <w:vAlign w:val="center"/>
                </w:tcPr>
                <w:p>
                  <w:pPr>
                    <w:snapToGrid w:val="0"/>
                    <w:jc w:val="center"/>
                    <w:rPr>
                      <w:rFonts w:hint="default" w:ascii="Times New Roman" w:hAnsi="Times New Roman" w:eastAsia="宋体"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7" w:type="pc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环境风险防控</w:t>
                  </w:r>
                </w:p>
              </w:tc>
              <w:tc>
                <w:tcPr>
                  <w:tcW w:w="1717" w:type="pct"/>
                  <w:vMerge w:val="continue"/>
                  <w:vAlign w:val="center"/>
                </w:tcPr>
                <w:p>
                  <w:pPr>
                    <w:snapToGrid w:val="0"/>
                    <w:jc w:val="left"/>
                    <w:rPr>
                      <w:rFonts w:hint="default" w:ascii="Times New Roman" w:hAnsi="Times New Roman" w:eastAsia="宋体" w:cs="Times New Roman"/>
                      <w:color w:val="auto"/>
                      <w:szCs w:val="21"/>
                      <w:lang w:val="en-US" w:eastAsia="zh-CN"/>
                    </w:rPr>
                  </w:pPr>
                </w:p>
              </w:tc>
              <w:tc>
                <w:tcPr>
                  <w:tcW w:w="1727" w:type="pct"/>
                  <w:vMerge w:val="continue"/>
                  <w:vAlign w:val="center"/>
                </w:tcPr>
                <w:p>
                  <w:pPr>
                    <w:snapToGrid w:val="0"/>
                    <w:jc w:val="center"/>
                    <w:rPr>
                      <w:rFonts w:hint="default" w:ascii="Times New Roman" w:hAnsi="Times New Roman" w:eastAsia="宋体" w:cs="Times New Roman"/>
                      <w:color w:val="auto"/>
                      <w:szCs w:val="21"/>
                      <w:lang w:val="en-US" w:eastAsia="zh-CN"/>
                    </w:rPr>
                  </w:pPr>
                </w:p>
              </w:tc>
              <w:tc>
                <w:tcPr>
                  <w:tcW w:w="557" w:type="pct"/>
                  <w:vMerge w:val="continue"/>
                  <w:vAlign w:val="center"/>
                </w:tcPr>
                <w:p>
                  <w:pPr>
                    <w:snapToGrid w:val="0"/>
                    <w:jc w:val="center"/>
                    <w:rPr>
                      <w:rFonts w:hint="default" w:ascii="Times New Roman" w:hAnsi="Times New Roman" w:eastAsia="宋体"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7" w:type="pc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资源利用效率</w:t>
                  </w:r>
                </w:p>
              </w:tc>
              <w:tc>
                <w:tcPr>
                  <w:tcW w:w="1717" w:type="pct"/>
                  <w:vMerge w:val="continue"/>
                  <w:vAlign w:val="center"/>
                </w:tcPr>
                <w:p>
                  <w:pPr>
                    <w:snapToGrid w:val="0"/>
                    <w:jc w:val="left"/>
                    <w:rPr>
                      <w:rFonts w:hint="default" w:ascii="Times New Roman" w:hAnsi="Times New Roman" w:eastAsia="宋体" w:cs="Times New Roman"/>
                      <w:color w:val="auto"/>
                      <w:szCs w:val="21"/>
                      <w:lang w:val="en-US" w:eastAsia="zh-CN"/>
                    </w:rPr>
                  </w:pPr>
                </w:p>
              </w:tc>
              <w:tc>
                <w:tcPr>
                  <w:tcW w:w="1727" w:type="pct"/>
                  <w:vMerge w:val="continue"/>
                  <w:vAlign w:val="center"/>
                </w:tcPr>
                <w:p>
                  <w:pPr>
                    <w:snapToGrid w:val="0"/>
                    <w:jc w:val="center"/>
                    <w:rPr>
                      <w:rFonts w:hint="default" w:ascii="Times New Roman" w:hAnsi="Times New Roman" w:eastAsia="宋体" w:cs="Times New Roman"/>
                      <w:color w:val="auto"/>
                      <w:szCs w:val="21"/>
                      <w:lang w:val="en-US" w:eastAsia="zh-CN"/>
                    </w:rPr>
                  </w:pPr>
                </w:p>
              </w:tc>
              <w:tc>
                <w:tcPr>
                  <w:tcW w:w="557" w:type="pct"/>
                  <w:vMerge w:val="continue"/>
                  <w:vAlign w:val="center"/>
                </w:tcPr>
                <w:p>
                  <w:pPr>
                    <w:snapToGrid w:val="0"/>
                    <w:jc w:val="center"/>
                    <w:rPr>
                      <w:rFonts w:hint="default" w:ascii="Times New Roman" w:hAnsi="Times New Roman" w:eastAsia="宋体" w:cs="Times New Roman"/>
                      <w:color w:val="auto"/>
                      <w:szCs w:val="21"/>
                      <w:lang w:val="en-US" w:eastAsia="zh-CN"/>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cs="Times New Roman"/>
                <w:color w:val="auto"/>
                <w:sz w:val="24"/>
                <w:lang w:eastAsia="zh-CN"/>
              </w:rPr>
            </w:pPr>
            <w:r>
              <w:rPr>
                <w:rFonts w:hint="default" w:ascii="Times New Roman" w:hAnsi="Times New Roman" w:cs="Times New Roman"/>
                <w:color w:val="auto"/>
                <w:sz w:val="24"/>
              </w:rPr>
              <w:t>承德市环境管控单元图见下图</w:t>
            </w:r>
            <w:r>
              <w:rPr>
                <w:rFonts w:hint="eastAsia" w:ascii="Times New Roman" w:hAnsi="Times New Roman" w:cs="Times New Roman"/>
                <w:color w:val="auto"/>
                <w:sz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eastAsiaTheme="minorEastAsia"/>
                <w:b/>
                <w:bCs/>
                <w:color w:val="auto"/>
                <w:kern w:val="0"/>
                <w:sz w:val="24"/>
                <w:lang w:eastAsia="zh-CN"/>
              </w:rPr>
            </w:pPr>
            <w:r>
              <w:rPr>
                <w:rFonts w:hint="default" w:ascii="Times New Roman" w:hAnsi="Times New Roman" w:cs="Times New Roman" w:eastAsiaTheme="minorEastAsia"/>
                <w:b/>
                <w:bCs/>
                <w:color w:val="auto"/>
                <w:kern w:val="0"/>
                <w:sz w:val="24"/>
                <w:lang w:eastAsia="zh-CN"/>
              </w:rPr>
              <w:drawing>
                <wp:inline distT="0" distB="0" distL="114300" distR="114300">
                  <wp:extent cx="5197475" cy="3672840"/>
                  <wp:effectExtent l="9525" t="9525" r="12700" b="13335"/>
                  <wp:docPr id="8" name="图片 8" descr="项目三线一单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项目三线一单位置关系图"/>
                          <pic:cNvPicPr>
                            <a:picLocks noChangeAspect="1"/>
                          </pic:cNvPicPr>
                        </pic:nvPicPr>
                        <pic:blipFill>
                          <a:blip r:embed="rId7"/>
                          <a:stretch>
                            <a:fillRect/>
                          </a:stretch>
                        </pic:blipFill>
                        <pic:spPr>
                          <a:xfrm>
                            <a:off x="0" y="0"/>
                            <a:ext cx="5197475" cy="3672840"/>
                          </a:xfrm>
                          <a:prstGeom prst="rect">
                            <a:avLst/>
                          </a:prstGeom>
                          <a:ln w="3175">
                            <a:solidFill>
                              <a:schemeClr val="tx1"/>
                            </a:solidFill>
                          </a:ln>
                        </pic:spPr>
                      </pic:pic>
                    </a:graphicData>
                  </a:graphic>
                </wp:inline>
              </w:drawing>
            </w:r>
          </w:p>
          <w:p>
            <w:pPr>
              <w:pStyle w:val="62"/>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承德市环境管控单元图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rPr>
            </w:pPr>
            <w:r>
              <w:rPr>
                <w:rFonts w:hint="default" w:ascii="Times New Roman" w:hAnsi="Times New Roman" w:eastAsia="宋体" w:cs="Times New Roman"/>
                <w:color w:val="auto"/>
                <w:sz w:val="24"/>
              </w:rPr>
              <w:t>由上表及图可知，项目符合《关于以改善环境质量为核心加强环境影响评价管理的通知》（环评[2016]150号）、《承德市人民政府关于加快实施“三线一单”生态环境分区管控的意见》的环境管理</w:t>
            </w:r>
            <w:r>
              <w:rPr>
                <w:rFonts w:hint="default" w:ascii="Times New Roman" w:hAnsi="Times New Roman" w:eastAsia="宋体" w:cs="Times New Roman"/>
                <w:b w:val="0"/>
                <w:bCs w:val="0"/>
                <w:color w:val="auto"/>
                <w:kern w:val="0"/>
                <w:sz w:val="24"/>
              </w:rPr>
              <w:t>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2、政策符合性分析</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根据“国家发展改革委商务部关于印发《市场准入负面清单（2022年版）》的通知（发改体改规[2022]397号）”，应严格落实“全国一张清单”管理要求，坚决维护市场准入负面清单制度的统一性、严肃性和权威性，确保</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一单尽列、单外无单</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r>
              <w:rPr>
                <w:rFonts w:hint="eastAsia" w:ascii="Times New Roman" w:hAnsi="Times New Roman" w:eastAsia="宋体" w:cs="Times New Roman"/>
                <w:color w:val="auto"/>
                <w:sz w:val="24"/>
                <w:szCs w:val="24"/>
                <w:lang w:eastAsia="zh-CN"/>
              </w:rPr>
              <w:t>。</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szCs w:val="24"/>
              </w:rPr>
              <w:t>根据《市场准入负面清单（2022年版）》，禁止准入类共6项，涉及生态环境保护的3项，如下表所示</w:t>
            </w:r>
            <w:r>
              <w:rPr>
                <w:rFonts w:hint="eastAsia" w:ascii="Times New Roman" w:hAnsi="Times New Roman" w:eastAsia="宋体" w:cs="Times New Roman"/>
                <w:color w:val="auto"/>
                <w:sz w:val="24"/>
                <w:szCs w:val="24"/>
                <w:lang w:eastAsia="zh-CN"/>
              </w:rPr>
              <w:t>：</w:t>
            </w:r>
          </w:p>
          <w:p>
            <w:pPr>
              <w:pStyle w:val="62"/>
              <w:keepNext w:val="0"/>
              <w:keepLines w:val="0"/>
              <w:pageBreakBefore w:val="0"/>
              <w:widowControl w:val="0"/>
              <w:numPr>
                <w:ilvl w:val="0"/>
                <w:numId w:val="4"/>
              </w:numPr>
              <w:kinsoku/>
              <w:wordWrap/>
              <w:overflowPunct/>
              <w:topLinePunct w:val="0"/>
              <w:bidi w:val="0"/>
              <w:adjustRightInd w:val="0"/>
              <w:snapToGrid w:val="0"/>
              <w:spacing w:line="240" w:lineRule="auto"/>
              <w:ind w:left="0" w:firstLine="0" w:firstLineChars="0"/>
              <w:jc w:val="center"/>
              <w:textAlignment w:val="auto"/>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《市场准入负面清单（2022年版）》禁止准入类事项</w:t>
            </w:r>
          </w:p>
          <w:tbl>
            <w:tblPr>
              <w:tblStyle w:val="7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252"/>
              <w:gridCol w:w="1217"/>
              <w:gridCol w:w="3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noWrap w:val="0"/>
                  <w:vAlign w:val="center"/>
                </w:tcPr>
                <w:p>
                  <w:pPr>
                    <w:spacing w:line="240" w:lineRule="auto"/>
                    <w:ind w:firstLine="0" w:firstLineChars="0"/>
                    <w:jc w:val="center"/>
                    <w:rPr>
                      <w:rFonts w:ascii="Times New Roman" w:hAnsi="Times New Roman" w:cs="Calibri"/>
                      <w:b/>
                      <w:bCs/>
                      <w:color w:val="auto"/>
                      <w:sz w:val="21"/>
                      <w:szCs w:val="21"/>
                    </w:rPr>
                  </w:pPr>
                  <w:r>
                    <w:rPr>
                      <w:rFonts w:hint="eastAsia" w:ascii="Times New Roman" w:hAnsi="Times New Roman" w:cs="Calibri"/>
                      <w:b/>
                      <w:bCs/>
                      <w:color w:val="auto"/>
                      <w:sz w:val="21"/>
                      <w:szCs w:val="21"/>
                    </w:rPr>
                    <w:t>项目号</w:t>
                  </w:r>
                </w:p>
              </w:tc>
              <w:tc>
                <w:tcPr>
                  <w:tcW w:w="1377" w:type="pct"/>
                  <w:noWrap w:val="0"/>
                  <w:vAlign w:val="center"/>
                </w:tcPr>
                <w:p>
                  <w:pPr>
                    <w:spacing w:line="240" w:lineRule="auto"/>
                    <w:ind w:firstLine="0" w:firstLineChars="0"/>
                    <w:jc w:val="center"/>
                    <w:rPr>
                      <w:rFonts w:ascii="Times New Roman" w:hAnsi="Times New Roman" w:cs="Calibri"/>
                      <w:b/>
                      <w:bCs/>
                      <w:color w:val="auto"/>
                      <w:sz w:val="21"/>
                      <w:szCs w:val="21"/>
                    </w:rPr>
                  </w:pPr>
                  <w:r>
                    <w:rPr>
                      <w:rFonts w:hint="eastAsia" w:ascii="Times New Roman" w:hAnsi="Times New Roman" w:cs="Calibri"/>
                      <w:b/>
                      <w:bCs/>
                      <w:color w:val="auto"/>
                      <w:sz w:val="21"/>
                      <w:szCs w:val="21"/>
                    </w:rPr>
                    <w:t>禁止或许可事项</w:t>
                  </w:r>
                </w:p>
              </w:tc>
              <w:tc>
                <w:tcPr>
                  <w:tcW w:w="744" w:type="pct"/>
                  <w:noWrap w:val="0"/>
                  <w:vAlign w:val="center"/>
                </w:tcPr>
                <w:p>
                  <w:pPr>
                    <w:spacing w:line="240" w:lineRule="auto"/>
                    <w:ind w:firstLine="0" w:firstLineChars="0"/>
                    <w:jc w:val="center"/>
                    <w:rPr>
                      <w:rFonts w:ascii="Times New Roman" w:hAnsi="Times New Roman" w:cs="Calibri"/>
                      <w:b/>
                      <w:bCs/>
                      <w:color w:val="auto"/>
                      <w:sz w:val="21"/>
                      <w:szCs w:val="21"/>
                    </w:rPr>
                  </w:pPr>
                  <w:r>
                    <w:rPr>
                      <w:rFonts w:hint="eastAsia" w:ascii="Times New Roman" w:hAnsi="Times New Roman" w:cs="Calibri"/>
                      <w:b/>
                      <w:bCs/>
                      <w:color w:val="auto"/>
                      <w:sz w:val="21"/>
                      <w:szCs w:val="21"/>
                    </w:rPr>
                    <w:t>事项编码</w:t>
                  </w:r>
                </w:p>
              </w:tc>
              <w:tc>
                <w:tcPr>
                  <w:tcW w:w="2256" w:type="pct"/>
                  <w:noWrap w:val="0"/>
                  <w:vAlign w:val="center"/>
                </w:tcPr>
                <w:p>
                  <w:pPr>
                    <w:spacing w:line="240" w:lineRule="auto"/>
                    <w:ind w:firstLine="0" w:firstLineChars="0"/>
                    <w:jc w:val="center"/>
                    <w:rPr>
                      <w:rFonts w:ascii="Times New Roman" w:hAnsi="Times New Roman" w:cs="Calibri"/>
                      <w:b/>
                      <w:bCs/>
                      <w:color w:val="auto"/>
                      <w:sz w:val="21"/>
                      <w:szCs w:val="21"/>
                    </w:rPr>
                  </w:pPr>
                  <w:r>
                    <w:rPr>
                      <w:rFonts w:hint="eastAsia" w:ascii="Times New Roman" w:hAnsi="Times New Roman" w:cs="Calibri"/>
                      <w:b/>
                      <w:bCs/>
                      <w:color w:val="auto"/>
                      <w:sz w:val="21"/>
                      <w:szCs w:val="21"/>
                    </w:rPr>
                    <w:t>禁止或许可准入措施描述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noWrap w:val="0"/>
                  <w:vAlign w:val="center"/>
                </w:tcPr>
                <w:p>
                  <w:pPr>
                    <w:spacing w:line="240" w:lineRule="auto"/>
                    <w:ind w:firstLine="0" w:firstLineChars="0"/>
                    <w:rPr>
                      <w:rFonts w:ascii="Times New Roman" w:hAnsi="Times New Roman" w:cs="Calibri"/>
                      <w:color w:val="auto"/>
                      <w:sz w:val="21"/>
                      <w:szCs w:val="21"/>
                    </w:rPr>
                  </w:pPr>
                  <w:r>
                    <w:rPr>
                      <w:rFonts w:hint="eastAsia" w:ascii="Times New Roman" w:hAnsi="Times New Roman" w:eastAsia="宋体" w:cs="Calibri"/>
                      <w:color w:val="auto"/>
                      <w:sz w:val="21"/>
                      <w:szCs w:val="21"/>
                    </w:rPr>
                    <w:t>一、禁止准入类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noWrap w:val="0"/>
                  <w:vAlign w:val="center"/>
                </w:tcPr>
                <w:p>
                  <w:pPr>
                    <w:spacing w:line="240" w:lineRule="auto"/>
                    <w:ind w:firstLine="0" w:firstLineChars="0"/>
                    <w:jc w:val="center"/>
                    <w:rPr>
                      <w:rFonts w:ascii="Times New Roman" w:hAnsi="Times New Roman" w:cs="Calibri"/>
                      <w:color w:val="auto"/>
                      <w:sz w:val="21"/>
                      <w:szCs w:val="21"/>
                    </w:rPr>
                  </w:pPr>
                  <w:r>
                    <w:rPr>
                      <w:rFonts w:hint="eastAsia" w:ascii="Times New Roman" w:hAnsi="Times New Roman" w:cs="Calibri"/>
                      <w:color w:val="auto"/>
                      <w:sz w:val="21"/>
                      <w:szCs w:val="21"/>
                    </w:rPr>
                    <w:t>1</w:t>
                  </w:r>
                </w:p>
              </w:tc>
              <w:tc>
                <w:tcPr>
                  <w:tcW w:w="1377" w:type="pct"/>
                  <w:noWrap w:val="0"/>
                  <w:vAlign w:val="center"/>
                </w:tcPr>
                <w:p>
                  <w:pPr>
                    <w:spacing w:line="240" w:lineRule="auto"/>
                    <w:ind w:firstLine="0" w:firstLineChars="0"/>
                    <w:jc w:val="center"/>
                    <w:rPr>
                      <w:rFonts w:ascii="Times New Roman" w:hAnsi="Times New Roman" w:cs="Calibri"/>
                      <w:color w:val="auto"/>
                      <w:sz w:val="21"/>
                      <w:szCs w:val="21"/>
                    </w:rPr>
                  </w:pPr>
                  <w:r>
                    <w:rPr>
                      <w:rFonts w:ascii="Times New Roman" w:hAnsi="Times New Roman" w:cs="Calibri"/>
                      <w:color w:val="auto"/>
                      <w:sz w:val="21"/>
                      <w:szCs w:val="21"/>
                    </w:rPr>
                    <w:t>法律、法规、国务院决定等明确设立且与市场准入相关的禁止性规定</w:t>
                  </w:r>
                </w:p>
              </w:tc>
              <w:tc>
                <w:tcPr>
                  <w:tcW w:w="744" w:type="pct"/>
                  <w:noWrap w:val="0"/>
                  <w:vAlign w:val="center"/>
                </w:tcPr>
                <w:p>
                  <w:pPr>
                    <w:spacing w:line="240" w:lineRule="auto"/>
                    <w:ind w:firstLine="0" w:firstLineChars="0"/>
                    <w:jc w:val="center"/>
                    <w:rPr>
                      <w:rFonts w:ascii="Times New Roman" w:hAnsi="Times New Roman" w:cs="Calibri"/>
                      <w:color w:val="auto"/>
                      <w:sz w:val="21"/>
                      <w:szCs w:val="21"/>
                    </w:rPr>
                  </w:pPr>
                  <w:r>
                    <w:rPr>
                      <w:rFonts w:hint="eastAsia" w:ascii="Times New Roman" w:hAnsi="Times New Roman" w:cs="Calibri"/>
                      <w:color w:val="auto"/>
                      <w:sz w:val="21"/>
                      <w:szCs w:val="21"/>
                    </w:rPr>
                    <w:t>100001</w:t>
                  </w:r>
                </w:p>
              </w:tc>
              <w:tc>
                <w:tcPr>
                  <w:tcW w:w="2256" w:type="pct"/>
                  <w:noWrap w:val="0"/>
                  <w:vAlign w:val="center"/>
                </w:tcPr>
                <w:p>
                  <w:pPr>
                    <w:spacing w:line="240" w:lineRule="auto"/>
                    <w:ind w:firstLine="0" w:firstLineChars="0"/>
                    <w:jc w:val="center"/>
                    <w:rPr>
                      <w:rFonts w:ascii="Times New Roman" w:hAnsi="Times New Roman" w:cs="Calibri"/>
                      <w:color w:val="auto"/>
                      <w:sz w:val="21"/>
                      <w:szCs w:val="21"/>
                    </w:rPr>
                  </w:pPr>
                  <w:r>
                    <w:rPr>
                      <w:rFonts w:ascii="Times New Roman" w:hAnsi="Times New Roman" w:cs="Calibri"/>
                      <w:color w:val="auto"/>
                      <w:sz w:val="21"/>
                      <w:szCs w:val="21"/>
                    </w:rPr>
                    <w:t>法律、法规、国务院决定等明确设立，且与市场准入相关的禁止性规定（见附件）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noWrap w:val="0"/>
                  <w:vAlign w:val="center"/>
                </w:tcPr>
                <w:p>
                  <w:pPr>
                    <w:spacing w:line="240" w:lineRule="auto"/>
                    <w:ind w:firstLine="0" w:firstLineChars="0"/>
                    <w:jc w:val="center"/>
                    <w:rPr>
                      <w:rFonts w:ascii="Times New Roman" w:hAnsi="Times New Roman" w:cs="Calibri"/>
                      <w:color w:val="auto"/>
                      <w:sz w:val="21"/>
                      <w:szCs w:val="21"/>
                    </w:rPr>
                  </w:pPr>
                  <w:r>
                    <w:rPr>
                      <w:rFonts w:hint="eastAsia" w:ascii="Times New Roman" w:hAnsi="Times New Roman" w:cs="Calibri"/>
                      <w:color w:val="auto"/>
                      <w:sz w:val="21"/>
                      <w:szCs w:val="21"/>
                    </w:rPr>
                    <w:t>2</w:t>
                  </w:r>
                </w:p>
              </w:tc>
              <w:tc>
                <w:tcPr>
                  <w:tcW w:w="1377" w:type="pct"/>
                  <w:noWrap w:val="0"/>
                  <w:vAlign w:val="center"/>
                </w:tcPr>
                <w:p>
                  <w:pPr>
                    <w:spacing w:line="240" w:lineRule="auto"/>
                    <w:ind w:firstLine="0" w:firstLineChars="0"/>
                    <w:jc w:val="center"/>
                    <w:rPr>
                      <w:rFonts w:ascii="Times New Roman" w:hAnsi="Times New Roman" w:cs="Calibri"/>
                      <w:color w:val="auto"/>
                      <w:sz w:val="21"/>
                      <w:szCs w:val="21"/>
                    </w:rPr>
                  </w:pPr>
                  <w:r>
                    <w:rPr>
                      <w:rFonts w:ascii="Times New Roman" w:hAnsi="Times New Roman" w:cs="Calibri"/>
                      <w:color w:val="auto"/>
                      <w:sz w:val="21"/>
                      <w:szCs w:val="21"/>
                    </w:rPr>
                    <w:t>国家产业政策明令淘汰和限制的产品、技术、工艺、设备及行为</w:t>
                  </w:r>
                </w:p>
              </w:tc>
              <w:tc>
                <w:tcPr>
                  <w:tcW w:w="744" w:type="pct"/>
                  <w:noWrap w:val="0"/>
                  <w:vAlign w:val="center"/>
                </w:tcPr>
                <w:p>
                  <w:pPr>
                    <w:spacing w:line="240" w:lineRule="auto"/>
                    <w:ind w:firstLine="0" w:firstLineChars="0"/>
                    <w:jc w:val="center"/>
                    <w:rPr>
                      <w:rFonts w:ascii="Times New Roman" w:hAnsi="Times New Roman" w:cs="Calibri"/>
                      <w:color w:val="auto"/>
                      <w:sz w:val="21"/>
                      <w:szCs w:val="21"/>
                    </w:rPr>
                  </w:pPr>
                  <w:r>
                    <w:rPr>
                      <w:rFonts w:hint="eastAsia" w:ascii="Times New Roman" w:hAnsi="Times New Roman" w:cs="Calibri"/>
                      <w:color w:val="auto"/>
                      <w:sz w:val="21"/>
                      <w:szCs w:val="21"/>
                    </w:rPr>
                    <w:t>100002</w:t>
                  </w:r>
                </w:p>
              </w:tc>
              <w:tc>
                <w:tcPr>
                  <w:tcW w:w="2256" w:type="pct"/>
                  <w:noWrap w:val="0"/>
                  <w:vAlign w:val="center"/>
                </w:tcPr>
                <w:p>
                  <w:pPr>
                    <w:spacing w:line="240" w:lineRule="auto"/>
                    <w:ind w:firstLine="0" w:firstLineChars="0"/>
                    <w:jc w:val="center"/>
                    <w:rPr>
                      <w:rFonts w:ascii="Times New Roman" w:hAnsi="Times New Roman" w:cs="Calibri"/>
                      <w:color w:val="auto"/>
                      <w:sz w:val="21"/>
                      <w:szCs w:val="21"/>
                    </w:rPr>
                  </w:pPr>
                  <w:r>
                    <w:rPr>
                      <w:rFonts w:ascii="Times New Roman" w:hAnsi="Times New Roman" w:cs="Calibri"/>
                      <w:color w:val="auto"/>
                      <w:sz w:val="21"/>
                      <w:szCs w:val="21"/>
                    </w:rPr>
                    <w:t>《产业结构调整指导目录》中的淘汰类项目，禁止投资；限制类项目，禁止新建禁止投资建设《汽车产业投资管理规定》所列的汽车投资禁止类事项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1" w:type="pct"/>
                  <w:noWrap w:val="0"/>
                  <w:vAlign w:val="center"/>
                </w:tcPr>
                <w:p>
                  <w:pPr>
                    <w:spacing w:line="240" w:lineRule="auto"/>
                    <w:ind w:firstLine="0" w:firstLineChars="0"/>
                    <w:jc w:val="center"/>
                    <w:rPr>
                      <w:rFonts w:ascii="Times New Roman" w:hAnsi="Times New Roman" w:cs="Calibri"/>
                      <w:color w:val="auto"/>
                      <w:sz w:val="21"/>
                      <w:szCs w:val="21"/>
                    </w:rPr>
                  </w:pPr>
                  <w:r>
                    <w:rPr>
                      <w:rFonts w:hint="eastAsia" w:ascii="Times New Roman" w:hAnsi="Times New Roman" w:cs="Calibri"/>
                      <w:color w:val="auto"/>
                      <w:sz w:val="21"/>
                      <w:szCs w:val="21"/>
                    </w:rPr>
                    <w:t>3</w:t>
                  </w:r>
                </w:p>
              </w:tc>
              <w:tc>
                <w:tcPr>
                  <w:tcW w:w="1377" w:type="pct"/>
                  <w:noWrap w:val="0"/>
                  <w:vAlign w:val="center"/>
                </w:tcPr>
                <w:p>
                  <w:pPr>
                    <w:spacing w:line="240" w:lineRule="auto"/>
                    <w:ind w:firstLine="0" w:firstLineChars="0"/>
                    <w:jc w:val="center"/>
                    <w:rPr>
                      <w:rFonts w:ascii="Times New Roman" w:hAnsi="Times New Roman" w:cs="Calibri"/>
                      <w:color w:val="auto"/>
                      <w:sz w:val="21"/>
                      <w:szCs w:val="21"/>
                    </w:rPr>
                  </w:pPr>
                  <w:r>
                    <w:rPr>
                      <w:rFonts w:ascii="Times New Roman" w:hAnsi="Times New Roman" w:cs="Calibri"/>
                      <w:color w:val="auto"/>
                      <w:sz w:val="21"/>
                      <w:szCs w:val="21"/>
                    </w:rPr>
                    <w:t>不符合主体功能区建设要求的各类开发活动</w:t>
                  </w:r>
                </w:p>
              </w:tc>
              <w:tc>
                <w:tcPr>
                  <w:tcW w:w="744" w:type="pct"/>
                  <w:noWrap w:val="0"/>
                  <w:vAlign w:val="center"/>
                </w:tcPr>
                <w:p>
                  <w:pPr>
                    <w:spacing w:line="240" w:lineRule="auto"/>
                    <w:ind w:firstLine="0" w:firstLineChars="0"/>
                    <w:jc w:val="center"/>
                    <w:rPr>
                      <w:rFonts w:ascii="Times New Roman" w:hAnsi="Times New Roman" w:cs="Calibri"/>
                      <w:color w:val="auto"/>
                      <w:sz w:val="21"/>
                      <w:szCs w:val="21"/>
                    </w:rPr>
                  </w:pPr>
                  <w:r>
                    <w:rPr>
                      <w:rFonts w:hint="eastAsia" w:ascii="Times New Roman" w:hAnsi="Times New Roman" w:cs="Calibri"/>
                      <w:color w:val="auto"/>
                      <w:sz w:val="21"/>
                      <w:szCs w:val="21"/>
                    </w:rPr>
                    <w:t>100003</w:t>
                  </w:r>
                </w:p>
              </w:tc>
              <w:tc>
                <w:tcPr>
                  <w:tcW w:w="2256" w:type="pct"/>
                  <w:noWrap w:val="0"/>
                  <w:vAlign w:val="center"/>
                </w:tcPr>
                <w:p>
                  <w:pPr>
                    <w:spacing w:line="240" w:lineRule="auto"/>
                    <w:ind w:firstLine="0" w:firstLineChars="0"/>
                    <w:jc w:val="center"/>
                    <w:rPr>
                      <w:rFonts w:ascii="Times New Roman" w:hAnsi="Times New Roman" w:cs="Calibri"/>
                      <w:color w:val="auto"/>
                      <w:sz w:val="21"/>
                      <w:szCs w:val="21"/>
                    </w:rPr>
                  </w:pPr>
                  <w:r>
                    <w:rPr>
                      <w:rFonts w:ascii="Times New Roman" w:hAnsi="Times New Roman" w:cs="Calibri"/>
                      <w:color w:val="auto"/>
                      <w:sz w:val="21"/>
                      <w:szCs w:val="21"/>
                    </w:rPr>
                    <w:t>地方国家重点生态功能区产业准入负面清单（或禁止限制目录）、农产品主产区产业准入负面清单（或禁止限制目录）所列有关事项</w:t>
                  </w:r>
                </w:p>
              </w:tc>
            </w:tr>
          </w:tbl>
          <w:p>
            <w:pPr>
              <w:adjustRightInd w:val="0"/>
              <w:snapToGrid w:val="0"/>
              <w:spacing w:line="360" w:lineRule="auto"/>
              <w:ind w:firstLine="42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1"/>
                <w:szCs w:val="21"/>
              </w:rPr>
              <w:t>注：该表只列出涉及生态环境保护的3项禁止准入类事项</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rPr>
              <w:t>项目不属于《市场准入负面清单（2022年版）》所列的禁止准入类范围；根据《产业结构调整指导目录（</w:t>
            </w:r>
            <w:r>
              <w:rPr>
                <w:rFonts w:hint="eastAsia" w:ascii="Times New Roman" w:hAnsi="Times New Roman" w:eastAsia="宋体" w:cs="Times New Roman"/>
                <w:color w:val="auto"/>
                <w:kern w:val="0"/>
                <w:sz w:val="24"/>
                <w:szCs w:val="24"/>
                <w:highlight w:val="none"/>
                <w:lang w:val="en-US" w:eastAsia="zh-CN"/>
              </w:rPr>
              <w:t>2024</w:t>
            </w:r>
            <w:r>
              <w:rPr>
                <w:rFonts w:hint="default" w:ascii="Times New Roman" w:hAnsi="Times New Roman" w:eastAsia="宋体" w:cs="Times New Roman"/>
                <w:color w:val="auto"/>
                <w:kern w:val="0"/>
                <w:sz w:val="24"/>
                <w:szCs w:val="24"/>
                <w:highlight w:val="none"/>
                <w:lang w:val="en-US" w:eastAsia="zh-CN"/>
              </w:rPr>
              <w:t>年本）》</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属于允许类</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涉及的</w:t>
            </w:r>
            <w:r>
              <w:rPr>
                <w:rFonts w:hint="default" w:ascii="Times New Roman" w:hAnsi="Times New Roman" w:cs="Times New Roman"/>
                <w:color w:val="auto"/>
                <w:sz w:val="24"/>
                <w:szCs w:val="24"/>
              </w:rPr>
              <w:t>生产设备及生产工艺不属于《高耗能落后机电设备（产品）淘汰目录》中的高耗能落后机电设备（产品）</w:t>
            </w:r>
            <w:r>
              <w:rPr>
                <w:rFonts w:hint="default" w:ascii="Times New Roman" w:hAnsi="Times New Roman" w:eastAsia="宋体" w:cs="Times New Roman"/>
                <w:color w:val="auto"/>
                <w:sz w:val="24"/>
              </w:rPr>
              <w:t>。</w:t>
            </w:r>
            <w:r>
              <w:rPr>
                <w:rFonts w:hint="default" w:ascii="Times New Roman" w:hAnsi="Times New Roman" w:cs="Times New Roman"/>
                <w:color w:val="auto"/>
                <w:kern w:val="0"/>
                <w:sz w:val="24"/>
                <w:szCs w:val="24"/>
                <w:highlight w:val="none"/>
                <w:lang w:val="en-US" w:eastAsia="zh-CN"/>
              </w:rPr>
              <w:t>因此，</w:t>
            </w:r>
            <w:r>
              <w:rPr>
                <w:rFonts w:hint="default" w:ascii="Times New Roman" w:hAnsi="Times New Roman" w:eastAsia="宋体" w:cs="Times New Roman"/>
                <w:color w:val="auto"/>
                <w:kern w:val="0"/>
                <w:sz w:val="24"/>
                <w:szCs w:val="24"/>
                <w:highlight w:val="none"/>
                <w:lang w:val="en-US" w:eastAsia="zh-CN"/>
              </w:rPr>
              <w:t>项目的建设符合产业政策要求</w:t>
            </w:r>
            <w:r>
              <w:rPr>
                <w:rFonts w:hint="eastAsia" w:ascii="Times New Roman" w:hAnsi="Times New Roman" w:eastAsia="宋体" w:cs="Times New Roman"/>
                <w:color w:val="auto"/>
                <w:kern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rPr>
              <w:t>、规划符合性</w:t>
            </w:r>
          </w:p>
          <w:p>
            <w:pPr>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（1）《承德市城市总体规划》（2016-2030年）</w:t>
            </w:r>
          </w:p>
          <w:p>
            <w:pPr>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w:t>
            </w:r>
          </w:p>
          <w:p>
            <w:pPr>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本项目位于</w:t>
            </w:r>
            <w:r>
              <w:rPr>
                <w:rFonts w:hint="eastAsia" w:cs="Times New Roman"/>
                <w:color w:val="auto"/>
                <w:sz w:val="24"/>
                <w:szCs w:val="24"/>
                <w:lang w:val="en-US" w:eastAsia="zh-CN"/>
              </w:rPr>
              <w:t>承德市围场满族蒙古族自治县半截塔镇什八克村</w:t>
            </w:r>
            <w:r>
              <w:rPr>
                <w:rFonts w:hint="default" w:ascii="Times New Roman" w:hAnsi="Times New Roman" w:cs="Times New Roman"/>
                <w:color w:val="auto"/>
                <w:sz w:val="24"/>
                <w:szCs w:val="24"/>
                <w:lang w:val="en-US" w:eastAsia="zh-CN"/>
              </w:rPr>
              <w:t>，根据承德市总体规划，</w:t>
            </w:r>
            <w:r>
              <w:rPr>
                <w:rFonts w:hint="eastAsia" w:ascii="Times New Roman" w:hAnsi="Times New Roman" w:cs="Times New Roman"/>
                <w:color w:val="auto"/>
                <w:sz w:val="24"/>
                <w:szCs w:val="24"/>
                <w:lang w:val="en-US" w:eastAsia="zh-CN"/>
              </w:rPr>
              <w:t>半截塔镇</w:t>
            </w:r>
            <w:r>
              <w:rPr>
                <w:rFonts w:hint="default" w:ascii="Times New Roman" w:hAnsi="Times New Roman" w:cs="Times New Roman"/>
                <w:color w:val="auto"/>
                <w:sz w:val="24"/>
                <w:szCs w:val="24"/>
                <w:lang w:val="en-US" w:eastAsia="zh-CN"/>
              </w:rPr>
              <w:t>属于“冀北及燕山山地生态区（Ⅱ）—</w:t>
            </w:r>
            <w:r>
              <w:rPr>
                <w:rFonts w:hint="eastAsia" w:ascii="Times New Roman" w:hAnsi="Times New Roman" w:cs="Times New Roman"/>
                <w:color w:val="auto"/>
                <w:sz w:val="24"/>
                <w:szCs w:val="24"/>
                <w:lang w:val="en-US" w:eastAsia="zh-CN"/>
              </w:rPr>
              <w:t>冀北山地森林生态亚区</w:t>
            </w:r>
            <w:r>
              <w:rPr>
                <w:rFonts w:hint="default" w:ascii="Times New Roman" w:hAnsi="Times New Roman" w:cs="Times New Roman"/>
                <w:color w:val="auto"/>
                <w:sz w:val="24"/>
                <w:szCs w:val="24"/>
                <w:lang w:val="en-US" w:eastAsia="zh-CN"/>
              </w:rPr>
              <w:t>（II-</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滦河上游生物多样性保护功能区</w:t>
            </w:r>
            <w:r>
              <w:rPr>
                <w:rFonts w:hint="default" w:ascii="Times New Roman" w:hAnsi="Times New Roman" w:cs="Times New Roman"/>
                <w:color w:val="auto"/>
                <w:sz w:val="24"/>
                <w:szCs w:val="24"/>
                <w:lang w:val="en-US" w:eastAsia="zh-CN"/>
              </w:rPr>
              <w:t>（II-</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）”，该区域主要生态环境问题、生态服务功能、建设方向及措施如下表所示。</w:t>
            </w:r>
          </w:p>
          <w:p>
            <w:pPr>
              <w:pStyle w:val="62"/>
              <w:keepNext w:val="0"/>
              <w:keepLines w:val="0"/>
              <w:pageBreakBefore w:val="0"/>
              <w:widowControl w:val="0"/>
              <w:numPr>
                <w:ilvl w:val="0"/>
                <w:numId w:val="4"/>
              </w:numPr>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承德市总体规划中生态功能区划相关功能分区</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699"/>
              <w:gridCol w:w="1036"/>
              <w:gridCol w:w="1719"/>
              <w:gridCol w:w="1062"/>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生态区</w:t>
                  </w:r>
                </w:p>
              </w:tc>
              <w:tc>
                <w:tcPr>
                  <w:tcW w:w="427"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生态亚区</w:t>
                  </w:r>
                </w:p>
              </w:tc>
              <w:tc>
                <w:tcPr>
                  <w:tcW w:w="633"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生态功能区</w:t>
                  </w:r>
                </w:p>
              </w:tc>
              <w:tc>
                <w:tcPr>
                  <w:tcW w:w="1051"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主要生态环境问题</w:t>
                  </w:r>
                </w:p>
              </w:tc>
              <w:tc>
                <w:tcPr>
                  <w:tcW w:w="649"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生态服务功能</w:t>
                  </w:r>
                </w:p>
              </w:tc>
              <w:tc>
                <w:tcPr>
                  <w:tcW w:w="1839" w:type="pct"/>
                  <w:vAlign w:val="center"/>
                </w:tcPr>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建设方向及措施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napToGrid w:val="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冀北及燕山山地生态区Ⅱ</w:t>
                  </w:r>
                </w:p>
              </w:tc>
              <w:tc>
                <w:tcPr>
                  <w:tcW w:w="427" w:type="pct"/>
                  <w:vAlign w:val="center"/>
                </w:tcPr>
                <w:p>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冀北山地森林生态亚区II-1</w:t>
                  </w:r>
                </w:p>
              </w:tc>
              <w:tc>
                <w:tcPr>
                  <w:tcW w:w="633" w:type="pct"/>
                  <w:vAlign w:val="center"/>
                </w:tcPr>
                <w:p>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滦河上游生物多样性保护功能区II-1-3</w:t>
                  </w:r>
                </w:p>
              </w:tc>
              <w:tc>
                <w:tcPr>
                  <w:tcW w:w="1051" w:type="pct"/>
                  <w:vAlign w:val="center"/>
                </w:tcPr>
                <w:p>
                  <w:pPr>
                    <w:snapToGrid w:val="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生物多样性减少，水土流失严重，草地退化，沙化面积不断扩大</w:t>
                  </w:r>
                </w:p>
              </w:tc>
              <w:tc>
                <w:tcPr>
                  <w:tcW w:w="649" w:type="pct"/>
                  <w:vAlign w:val="center"/>
                </w:tcPr>
                <w:p>
                  <w:pPr>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生物多样性保护、荒漠化防治、水资源保护</w:t>
                  </w:r>
                </w:p>
              </w:tc>
              <w:tc>
                <w:tcPr>
                  <w:tcW w:w="1839" w:type="pct"/>
                  <w:vAlign w:val="center"/>
                </w:tcPr>
                <w:p>
                  <w:pPr>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积极进行生物多样性保护工作，水土流失综合防治，积极推进退耕还林</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eastAsiaTheme="minorEastAsia"/>
                      <w:color w:val="auto"/>
                      <w:szCs w:val="21"/>
                      <w:highlight w:val="none"/>
                      <w:lang w:val="en-US" w:eastAsia="zh-CN"/>
                    </w:rPr>
                    <w:t>增加植被覆盖度，增强水源涵养功能。加强滦河上游自然保护区的保护与管理，强力恢复植被、不断扩大种群，防治病虫害</w:t>
                  </w:r>
                  <w:r>
                    <w:rPr>
                      <w:rFonts w:hint="eastAsia" w:ascii="Times New Roman" w:hAnsi="Times New Roman" w:cs="Times New Roman"/>
                      <w:color w:val="auto"/>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hint="default" w:ascii="Times New Roman" w:hAnsi="Times New Roman" w:cs="Times New Roman"/>
                <w:color w:val="auto"/>
                <w:sz w:val="24"/>
              </w:rPr>
            </w:pPr>
            <w:r>
              <w:rPr>
                <w:rFonts w:hint="default" w:ascii="Times New Roman" w:hAnsi="Times New Roman" w:cs="Times New Roman"/>
                <w:color w:val="auto"/>
                <w:sz w:val="24"/>
              </w:rPr>
              <w:t>承德市城市总体规划中生态功能区如下图所示：</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auto"/>
                <w:szCs w:val="21"/>
                <w:lang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1695450</wp:posOffset>
                      </wp:positionH>
                      <wp:positionV relativeFrom="paragraph">
                        <wp:posOffset>1894840</wp:posOffset>
                      </wp:positionV>
                      <wp:extent cx="887730" cy="262890"/>
                      <wp:effectExtent l="6350" t="8890" r="210820" b="13970"/>
                      <wp:wrapNone/>
                      <wp:docPr id="10" name="圆角矩形标注 449"/>
                      <wp:cNvGraphicFramePr/>
                      <a:graphic xmlns:a="http://schemas.openxmlformats.org/drawingml/2006/main">
                        <a:graphicData uri="http://schemas.microsoft.com/office/word/2010/wordprocessingShape">
                          <wps:wsp>
                            <wps:cNvSpPr/>
                            <wps:spPr>
                              <a:xfrm>
                                <a:off x="0" y="0"/>
                                <a:ext cx="887730" cy="262890"/>
                              </a:xfrm>
                              <a:prstGeom prst="wedgeRoundRectCallout">
                                <a:avLst>
                                  <a:gd name="adj1" fmla="val 68426"/>
                                  <a:gd name="adj2" fmla="val -47796"/>
                                  <a:gd name="adj3" fmla="val 16667"/>
                                </a:avLst>
                              </a:prstGeom>
                              <a:solidFill>
                                <a:srgbClr val="FFFFFF"/>
                              </a:solidFill>
                              <a:ln w="12700" cap="flat" cmpd="sng">
                                <a:solidFill>
                                  <a:srgbClr val="FF0000"/>
                                </a:solidFill>
                                <a:prstDash val="solid"/>
                                <a:miter/>
                                <a:headEnd type="none" w="med" len="med"/>
                                <a:tailEnd type="none" w="med" len="med"/>
                              </a:ln>
                            </wps:spPr>
                            <wps:txbx>
                              <w:txbxContent>
                                <w:p>
                                  <w:pPr>
                                    <w:snapToGrid w:val="0"/>
                                    <w:spacing w:line="360" w:lineRule="auto"/>
                                    <w:jc w:val="center"/>
                                    <w:rPr>
                                      <w:color w:val="FF0000"/>
                                      <w:szCs w:val="21"/>
                                    </w:rPr>
                                  </w:pPr>
                                  <w:r>
                                    <w:rPr>
                                      <w:rFonts w:hint="eastAsia"/>
                                      <w:color w:val="FF0000"/>
                                      <w:szCs w:val="21"/>
                                    </w:rPr>
                                    <w:t>项目选址</w:t>
                                  </w:r>
                                </w:p>
                              </w:txbxContent>
                            </wps:txbx>
                            <wps:bodyPr lIns="18000" tIns="45720" rIns="18000" bIns="45720" anchor="ctr" anchorCtr="0" upright="1"/>
                          </wps:wsp>
                        </a:graphicData>
                      </a:graphic>
                    </wp:anchor>
                  </w:drawing>
                </mc:Choice>
                <mc:Fallback>
                  <w:pict>
                    <v:shape id="圆角矩形标注 449" o:spid="_x0000_s1026" o:spt="62" type="#_x0000_t62" style="position:absolute;left:0pt;margin-left:133.5pt;margin-top:149.2pt;height:20.7pt;width:69.9pt;z-index:251661312;v-text-anchor:middle;mso-width-relative:page;mso-height-relative:page;" fillcolor="#FFFFFF" filled="t" stroked="t" coordsize="21600,21600" o:gfxdata="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&#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wA0iT2gAAAAsBAAAPAAAAAAAAAAEAIAAAACIAAABk&#10;cnMvZG93bnJldi54bWxQSwECFAAUAAAACACHTuJAxPF8AXYCAAAOBQAADgAAAAAAAAABACAAAAAp&#10;AQAAZHJzL2Uyb0RvYy54bWxQSwUGAAAAAAYABgBZAQAAEQYAAAAA&#10;" adj="25580,476,14400">
                      <v:fill on="t" focussize="0,0"/>
                      <v:stroke weight="1pt" color="#FF0000" joinstyle="miter"/>
                      <v:imagedata o:title=""/>
                      <o:lock v:ext="edit" aspectratio="f"/>
                      <v:textbox inset="0.5mm,1.27mm,0.5mm,1.27mm">
                        <w:txbxContent>
                          <w:p>
                            <w:pPr>
                              <w:snapToGrid w:val="0"/>
                              <w:spacing w:line="360" w:lineRule="auto"/>
                              <w:jc w:val="center"/>
                              <w:rPr>
                                <w:color w:val="FF0000"/>
                                <w:szCs w:val="21"/>
                              </w:rPr>
                            </w:pPr>
                            <w:r>
                              <w:rPr>
                                <w:rFonts w:hint="eastAsia"/>
                                <w:color w:val="FF0000"/>
                                <w:szCs w:val="21"/>
                              </w:rPr>
                              <w:t>项目选址</w:t>
                            </w:r>
                          </w:p>
                        </w:txbxContent>
                      </v:textbox>
                    </v:shape>
                  </w:pict>
                </mc:Fallback>
              </mc:AlternateContent>
            </w:r>
            <w:r>
              <w:rPr>
                <w:color w:val="auto"/>
              </w:rPr>
              <w:drawing>
                <wp:anchor distT="0" distB="0" distL="114935" distR="114935" simplePos="0" relativeHeight="251663360" behindDoc="0" locked="0" layoutInCell="1" allowOverlap="1">
                  <wp:simplePos x="0" y="0"/>
                  <wp:positionH relativeFrom="column">
                    <wp:posOffset>266700</wp:posOffset>
                  </wp:positionH>
                  <wp:positionV relativeFrom="paragraph">
                    <wp:posOffset>228600</wp:posOffset>
                  </wp:positionV>
                  <wp:extent cx="1619885" cy="1398270"/>
                  <wp:effectExtent l="0" t="0" r="18415" b="1143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1619885" cy="1398270"/>
                          </a:xfrm>
                          <a:prstGeom prst="rect">
                            <a:avLst/>
                          </a:prstGeom>
                          <a:noFill/>
                          <a:ln>
                            <a:noFill/>
                          </a:ln>
                        </pic:spPr>
                      </pic:pic>
                    </a:graphicData>
                  </a:graphic>
                </wp:anchor>
              </w:drawing>
            </w:r>
            <w:r>
              <w:rPr>
                <w:rFonts w:hint="eastAsia" w:ascii="Times New Roman" w:hAnsi="Times New Roman" w:cs="Times New Roman" w:eastAsiaTheme="minorEastAsia"/>
                <w:b/>
                <w:color w:val="auto"/>
                <w:szCs w:val="21"/>
                <w:lang w:eastAsia="zh-CN"/>
              </w:rPr>
              <w:drawing>
                <wp:inline distT="0" distB="0" distL="114300" distR="114300">
                  <wp:extent cx="4954270" cy="3501390"/>
                  <wp:effectExtent l="0" t="0" r="17780" b="3810"/>
                  <wp:docPr id="11" name="图片 11" descr="项目生态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项目生态功能区划图"/>
                          <pic:cNvPicPr>
                            <a:picLocks noChangeAspect="1"/>
                          </pic:cNvPicPr>
                        </pic:nvPicPr>
                        <pic:blipFill>
                          <a:blip r:embed="rId9"/>
                          <a:stretch>
                            <a:fillRect/>
                          </a:stretch>
                        </pic:blipFill>
                        <pic:spPr>
                          <a:xfrm>
                            <a:off x="0" y="0"/>
                            <a:ext cx="4954270" cy="3501390"/>
                          </a:xfrm>
                          <a:prstGeom prst="rect">
                            <a:avLst/>
                          </a:prstGeom>
                        </pic:spPr>
                      </pic:pic>
                    </a:graphicData>
                  </a:graphic>
                </wp:inline>
              </w:drawing>
            </w:r>
          </w:p>
          <w:p>
            <w:pPr>
              <w:pStyle w:val="62"/>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承德市生态功能区图</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rPr>
            </w:pPr>
            <w:r>
              <w:rPr>
                <w:rFonts w:hint="default" w:ascii="Times New Roman" w:hAnsi="Times New Roman" w:cs="Times New Roman"/>
                <w:color w:val="auto"/>
                <w:kern w:val="44"/>
                <w:sz w:val="24"/>
              </w:rPr>
              <w:t>本项目为</w:t>
            </w:r>
            <w:r>
              <w:rPr>
                <w:rFonts w:hint="eastAsia" w:ascii="Times New Roman" w:hAnsi="Times New Roman" w:cs="Times New Roman"/>
                <w:color w:val="auto"/>
                <w:kern w:val="44"/>
                <w:sz w:val="24"/>
                <w:lang w:val="en-US" w:eastAsia="zh-CN"/>
              </w:rPr>
              <w:t>热力生产和供应、</w:t>
            </w:r>
            <w:r>
              <w:rPr>
                <w:rFonts w:hint="eastAsia" w:ascii="Times New Roman" w:hAnsi="Times New Roman" w:cs="Times New Roman"/>
                <w:color w:val="auto"/>
                <w:sz w:val="24"/>
                <w:szCs w:val="24"/>
                <w:lang w:val="en-US" w:eastAsia="zh-CN"/>
              </w:rPr>
              <w:t>污水处理及其再生利用</w:t>
            </w:r>
            <w:r>
              <w:rPr>
                <w:rFonts w:hint="default" w:ascii="Times New Roman" w:hAnsi="Times New Roman" w:cs="Times New Roman"/>
                <w:color w:val="auto"/>
                <w:kern w:val="44"/>
                <w:sz w:val="24"/>
              </w:rPr>
              <w:t>项目</w:t>
            </w:r>
            <w:r>
              <w:rPr>
                <w:rFonts w:hint="eastAsia" w:ascii="Times New Roman" w:hAnsi="Times New Roman" w:cs="Times New Roman"/>
                <w:color w:val="auto"/>
                <w:kern w:val="44"/>
                <w:sz w:val="24"/>
                <w:lang w:val="en-US" w:eastAsia="zh-CN"/>
              </w:rPr>
              <w:t>，</w:t>
            </w:r>
            <w:r>
              <w:rPr>
                <w:rFonts w:hint="default" w:ascii="Times New Roman" w:hAnsi="Times New Roman" w:eastAsia="宋体" w:cs="Times New Roman"/>
                <w:color w:val="auto"/>
                <w:kern w:val="0"/>
                <w:sz w:val="24"/>
                <w:szCs w:val="24"/>
                <w:highlight w:val="none"/>
                <w:lang w:val="en-US" w:eastAsia="zh-CN" w:bidi="ar"/>
              </w:rPr>
              <w:t>项目</w:t>
            </w:r>
            <w:r>
              <w:rPr>
                <w:rFonts w:hint="eastAsia" w:ascii="Times New Roman" w:hAnsi="Times New Roman" w:eastAsia="宋体" w:cs="Times New Roman"/>
                <w:color w:val="auto"/>
                <w:kern w:val="0"/>
                <w:sz w:val="24"/>
                <w:szCs w:val="24"/>
                <w:highlight w:val="none"/>
                <w:lang w:val="en-US" w:eastAsia="zh-CN" w:bidi="ar"/>
              </w:rPr>
              <w:t>厂界外</w:t>
            </w:r>
            <w:r>
              <w:rPr>
                <w:rFonts w:hint="default" w:ascii="Times New Roman" w:hAnsi="Times New Roman" w:eastAsia="宋体" w:cs="Times New Roman"/>
                <w:color w:val="auto"/>
                <w:kern w:val="0"/>
                <w:sz w:val="24"/>
                <w:szCs w:val="24"/>
                <w:highlight w:val="none"/>
                <w:lang w:val="en-US" w:eastAsia="zh-CN" w:bidi="ar"/>
              </w:rPr>
              <w:t>500m范围内无自然保护区、风景名胜区、文化区</w:t>
            </w:r>
            <w:r>
              <w:rPr>
                <w:rFonts w:hint="eastAsia" w:ascii="Times New Roman" w:hAnsi="Times New Roman" w:eastAsia="宋体" w:cs="Times New Roman"/>
                <w:color w:val="auto"/>
                <w:kern w:val="0"/>
                <w:sz w:val="24"/>
                <w:szCs w:val="24"/>
                <w:highlight w:val="none"/>
                <w:lang w:val="en-US" w:eastAsia="zh-CN" w:bidi="ar"/>
              </w:rPr>
              <w:t>，项目的建设不会对生物多样性产生影响</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44"/>
                <w:sz w:val="24"/>
              </w:rPr>
              <w:t>运营期</w:t>
            </w:r>
            <w:r>
              <w:rPr>
                <w:rFonts w:hint="eastAsia" w:ascii="Times New Roman" w:hAnsi="Times New Roman" w:cs="Times New Roman"/>
                <w:color w:val="auto"/>
                <w:kern w:val="44"/>
                <w:sz w:val="24"/>
                <w:lang w:val="en-US" w:eastAsia="zh-CN"/>
              </w:rPr>
              <w:t>库房封闭、</w:t>
            </w:r>
            <w:r>
              <w:rPr>
                <w:rFonts w:hint="default" w:ascii="Times New Roman" w:hAnsi="Times New Roman" w:cs="Times New Roman"/>
                <w:color w:val="auto"/>
                <w:kern w:val="44"/>
                <w:sz w:val="24"/>
              </w:rPr>
              <w:t>地面硬化</w:t>
            </w:r>
            <w:r>
              <w:rPr>
                <w:rFonts w:hint="eastAsia" w:ascii="Times New Roman" w:hAnsi="Times New Roman" w:cs="Times New Roman"/>
                <w:color w:val="auto"/>
                <w:kern w:val="44"/>
                <w:sz w:val="24"/>
                <w:lang w:eastAsia="zh-CN"/>
              </w:rPr>
              <w:t>、</w:t>
            </w:r>
            <w:r>
              <w:rPr>
                <w:rFonts w:hint="eastAsia" w:ascii="Times New Roman" w:hAnsi="Times New Roman" w:cs="Times New Roman"/>
                <w:color w:val="auto"/>
                <w:kern w:val="44"/>
                <w:sz w:val="24"/>
                <w:lang w:val="en-US" w:eastAsia="zh-CN"/>
              </w:rPr>
              <w:t>加强绿化</w:t>
            </w:r>
            <w:r>
              <w:rPr>
                <w:rFonts w:hint="default" w:ascii="Times New Roman" w:hAnsi="Times New Roman" w:cs="Times New Roman"/>
                <w:color w:val="auto"/>
                <w:kern w:val="44"/>
                <w:sz w:val="24"/>
              </w:rPr>
              <w:t>，符合《承德市城市总体规划》（2016-2030）中生态功能区划中该区域建设方向及措施相关要求。</w:t>
            </w:r>
          </w:p>
          <w:p>
            <w:pPr>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2</w:t>
            </w:r>
            <w:r>
              <w:rPr>
                <w:rFonts w:hint="eastAsia"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康保县等坝上六县国家重点生态功能区产业准入负面清单（试行）</w:t>
            </w:r>
            <w:r>
              <w:rPr>
                <w:rFonts w:hint="eastAsia"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符合性分析</w:t>
            </w: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lang w:val="en-US" w:eastAsia="zh-CN"/>
              </w:rPr>
            </w:pPr>
            <w:r>
              <w:rPr>
                <w:rFonts w:hint="eastAsia" w:ascii="Times New Roman" w:hAnsi="Times New Roman" w:cs="Times New Roman"/>
                <w:color w:val="auto"/>
                <w:kern w:val="44"/>
                <w:sz w:val="24"/>
                <w:lang w:val="en-US" w:eastAsia="zh-CN"/>
              </w:rPr>
              <w:t>根据《康保县等坝上六县国家重点生态功能区产业准入负面清单（试行）》—围场满族蒙古族自治县产业准入负面清单，D电力、热力、燃气及水生产和供应业管控要求—①新建项目仅限布局在草地、未利用地、盐碱地、荒山荒坡等区域（户用分布式除外）且符合发展规划；②全县太阳能发电发展规模不超过总装机容量370万千瓦；③新建项目对生态系统造成影响的，自项目竣工后限期一个年度内进行植被恢复治理；④现有项目对生态造成破坏的，立即治理恢复。</w:t>
            </w: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lang w:val="en-US" w:eastAsia="zh-CN"/>
              </w:rPr>
            </w:pPr>
            <w:r>
              <w:rPr>
                <w:rFonts w:hint="eastAsia" w:ascii="Times New Roman" w:hAnsi="Times New Roman" w:cs="Times New Roman"/>
                <w:color w:val="auto"/>
                <w:kern w:val="44"/>
                <w:sz w:val="24"/>
                <w:lang w:val="en-US" w:eastAsia="zh-CN"/>
              </w:rPr>
              <w:t>本项目占地面积</w:t>
            </w:r>
            <w:r>
              <w:rPr>
                <w:rFonts w:hint="eastAsia" w:ascii="Times New Roman" w:hAnsi="Times New Roman" w:eastAsia="宋体" w:cs="Times New Roman"/>
                <w:color w:val="auto"/>
                <w:sz w:val="24"/>
                <w:szCs w:val="24"/>
                <w:highlight w:val="none"/>
                <w:lang w:val="en-US" w:eastAsia="zh-CN"/>
              </w:rPr>
              <w:t>16647.63</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为工业用地，</w:t>
            </w:r>
            <w:r>
              <w:rPr>
                <w:rFonts w:hint="eastAsia" w:ascii="Times New Roman" w:hAnsi="Times New Roman" w:cs="Times New Roman"/>
                <w:color w:val="auto"/>
                <w:kern w:val="44"/>
                <w:sz w:val="24"/>
                <w:lang w:val="en-US" w:eastAsia="zh-CN"/>
              </w:rPr>
              <w:t>符合《康保县等坝上六县国家重点生态功能区产业准入负面清单（试行）》的要求。</w:t>
            </w:r>
          </w:p>
          <w:p>
            <w:pPr>
              <w:numPr>
                <w:ilvl w:val="0"/>
                <w:numId w:val="0"/>
              </w:numPr>
              <w:autoSpaceDE w:val="0"/>
              <w:autoSpaceDN w:val="0"/>
              <w:adjustRightInd w:val="0"/>
              <w:snapToGrid w:val="0"/>
              <w:spacing w:line="360" w:lineRule="auto"/>
              <w:ind w:firstLine="482" w:firstLineChars="200"/>
              <w:jc w:val="left"/>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《承德市重点水源涵养生态功能保护区规划》</w:t>
            </w:r>
          </w:p>
          <w:p>
            <w:pPr>
              <w:spacing w:line="360" w:lineRule="auto"/>
              <w:ind w:firstLine="480"/>
              <w:rPr>
                <w:rFonts w:ascii="Times New Roman" w:hAnsi="Times New Roman"/>
                <w:color w:val="auto"/>
                <w:sz w:val="24"/>
                <w:szCs w:val="24"/>
                <w:highlight w:val="none"/>
              </w:rPr>
            </w:pPr>
            <w:r>
              <w:rPr>
                <w:rFonts w:ascii="Times New Roman" w:hAnsi="Times New Roman"/>
                <w:color w:val="auto"/>
                <w:sz w:val="24"/>
                <w:szCs w:val="24"/>
                <w:highlight w:val="none"/>
              </w:rPr>
              <w:t>承德市重点水源涵养生态功能保护区在承德市的八县二区均有分布，涉及滦平县、隆化县、丰宁县、围场县、兴隆县、平泉县、宽城县、承德县、双桥区、双滦区，</w:t>
            </w:r>
            <w:r>
              <w:rPr>
                <w:rFonts w:hint="eastAsia" w:ascii="Times New Roman" w:hAnsi="Times New Roman"/>
                <w:color w:val="auto"/>
                <w:sz w:val="24"/>
                <w:szCs w:val="24"/>
                <w:highlight w:val="none"/>
                <w:lang w:eastAsia="zh-CN"/>
              </w:rPr>
              <w:t>包含</w:t>
            </w:r>
            <w:r>
              <w:rPr>
                <w:rFonts w:ascii="Times New Roman" w:hAnsi="Times New Roman"/>
                <w:color w:val="auto"/>
                <w:sz w:val="24"/>
                <w:szCs w:val="24"/>
                <w:highlight w:val="none"/>
              </w:rPr>
              <w:t>61个乡镇，保护区总面积8015.92km</w:t>
            </w:r>
            <w:r>
              <w:rPr>
                <w:rFonts w:ascii="Times New Roman" w:hAnsi="Times New Roman"/>
                <w:color w:val="auto"/>
                <w:sz w:val="24"/>
                <w:szCs w:val="24"/>
                <w:highlight w:val="none"/>
                <w:vertAlign w:val="superscript"/>
              </w:rPr>
              <w:t>2</w:t>
            </w:r>
            <w:r>
              <w:rPr>
                <w:rFonts w:ascii="Times New Roman" w:hAnsi="Times New Roman"/>
                <w:color w:val="auto"/>
                <w:sz w:val="24"/>
                <w:szCs w:val="24"/>
                <w:highlight w:val="none"/>
              </w:rPr>
              <w:t>。</w:t>
            </w:r>
          </w:p>
          <w:p>
            <w:pPr>
              <w:spacing w:line="360" w:lineRule="auto"/>
              <w:ind w:firstLine="480"/>
              <w:rPr>
                <w:rFonts w:hint="eastAsia" w:ascii="Times New Roman" w:hAnsi="Times New Roman"/>
                <w:color w:val="auto"/>
                <w:sz w:val="24"/>
                <w:szCs w:val="24"/>
                <w:highlight w:val="none"/>
                <w:lang w:eastAsia="zh-CN"/>
              </w:rPr>
            </w:pPr>
            <w:r>
              <w:rPr>
                <w:rFonts w:ascii="Times New Roman" w:hAnsi="Times New Roman"/>
                <w:color w:val="auto"/>
                <w:sz w:val="24"/>
                <w:szCs w:val="24"/>
                <w:highlight w:val="none"/>
              </w:rPr>
              <w:t>承德市重点水源涵养生态功能保护区分布一览表（</w:t>
            </w:r>
            <w:r>
              <w:rPr>
                <w:rFonts w:hint="eastAsia" w:ascii="Times New Roman" w:hAnsi="Times New Roman"/>
                <w:color w:val="auto"/>
                <w:sz w:val="24"/>
                <w:szCs w:val="24"/>
                <w:highlight w:val="none"/>
                <w:lang w:val="en-US" w:eastAsia="zh-CN"/>
              </w:rPr>
              <w:t>围场</w:t>
            </w:r>
            <w:r>
              <w:rPr>
                <w:rFonts w:ascii="Times New Roman" w:hAnsi="Times New Roman"/>
                <w:color w:val="auto"/>
                <w:sz w:val="24"/>
                <w:szCs w:val="24"/>
                <w:highlight w:val="none"/>
              </w:rPr>
              <w:t>县）见下表</w:t>
            </w:r>
            <w:r>
              <w:rPr>
                <w:rFonts w:hint="eastAsia" w:ascii="Times New Roman" w:hAnsi="Times New Roman"/>
                <w:color w:val="auto"/>
                <w:sz w:val="24"/>
                <w:szCs w:val="24"/>
                <w:highlight w:val="none"/>
                <w:lang w:eastAsia="zh-CN"/>
              </w:rPr>
              <w:t>：</w:t>
            </w:r>
          </w:p>
          <w:p>
            <w:pPr>
              <w:pStyle w:val="62"/>
              <w:keepNext w:val="0"/>
              <w:keepLines w:val="0"/>
              <w:pageBreakBefore w:val="0"/>
              <w:widowControl w:val="0"/>
              <w:numPr>
                <w:ilvl w:val="0"/>
                <w:numId w:val="4"/>
              </w:numPr>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承德市重点水源涵养生态功能保护区分布一览表（</w:t>
            </w:r>
            <w:r>
              <w:rPr>
                <w:rFonts w:hint="eastAsia" w:ascii="Times New Roman" w:hAnsi="Times New Roman" w:eastAsia="宋体" w:cs="Times New Roman"/>
                <w:b/>
                <w:bCs/>
                <w:color w:val="auto"/>
                <w:szCs w:val="21"/>
                <w:highlight w:val="none"/>
                <w:lang w:val="en-US" w:eastAsia="zh-CN"/>
              </w:rPr>
              <w:t>围场</w:t>
            </w:r>
            <w:r>
              <w:rPr>
                <w:rFonts w:hint="eastAsia" w:ascii="Times New Roman" w:hAnsi="Times New Roman" w:eastAsia="宋体" w:cs="Times New Roman"/>
                <w:b/>
                <w:bCs/>
                <w:color w:val="auto"/>
                <w:szCs w:val="21"/>
                <w:highlight w:val="none"/>
              </w:rPr>
              <w:t>县）</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2045"/>
              <w:gridCol w:w="3290"/>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bCs/>
                      <w:color w:val="auto"/>
                    </w:rPr>
                  </w:pPr>
                  <w:r>
                    <w:rPr>
                      <w:rFonts w:ascii="Times New Roman" w:hAnsi="Times New Roman"/>
                      <w:b/>
                      <w:bCs/>
                      <w:color w:val="auto"/>
                    </w:rPr>
                    <w:t>所属县</w:t>
                  </w:r>
                </w:p>
              </w:tc>
              <w:tc>
                <w:tcPr>
                  <w:tcW w:w="1250"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auto"/>
                    </w:rPr>
                  </w:pPr>
                  <w:r>
                    <w:rPr>
                      <w:rFonts w:ascii="Times New Roman" w:hAnsi="Times New Roman"/>
                      <w:b/>
                      <w:bCs/>
                      <w:color w:val="auto"/>
                    </w:rPr>
                    <w:t>乡镇名称</w:t>
                  </w:r>
                </w:p>
              </w:tc>
              <w:tc>
                <w:tcPr>
                  <w:tcW w:w="2011"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auto"/>
                    </w:rPr>
                  </w:pPr>
                  <w:r>
                    <w:rPr>
                      <w:rFonts w:ascii="Times New Roman" w:hAnsi="Times New Roman"/>
                      <w:b/>
                      <w:bCs/>
                      <w:color w:val="auto"/>
                    </w:rPr>
                    <w:t>范围描述</w:t>
                  </w:r>
                </w:p>
              </w:tc>
              <w:tc>
                <w:tcPr>
                  <w:tcW w:w="859"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bCs/>
                      <w:color w:val="auto"/>
                    </w:rPr>
                  </w:pPr>
                  <w:r>
                    <w:rPr>
                      <w:rFonts w:ascii="Times New Roman" w:hAnsi="Times New Roman"/>
                      <w:b/>
                      <w:bCs/>
                      <w:color w:val="auto"/>
                    </w:rPr>
                    <w:t>面积（km</w:t>
                  </w:r>
                  <w:r>
                    <w:rPr>
                      <w:rFonts w:ascii="Times New Roman" w:hAnsi="Times New Roman"/>
                      <w:b/>
                      <w:bCs/>
                      <w:color w:val="auto"/>
                      <w:vertAlign w:val="superscript"/>
                    </w:rPr>
                    <w:t>2</w:t>
                  </w:r>
                  <w:r>
                    <w:rPr>
                      <w:rFonts w:ascii="Times New Roman" w:hAnsi="Times New Roman"/>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78" w:type="pct"/>
                  <w:vMerge w:val="restart"/>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color w:val="auto"/>
                      <w:lang w:val="en-US" w:eastAsia="zh-CN"/>
                    </w:rPr>
                  </w:pPr>
                  <w:r>
                    <w:rPr>
                      <w:rFonts w:hint="eastAsia" w:ascii="Times New Roman" w:hAnsi="Times New Roman"/>
                      <w:color w:val="auto"/>
                      <w:lang w:val="en-US" w:eastAsia="zh-CN"/>
                    </w:rPr>
                    <w:t>围场县</w:t>
                  </w:r>
                </w:p>
                <w:p>
                  <w:pPr>
                    <w:jc w:val="center"/>
                    <w:rPr>
                      <w:rFonts w:ascii="Times New Roman" w:hAnsi="Times New Roman"/>
                      <w:color w:val="auto"/>
                    </w:rPr>
                  </w:pPr>
                  <w:r>
                    <w:rPr>
                      <w:rFonts w:hint="eastAsia" w:ascii="Times New Roman" w:hAnsi="Times New Roman"/>
                      <w:color w:val="auto"/>
                      <w:lang w:val="en-US" w:eastAsia="zh-CN"/>
                    </w:rPr>
                    <w:t>351.5</w:t>
                  </w:r>
                  <w:r>
                    <w:rPr>
                      <w:rFonts w:ascii="Times New Roman" w:hAnsi="Times New Roman"/>
                      <w:color w:val="auto"/>
                    </w:rPr>
                    <w:t>km</w:t>
                  </w:r>
                  <w:r>
                    <w:rPr>
                      <w:rFonts w:ascii="Times New Roman" w:hAnsi="Times New Roman"/>
                      <w:color w:val="auto"/>
                      <w:vertAlign w:val="superscript"/>
                    </w:rPr>
                    <w:t>2</w:t>
                  </w:r>
                </w:p>
              </w:tc>
              <w:tc>
                <w:tcPr>
                  <w:tcW w:w="1250" w:type="pct"/>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Theme="minorEastAsia"/>
                      <w:color w:val="auto"/>
                      <w:lang w:val="en-US" w:eastAsia="zh-CN"/>
                    </w:rPr>
                  </w:pPr>
                  <w:r>
                    <w:rPr>
                      <w:rFonts w:hint="eastAsia" w:ascii="Times New Roman" w:hAnsi="Times New Roman"/>
                      <w:color w:val="auto"/>
                      <w:lang w:val="en-US" w:eastAsia="zh-CN"/>
                    </w:rPr>
                    <w:t>黄土坎乡</w:t>
                  </w:r>
                </w:p>
              </w:tc>
              <w:tc>
                <w:tcPr>
                  <w:tcW w:w="2011"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Theme="minorEastAsia"/>
                      <w:color w:val="auto"/>
                      <w:lang w:val="en-US" w:eastAsia="zh-CN"/>
                    </w:rPr>
                  </w:pPr>
                  <w:r>
                    <w:rPr>
                      <w:rFonts w:hint="eastAsia" w:ascii="Times New Roman" w:hAnsi="Times New Roman"/>
                      <w:color w:val="auto"/>
                      <w:lang w:val="en-US" w:eastAsia="zh-CN"/>
                    </w:rPr>
                    <w:t>乡镇全部范围</w:t>
                  </w:r>
                </w:p>
              </w:tc>
              <w:tc>
                <w:tcPr>
                  <w:tcW w:w="859"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Theme="minorEastAsia"/>
                      <w:color w:val="auto"/>
                      <w:lang w:val="en-US" w:eastAsia="zh-CN"/>
                    </w:rPr>
                  </w:pPr>
                  <w:r>
                    <w:rPr>
                      <w:rFonts w:hint="eastAsia" w:ascii="Times New Roman" w:hAnsi="Times New Roman"/>
                      <w:color w:val="auto"/>
                      <w:lang w:val="en-US" w:eastAsia="zh-CN"/>
                    </w:rPr>
                    <w:t>250.03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8"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auto"/>
                      <w:szCs w:val="21"/>
                    </w:rPr>
                  </w:pPr>
                </w:p>
              </w:tc>
              <w:tc>
                <w:tcPr>
                  <w:tcW w:w="1250" w:type="pct"/>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Theme="minorEastAsia"/>
                      <w:color w:val="auto"/>
                      <w:lang w:val="en-US" w:eastAsia="zh-CN"/>
                    </w:rPr>
                  </w:pPr>
                  <w:r>
                    <w:rPr>
                      <w:rFonts w:hint="eastAsia" w:ascii="Times New Roman" w:hAnsi="Times New Roman"/>
                      <w:color w:val="auto"/>
                      <w:lang w:val="en-US" w:eastAsia="zh-CN"/>
                    </w:rPr>
                    <w:t>四道沟乡</w:t>
                  </w:r>
                </w:p>
              </w:tc>
              <w:tc>
                <w:tcPr>
                  <w:tcW w:w="2011" w:type="pct"/>
                  <w:tcBorders>
                    <w:top w:val="single" w:color="auto" w:sz="4" w:space="0"/>
                    <w:left w:val="nil"/>
                    <w:bottom w:val="single" w:color="auto" w:sz="4" w:space="0"/>
                    <w:right w:val="single" w:color="auto" w:sz="4" w:space="0"/>
                  </w:tcBorders>
                  <w:vAlign w:val="center"/>
                </w:tcPr>
                <w:p>
                  <w:pPr>
                    <w:autoSpaceDE w:val="0"/>
                    <w:autoSpaceDN w:val="0"/>
                    <w:jc w:val="center"/>
                    <w:rPr>
                      <w:rFonts w:ascii="Times New Roman" w:hAnsi="Times New Roman"/>
                      <w:color w:val="auto"/>
                    </w:rPr>
                  </w:pPr>
                  <w:r>
                    <w:rPr>
                      <w:rFonts w:hint="eastAsia" w:ascii="Times New Roman" w:hAnsi="Times New Roman"/>
                      <w:color w:val="auto"/>
                      <w:lang w:val="en-US" w:eastAsia="zh-CN"/>
                    </w:rPr>
                    <w:t>乡镇全部范围</w:t>
                  </w:r>
                </w:p>
              </w:tc>
              <w:tc>
                <w:tcPr>
                  <w:tcW w:w="859"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Theme="minorEastAsia"/>
                      <w:color w:val="auto"/>
                      <w:lang w:val="en-US" w:eastAsia="zh-CN"/>
                    </w:rPr>
                  </w:pPr>
                  <w:r>
                    <w:rPr>
                      <w:rFonts w:hint="eastAsia" w:ascii="Times New Roman" w:hAnsi="Times New Roman"/>
                      <w:color w:val="auto"/>
                      <w:lang w:val="en-US" w:eastAsia="zh-CN"/>
                    </w:rPr>
                    <w:t>101.47</w:t>
                  </w:r>
                </w:p>
              </w:tc>
            </w:tr>
          </w:tbl>
          <w:p>
            <w:pPr>
              <w:pStyle w:val="32"/>
              <w:numPr>
                <w:ilvl w:val="0"/>
                <w:numId w:val="0"/>
              </w:numPr>
              <w:jc w:val="center"/>
              <w:rPr>
                <w:rFonts w:hint="eastAsia" w:eastAsia="宋体"/>
                <w:color w:val="auto"/>
                <w:lang w:val="en-US" w:eastAsia="zh-CN"/>
              </w:rPr>
            </w:pP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1315085</wp:posOffset>
                      </wp:positionH>
                      <wp:positionV relativeFrom="paragraph">
                        <wp:posOffset>1740535</wp:posOffset>
                      </wp:positionV>
                      <wp:extent cx="887730" cy="262890"/>
                      <wp:effectExtent l="6350" t="8890" r="210820" b="13970"/>
                      <wp:wrapNone/>
                      <wp:docPr id="23" name="自选图形 19"/>
                      <wp:cNvGraphicFramePr/>
                      <a:graphic xmlns:a="http://schemas.openxmlformats.org/drawingml/2006/main">
                        <a:graphicData uri="http://schemas.microsoft.com/office/word/2010/wordprocessingShape">
                          <wps:wsp>
                            <wps:cNvSpPr/>
                            <wps:spPr>
                              <a:xfrm>
                                <a:off x="0" y="0"/>
                                <a:ext cx="887730" cy="262890"/>
                              </a:xfrm>
                              <a:prstGeom prst="wedgeRoundRectCallout">
                                <a:avLst>
                                  <a:gd name="adj1" fmla="val 68426"/>
                                  <a:gd name="adj2" fmla="val -47796"/>
                                  <a:gd name="adj3" fmla="val 16667"/>
                                </a:avLst>
                              </a:prstGeom>
                              <a:solidFill>
                                <a:srgbClr val="FFFFFF"/>
                              </a:solidFill>
                              <a:ln w="12700" cap="flat" cmpd="sng">
                                <a:solidFill>
                                  <a:srgbClr val="FF0000"/>
                                </a:solidFill>
                                <a:prstDash val="solid"/>
                                <a:miter/>
                                <a:headEnd type="none" w="med" len="med"/>
                                <a:tailEnd type="none" w="med" len="med"/>
                              </a:ln>
                            </wps:spPr>
                            <wps:txbx>
                              <w:txbxContent>
                                <w:p>
                                  <w:pPr>
                                    <w:snapToGrid w:val="0"/>
                                    <w:spacing w:line="360" w:lineRule="auto"/>
                                    <w:jc w:val="center"/>
                                    <w:rPr>
                                      <w:color w:val="FF0000"/>
                                      <w:szCs w:val="21"/>
                                    </w:rPr>
                                  </w:pPr>
                                  <w:r>
                                    <w:rPr>
                                      <w:rFonts w:hint="eastAsia"/>
                                      <w:color w:val="FF0000"/>
                                      <w:szCs w:val="21"/>
                                    </w:rPr>
                                    <w:t>项目选址</w:t>
                                  </w:r>
                                </w:p>
                              </w:txbxContent>
                            </wps:txbx>
                            <wps:bodyPr lIns="18000" tIns="45720" rIns="18000" bIns="45720" anchor="ctr" anchorCtr="0" upright="1"/>
                          </wps:wsp>
                        </a:graphicData>
                      </a:graphic>
                    </wp:anchor>
                  </w:drawing>
                </mc:Choice>
                <mc:Fallback>
                  <w:pict>
                    <v:shape id="自选图形 19" o:spid="_x0000_s1026" o:spt="62" type="#_x0000_t62" style="position:absolute;left:0pt;margin-left:103.55pt;margin-top:137.05pt;height:20.7pt;width:69.9pt;z-index:251665408;v-text-anchor:middle;mso-width-relative:page;mso-height-relative:page;" fillcolor="#FFFFFF" filled="t" stroked="t" coordsize="21600,21600" o:gfxdata="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Jm5Pe2QAAAAsBAAAPAAAAAAAAAAEAIAAAACIAAABkcnMvZG93bnJl&#10;di54bWxQSwECFAAUAAAACACHTuJAZlO8h24CAAAHBQAADgAAAAAAAAABACAAAAAoAQAAZHJzL2Uy&#10;b0RvYy54bWxQSwUGAAAAAAYABgBZAQAACAYAAAAA&#10;" adj="25580,476,14400">
                      <v:fill on="t" focussize="0,0"/>
                      <v:stroke weight="1pt" color="#FF0000" joinstyle="miter"/>
                      <v:imagedata o:title=""/>
                      <o:lock v:ext="edit" aspectratio="f"/>
                      <v:textbox inset="0.5mm,1.27mm,0.5mm,1.27mm">
                        <w:txbxContent>
                          <w:p>
                            <w:pPr>
                              <w:snapToGrid w:val="0"/>
                              <w:spacing w:line="360" w:lineRule="auto"/>
                              <w:jc w:val="center"/>
                              <w:rPr>
                                <w:color w:val="FF0000"/>
                                <w:szCs w:val="21"/>
                              </w:rPr>
                            </w:pPr>
                            <w:r>
                              <w:rPr>
                                <w:rFonts w:hint="eastAsia"/>
                                <w:color w:val="FF0000"/>
                                <w:szCs w:val="21"/>
                              </w:rPr>
                              <w:t>项目选址</w:t>
                            </w:r>
                          </w:p>
                        </w:txbxContent>
                      </v:textbox>
                    </v:shape>
                  </w:pict>
                </mc:Fallback>
              </mc:AlternateContent>
            </w:r>
            <w:r>
              <w:rPr>
                <w:rFonts w:hint="eastAsia" w:eastAsia="宋体"/>
                <w:color w:val="auto"/>
                <w:lang w:val="en-US" w:eastAsia="zh-CN"/>
              </w:rPr>
              <w:drawing>
                <wp:inline distT="0" distB="0" distL="114300" distR="114300">
                  <wp:extent cx="5185410" cy="5969000"/>
                  <wp:effectExtent l="9525" t="9525" r="24765" b="22225"/>
                  <wp:docPr id="13" name="图片 13" descr="承德市重点水源涵养生态功能保护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承德市重点水源涵养生态功能保护区分布图"/>
                          <pic:cNvPicPr>
                            <a:picLocks noChangeAspect="1"/>
                          </pic:cNvPicPr>
                        </pic:nvPicPr>
                        <pic:blipFill>
                          <a:blip r:embed="rId10"/>
                          <a:stretch>
                            <a:fillRect/>
                          </a:stretch>
                        </pic:blipFill>
                        <pic:spPr>
                          <a:xfrm>
                            <a:off x="0" y="0"/>
                            <a:ext cx="5185410" cy="5969000"/>
                          </a:xfrm>
                          <a:prstGeom prst="rect">
                            <a:avLst/>
                          </a:prstGeom>
                          <a:ln w="3175">
                            <a:solidFill>
                              <a:schemeClr val="tx1"/>
                            </a:solidFill>
                          </a:ln>
                        </pic:spPr>
                      </pic:pic>
                    </a:graphicData>
                  </a:graphic>
                </wp:inline>
              </w:drawing>
            </w:r>
          </w:p>
          <w:p>
            <w:pPr>
              <w:pStyle w:val="62"/>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承德市重点水源涵养生态功能保护区分布图</w:t>
            </w:r>
          </w:p>
          <w:p>
            <w:pPr>
              <w:autoSpaceDE w:val="0"/>
              <w:autoSpaceDN w:val="0"/>
              <w:adjustRightInd w:val="0"/>
              <w:snapToGrid w:val="0"/>
              <w:spacing w:line="360" w:lineRule="auto"/>
              <w:ind w:firstLine="480" w:firstLineChars="200"/>
              <w:jc w:val="left"/>
              <w:rPr>
                <w:rFonts w:hint="default" w:ascii="Times New Roman" w:hAnsi="Times New Roman" w:cs="Times New Roman"/>
                <w:b/>
                <w:bCs/>
                <w:color w:val="auto"/>
                <w:sz w:val="24"/>
                <w:highlight w:val="none"/>
              </w:rPr>
            </w:pPr>
            <w:r>
              <w:rPr>
                <w:rFonts w:hint="eastAsia" w:ascii="Times New Roman" w:hAnsi="Times New Roman"/>
                <w:color w:val="auto"/>
                <w:kern w:val="44"/>
                <w:sz w:val="24"/>
                <w:szCs w:val="24"/>
              </w:rPr>
              <w:t>项目占地范围不在承德市重点水源涵养生态功能保护区内，同时通过采取一系列水土保持工程措施、生态恢复工程措施和污染防治工程措施，不与重点水源涵养生态功能保护相冲突，符合《承德市重点水源涵养生态功能保护区规划》的相关要求。</w:t>
            </w:r>
          </w:p>
          <w:p>
            <w:pPr>
              <w:autoSpaceDE w:val="0"/>
              <w:autoSpaceDN w:val="0"/>
              <w:adjustRightInd w:val="0"/>
              <w:snapToGrid w:val="0"/>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w:t>
            </w:r>
            <w:r>
              <w:rPr>
                <w:rFonts w:hint="eastAsia"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w:t>
            </w:r>
            <w:r>
              <w:rPr>
                <w:rFonts w:hint="default" w:ascii="Times New Roman" w:hAnsi="Times New Roman" w:eastAsia="宋体" w:cs="Times New Roman"/>
                <w:b/>
                <w:bCs/>
                <w:color w:val="auto"/>
                <w:kern w:val="0"/>
                <w:sz w:val="24"/>
                <w:szCs w:val="24"/>
                <w:highlight w:val="none"/>
                <w:lang w:val="en-US" w:eastAsia="zh-CN" w:bidi="ar"/>
              </w:rPr>
              <w:t>《河北省生态环境保护“十四五”规划》</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highlight w:val="none"/>
              </w:rPr>
            </w:pPr>
            <w:r>
              <w:rPr>
                <w:rFonts w:hint="default" w:ascii="Times New Roman" w:hAnsi="Times New Roman" w:cs="Times New Roman"/>
                <w:color w:val="auto"/>
                <w:kern w:val="44"/>
                <w:sz w:val="24"/>
                <w:highlight w:val="none"/>
                <w:lang w:val="en-US" w:eastAsia="zh-CN"/>
              </w:rPr>
              <w:t>《河北省生态环境保护“十四五”规划》指出：</w:t>
            </w:r>
            <w:r>
              <w:rPr>
                <w:rFonts w:hint="eastAsia" w:ascii="Times New Roman" w:hAnsi="Times New Roman" w:cs="Times New Roman"/>
                <w:color w:val="auto"/>
                <w:kern w:val="44"/>
                <w:sz w:val="24"/>
                <w:highlight w:val="none"/>
              </w:rPr>
              <w:t>实施终端用能清洁化替代。建设产业集群集中供汽供热或清洁低碳能源中心，推动锅炉和工业炉窑使用清洁低碳能源或利用工厂余热、电厂热力。有序推进清洁取暖，实施农村清洁取暖农户动态管理，规范“新增”和“退出”农户标准、程序，建立健全维修服务体系，基本完成种养殖业及农副产品加工业燃煤设施清洁能源替代。加强煤炭等化石能源清洁高效利用，提升煤矿洗选技术水平，煤矿原煤入选率保持在90%以上。</w:t>
            </w:r>
            <w:r>
              <w:rPr>
                <w:rFonts w:hint="eastAsia" w:ascii="Times New Roman" w:hAnsi="Times New Roman" w:cs="Times New Roman"/>
                <w:color w:val="auto"/>
                <w:kern w:val="44"/>
                <w:sz w:val="24"/>
                <w:highlight w:val="none"/>
                <w:lang w:val="en-US" w:eastAsia="zh-CN"/>
              </w:rPr>
              <w:t>本项目使用生物质为燃料，</w:t>
            </w:r>
            <w:r>
              <w:rPr>
                <w:rFonts w:hint="default" w:ascii="Times New Roman" w:hAnsi="Times New Roman" w:cs="Times New Roman"/>
                <w:color w:val="auto"/>
                <w:kern w:val="44"/>
                <w:sz w:val="24"/>
                <w:highlight w:val="none"/>
                <w:lang w:val="en-US" w:eastAsia="zh-CN"/>
              </w:rPr>
              <w:t>符合《河北省生态环境保护“十</w:t>
            </w:r>
            <w:r>
              <w:rPr>
                <w:rFonts w:hint="eastAsia" w:ascii="Times New Roman" w:hAnsi="Times New Roman" w:cs="Times New Roman"/>
                <w:color w:val="auto"/>
                <w:kern w:val="44"/>
                <w:sz w:val="24"/>
                <w:highlight w:val="none"/>
                <w:lang w:val="en-US" w:eastAsia="zh-CN"/>
              </w:rPr>
              <w:t>四</w:t>
            </w:r>
            <w:r>
              <w:rPr>
                <w:rFonts w:hint="default" w:ascii="Times New Roman" w:hAnsi="Times New Roman" w:cs="Times New Roman"/>
                <w:color w:val="auto"/>
                <w:kern w:val="44"/>
                <w:sz w:val="24"/>
                <w:highlight w:val="none"/>
                <w:lang w:val="en-US" w:eastAsia="zh-CN"/>
              </w:rPr>
              <w:t>五”规划》中的相关要求。</w:t>
            </w:r>
          </w:p>
          <w:p>
            <w:pPr>
              <w:autoSpaceDE w:val="0"/>
              <w:autoSpaceDN w:val="0"/>
              <w:adjustRightInd w:val="0"/>
              <w:snapToGrid w:val="0"/>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w:t>
            </w:r>
            <w:r>
              <w:rPr>
                <w:rFonts w:hint="eastAsia"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rPr>
              <w:t>）</w:t>
            </w:r>
            <w:r>
              <w:rPr>
                <w:rFonts w:hint="default" w:ascii="Times New Roman" w:hAnsi="Times New Roman" w:eastAsia="宋体" w:cs="Times New Roman"/>
                <w:b/>
                <w:bCs/>
                <w:color w:val="auto"/>
                <w:kern w:val="0"/>
                <w:sz w:val="24"/>
                <w:szCs w:val="24"/>
                <w:highlight w:val="none"/>
                <w:lang w:val="en-US" w:eastAsia="zh-CN" w:bidi="ar"/>
              </w:rPr>
              <w:t>《承德市生态环境保护“十四五”规划》</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44"/>
                <w:sz w:val="24"/>
                <w:highlight w:val="none"/>
                <w:lang w:val="en-US" w:eastAsia="zh-CN"/>
              </w:rPr>
              <w:t>《承德市生态环境保护</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十四五</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规划》指出：实施终端用能清洁化替代。</w:t>
            </w:r>
            <w:r>
              <w:rPr>
                <w:rFonts w:hint="eastAsia" w:ascii="Times New Roman" w:hAnsi="Times New Roman" w:cs="Times New Roman"/>
                <w:color w:val="auto"/>
                <w:kern w:val="44"/>
                <w:sz w:val="24"/>
                <w:highlight w:val="none"/>
                <w:lang w:val="en-US" w:eastAsia="zh-CN"/>
              </w:rPr>
              <w:t>建设产业集群集中供汽供热或清洁低碳能源中心，推动锅炉和工业炉窑使用清洁低碳能源或利用工厂余热、电厂热力。有序推进清洁取暖，到2025年，除不具备改造条件的偏远山区和坝上地区外，其他农村地区实现清洁取暖全覆盖，基本完成种养殖业及农副产品加工业燃煤设施清洁能源替代。本项目使用生物质为燃料，</w:t>
            </w:r>
            <w:r>
              <w:rPr>
                <w:rFonts w:hint="default" w:ascii="Times New Roman" w:hAnsi="Times New Roman" w:eastAsia="宋体" w:cs="Times New Roman"/>
                <w:color w:val="auto"/>
                <w:kern w:val="0"/>
                <w:sz w:val="24"/>
                <w:szCs w:val="24"/>
                <w:highlight w:val="none"/>
                <w:lang w:val="en-US" w:eastAsia="zh-CN" w:bidi="ar"/>
              </w:rPr>
              <w:t>符合《承德市生态环境保护“十四五”规划》中的相关要求</w:t>
            </w:r>
            <w:r>
              <w:rPr>
                <w:rFonts w:hint="eastAsia" w:ascii="Times New Roman" w:hAnsi="Times New Roman" w:eastAsia="宋体" w:cs="Times New Roman"/>
                <w:color w:val="auto"/>
                <w:kern w:val="0"/>
                <w:sz w:val="24"/>
                <w:szCs w:val="24"/>
                <w:highlight w:val="none"/>
                <w:lang w:val="en-US" w:eastAsia="zh-CN" w:bidi="ar"/>
              </w:rPr>
              <w:t>。</w:t>
            </w:r>
          </w:p>
          <w:p>
            <w:pPr>
              <w:autoSpaceDE w:val="0"/>
              <w:autoSpaceDN w:val="0"/>
              <w:adjustRightInd w:val="0"/>
              <w:snapToGrid w:val="0"/>
              <w:spacing w:line="360" w:lineRule="auto"/>
              <w:ind w:firstLine="482" w:firstLineChars="200"/>
              <w:jc w:val="left"/>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（5）《河北围场经济开发区国土空间总体规划》（2023-2035）</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highlight w:val="none"/>
                <w:lang w:val="en-US" w:eastAsia="zh-CN"/>
              </w:rPr>
            </w:pPr>
            <w:r>
              <w:rPr>
                <w:rFonts w:hint="eastAsia" w:ascii="Times New Roman" w:hAnsi="Times New Roman" w:cs="Times New Roman"/>
                <w:color w:val="auto"/>
                <w:kern w:val="44"/>
                <w:sz w:val="24"/>
                <w:highlight w:val="none"/>
                <w:lang w:val="en-US" w:eastAsia="zh-CN"/>
              </w:rPr>
              <w:t>规划形成“一带多组团”的总体产业空间结构。推进开发区多组团的协同发展，共同推进围场开发区产业结构的转型升级。其中：</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highlight w:val="none"/>
                <w:lang w:val="en-US" w:eastAsia="zh-CN"/>
              </w:rPr>
            </w:pPr>
            <w:r>
              <w:rPr>
                <w:rFonts w:hint="eastAsia" w:ascii="Times New Roman" w:hAnsi="Times New Roman" w:cs="Times New Roman"/>
                <w:color w:val="auto"/>
                <w:kern w:val="44"/>
                <w:sz w:val="24"/>
                <w:highlight w:val="none"/>
                <w:lang w:val="en-US" w:eastAsia="zh-CN"/>
              </w:rPr>
              <w:t>“一带”指沿G111和S254连接而成的产业发展带。</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highlight w:val="none"/>
                <w:lang w:val="en-US" w:eastAsia="zh-CN"/>
              </w:rPr>
            </w:pPr>
            <w:r>
              <w:rPr>
                <w:rFonts w:hint="eastAsia" w:ascii="Times New Roman" w:hAnsi="Times New Roman" w:cs="Times New Roman"/>
                <w:color w:val="auto"/>
                <w:kern w:val="44"/>
                <w:sz w:val="24"/>
                <w:highlight w:val="none"/>
                <w:lang w:val="en-US" w:eastAsia="zh-CN"/>
              </w:rPr>
              <w:t>“多组团”指根据现状产业分布及规划发展，形成的包括农产品医药加工产业组团、汽贸货运产业组团、林木加工产业组团、智慧物流产业组团、科教研学产业组团、食品医药产业组团、新材料产业组团、物流工贸产业组团和智能制造产业组团形成的多个功能组团。</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highlight w:val="none"/>
                <w:lang w:val="en-US" w:eastAsia="zh-CN"/>
              </w:rPr>
            </w:pPr>
            <w:r>
              <w:rPr>
                <w:rFonts w:hint="eastAsia" w:ascii="Times New Roman" w:hAnsi="Times New Roman" w:cs="Times New Roman"/>
                <w:color w:val="auto"/>
                <w:kern w:val="44"/>
                <w:sz w:val="24"/>
                <w:highlight w:val="none"/>
                <w:lang w:val="en-US" w:eastAsia="zh-CN"/>
              </w:rPr>
              <w:t>农产品医药加工产业组团位于半截塔G111两侧，</w:t>
            </w:r>
            <w:r>
              <w:rPr>
                <w:rFonts w:hint="default" w:ascii="Times New Roman" w:hAnsi="Times New Roman" w:cs="Times New Roman"/>
                <w:color w:val="auto"/>
                <w:kern w:val="44"/>
                <w:sz w:val="24"/>
                <w:highlight w:val="none"/>
                <w:lang w:val="en-US" w:eastAsia="zh-CN"/>
              </w:rPr>
              <w:t>主要发展农副食品加工、中药饮片加工、中成药</w:t>
            </w:r>
            <w:r>
              <w:rPr>
                <w:rFonts w:hint="eastAsia" w:ascii="Times New Roman" w:hAnsi="Times New Roman" w:cs="Times New Roman"/>
                <w:color w:val="auto"/>
                <w:kern w:val="44"/>
                <w:sz w:val="24"/>
                <w:highlight w:val="none"/>
                <w:lang w:val="en-US" w:eastAsia="zh-CN"/>
              </w:rPr>
              <w:t>生产及酒、饮料和精制茶制造业。</w:t>
            </w: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r>
              <w:rPr>
                <w:rFonts w:hint="eastAsia" w:ascii="Times New Roman" w:hAnsi="Times New Roman" w:cs="Times New Roman"/>
                <w:color w:val="auto"/>
                <w:kern w:val="44"/>
                <w:sz w:val="24"/>
                <w:highlight w:val="none"/>
                <w:lang w:val="en-US" w:eastAsia="zh-CN"/>
              </w:rPr>
              <w:t>项目位于河北省承德市围场满族蒙古族自治县半截塔镇什八克村，属于北部经济活跃区内的农产品医药加工产业组团。</w:t>
            </w:r>
            <w:r>
              <w:rPr>
                <w:rFonts w:hint="default" w:ascii="Times New Roman" w:hAnsi="Times New Roman" w:cs="Times New Roman"/>
                <w:color w:val="auto"/>
                <w:kern w:val="21"/>
                <w:sz w:val="24"/>
                <w:szCs w:val="24"/>
                <w:lang w:val="en-US" w:eastAsia="zh-CN"/>
              </w:rPr>
              <w:t>本项目</w:t>
            </w:r>
            <w:r>
              <w:rPr>
                <w:rFonts w:hint="eastAsia" w:ascii="Times New Roman" w:hAnsi="Times New Roman" w:cs="Times New Roman"/>
                <w:color w:val="auto"/>
                <w:kern w:val="21"/>
                <w:sz w:val="24"/>
                <w:szCs w:val="24"/>
                <w:lang w:val="en-US" w:eastAsia="zh-CN"/>
              </w:rPr>
              <w:t>为承德市德德食品加工有限公司</w:t>
            </w:r>
            <w:r>
              <w:rPr>
                <w:rFonts w:hint="default" w:ascii="Times New Roman" w:hAnsi="Times New Roman" w:cs="Times New Roman"/>
                <w:color w:val="auto"/>
                <w:kern w:val="21"/>
                <w:sz w:val="24"/>
                <w:szCs w:val="24"/>
                <w:lang w:val="en-US" w:eastAsia="zh-CN"/>
              </w:rPr>
              <w:t>半截塔镇牛羊副食品加工项目</w:t>
            </w:r>
            <w:r>
              <w:rPr>
                <w:rFonts w:hint="eastAsia" w:ascii="Times New Roman" w:hAnsi="Times New Roman" w:cs="Times New Roman"/>
                <w:color w:val="auto"/>
                <w:kern w:val="21"/>
                <w:sz w:val="24"/>
                <w:szCs w:val="24"/>
                <w:lang w:val="en-US" w:eastAsia="zh-CN"/>
              </w:rPr>
              <w:t>重新报批项目，</w:t>
            </w:r>
            <w:r>
              <w:rPr>
                <w:rFonts w:hint="eastAsia" w:ascii="Times New Roman" w:hAnsi="Times New Roman" w:cs="Times New Roman"/>
                <w:color w:val="auto"/>
                <w:kern w:val="44"/>
                <w:sz w:val="24"/>
                <w:highlight w:val="none"/>
                <w:lang w:val="en-US" w:eastAsia="zh-CN"/>
              </w:rPr>
              <w:t>项目建设内容符合《河北围场经济开发区国土空间总体规划》（2023-2035）的相关要求。</w:t>
            </w:r>
          </w:p>
          <w:p>
            <w:pPr>
              <w:autoSpaceDE w:val="0"/>
              <w:autoSpaceDN w:val="0"/>
              <w:adjustRightInd w:val="0"/>
              <w:snapToGrid w:val="0"/>
              <w:spacing w:line="360" w:lineRule="auto"/>
              <w:ind w:firstLine="482" w:firstLineChars="200"/>
              <w:jc w:val="left"/>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（6）《中华人民共和国防沙治沙法》</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highlight w:val="none"/>
                <w:lang w:val="en-US" w:eastAsia="zh-CN"/>
              </w:rPr>
            </w:pPr>
            <w:r>
              <w:rPr>
                <w:rFonts w:hint="default" w:ascii="Times New Roman" w:hAnsi="Times New Roman" w:cs="Times New Roman"/>
                <w:color w:val="auto"/>
                <w:kern w:val="44"/>
                <w:sz w:val="24"/>
                <w:highlight w:val="none"/>
                <w:lang w:val="en-US" w:eastAsia="zh-CN"/>
              </w:rPr>
              <w:t>根据《中华人民共和国防沙治沙法》：</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第二十一条 在沙化土地范围内从事开发建设活动的，必须事先就该项目可能对当地及相关地区生态产生的影响进行环境影响评价，依法提交环境影响报告；环境影响报告应当包括有关防沙治沙的内容。</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河北省生态环境厅于2023年9月27日发布了《河北省生态环境厅办公室</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关于进一步做好沙区建设项目环境影响评价工作的通知</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冀环办字函</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2023</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326号</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，该文件要求：</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严格审查沙区建设项目环评中有关防沙治沙内容，全面落实沙区生态环境保护工作。</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 xml:space="preserve"> </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highlight w:val="none"/>
                <w:lang w:val="en-US" w:eastAsia="zh-CN"/>
              </w:rPr>
            </w:pPr>
            <w:r>
              <w:rPr>
                <w:rFonts w:hint="default" w:ascii="Times New Roman" w:hAnsi="Times New Roman" w:cs="Times New Roman"/>
                <w:color w:val="auto"/>
                <w:kern w:val="44"/>
                <w:sz w:val="24"/>
                <w:highlight w:val="none"/>
                <w:lang w:val="en-US" w:eastAsia="zh-CN"/>
              </w:rPr>
              <w:t>本项目选址为河北省承德市围场满族蒙古族自治县半截塔镇什八克村，依据</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河北省“三线一单”信息管理平台</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中全省沙化土地矢量文件，本项目</w:t>
            </w:r>
            <w:r>
              <w:rPr>
                <w:rFonts w:hint="eastAsia" w:ascii="Times New Roman" w:hAnsi="Times New Roman" w:cs="Times New Roman"/>
                <w:color w:val="auto"/>
                <w:kern w:val="44"/>
                <w:sz w:val="24"/>
                <w:highlight w:val="none"/>
                <w:lang w:val="en-US" w:eastAsia="zh-CN"/>
              </w:rPr>
              <w:t>占地</w:t>
            </w:r>
            <w:r>
              <w:rPr>
                <w:rFonts w:hint="default" w:ascii="Times New Roman" w:hAnsi="Times New Roman" w:cs="Times New Roman"/>
                <w:color w:val="auto"/>
                <w:kern w:val="44"/>
                <w:sz w:val="24"/>
                <w:highlight w:val="none"/>
                <w:lang w:val="en-US" w:eastAsia="zh-CN"/>
              </w:rPr>
              <w:t>区域</w:t>
            </w:r>
            <w:r>
              <w:rPr>
                <w:rFonts w:hint="eastAsia" w:ascii="Times New Roman" w:hAnsi="Times New Roman" w:cs="Times New Roman"/>
                <w:color w:val="auto"/>
                <w:kern w:val="44"/>
                <w:sz w:val="24"/>
                <w:highlight w:val="none"/>
                <w:lang w:val="en-US" w:eastAsia="zh-CN"/>
              </w:rPr>
              <w:t>全部</w:t>
            </w:r>
            <w:r>
              <w:rPr>
                <w:rFonts w:hint="default" w:ascii="Times New Roman" w:hAnsi="Times New Roman" w:cs="Times New Roman"/>
                <w:color w:val="auto"/>
                <w:kern w:val="44"/>
                <w:sz w:val="24"/>
                <w:highlight w:val="none"/>
                <w:lang w:val="en-US" w:eastAsia="zh-CN"/>
              </w:rPr>
              <w:t>为沙化区，该区域面积为：</w:t>
            </w:r>
            <w:r>
              <w:rPr>
                <w:rFonts w:hint="eastAsia" w:ascii="Times New Roman" w:hAnsi="Times New Roman" w:eastAsia="宋体" w:cs="Times New Roman"/>
                <w:color w:val="auto"/>
                <w:sz w:val="24"/>
                <w:highlight w:val="none"/>
                <w:lang w:val="en-US" w:eastAsia="zh-CN"/>
              </w:rPr>
              <w:t>16647.63</w:t>
            </w:r>
            <w:r>
              <w:rPr>
                <w:rFonts w:hint="eastAsia" w:ascii="Times New Roman" w:hAnsi="Times New Roman" w:cs="Times New Roman"/>
                <w:color w:val="auto"/>
                <w:kern w:val="44"/>
                <w:sz w:val="24"/>
                <w:highlight w:val="none"/>
                <w:lang w:val="en-US" w:eastAsia="zh-CN"/>
              </w:rPr>
              <w:t>m</w:t>
            </w:r>
            <w:r>
              <w:rPr>
                <w:rFonts w:hint="eastAsia" w:ascii="Times New Roman" w:hAnsi="Times New Roman" w:cs="Times New Roman"/>
                <w:color w:val="auto"/>
                <w:kern w:val="44"/>
                <w:sz w:val="24"/>
                <w:highlight w:val="none"/>
                <w:vertAlign w:val="superscript"/>
                <w:lang w:val="en-US" w:eastAsia="zh-CN"/>
              </w:rPr>
              <w:t>2</w:t>
            </w:r>
            <w:r>
              <w:rPr>
                <w:rFonts w:hint="default" w:ascii="Times New Roman" w:hAnsi="Times New Roman" w:cs="Times New Roman"/>
                <w:color w:val="auto"/>
                <w:kern w:val="44"/>
                <w:sz w:val="24"/>
                <w:highlight w:val="none"/>
                <w:lang w:val="en-US" w:eastAsia="zh-CN"/>
              </w:rPr>
              <w:t>。</w:t>
            </w:r>
          </w:p>
          <w:p>
            <w:pPr>
              <w:autoSpaceDE w:val="0"/>
              <w:autoSpaceDN w:val="0"/>
              <w:adjustRightInd w:val="0"/>
              <w:snapToGrid w:val="0"/>
              <w:spacing w:line="360" w:lineRule="auto"/>
              <w:rPr>
                <w:rFonts w:hint="default" w:ascii="Times New Roman" w:hAnsi="Times New Roman" w:cs="Times New Roman"/>
                <w:color w:val="auto"/>
                <w:kern w:val="44"/>
                <w:sz w:val="24"/>
                <w:highlight w:val="none"/>
                <w:lang w:val="en-US" w:eastAsia="zh-CN"/>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2519045</wp:posOffset>
                      </wp:positionH>
                      <wp:positionV relativeFrom="paragraph">
                        <wp:posOffset>1136650</wp:posOffset>
                      </wp:positionV>
                      <wp:extent cx="76200" cy="177165"/>
                      <wp:effectExtent l="25400" t="15240" r="31750" b="17145"/>
                      <wp:wrapNone/>
                      <wp:docPr id="17" name="矩形 55"/>
                      <wp:cNvGraphicFramePr/>
                      <a:graphic xmlns:a="http://schemas.openxmlformats.org/drawingml/2006/main">
                        <a:graphicData uri="http://schemas.microsoft.com/office/word/2010/wordprocessingShape">
                          <wps:wsp>
                            <wps:cNvSpPr/>
                            <wps:spPr>
                              <a:xfrm rot="660000">
                                <a:off x="0" y="0"/>
                                <a:ext cx="76200" cy="177165"/>
                              </a:xfrm>
                              <a:prstGeom prst="rect">
                                <a:avLst/>
                              </a:prstGeom>
                              <a:noFill/>
                              <a:ln w="15875" cap="flat" cmpd="sng">
                                <a:solidFill>
                                  <a:srgbClr val="FFFF00"/>
                                </a:solidFill>
                                <a:prstDash val="solid"/>
                                <a:miter/>
                                <a:headEnd type="none" w="med" len="med"/>
                                <a:tailEnd type="none" w="med" len="med"/>
                              </a:ln>
                            </wps:spPr>
                            <wps:bodyPr upright="1"/>
                          </wps:wsp>
                        </a:graphicData>
                      </a:graphic>
                    </wp:anchor>
                  </w:drawing>
                </mc:Choice>
                <mc:Fallback>
                  <w:pict>
                    <v:rect id="矩形 55" o:spid="_x0000_s1026" o:spt="1" style="position:absolute;left:0pt;margin-left:198.35pt;margin-top:89.5pt;height:13.95pt;width:6pt;rotation:720896f;z-index:251664384;mso-width-relative:page;mso-height-relative:page;" filled="f" stroked="t" coordsize="21600,21600" o:gfxdata="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CN9k2gAAAAsBAAAPAAAAAAAAAAEAIAAAACIAAABkcnMvZG93&#10;bnJldi54bWxQSwECFAAUAAAACACHTuJAdUJeov4BAAADBAAADgAAAAAAAAABACAAAAApAQAAZHJz&#10;L2Uyb0RvYy54bWxQSwUGAAAAAAYABgBZAQAAmQUAAAAA&#10;">
                      <v:fill on="f" focussize="0,0"/>
                      <v:stroke weight="1.25pt" color="#FFFF00" joinstyle="miter"/>
                      <v:imagedata o:title=""/>
                      <o:lock v:ext="edit" aspectratio="f"/>
                    </v:rect>
                  </w:pict>
                </mc:Fallback>
              </mc:AlternateContent>
            </w:r>
            <w:r>
              <w:rPr>
                <w:rFonts w:hint="default" w:ascii="Times New Roman" w:hAnsi="Times New Roman" w:cs="Times New Roman"/>
                <w:color w:val="auto"/>
                <w:kern w:val="44"/>
                <w:sz w:val="24"/>
                <w:highlight w:val="none"/>
                <w:lang w:val="en-US" w:eastAsia="zh-CN"/>
              </w:rPr>
              <w:drawing>
                <wp:inline distT="0" distB="0" distL="114300" distR="114300">
                  <wp:extent cx="5192395" cy="2573655"/>
                  <wp:effectExtent l="0" t="0" r="8255" b="17145"/>
                  <wp:docPr id="3" name="图片 3" descr="沙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沙化"/>
                          <pic:cNvPicPr>
                            <a:picLocks noChangeAspect="1"/>
                          </pic:cNvPicPr>
                        </pic:nvPicPr>
                        <pic:blipFill>
                          <a:blip r:embed="rId11"/>
                          <a:stretch>
                            <a:fillRect/>
                          </a:stretch>
                        </pic:blipFill>
                        <pic:spPr>
                          <a:xfrm>
                            <a:off x="0" y="0"/>
                            <a:ext cx="5192395" cy="2573655"/>
                          </a:xfrm>
                          <a:prstGeom prst="rect">
                            <a:avLst/>
                          </a:prstGeom>
                        </pic:spPr>
                      </pic:pic>
                    </a:graphicData>
                  </a:graphic>
                </wp:inline>
              </w:drawing>
            </w:r>
          </w:p>
          <w:p>
            <w:pPr>
              <w:pStyle w:val="62"/>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auto"/>
                <w:szCs w:val="21"/>
              </w:rPr>
            </w:pPr>
            <w:r>
              <w:rPr>
                <w:rFonts w:hint="eastAsia" w:ascii="Times New Roman" w:hAnsi="Times New Roman" w:eastAsia="宋体" w:cs="Times New Roman"/>
                <w:b/>
                <w:color w:val="auto"/>
                <w:szCs w:val="21"/>
                <w:lang w:val="en-US" w:eastAsia="zh-CN"/>
              </w:rPr>
              <w:t>本项目沙化区</w:t>
            </w:r>
            <w:r>
              <w:rPr>
                <w:rFonts w:hint="default" w:ascii="Times New Roman" w:hAnsi="Times New Roman" w:eastAsia="宋体" w:cs="Times New Roman"/>
                <w:b/>
                <w:color w:val="auto"/>
                <w:szCs w:val="21"/>
              </w:rPr>
              <w:t>分布图</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44"/>
                <w:sz w:val="24"/>
                <w:highlight w:val="none"/>
                <w:lang w:val="en-US" w:eastAsia="zh-CN"/>
              </w:rPr>
            </w:pPr>
            <w:r>
              <w:rPr>
                <w:rFonts w:hint="default" w:ascii="Times New Roman" w:hAnsi="Times New Roman" w:cs="Times New Roman"/>
                <w:color w:val="auto"/>
                <w:kern w:val="44"/>
                <w:sz w:val="24"/>
                <w:highlight w:val="none"/>
                <w:lang w:val="en-US" w:eastAsia="zh-CN"/>
              </w:rPr>
              <w:t>根据《中华人民共和国防沙治沙法》：</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第二条第三款 本法所称土地沙化，是指主要因人类不合理活动所导致的天然沙漠扩张和沙质土壤上植被及覆盖物被破坏，形成流沙及沙土裸露的过程。</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第六条 使用土地的单位和个人，有防止该土地沙化的义务。使用已经沙化的土地的单位和个人，有治理该沙化土地的义务。</w:t>
            </w:r>
            <w:r>
              <w:rPr>
                <w:rFonts w:hint="eastAsia" w:ascii="Times New Roman" w:hAnsi="Times New Roman" w:cs="Times New Roman"/>
                <w:color w:val="auto"/>
                <w:kern w:val="44"/>
                <w:sz w:val="24"/>
                <w:highlight w:val="none"/>
                <w:lang w:val="en-US" w:eastAsia="zh-CN"/>
              </w:rPr>
              <w:t>”</w:t>
            </w: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r>
              <w:rPr>
                <w:rFonts w:hint="default" w:ascii="Times New Roman" w:hAnsi="Times New Roman" w:cs="Times New Roman"/>
                <w:color w:val="auto"/>
                <w:kern w:val="44"/>
                <w:sz w:val="24"/>
                <w:highlight w:val="none"/>
                <w:lang w:val="en-US" w:eastAsia="zh-CN"/>
              </w:rPr>
              <w:t>本项目不在天然沙漠扩张区内，厂区所涉及的沙区现状土壤质地为砂质土壤，</w:t>
            </w:r>
            <w:r>
              <w:rPr>
                <w:rFonts w:hint="eastAsia" w:ascii="Times New Roman" w:hAnsi="Times New Roman" w:cs="Times New Roman"/>
                <w:color w:val="auto"/>
                <w:kern w:val="44"/>
                <w:sz w:val="24"/>
                <w:highlight w:val="none"/>
                <w:lang w:val="en-US" w:eastAsia="zh-CN"/>
              </w:rPr>
              <w:t>地面已全部硬化，</w:t>
            </w:r>
            <w:r>
              <w:rPr>
                <w:rFonts w:hint="default" w:ascii="Times New Roman" w:hAnsi="Times New Roman" w:cs="Times New Roman"/>
                <w:color w:val="auto"/>
                <w:kern w:val="44"/>
                <w:sz w:val="24"/>
                <w:highlight w:val="none"/>
                <w:lang w:val="en-US" w:eastAsia="zh-CN"/>
              </w:rPr>
              <w:t>不存在沙土裸露情况。项目施工期通过采取水土围挡的方式杜绝施工期间因沙土裸露形成流沙。项目运营期地面全部硬化</w:t>
            </w:r>
            <w:r>
              <w:rPr>
                <w:rFonts w:hint="eastAsia" w:ascii="Times New Roman" w:hAnsi="Times New Roman" w:cs="Times New Roman"/>
                <w:color w:val="auto"/>
                <w:kern w:val="44"/>
                <w:sz w:val="24"/>
                <w:highlight w:val="none"/>
                <w:lang w:val="en-US" w:eastAsia="zh-CN"/>
              </w:rPr>
              <w:t>，</w:t>
            </w:r>
            <w:r>
              <w:rPr>
                <w:rFonts w:hint="default" w:ascii="Times New Roman" w:hAnsi="Times New Roman" w:cs="Times New Roman"/>
                <w:color w:val="auto"/>
                <w:kern w:val="44"/>
                <w:sz w:val="24"/>
                <w:highlight w:val="none"/>
                <w:lang w:val="en-US" w:eastAsia="zh-CN"/>
              </w:rPr>
              <w:t>不会形成流沙。项目建设符合《中华人民共和国防沙治沙法》相关要求</w:t>
            </w:r>
            <w:r>
              <w:rPr>
                <w:rFonts w:hint="eastAsia" w:ascii="Times New Roman" w:hAnsi="Times New Roman" w:cs="Times New Roman"/>
                <w:color w:val="auto"/>
                <w:kern w:val="44"/>
                <w:sz w:val="24"/>
                <w:highlight w:val="none"/>
                <w:lang w:val="en-US" w:eastAsia="zh-CN"/>
              </w:rPr>
              <w:t>。</w:t>
            </w: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pStyle w:val="4"/>
              <w:rPr>
                <w:rFonts w:hint="eastAsia" w:ascii="Times New Roman" w:hAnsi="Times New Roman" w:cs="Times New Roman"/>
                <w:color w:val="auto"/>
                <w:kern w:val="44"/>
                <w:sz w:val="24"/>
                <w:highlight w:val="none"/>
                <w:lang w:val="en-US" w:eastAsia="zh-CN"/>
              </w:rPr>
            </w:pPr>
          </w:p>
          <w:p>
            <w:pPr>
              <w:rPr>
                <w:rFonts w:hint="eastAsia" w:ascii="Times New Roman" w:hAnsi="Times New Roman" w:cs="Times New Roman"/>
                <w:color w:val="auto"/>
                <w:kern w:val="44"/>
                <w:sz w:val="24"/>
                <w:highlight w:val="none"/>
                <w:lang w:val="en-US" w:eastAsia="zh-CN"/>
              </w:rPr>
            </w:pPr>
          </w:p>
          <w:p>
            <w:pPr>
              <w:pStyle w:val="4"/>
              <w:rPr>
                <w:rFonts w:hint="eastAsia" w:ascii="Times New Roman" w:hAnsi="Times New Roman" w:cs="Times New Roman"/>
                <w:color w:val="auto"/>
                <w:kern w:val="44"/>
                <w:sz w:val="24"/>
                <w:highlight w:val="none"/>
                <w:lang w:val="en-US" w:eastAsia="zh-CN"/>
              </w:rPr>
            </w:pPr>
          </w:p>
          <w:p>
            <w:pPr>
              <w:rPr>
                <w:rFonts w:hint="eastAsia" w:ascii="Times New Roman" w:hAnsi="Times New Roman" w:cs="Times New Roman"/>
                <w:color w:val="auto"/>
                <w:kern w:val="44"/>
                <w:sz w:val="24"/>
                <w:highlight w:val="none"/>
                <w:lang w:val="en-US" w:eastAsia="zh-CN"/>
              </w:rPr>
            </w:pPr>
          </w:p>
          <w:p>
            <w:pPr>
              <w:pStyle w:val="4"/>
              <w:rPr>
                <w:rFonts w:hint="eastAsia"/>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80" w:firstLineChars="200"/>
              <w:rPr>
                <w:rFonts w:hint="eastAsia" w:ascii="Times New Roman" w:hAnsi="Times New Roman" w:cs="Times New Roman"/>
                <w:color w:val="auto"/>
                <w:kern w:val="44"/>
                <w:sz w:val="24"/>
                <w:highlight w:val="none"/>
                <w:lang w:val="en-US" w:eastAsia="zh-CN"/>
              </w:rPr>
            </w:pPr>
          </w:p>
          <w:p>
            <w:pPr>
              <w:autoSpaceDE w:val="0"/>
              <w:autoSpaceDN w:val="0"/>
              <w:adjustRightInd w:val="0"/>
              <w:snapToGrid w:val="0"/>
              <w:spacing w:line="360" w:lineRule="auto"/>
              <w:ind w:firstLine="420" w:firstLineChars="200"/>
              <w:rPr>
                <w:rFonts w:hint="default" w:ascii="Times New Roman" w:hAnsi="Times New Roman" w:cs="Times New Roman"/>
                <w:color w:val="auto"/>
              </w:rPr>
            </w:pPr>
          </w:p>
        </w:tc>
      </w:tr>
    </w:tbl>
    <w:p>
      <w:pPr>
        <w:spacing w:line="360" w:lineRule="auto"/>
        <w:rPr>
          <w:rFonts w:ascii="Times New Roman" w:hAnsi="Times New Roman" w:eastAsia="黑体" w:cs="Times New Roman"/>
          <w:color w:val="auto"/>
          <w:sz w:val="30"/>
        </w:rPr>
        <w:sectPr>
          <w:footerReference r:id="rId4" w:type="default"/>
          <w:pgSz w:w="11906" w:h="16838"/>
          <w:pgMar w:top="1531" w:right="1531" w:bottom="1531" w:left="1531" w:header="851" w:footer="1077" w:gutter="0"/>
          <w:pgBorders>
            <w:top w:val="none" w:sz="0" w:space="0"/>
            <w:left w:val="none" w:sz="0" w:space="0"/>
            <w:bottom w:val="none" w:sz="0" w:space="0"/>
            <w:right w:val="none" w:sz="0" w:space="0"/>
          </w:pgBorders>
          <w:pgNumType w:start="1"/>
          <w:cols w:space="425" w:num="1"/>
          <w:docGrid w:type="lines" w:linePitch="312" w:charSpace="0"/>
        </w:sectPr>
      </w:pPr>
    </w:p>
    <w:p>
      <w:pPr>
        <w:pStyle w:val="19"/>
        <w:spacing w:beforeAutospacing="0" w:afterAutospacing="0" w:line="360" w:lineRule="auto"/>
        <w:jc w:val="center"/>
        <w:outlineLvl w:val="0"/>
        <w:rPr>
          <w:rFonts w:hint="default" w:ascii="Times New Roman" w:hAnsi="Times New Roman" w:eastAsia="黑体"/>
          <w:snapToGrid w:val="0"/>
          <w:color w:val="auto"/>
          <w:sz w:val="30"/>
          <w:szCs w:val="30"/>
        </w:rPr>
      </w:pPr>
      <w:r>
        <w:rPr>
          <w:rFonts w:hint="default" w:ascii="Times New Roman" w:hAnsi="Times New Roman" w:eastAsia="黑体"/>
          <w:snapToGrid w:val="0"/>
          <w:color w:val="auto"/>
          <w:sz w:val="30"/>
          <w:szCs w:val="30"/>
        </w:rPr>
        <w:t>二、建设项目工程分析</w:t>
      </w:r>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20" w:hRule="atLeast"/>
          <w:jc w:val="center"/>
        </w:trPr>
        <w:tc>
          <w:tcPr>
            <w:tcW w:w="203" w:type="pct"/>
            <w:tcBorders>
              <w:top w:val="single" w:color="auto" w:sz="8" w:space="0"/>
              <w:left w:val="single" w:color="auto" w:sz="8" w:space="0"/>
              <w:bottom w:val="single" w:color="auto" w:sz="4" w:space="0"/>
              <w:right w:val="single" w:color="auto" w:sz="4" w:space="0"/>
            </w:tcBorders>
            <w:shd w:val="clear" w:color="auto" w:fill="auto"/>
            <w:vAlign w:val="center"/>
          </w:tcPr>
          <w:p>
            <w:pPr>
              <w:pStyle w:val="19"/>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4796" w:type="pct"/>
            <w:tcBorders>
              <w:top w:val="single" w:color="auto" w:sz="8" w:space="0"/>
              <w:left w:val="single" w:color="auto" w:sz="4" w:space="0"/>
              <w:bottom w:val="single" w:color="auto" w:sz="4" w:space="0"/>
              <w:right w:val="single" w:color="auto" w:sz="8" w:space="0"/>
            </w:tcBorders>
            <w:shd w:val="clear" w:color="auto" w:fill="auto"/>
          </w:tcPr>
          <w:p>
            <w:pPr>
              <w:pStyle w:val="39"/>
              <w:snapToGrid w:val="0"/>
              <w:ind w:firstLine="480"/>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1、项目由来</w:t>
            </w:r>
          </w:p>
          <w:p>
            <w:pPr>
              <w:pStyle w:val="39"/>
              <w:snapToGrid w:val="0"/>
              <w:ind w:firstLine="48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rPr>
              <w:t>承德市德德食品加工有限公司成立于</w:t>
            </w:r>
            <w:r>
              <w:rPr>
                <w:rFonts w:hint="eastAsia" w:ascii="Times New Roman" w:hAnsi="Times New Roman" w:eastAsia="宋体" w:cs="Times New Roman"/>
                <w:bCs/>
                <w:color w:val="auto"/>
                <w:sz w:val="24"/>
                <w:szCs w:val="24"/>
                <w:lang w:val="en-US" w:eastAsia="zh-CN"/>
              </w:rPr>
              <w:t>2022</w:t>
            </w:r>
            <w:r>
              <w:rPr>
                <w:rFonts w:hint="eastAsia" w:ascii="Times New Roman" w:hAnsi="Times New Roman" w:eastAsia="宋体" w:cs="Times New Roman"/>
                <w:bCs/>
                <w:color w:val="auto"/>
                <w:sz w:val="24"/>
                <w:szCs w:val="24"/>
              </w:rPr>
              <w:t>年</w:t>
            </w:r>
            <w:r>
              <w:rPr>
                <w:rFonts w:hint="eastAsia" w:ascii="Times New Roman" w:hAnsi="Times New Roman" w:eastAsia="宋体" w:cs="Times New Roman"/>
                <w:bCs/>
                <w:color w:val="auto"/>
                <w:sz w:val="24"/>
                <w:szCs w:val="24"/>
                <w:lang w:val="en-US" w:eastAsia="zh-CN"/>
              </w:rPr>
              <w:t>3</w:t>
            </w:r>
            <w:r>
              <w:rPr>
                <w:rFonts w:hint="eastAsia" w:ascii="Times New Roman" w:hAnsi="Times New Roman" w:eastAsia="宋体" w:cs="Times New Roman"/>
                <w:bCs/>
                <w:color w:val="auto"/>
                <w:sz w:val="24"/>
                <w:szCs w:val="24"/>
              </w:rPr>
              <w:t>月，主要经营范围食品生产</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销售</w:t>
            </w:r>
            <w:r>
              <w:rPr>
                <w:rFonts w:hint="eastAsia" w:ascii="Times New Roman" w:hAnsi="Times New Roman" w:eastAsia="宋体" w:cs="Times New Roman"/>
                <w:bCs/>
                <w:color w:val="auto"/>
                <w:sz w:val="24"/>
                <w:szCs w:val="24"/>
                <w:lang w:eastAsia="zh-CN"/>
              </w:rPr>
              <w:t>。</w:t>
            </w:r>
          </w:p>
          <w:p>
            <w:pPr>
              <w:pStyle w:val="39"/>
              <w:snapToGrid w:val="0"/>
              <w:ind w:firstLine="48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rPr>
              <w:t>依据《建设项目环境影响评价分类管理名录（2021年版）》（2020年11月30日生态环境部令第16号公布，自2021年1月1日起施行），承德市德德食品加工有限公司</w:t>
            </w:r>
            <w:r>
              <w:rPr>
                <w:rFonts w:hint="eastAsia" w:ascii="Times New Roman" w:hAnsi="Times New Roman" w:eastAsia="宋体" w:cs="Times New Roman"/>
                <w:bCs/>
                <w:color w:val="auto"/>
                <w:sz w:val="24"/>
                <w:szCs w:val="24"/>
                <w:lang w:val="en-US" w:eastAsia="zh-CN"/>
              </w:rPr>
              <w:t>属于十、农副食品加工业13-18屠宰及肉类加工-其他肉类加工，需进行环境影响评价，企业于2022年9月2日在建设项目环境影响登记表备案系统对半截塔镇牛羊副食品加工项目进行备案，主要工艺为“腌制—卤煮—冷却—调味—包装”，生产过程中采用电锅炉，生活取暖采用电取暖，项目建成后年产9600t产品（其中宠物粮8000t）。</w:t>
            </w:r>
          </w:p>
          <w:p>
            <w:pPr>
              <w:pStyle w:val="39"/>
              <w:snapToGrid w:val="0"/>
              <w:ind w:firstLine="48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承德市德德食品加工有限公司</w:t>
            </w:r>
            <w:r>
              <w:rPr>
                <w:rFonts w:hint="eastAsia" w:ascii="Times New Roman" w:hAnsi="Times New Roman" w:eastAsia="宋体" w:cs="Times New Roman"/>
                <w:bCs/>
                <w:color w:val="auto"/>
                <w:sz w:val="24"/>
                <w:szCs w:val="24"/>
                <w:lang w:val="en-US" w:eastAsia="zh-CN"/>
              </w:rPr>
              <w:t>总</w:t>
            </w:r>
            <w:r>
              <w:rPr>
                <w:rFonts w:hint="eastAsia" w:ascii="Times New Roman" w:hAnsi="Times New Roman" w:eastAsia="宋体" w:cs="Times New Roman"/>
                <w:bCs/>
                <w:color w:val="auto"/>
                <w:sz w:val="24"/>
                <w:szCs w:val="24"/>
              </w:rPr>
              <w:t>占地面积</w:t>
            </w:r>
            <w:r>
              <w:rPr>
                <w:rFonts w:hint="eastAsia" w:ascii="Times New Roman" w:hAnsi="Times New Roman" w:eastAsia="宋体" w:cs="Times New Roman"/>
                <w:bCs/>
                <w:color w:val="auto"/>
                <w:sz w:val="24"/>
                <w:szCs w:val="24"/>
                <w:lang w:val="en-US" w:eastAsia="zh-CN"/>
              </w:rPr>
              <w:t>16647.63</w:t>
            </w:r>
            <w:r>
              <w:rPr>
                <w:rFonts w:hint="eastAsia" w:ascii="Times New Roman" w:hAnsi="Times New Roman" w:eastAsia="宋体" w:cs="Times New Roman"/>
                <w:bCs/>
                <w:color w:val="auto"/>
                <w:sz w:val="24"/>
                <w:szCs w:val="24"/>
              </w:rPr>
              <w:t>m</w:t>
            </w:r>
            <w:r>
              <w:rPr>
                <w:rFonts w:hint="eastAsia" w:ascii="Times New Roman" w:hAnsi="Times New Roman" w:eastAsia="宋体" w:cs="Times New Roman"/>
                <w:bCs/>
                <w:color w:val="auto"/>
                <w:sz w:val="24"/>
                <w:szCs w:val="24"/>
                <w:vertAlign w:val="superscript"/>
              </w:rPr>
              <w:t>2</w:t>
            </w:r>
            <w:r>
              <w:rPr>
                <w:rFonts w:hint="eastAsia" w:ascii="Times New Roman" w:hAnsi="Times New Roman" w:eastAsia="宋体" w:cs="Times New Roman"/>
                <w:bCs/>
                <w:color w:val="auto"/>
                <w:sz w:val="24"/>
                <w:szCs w:val="24"/>
              </w:rPr>
              <w:t>，劳动定员</w:t>
            </w:r>
            <w:r>
              <w:rPr>
                <w:rFonts w:hint="eastAsia" w:ascii="Times New Roman" w:hAnsi="Times New Roman" w:eastAsia="宋体" w:cs="Times New Roman"/>
                <w:bCs/>
                <w:color w:val="auto"/>
                <w:sz w:val="24"/>
                <w:szCs w:val="24"/>
                <w:lang w:val="en-US" w:eastAsia="zh-CN"/>
              </w:rPr>
              <w:t>85</w:t>
            </w:r>
            <w:r>
              <w:rPr>
                <w:rFonts w:hint="eastAsia" w:ascii="Times New Roman" w:hAnsi="Times New Roman" w:eastAsia="宋体" w:cs="Times New Roman"/>
                <w:bCs/>
                <w:color w:val="auto"/>
                <w:sz w:val="24"/>
                <w:szCs w:val="24"/>
              </w:rPr>
              <w:t>人，年运行300天，每天1班，每班8h。</w:t>
            </w:r>
          </w:p>
          <w:p>
            <w:pPr>
              <w:pStyle w:val="39"/>
              <w:snapToGrid w:val="0"/>
              <w:ind w:firstLine="480"/>
              <w:rPr>
                <w:rFonts w:hint="eastAsia" w:ascii="Times New Roman" w:hAnsi="Times New Roman" w:cs="Times New Roman" w:eastAsiaTheme="minorEastAsia"/>
                <w:bCs/>
                <w:color w:val="auto"/>
                <w:sz w:val="24"/>
                <w:szCs w:val="24"/>
                <w:lang w:val="en-US" w:eastAsia="zh-CN"/>
              </w:rPr>
            </w:pPr>
            <w:r>
              <w:rPr>
                <w:rFonts w:hint="eastAsia" w:ascii="Times New Roman" w:hAnsi="Times New Roman" w:eastAsia="宋体" w:cs="Times New Roman"/>
                <w:bCs/>
                <w:color w:val="auto"/>
                <w:sz w:val="24"/>
                <w:szCs w:val="24"/>
                <w:lang w:val="en-US" w:eastAsia="zh-CN"/>
              </w:rPr>
              <w:t>在实际建设过程中，企业将电锅炉变更为生物质锅炉，并</w:t>
            </w:r>
            <w:r>
              <w:rPr>
                <w:rFonts w:hint="eastAsia" w:ascii="Times New Roman" w:hAnsi="Times New Roman"/>
                <w:sz w:val="24"/>
                <w:highlight w:val="none"/>
              </w:rPr>
              <w:t>配套建设</w:t>
            </w:r>
            <w:r>
              <w:rPr>
                <w:rFonts w:hint="eastAsia" w:ascii="Times New Roman" w:hAnsi="Times New Roman"/>
                <w:sz w:val="24"/>
                <w:highlight w:val="none"/>
                <w:lang w:val="en-US" w:eastAsia="zh-CN"/>
              </w:rPr>
              <w:t>污水处理站及</w:t>
            </w:r>
            <w:r>
              <w:rPr>
                <w:rFonts w:hint="eastAsia" w:ascii="Times New Roman" w:hAnsi="Times New Roman"/>
                <w:sz w:val="24"/>
                <w:highlight w:val="none"/>
              </w:rPr>
              <w:t>环保污染防治设备</w:t>
            </w:r>
            <w:r>
              <w:rPr>
                <w:rFonts w:hint="eastAsia" w:ascii="Times New Roman" w:hAnsi="Times New Roman"/>
                <w:sz w:val="24"/>
                <w:highlight w:val="none"/>
                <w:lang w:eastAsia="zh-CN"/>
              </w:rPr>
              <w:t>。</w:t>
            </w:r>
          </w:p>
          <w:p>
            <w:pPr>
              <w:pStyle w:val="39"/>
              <w:snapToGrid w:val="0"/>
              <w:ind w:firstLine="480"/>
              <w:rPr>
                <w:rFonts w:hint="eastAsia" w:ascii="Times New Roman" w:hAnsi="Times New Roman" w:cs="Times New Roman"/>
                <w:sz w:val="24"/>
                <w:szCs w:val="24"/>
                <w:highlight w:val="none"/>
                <w:lang w:val="en-US" w:eastAsia="zh-CN"/>
              </w:rPr>
            </w:pPr>
            <w:r>
              <w:rPr>
                <w:rFonts w:hint="eastAsia" w:ascii="Times New Roman" w:hAnsi="Times New Roman"/>
                <w:sz w:val="24"/>
                <w:highlight w:val="none"/>
              </w:rPr>
              <w:t>根据《中华人民共和国环境影响评价法》（2018年12月29日修正），其中第二十四条规定了“建设项目的环境影响评价文件经批准后，建设项目的性质、规模、地点、采用的生产工艺或者防治污染、防止生态破坏的措施发生重大变动的，建设单位应当重新报批建设项目的环境影响评价文件”</w:t>
            </w:r>
            <w:r>
              <w:rPr>
                <w:rFonts w:hint="eastAsia" w:ascii="Times New Roman" w:hAnsi="Times New Roman"/>
                <w:sz w:val="24"/>
                <w:highlight w:val="none"/>
                <w:lang w:eastAsia="zh-CN"/>
              </w:rPr>
              <w:t>。</w:t>
            </w:r>
            <w:r>
              <w:rPr>
                <w:rFonts w:hint="eastAsia" w:ascii="Times New Roman" w:hAnsi="Times New Roman" w:cs="Times New Roman"/>
                <w:sz w:val="24"/>
                <w:szCs w:val="24"/>
                <w:highlight w:val="none"/>
              </w:rPr>
              <w:t>同时</w:t>
            </w:r>
            <w:r>
              <w:rPr>
                <w:rFonts w:hint="eastAsia" w:ascii="Times New Roman" w:hAnsi="Times New Roman" w:cs="Times New Roman"/>
                <w:sz w:val="24"/>
                <w:szCs w:val="24"/>
                <w:highlight w:val="none"/>
                <w:lang w:val="en-US" w:eastAsia="zh-CN"/>
              </w:rPr>
              <w:t>依据</w:t>
            </w:r>
            <w:r>
              <w:rPr>
                <w:rFonts w:hint="eastAsia" w:ascii="Times New Roman" w:hAnsi="Times New Roman" w:cs="Times New Roman"/>
                <w:sz w:val="24"/>
                <w:szCs w:val="24"/>
                <w:highlight w:val="none"/>
              </w:rPr>
              <w:t>《污染影响类建设项目重大变动清单》（环办环评函[2020]688号），本项目属于</w:t>
            </w:r>
            <w:r>
              <w:rPr>
                <w:rFonts w:hint="eastAsia" w:ascii="Times New Roman" w:hAnsi="Times New Roman" w:cs="Times New Roman"/>
                <w:sz w:val="24"/>
                <w:szCs w:val="24"/>
                <w:highlight w:val="none"/>
                <w:lang w:val="en-US" w:eastAsia="zh-CN"/>
              </w:rPr>
              <w:t>-6、新增产品品种或生产工艺（含主要生产装置、设备及配套设施）、主要原辅材料、燃料变化，导致一下情形之一：</w:t>
            </w:r>
          </w:p>
          <w:p>
            <w:pPr>
              <w:pStyle w:val="39"/>
              <w:snapToGrid w:val="0"/>
              <w:ind w:firstLine="48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（1）新增排放污染物种类的（毒性、挥发性降低的除外）；</w:t>
            </w:r>
          </w:p>
          <w:p>
            <w:pPr>
              <w:pStyle w:val="39"/>
              <w:snapToGrid w:val="0"/>
              <w:ind w:firstLine="48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（2）位于环境质量不达标区的建设项目相应污染物排放量增加的；</w:t>
            </w:r>
          </w:p>
          <w:p>
            <w:pPr>
              <w:pStyle w:val="39"/>
              <w:snapToGrid w:val="0"/>
              <w:ind w:firstLine="48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（3）废水第一类污染物排放量增加的；</w:t>
            </w:r>
          </w:p>
          <w:p>
            <w:pPr>
              <w:pStyle w:val="39"/>
              <w:snapToGrid w:val="0"/>
              <w:ind w:firstLine="48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（4）其他污染物排放量增加10%及以上的。</w:t>
            </w:r>
          </w:p>
          <w:p>
            <w:pPr>
              <w:pStyle w:val="39"/>
              <w:snapToGrid w:val="0"/>
              <w:ind w:firstLine="480"/>
              <w:rPr>
                <w:rFonts w:hint="eastAsia" w:ascii="Times New Roman" w:hAnsi="Times New Roman" w:eastAsia="宋体" w:cs="Times New Roman"/>
                <w:bCs/>
                <w:color w:val="auto"/>
                <w:sz w:val="24"/>
                <w:szCs w:val="24"/>
                <w:lang w:val="en-US" w:eastAsia="zh-CN"/>
              </w:rPr>
            </w:pPr>
            <w:r>
              <w:rPr>
                <w:rFonts w:hint="eastAsia" w:ascii="Times New Roman" w:hAnsi="Times New Roman" w:cs="Times New Roman"/>
                <w:sz w:val="24"/>
                <w:szCs w:val="24"/>
                <w:highlight w:val="none"/>
              </w:rPr>
              <w:t>根据上述规定，应重新报批建设项目环境影响报告表。据此，</w:t>
            </w:r>
            <w:r>
              <w:rPr>
                <w:rFonts w:hint="eastAsia" w:ascii="Times New Roman" w:hAnsi="Times New Roman" w:eastAsia="宋体" w:cs="Times New Roman"/>
                <w:bCs/>
                <w:color w:val="auto"/>
                <w:sz w:val="24"/>
                <w:szCs w:val="24"/>
              </w:rPr>
              <w:t>承德市德德食品加工有限公司</w:t>
            </w:r>
            <w:r>
              <w:rPr>
                <w:rFonts w:hint="eastAsia" w:ascii="Times New Roman" w:hAnsi="Times New Roman" w:cs="Times New Roman"/>
                <w:sz w:val="24"/>
                <w:szCs w:val="24"/>
                <w:highlight w:val="none"/>
              </w:rPr>
              <w:t>拟重新报批建设项目环境影响报告表</w:t>
            </w:r>
            <w:r>
              <w:rPr>
                <w:rFonts w:hint="eastAsia" w:ascii="Times New Roman" w:hAnsi="Times New Roman" w:cs="Times New Roman"/>
                <w:sz w:val="24"/>
                <w:szCs w:val="24"/>
                <w:highlight w:val="none"/>
                <w:lang w:eastAsia="zh-CN"/>
              </w:rPr>
              <w:t>。</w:t>
            </w:r>
          </w:p>
          <w:p>
            <w:pPr>
              <w:pStyle w:val="39"/>
              <w:snapToGrid w:val="0"/>
              <w:ind w:firstLine="48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rPr>
              <w:t>依据《建设项目环境影响评价分类管理名录（2021年版）》（2020年11月30日生态环境部令第16号公布，自2021年1月1日起施行）</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本项目属于四十一、电力、热力生产和供应业-91热力生产和供应工程；</w:t>
            </w:r>
            <w:r>
              <w:rPr>
                <w:rFonts w:hint="eastAsia" w:ascii="Times New Roman" w:hAnsi="Times New Roman" w:cs="Times New Roman"/>
                <w:color w:val="auto"/>
                <w:sz w:val="24"/>
                <w:lang w:val="en-US" w:eastAsia="zh-CN"/>
              </w:rPr>
              <w:t>四十三、水的生产和供应业-95污水处理及其再生利用；十、农副食品加工业-15谷物研磨131*、饲料加工132*；18屠宰及肉类加工135*，</w:t>
            </w:r>
            <w:r>
              <w:rPr>
                <w:rFonts w:hint="eastAsia" w:ascii="Times New Roman" w:hAnsi="Times New Roman" w:eastAsia="宋体" w:cs="Times New Roman"/>
                <w:bCs/>
                <w:color w:val="auto"/>
                <w:sz w:val="24"/>
                <w:szCs w:val="24"/>
              </w:rPr>
              <w:t>该项目应编制环境影响报告表。</w:t>
            </w:r>
          </w:p>
          <w:p>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2、工程内容</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b/>
                <w:bCs/>
                <w:color w:val="auto"/>
                <w:kern w:val="0"/>
                <w:sz w:val="24"/>
                <w:szCs w:val="24"/>
                <w:lang w:val="en-US" w:eastAsia="zh-CN"/>
              </w:rPr>
            </w:pPr>
            <w:r>
              <w:rPr>
                <w:rFonts w:hint="eastAsia"/>
                <w:b w:val="0"/>
                <w:bCs w:val="0"/>
                <w:sz w:val="24"/>
                <w:szCs w:val="24"/>
                <w:highlight w:val="none"/>
                <w:lang w:val="en-US" w:eastAsia="zh-CN"/>
              </w:rPr>
              <w:t>本项目主要建设内容如下：</w:t>
            </w:r>
          </w:p>
          <w:p>
            <w:pPr>
              <w:pStyle w:val="39"/>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firstLine="0"/>
              <w:jc w:val="center"/>
              <w:textAlignment w:val="auto"/>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项目</w:t>
            </w:r>
            <w:r>
              <w:rPr>
                <w:rFonts w:hint="eastAsia" w:ascii="Times New Roman" w:hAnsi="Times New Roman" w:cs="Times New Roman"/>
                <w:b/>
                <w:bCs/>
                <w:color w:val="auto"/>
                <w:sz w:val="21"/>
                <w:szCs w:val="21"/>
                <w:lang w:val="en-US" w:eastAsia="zh-CN"/>
              </w:rPr>
              <w:t>变动</w:t>
            </w:r>
            <w:r>
              <w:rPr>
                <w:rFonts w:hint="eastAsia" w:ascii="Times New Roman" w:hAnsi="Times New Roman" w:cs="Times New Roman"/>
                <w:b/>
                <w:bCs/>
                <w:color w:val="auto"/>
                <w:sz w:val="21"/>
                <w:szCs w:val="21"/>
              </w:rPr>
              <w:t>情况一览表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77"/>
              <w:gridCol w:w="718"/>
              <w:gridCol w:w="2912"/>
              <w:gridCol w:w="1183"/>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color w:val="0D0D0D"/>
                      <w:sz w:val="21"/>
                      <w:szCs w:val="21"/>
                      <w:highlight w:val="none"/>
                    </w:rPr>
                  </w:pPr>
                  <w:r>
                    <w:rPr>
                      <w:rFonts w:hint="default" w:ascii="Times New Roman" w:hAnsi="Times New Roman" w:cs="Times New Roman"/>
                      <w:b/>
                      <w:color w:val="0D0D0D"/>
                      <w:sz w:val="21"/>
                      <w:szCs w:val="21"/>
                      <w:highlight w:val="none"/>
                    </w:rPr>
                    <w:t>序号</w:t>
                  </w:r>
                </w:p>
              </w:tc>
              <w:tc>
                <w:tcPr>
                  <w:tcW w:w="284"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color w:val="0D0D0D"/>
                      <w:sz w:val="21"/>
                      <w:szCs w:val="21"/>
                      <w:highlight w:val="none"/>
                    </w:rPr>
                  </w:pPr>
                  <w:r>
                    <w:rPr>
                      <w:rFonts w:hint="default" w:ascii="Times New Roman" w:hAnsi="Times New Roman" w:cs="Times New Roman"/>
                      <w:b/>
                      <w:color w:val="0D0D0D"/>
                      <w:sz w:val="21"/>
                      <w:szCs w:val="21"/>
                      <w:highlight w:val="none"/>
                    </w:rPr>
                    <w:t>类别</w:t>
                  </w:r>
                </w:p>
              </w:tc>
              <w:tc>
                <w:tcPr>
                  <w:tcW w:w="42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0D0D0D"/>
                      <w:sz w:val="21"/>
                      <w:szCs w:val="21"/>
                      <w:highlight w:val="none"/>
                      <w:lang w:eastAsia="zh-CN"/>
                    </w:rPr>
                  </w:pPr>
                  <w:r>
                    <w:rPr>
                      <w:rFonts w:hint="default" w:ascii="Times New Roman" w:hAnsi="Times New Roman" w:cs="Times New Roman"/>
                      <w:b/>
                      <w:color w:val="0D0D0D"/>
                      <w:sz w:val="21"/>
                      <w:szCs w:val="21"/>
                      <w:highlight w:val="none"/>
                      <w:lang w:val="en-US" w:eastAsia="zh-CN"/>
                    </w:rPr>
                    <w:t>名称</w:t>
                  </w: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color w:val="0D0D0D"/>
                      <w:sz w:val="21"/>
                      <w:szCs w:val="21"/>
                      <w:highlight w:val="none"/>
                      <w:lang w:val="en-US" w:eastAsia="zh-CN"/>
                    </w:rPr>
                  </w:pPr>
                  <w:r>
                    <w:rPr>
                      <w:rFonts w:hint="default" w:ascii="Times New Roman" w:hAnsi="Times New Roman" w:cs="Times New Roman"/>
                      <w:b/>
                      <w:color w:val="0D0D0D"/>
                      <w:sz w:val="21"/>
                      <w:szCs w:val="21"/>
                      <w:highlight w:val="none"/>
                      <w:lang w:val="en-US" w:eastAsia="zh-CN"/>
                    </w:rPr>
                    <w:t>建设内容</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color w:val="0D0D0D"/>
                      <w:sz w:val="21"/>
                      <w:szCs w:val="21"/>
                      <w:highlight w:val="none"/>
                      <w:lang w:val="en-US" w:eastAsia="zh-CN"/>
                    </w:rPr>
                  </w:pPr>
                  <w:r>
                    <w:rPr>
                      <w:rFonts w:hint="default" w:ascii="Times New Roman" w:hAnsi="Times New Roman" w:cs="Times New Roman"/>
                      <w:b/>
                      <w:color w:val="0D0D0D"/>
                      <w:sz w:val="21"/>
                      <w:szCs w:val="21"/>
                      <w:highlight w:val="none"/>
                      <w:lang w:val="en-US" w:eastAsia="zh-CN"/>
                    </w:rPr>
                    <w:t>备注</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color w:val="0D0D0D"/>
                      <w:sz w:val="21"/>
                      <w:szCs w:val="21"/>
                      <w:highlight w:val="none"/>
                      <w:lang w:val="en-US" w:eastAsia="zh-CN"/>
                    </w:rPr>
                  </w:pPr>
                  <w:r>
                    <w:rPr>
                      <w:rFonts w:hint="default" w:ascii="Times New Roman" w:hAnsi="Times New Roman" w:cs="Times New Roman"/>
                      <w:b/>
                      <w:color w:val="0D0D0D"/>
                      <w:sz w:val="21"/>
                      <w:szCs w:val="21"/>
                      <w:highlight w:val="none"/>
                      <w:lang w:val="en-US" w:eastAsia="zh-CN"/>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1</w:t>
                  </w:r>
                </w:p>
              </w:tc>
              <w:tc>
                <w:tcPr>
                  <w:tcW w:w="284"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主体工程</w:t>
                  </w:r>
                </w:p>
              </w:tc>
              <w:tc>
                <w:tcPr>
                  <w:tcW w:w="42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eastAsia" w:ascii="Times New Roman" w:hAnsi="Times New Roman" w:eastAsia="宋体" w:cs="Times New Roman"/>
                      <w:bCs/>
                      <w:color w:val="0D0D0D"/>
                      <w:sz w:val="21"/>
                      <w:szCs w:val="21"/>
                      <w:highlight w:val="none"/>
                      <w:lang w:val="en-US" w:eastAsia="zh-CN"/>
                    </w:rPr>
                    <w:t>食品加工车间</w:t>
                  </w: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lang w:val="en-US" w:eastAsia="zh-CN"/>
                    </w:rPr>
                  </w:pPr>
                  <w:r>
                    <w:rPr>
                      <w:rFonts w:hint="default" w:ascii="Times New Roman" w:hAnsi="Times New Roman" w:cs="Times New Roman"/>
                      <w:bCs/>
                      <w:color w:val="0D0D0D"/>
                      <w:sz w:val="21"/>
                      <w:szCs w:val="21"/>
                      <w:highlight w:val="none"/>
                      <w:lang w:val="en-US" w:eastAsia="zh-CN"/>
                    </w:rPr>
                    <w:t>建筑面积</w:t>
                  </w:r>
                  <w:r>
                    <w:rPr>
                      <w:rFonts w:hint="eastAsia" w:ascii="Times New Roman" w:hAnsi="Times New Roman" w:cs="Times New Roman"/>
                      <w:bCs/>
                      <w:color w:val="0D0D0D"/>
                      <w:sz w:val="21"/>
                      <w:szCs w:val="21"/>
                      <w:highlight w:val="none"/>
                      <w:lang w:val="en-US" w:eastAsia="zh-CN"/>
                    </w:rPr>
                    <w:t>5695</w:t>
                  </w:r>
                  <w:r>
                    <w:rPr>
                      <w:rFonts w:hint="default" w:ascii="Times New Roman" w:hAnsi="Times New Roman" w:cs="Times New Roman"/>
                      <w:bCs/>
                      <w:color w:val="0D0D0D"/>
                      <w:sz w:val="21"/>
                      <w:szCs w:val="21"/>
                      <w:highlight w:val="none"/>
                      <w:lang w:val="en-US" w:eastAsia="zh-CN"/>
                    </w:rPr>
                    <w:t>m</w:t>
                  </w:r>
                  <w:r>
                    <w:rPr>
                      <w:rFonts w:hint="default" w:ascii="Times New Roman" w:hAnsi="Times New Roman" w:cs="Times New Roman"/>
                      <w:bCs/>
                      <w:color w:val="0D0D0D"/>
                      <w:sz w:val="21"/>
                      <w:szCs w:val="21"/>
                      <w:highlight w:val="none"/>
                      <w:vertAlign w:val="superscript"/>
                      <w:lang w:val="en-US" w:eastAsia="zh-CN"/>
                    </w:rPr>
                    <w:t>2</w:t>
                  </w:r>
                  <w:r>
                    <w:rPr>
                      <w:rFonts w:hint="default" w:ascii="Times New Roman" w:hAnsi="Times New Roman" w:cs="Times New Roman"/>
                      <w:bCs/>
                      <w:color w:val="0D0D0D"/>
                      <w:sz w:val="21"/>
                      <w:szCs w:val="21"/>
                      <w:highlight w:val="none"/>
                      <w:lang w:val="en-US" w:eastAsia="zh-CN"/>
                    </w:rPr>
                    <w:t>，</w:t>
                  </w:r>
                  <w:r>
                    <w:rPr>
                      <w:rFonts w:hint="eastAsia" w:ascii="Times New Roman" w:hAnsi="Times New Roman" w:cs="Times New Roman"/>
                      <w:bCs/>
                      <w:color w:val="0D0D0D"/>
                      <w:sz w:val="21"/>
                      <w:szCs w:val="21"/>
                      <w:highlight w:val="none"/>
                      <w:lang w:val="en-US" w:eastAsia="zh-CN"/>
                    </w:rPr>
                    <w:t>长113.9m，宽50m，高14.4m，内置食品加工生产线1条</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eastAsia" w:ascii="Times New Roman" w:hAnsi="Times New Roman" w:cs="Times New Roman"/>
                      <w:bCs/>
                      <w:color w:val="0D0D0D"/>
                      <w:sz w:val="21"/>
                      <w:szCs w:val="21"/>
                      <w:highlight w:val="none"/>
                      <w:lang w:val="en-US" w:eastAsia="zh-CN"/>
                    </w:rPr>
                    <w:t>宠物粮车间</w:t>
                  </w: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建筑面积</w:t>
                  </w:r>
                  <w:r>
                    <w:rPr>
                      <w:rFonts w:hint="eastAsia" w:ascii="Times New Roman" w:hAnsi="Times New Roman" w:cs="Times New Roman"/>
                      <w:bCs/>
                      <w:color w:val="0D0D0D"/>
                      <w:sz w:val="21"/>
                      <w:szCs w:val="21"/>
                      <w:highlight w:val="none"/>
                      <w:lang w:val="en-US" w:eastAsia="zh-CN"/>
                    </w:rPr>
                    <w:t>1595.1075</w:t>
                  </w:r>
                  <w:r>
                    <w:rPr>
                      <w:rFonts w:hint="default" w:ascii="Times New Roman" w:hAnsi="Times New Roman" w:cs="Times New Roman"/>
                      <w:bCs/>
                      <w:color w:val="0D0D0D"/>
                      <w:sz w:val="21"/>
                      <w:szCs w:val="21"/>
                      <w:highlight w:val="none"/>
                      <w:lang w:val="en-US" w:eastAsia="zh-CN"/>
                    </w:rPr>
                    <w:t>m</w:t>
                  </w:r>
                  <w:r>
                    <w:rPr>
                      <w:rFonts w:hint="default" w:ascii="Times New Roman" w:hAnsi="Times New Roman" w:cs="Times New Roman"/>
                      <w:bCs/>
                      <w:color w:val="0D0D0D"/>
                      <w:sz w:val="21"/>
                      <w:szCs w:val="21"/>
                      <w:highlight w:val="none"/>
                      <w:vertAlign w:val="superscript"/>
                      <w:lang w:val="en-US" w:eastAsia="zh-CN"/>
                    </w:rPr>
                    <w:t>2</w:t>
                  </w:r>
                  <w:r>
                    <w:rPr>
                      <w:rFonts w:hint="default" w:ascii="Times New Roman" w:hAnsi="Times New Roman" w:cs="Times New Roman"/>
                      <w:bCs/>
                      <w:color w:val="0D0D0D"/>
                      <w:sz w:val="21"/>
                      <w:szCs w:val="21"/>
                      <w:highlight w:val="none"/>
                      <w:lang w:val="en-US" w:eastAsia="zh-CN"/>
                    </w:rPr>
                    <w:t>，</w:t>
                  </w:r>
                  <w:r>
                    <w:rPr>
                      <w:rFonts w:hint="eastAsia" w:ascii="Times New Roman" w:hAnsi="Times New Roman" w:cs="Times New Roman"/>
                      <w:bCs/>
                      <w:color w:val="0D0D0D"/>
                      <w:sz w:val="21"/>
                      <w:szCs w:val="21"/>
                      <w:highlight w:val="none"/>
                      <w:lang w:val="en-US" w:eastAsia="zh-CN"/>
                    </w:rPr>
                    <w:t>长66.05m，宽24.15m，高13.95m，内置宠物粮生产线1条</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2</w:t>
                  </w:r>
                </w:p>
              </w:tc>
              <w:tc>
                <w:tcPr>
                  <w:tcW w:w="284"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储运工程</w:t>
                  </w:r>
                </w:p>
              </w:tc>
              <w:tc>
                <w:tcPr>
                  <w:tcW w:w="42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eastAsia" w:ascii="Times New Roman" w:hAnsi="Times New Roman" w:cs="Times New Roman"/>
                      <w:bCs/>
                      <w:color w:val="0D0D0D"/>
                      <w:sz w:val="21"/>
                      <w:szCs w:val="21"/>
                      <w:highlight w:val="none"/>
                      <w:lang w:val="en-US" w:eastAsia="zh-CN"/>
                    </w:rPr>
                    <w:t>辅助用房</w:t>
                  </w: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lang w:val="en-US" w:eastAsia="zh-CN"/>
                    </w:rPr>
                    <w:t>建筑面积</w:t>
                  </w:r>
                  <w:r>
                    <w:rPr>
                      <w:rFonts w:hint="eastAsia" w:ascii="Times New Roman" w:hAnsi="Times New Roman" w:cs="Times New Roman"/>
                      <w:bCs/>
                      <w:color w:val="0D0D0D"/>
                      <w:sz w:val="21"/>
                      <w:szCs w:val="21"/>
                      <w:highlight w:val="none"/>
                      <w:lang w:val="en-US" w:eastAsia="zh-CN"/>
                    </w:rPr>
                    <w:t>161</w:t>
                  </w:r>
                  <w:r>
                    <w:rPr>
                      <w:rFonts w:hint="default" w:ascii="Times New Roman" w:hAnsi="Times New Roman" w:cs="Times New Roman"/>
                      <w:bCs/>
                      <w:color w:val="0D0D0D"/>
                      <w:sz w:val="21"/>
                      <w:szCs w:val="21"/>
                      <w:highlight w:val="none"/>
                      <w:lang w:val="en-US" w:eastAsia="zh-CN"/>
                    </w:rPr>
                    <w:t>m</w:t>
                  </w:r>
                  <w:r>
                    <w:rPr>
                      <w:rFonts w:hint="default" w:ascii="Times New Roman" w:hAnsi="Times New Roman" w:cs="Times New Roman"/>
                      <w:bCs/>
                      <w:color w:val="0D0D0D"/>
                      <w:sz w:val="21"/>
                      <w:szCs w:val="21"/>
                      <w:highlight w:val="none"/>
                      <w:vertAlign w:val="superscript"/>
                      <w:lang w:val="en-US" w:eastAsia="zh-CN"/>
                    </w:rPr>
                    <w:t>2</w:t>
                  </w:r>
                  <w:r>
                    <w:rPr>
                      <w:rFonts w:hint="default" w:ascii="Times New Roman" w:hAnsi="Times New Roman" w:cs="Times New Roman"/>
                      <w:bCs/>
                      <w:color w:val="0D0D0D"/>
                      <w:sz w:val="21"/>
                      <w:szCs w:val="21"/>
                      <w:highlight w:val="none"/>
                      <w:lang w:val="en-US" w:eastAsia="zh-CN"/>
                    </w:rPr>
                    <w:t>，</w:t>
                  </w:r>
                  <w:r>
                    <w:rPr>
                      <w:rFonts w:hint="eastAsia" w:ascii="Times New Roman" w:hAnsi="Times New Roman" w:cs="Times New Roman"/>
                      <w:bCs/>
                      <w:color w:val="0D0D0D"/>
                      <w:sz w:val="21"/>
                      <w:szCs w:val="21"/>
                      <w:highlight w:val="none"/>
                      <w:lang w:val="en-US" w:eastAsia="zh-CN"/>
                    </w:rPr>
                    <w:t>长23m，宽7m</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eastAsia" w:ascii="Times New Roman" w:hAnsi="Times New Roman" w:cs="Times New Roman"/>
                      <w:bCs/>
                      <w:color w:val="0D0D0D"/>
                      <w:sz w:val="21"/>
                      <w:szCs w:val="21"/>
                      <w:highlight w:val="none"/>
                      <w:lang w:val="en-US" w:eastAsia="zh-CN"/>
                    </w:rPr>
                    <w:t>污水处理站</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vertAlign w:val="baseline"/>
                      <w:lang w:val="en-US" w:eastAsia="zh-CN"/>
                    </w:rPr>
                  </w:pPr>
                  <w:r>
                    <w:rPr>
                      <w:rFonts w:hint="default" w:ascii="Times New Roman" w:hAnsi="Times New Roman" w:cs="Times New Roman"/>
                      <w:color w:val="auto"/>
                      <w:sz w:val="21"/>
                      <w:szCs w:val="21"/>
                      <w:lang w:val="en-US" w:eastAsia="zh-CN"/>
                    </w:rPr>
                    <w:t>占地面积432.32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，建筑面积703.64m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lang w:val="en-US" w:eastAsia="zh-CN"/>
                    </w:rPr>
                    <w:t>采用“机械格栅+调节池+气浮+固液分离+A2O+MBR+消毒”，处理量300m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noWrap w:val="0"/>
                  <w:vAlign w:val="center"/>
                </w:tcPr>
                <w:p>
                  <w:pPr>
                    <w:pStyle w:val="47"/>
                    <w:ind w:firstLine="0" w:firstLineChars="0"/>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color w:val="auto"/>
                      <w:sz w:val="21"/>
                      <w:szCs w:val="21"/>
                      <w:highlight w:val="none"/>
                      <w:lang w:val="en-US" w:eastAsia="zh-CN"/>
                    </w:rPr>
                    <w:t>锅炉房</w:t>
                  </w:r>
                </w:p>
              </w:tc>
              <w:tc>
                <w:tcPr>
                  <w:tcW w:w="1731" w:type="pct"/>
                  <w:noWrap w:val="0"/>
                  <w:vAlign w:val="center"/>
                </w:tcPr>
                <w:p>
                  <w:pPr>
                    <w:pStyle w:val="47"/>
                    <w:ind w:firstLine="0" w:firstLineChars="0"/>
                    <w:rPr>
                      <w:rFonts w:hint="default" w:ascii="Times New Roman" w:hAnsi="Times New Roman" w:eastAsia="宋体" w:cs="Times New Roman"/>
                      <w:bCs/>
                      <w:color w:val="0D0D0D"/>
                      <w:sz w:val="21"/>
                      <w:szCs w:val="21"/>
                      <w:highlight w:val="none"/>
                      <w:lang w:val="en-US" w:eastAsia="zh-CN"/>
                    </w:rPr>
                  </w:pPr>
                  <w:r>
                    <w:rPr>
                      <w:rFonts w:hint="default" w:ascii="Times New Roman" w:hAnsi="Times New Roman" w:cs="Times New Roman"/>
                      <w:color w:val="auto"/>
                      <w:sz w:val="21"/>
                      <w:szCs w:val="21"/>
                      <w:highlight w:val="none"/>
                      <w:lang w:val="en-US" w:eastAsia="zh-CN"/>
                    </w:rPr>
                    <w:t>1间，占地面积120m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。长×宽×高：12m×10m×5.5m；内设置3t/h生物质锅炉1台、2t/h生物质锅炉1台，软水制备系统1套。</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新增</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eastAsia" w:ascii="Times New Roman" w:hAnsi="Times New Roman" w:cs="Times New Roman"/>
                      <w:bCs/>
                      <w:color w:val="0D0D0D"/>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noWrap w:val="0"/>
                  <w:vAlign w:val="center"/>
                </w:tcPr>
                <w:p>
                  <w:pPr>
                    <w:pStyle w:val="40"/>
                    <w:spacing w:line="240" w:lineRule="auto"/>
                    <w:ind w:firstLine="0" w:firstLineChars="0"/>
                    <w:jc w:val="center"/>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生物质库</w:t>
                  </w:r>
                </w:p>
              </w:tc>
              <w:tc>
                <w:tcPr>
                  <w:tcW w:w="1731" w:type="pct"/>
                  <w:noWrap w:val="0"/>
                  <w:vAlign w:val="center"/>
                </w:tcPr>
                <w:p>
                  <w:pPr>
                    <w:pStyle w:val="40"/>
                    <w:spacing w:line="240" w:lineRule="auto"/>
                    <w:ind w:firstLine="0" w:firstLineChars="0"/>
                    <w:jc w:val="center"/>
                    <w:rPr>
                      <w:rFonts w:hint="default" w:ascii="Times New Roman" w:hAnsi="Times New Roman" w:cs="Times New Roman"/>
                      <w:bCs/>
                      <w:color w:val="0D0D0D"/>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1间，占地面积300m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长×宽×高：20m×15m×6m；用于生物质燃料贮存。</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新增</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eastAsia" w:ascii="Times New Roman" w:hAnsi="Times New Roman" w:cs="Times New Roman"/>
                      <w:bCs/>
                      <w:color w:val="0D0D0D"/>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eastAsiaTheme="minorEastAsia"/>
                      <w:bCs/>
                      <w:color w:val="0D0D0D"/>
                      <w:sz w:val="21"/>
                      <w:szCs w:val="21"/>
                      <w:highlight w:val="none"/>
                      <w:lang w:val="en-US" w:eastAsia="zh-CN"/>
                    </w:rPr>
                  </w:pPr>
                  <w:r>
                    <w:rPr>
                      <w:rFonts w:hint="eastAsia" w:ascii="Times New Roman" w:hAnsi="Times New Roman" w:cs="Times New Roman"/>
                      <w:bCs/>
                      <w:color w:val="0D0D0D"/>
                      <w:sz w:val="21"/>
                      <w:szCs w:val="21"/>
                      <w:highlight w:val="none"/>
                      <w:lang w:val="en-US" w:eastAsia="zh-CN"/>
                    </w:rPr>
                    <w:t>3</w:t>
                  </w:r>
                </w:p>
              </w:tc>
              <w:tc>
                <w:tcPr>
                  <w:tcW w:w="284"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bCs/>
                      <w:color w:val="0D0D0D"/>
                      <w:sz w:val="21"/>
                      <w:szCs w:val="21"/>
                      <w:highlight w:val="none"/>
                      <w:lang w:val="en-US" w:eastAsia="zh-CN"/>
                    </w:rPr>
                  </w:pPr>
                  <w:r>
                    <w:rPr>
                      <w:rFonts w:hint="eastAsia" w:ascii="Times New Roman" w:hAnsi="Times New Roman" w:cs="Times New Roman"/>
                      <w:bCs/>
                      <w:color w:val="0D0D0D"/>
                      <w:sz w:val="21"/>
                      <w:szCs w:val="21"/>
                      <w:highlight w:val="none"/>
                      <w:lang w:val="en-US" w:eastAsia="zh-CN"/>
                    </w:rPr>
                    <w:t>辅助工程</w:t>
                  </w:r>
                </w:p>
              </w:tc>
              <w:tc>
                <w:tcPr>
                  <w:tcW w:w="718" w:type="dxa"/>
                  <w:noWrap w:val="0"/>
                  <w:vAlign w:val="center"/>
                </w:tcPr>
                <w:p>
                  <w:pPr>
                    <w:pStyle w:val="47"/>
                    <w:ind w:firstLine="0" w:firstLineChars="0"/>
                    <w:rPr>
                      <w:rFonts w:hint="default" w:ascii="Times New Roman" w:hAnsi="Times New Roman" w:cs="Times New Roman"/>
                      <w:b w:val="0"/>
                      <w:bCs/>
                      <w:color w:val="auto"/>
                      <w:sz w:val="21"/>
                      <w:szCs w:val="21"/>
                      <w:highlight w:val="none"/>
                      <w:lang w:val="en-US" w:eastAsia="zh-CN"/>
                    </w:rPr>
                  </w:pPr>
                  <w:r>
                    <w:rPr>
                      <w:rFonts w:hint="eastAsia" w:cs="Times New Roman"/>
                      <w:color w:val="auto"/>
                      <w:sz w:val="21"/>
                      <w:szCs w:val="21"/>
                      <w:lang w:val="en-US" w:eastAsia="zh-CN"/>
                    </w:rPr>
                    <w:t>化粪池</w:t>
                  </w:r>
                </w:p>
              </w:tc>
              <w:tc>
                <w:tcPr>
                  <w:tcW w:w="2912" w:type="dxa"/>
                  <w:noWrap w:val="0"/>
                  <w:vAlign w:val="center"/>
                </w:tcPr>
                <w:p>
                  <w:pPr>
                    <w:pStyle w:val="47"/>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lang w:val="en-US" w:eastAsia="zh-CN"/>
                    </w:rPr>
                    <w:t>容积50m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，池体位于地下</w:t>
                  </w:r>
                </w:p>
              </w:tc>
              <w:tc>
                <w:tcPr>
                  <w:tcW w:w="1183"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w:t>
                  </w:r>
                </w:p>
              </w:tc>
              <w:tc>
                <w:tcPr>
                  <w:tcW w:w="2690"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Cs/>
                      <w:color w:val="0D0D0D"/>
                      <w:sz w:val="21"/>
                      <w:szCs w:val="21"/>
                      <w:highlight w:val="none"/>
                      <w:lang w:val="en-US" w:eastAsia="zh-CN"/>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Cs/>
                      <w:color w:val="0D0D0D"/>
                      <w:sz w:val="21"/>
                      <w:szCs w:val="21"/>
                      <w:highlight w:val="none"/>
                      <w:lang w:val="en-US" w:eastAsia="zh-CN"/>
                    </w:rPr>
                  </w:pPr>
                </w:p>
              </w:tc>
              <w:tc>
                <w:tcPr>
                  <w:tcW w:w="718" w:type="dxa"/>
                  <w:noWrap w:val="0"/>
                  <w:vAlign w:val="center"/>
                </w:tcPr>
                <w:p>
                  <w:pPr>
                    <w:pStyle w:val="47"/>
                    <w:ind w:firstLine="0" w:firstLineChars="0"/>
                    <w:rPr>
                      <w:rFonts w:hint="default" w:ascii="Times New Roman" w:hAnsi="Times New Roman" w:cs="Times New Roman"/>
                      <w:b w:val="0"/>
                      <w:bCs/>
                      <w:color w:val="auto"/>
                      <w:sz w:val="21"/>
                      <w:szCs w:val="21"/>
                      <w:highlight w:val="none"/>
                      <w:lang w:val="en-US" w:eastAsia="zh-CN"/>
                    </w:rPr>
                  </w:pPr>
                  <w:r>
                    <w:rPr>
                      <w:rFonts w:hint="eastAsia" w:cs="Times New Roman"/>
                      <w:color w:val="auto"/>
                      <w:sz w:val="21"/>
                      <w:szCs w:val="21"/>
                      <w:lang w:val="en-US" w:eastAsia="zh-CN"/>
                    </w:rPr>
                    <w:t>隔油池</w:t>
                  </w:r>
                </w:p>
              </w:tc>
              <w:tc>
                <w:tcPr>
                  <w:tcW w:w="2912" w:type="dxa"/>
                  <w:noWrap w:val="0"/>
                  <w:vAlign w:val="center"/>
                </w:tcPr>
                <w:p>
                  <w:pPr>
                    <w:pStyle w:val="47"/>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lang w:val="en-US" w:eastAsia="zh-CN"/>
                    </w:rPr>
                    <w:t>容积2m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，池体位于地下</w:t>
                  </w:r>
                </w:p>
              </w:tc>
              <w:tc>
                <w:tcPr>
                  <w:tcW w:w="1183"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w:t>
                  </w:r>
                </w:p>
              </w:tc>
              <w:tc>
                <w:tcPr>
                  <w:tcW w:w="2690"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eastAsia" w:ascii="Times New Roman" w:hAnsi="Times New Roman" w:cs="Times New Roman"/>
                      <w:bCs/>
                      <w:color w:val="0D0D0D"/>
                      <w:sz w:val="21"/>
                      <w:szCs w:val="21"/>
                      <w:highlight w:val="none"/>
                      <w:lang w:val="en-US" w:eastAsia="zh-CN"/>
                    </w:rPr>
                    <w:t>4</w:t>
                  </w:r>
                </w:p>
              </w:tc>
              <w:tc>
                <w:tcPr>
                  <w:tcW w:w="284"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公用工程</w:t>
                  </w:r>
                </w:p>
              </w:tc>
              <w:tc>
                <w:tcPr>
                  <w:tcW w:w="42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给水</w:t>
                  </w: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厂区内用水自备水井。</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利用原有项目用水设施</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排水</w:t>
                  </w:r>
                </w:p>
              </w:tc>
              <w:tc>
                <w:tcPr>
                  <w:tcW w:w="1731" w:type="pct"/>
                  <w:noWrap w:val="0"/>
                  <w:vAlign w:val="center"/>
                </w:tcPr>
                <w:p>
                  <w:pPr>
                    <w:widowControl/>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lang w:val="en-US" w:eastAsia="zh-CN"/>
                    </w:rPr>
                    <w:t>食堂废水经隔油池处理后与生活污水一同进入化粪池进行预处理，生产废水与预处理后的生活污水一同经厂区污水处理站处理后</w:t>
                  </w:r>
                  <w:r>
                    <w:rPr>
                      <w:rFonts w:hint="eastAsia" w:ascii="Times New Roman" w:hAnsi="Times New Roman" w:eastAsia="宋体" w:cs="Times New Roman"/>
                      <w:color w:val="auto"/>
                      <w:kern w:val="2"/>
                      <w:sz w:val="21"/>
                      <w:szCs w:val="21"/>
                      <w:highlight w:val="none"/>
                      <w:lang w:val="en-US" w:eastAsia="zh-CN" w:bidi="ar-SA"/>
                    </w:rPr>
                    <w:t>通过</w:t>
                  </w:r>
                  <w:r>
                    <w:rPr>
                      <w:rFonts w:hint="default" w:ascii="Times New Roman" w:hAnsi="Times New Roman" w:eastAsia="宋体" w:cs="Times New Roman"/>
                      <w:color w:val="auto"/>
                      <w:kern w:val="2"/>
                      <w:sz w:val="21"/>
                      <w:szCs w:val="21"/>
                      <w:highlight w:val="none"/>
                      <w:lang w:val="en-US" w:eastAsia="zh-CN" w:bidi="ar-SA"/>
                    </w:rPr>
                    <w:t>管网排放至半截塔污水处理厂</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供电</w:t>
                  </w:r>
                </w:p>
              </w:tc>
              <w:tc>
                <w:tcPr>
                  <w:tcW w:w="1731" w:type="pct"/>
                  <w:noWrap w:val="0"/>
                  <w:vAlign w:val="center"/>
                </w:tcPr>
                <w:p>
                  <w:pPr>
                    <w:pStyle w:val="47"/>
                    <w:tabs>
                      <w:tab w:val="left" w:pos="498"/>
                      <w:tab w:val="center" w:pos="3342"/>
                    </w:tabs>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由半截塔镇供电电网供给</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供暖</w:t>
                  </w: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lang w:val="en-US" w:eastAsia="zh-CN"/>
                    </w:rPr>
                    <w:t>电取暖</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新增</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eastAsia" w:ascii="Times New Roman" w:hAnsi="Times New Roman" w:cs="Times New Roman"/>
                      <w:bCs/>
                      <w:color w:val="0D0D0D"/>
                      <w:sz w:val="21"/>
                      <w:szCs w:val="21"/>
                      <w:highlight w:val="none"/>
                      <w:lang w:val="en-US" w:eastAsia="zh-CN"/>
                    </w:rPr>
                    <w:t>3t/h生物质锅炉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eastAsia" w:ascii="Times New Roman" w:hAnsi="Times New Roman" w:cs="Times New Roman"/>
                      <w:bCs/>
                      <w:color w:val="0D0D0D"/>
                      <w:sz w:val="21"/>
                      <w:szCs w:val="21"/>
                      <w:highlight w:val="none"/>
                      <w:lang w:val="en-US" w:eastAsia="zh-CN"/>
                    </w:rPr>
                    <w:t>5</w:t>
                  </w:r>
                </w:p>
              </w:tc>
              <w:tc>
                <w:tcPr>
                  <w:tcW w:w="284"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环保工程</w:t>
                  </w:r>
                </w:p>
              </w:tc>
              <w:tc>
                <w:tcPr>
                  <w:tcW w:w="427"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废气</w:t>
                  </w: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卤煮过程中产生的异味采用高效油烟净化器处理后通过20m高排气筒排放（DA001）</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锅炉烟气采用“布袋除尘器</w:t>
                  </w:r>
                  <w:r>
                    <w:rPr>
                      <w:rFonts w:hint="eastAsia" w:ascii="Times New Roman" w:hAnsi="Times New Roman" w:cs="Times New Roman"/>
                      <w:b w:val="0"/>
                      <w:bCs/>
                      <w:color w:val="auto"/>
                      <w:sz w:val="21"/>
                      <w:szCs w:val="21"/>
                      <w:highlight w:val="none"/>
                      <w:lang w:val="en-US" w:eastAsia="zh-CN"/>
                    </w:rPr>
                    <w:t>+SNCR烟气脱硝设施</w:t>
                  </w:r>
                  <w:r>
                    <w:rPr>
                      <w:rFonts w:hint="default" w:ascii="Times New Roman" w:hAnsi="Times New Roman" w:cs="Times New Roman"/>
                      <w:b w:val="0"/>
                      <w:bCs/>
                      <w:color w:val="auto"/>
                      <w:sz w:val="21"/>
                      <w:szCs w:val="21"/>
                      <w:highlight w:val="none"/>
                      <w:lang w:val="en-US" w:eastAsia="zh-CN"/>
                    </w:rPr>
                    <w:t>”治理后，经</w:t>
                  </w:r>
                  <w:r>
                    <w:rPr>
                      <w:rFonts w:hint="eastAsia" w:ascii="Times New Roman" w:hAnsi="Times New Roman" w:cs="Times New Roman"/>
                      <w:b w:val="0"/>
                      <w:bCs/>
                      <w:color w:val="auto"/>
                      <w:sz w:val="21"/>
                      <w:szCs w:val="21"/>
                      <w:highlight w:val="none"/>
                      <w:lang w:val="en-US" w:eastAsia="zh-CN"/>
                    </w:rPr>
                    <w:t>1根35</w:t>
                  </w:r>
                  <w:r>
                    <w:rPr>
                      <w:rFonts w:hint="default" w:ascii="Times New Roman" w:hAnsi="Times New Roman" w:cs="Times New Roman"/>
                      <w:b w:val="0"/>
                      <w:bCs/>
                      <w:color w:val="auto"/>
                      <w:sz w:val="21"/>
                      <w:szCs w:val="21"/>
                      <w:highlight w:val="none"/>
                      <w:lang w:val="en-US" w:eastAsia="zh-CN"/>
                    </w:rPr>
                    <w:t>m高排气筒排放（DA00</w:t>
                  </w:r>
                  <w:r>
                    <w:rPr>
                      <w:rFonts w:hint="eastAsia" w:ascii="Times New Roman" w:hAnsi="Times New Roman" w:cs="Times New Roman"/>
                      <w:b w:val="0"/>
                      <w:bCs/>
                      <w:color w:val="auto"/>
                      <w:sz w:val="21"/>
                      <w:szCs w:val="21"/>
                      <w:highlight w:val="none"/>
                      <w:lang w:val="en-US" w:eastAsia="zh-CN"/>
                    </w:rPr>
                    <w:t>2</w:t>
                  </w:r>
                  <w:r>
                    <w:rPr>
                      <w:rFonts w:hint="default" w:ascii="Times New Roman" w:hAnsi="Times New Roman"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新增</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污水处理站恶臭气体采用</w:t>
                  </w:r>
                  <w:r>
                    <w:rPr>
                      <w:rFonts w:hint="default" w:ascii="Times New Roman" w:hAnsi="Times New Roman" w:cs="Times New Roman"/>
                      <w:b w:val="0"/>
                      <w:bCs/>
                      <w:color w:val="auto"/>
                      <w:sz w:val="21"/>
                      <w:szCs w:val="21"/>
                      <w:highlight w:val="none"/>
                      <w:lang w:val="en-US" w:eastAsia="zh-CN"/>
                    </w:rPr>
                    <w:t>生物除臭系统</w:t>
                  </w:r>
                  <w:r>
                    <w:rPr>
                      <w:rFonts w:hint="eastAsia" w:ascii="Times New Roman" w:hAnsi="Times New Roman" w:cs="Times New Roman"/>
                      <w:b w:val="0"/>
                      <w:bCs/>
                      <w:color w:val="auto"/>
                      <w:sz w:val="21"/>
                      <w:szCs w:val="21"/>
                      <w:highlight w:val="none"/>
                      <w:lang w:val="en-US" w:eastAsia="zh-CN"/>
                    </w:rPr>
                    <w:t>+20m高排气筒（DA003）</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eastAsia" w:ascii="Times New Roman" w:hAnsi="Times New Roman" w:cs="Times New Roman"/>
                      <w:sz w:val="21"/>
                      <w:szCs w:val="21"/>
                      <w:highlight w:val="none"/>
                      <w:lang w:val="en-US" w:eastAsia="zh-CN"/>
                    </w:rPr>
                    <w:t>新增</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default" w:ascii="Times New Roman" w:hAnsi="Times New Roman"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废水</w:t>
                  </w: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食堂废水经隔油池处理后与生活污水一同进入化粪池进行预处理，生产废水与预处理后的生活污水一同经厂区污水处理站处理后通过</w:t>
                  </w:r>
                  <w:r>
                    <w:rPr>
                      <w:rFonts w:hint="default" w:ascii="Times New Roman" w:hAnsi="Times New Roman" w:cs="Times New Roman"/>
                      <w:b w:val="0"/>
                      <w:bCs/>
                      <w:color w:val="auto"/>
                      <w:sz w:val="21"/>
                      <w:szCs w:val="21"/>
                      <w:highlight w:val="none"/>
                      <w:lang w:val="en-US" w:eastAsia="zh-CN"/>
                    </w:rPr>
                    <w:t>管网排放至半截塔污水处理厂</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cs="Times New Roman"/>
                      <w:bCs/>
                      <w:color w:val="0D0D0D"/>
                      <w:sz w:val="21"/>
                      <w:szCs w:val="21"/>
                      <w:highlight w:val="none"/>
                    </w:rPr>
                    <w:t>噪声</w:t>
                  </w:r>
                </w:p>
              </w:tc>
              <w:tc>
                <w:tcPr>
                  <w:tcW w:w="1731"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r>
                    <w:rPr>
                      <w:rFonts w:hint="default" w:ascii="Times New Roman" w:hAnsi="Times New Roman" w:eastAsia="宋体" w:cs="Times New Roman"/>
                      <w:b w:val="0"/>
                      <w:bCs/>
                      <w:color w:val="auto"/>
                      <w:sz w:val="21"/>
                      <w:szCs w:val="21"/>
                    </w:rPr>
                    <w:t>选用低噪声设备，基础减振，定期维护和保养，厂房隔声</w:t>
                  </w:r>
                </w:p>
              </w:tc>
              <w:tc>
                <w:tcPr>
                  <w:tcW w:w="703"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w:t>
                  </w:r>
                </w:p>
              </w:tc>
              <w:tc>
                <w:tcPr>
                  <w:tcW w:w="1599" w:type="pc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D0D0D"/>
                      <w:sz w:val="21"/>
                      <w:szCs w:val="21"/>
                      <w:highlight w:val="none"/>
                      <w:lang w:val="en-US" w:eastAsia="zh-CN"/>
                    </w:rPr>
                  </w:pPr>
                  <w:r>
                    <w:rPr>
                      <w:rFonts w:hint="default" w:ascii="Times New Roman" w:hAnsi="Times New Roman" w:cs="Times New Roman"/>
                      <w:bCs/>
                      <w:color w:val="0D0D0D"/>
                      <w:sz w:val="21"/>
                      <w:szCs w:val="21"/>
                      <w:highlight w:val="none"/>
                      <w:lang w:val="en-US" w:eastAsia="zh-CN"/>
                    </w:rPr>
                    <w:t>固体废物</w:t>
                  </w:r>
                </w:p>
              </w:tc>
              <w:tc>
                <w:tcPr>
                  <w:tcW w:w="1731" w:type="pct"/>
                  <w:noWrap w:val="0"/>
                  <w:vAlign w:val="center"/>
                </w:tcPr>
                <w:p>
                  <w:pPr>
                    <w:pStyle w:val="47"/>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color w:val="000000"/>
                      <w:sz w:val="21"/>
                      <w:szCs w:val="21"/>
                      <w:highlight w:val="none"/>
                      <w:lang w:val="en-US" w:eastAsia="zh-CN"/>
                    </w:rPr>
                    <w:t>废包装材料、生活垃圾集中收集后由环卫部门收集处置</w:t>
                  </w:r>
                </w:p>
              </w:tc>
              <w:tc>
                <w:tcPr>
                  <w:tcW w:w="703" w:type="pct"/>
                  <w:noWrap w:val="0"/>
                  <w:vAlign w:val="center"/>
                </w:tcPr>
                <w:p>
                  <w:pPr>
                    <w:pStyle w:val="47"/>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w:t>
                  </w:r>
                </w:p>
              </w:tc>
              <w:tc>
                <w:tcPr>
                  <w:tcW w:w="1599" w:type="pct"/>
                  <w:noWrap w:val="0"/>
                  <w:vAlign w:val="center"/>
                </w:tcPr>
                <w:p>
                  <w:pPr>
                    <w:pStyle w:val="47"/>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1731" w:type="pct"/>
                  <w:noWrap w:val="0"/>
                  <w:vAlign w:val="center"/>
                </w:tcPr>
                <w:p>
                  <w:pPr>
                    <w:pStyle w:val="47"/>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项目产生的危险废物主要是废润滑油、废</w:t>
                  </w:r>
                  <w:r>
                    <w:rPr>
                      <w:rFonts w:hint="default" w:ascii="Times New Roman" w:hAnsi="Times New Roman" w:cs="Times New Roman"/>
                      <w:color w:val="000000"/>
                      <w:sz w:val="21"/>
                      <w:szCs w:val="21"/>
                      <w:highlight w:val="none"/>
                      <w:lang w:val="en-US" w:eastAsia="zh-CN"/>
                    </w:rPr>
                    <w:t>润滑</w:t>
                  </w:r>
                  <w:r>
                    <w:rPr>
                      <w:rFonts w:hint="default" w:ascii="Times New Roman" w:hAnsi="Times New Roman" w:cs="Times New Roman"/>
                      <w:color w:val="000000"/>
                      <w:sz w:val="21"/>
                      <w:szCs w:val="21"/>
                      <w:highlight w:val="none"/>
                    </w:rPr>
                    <w:t>油桶等，在危险废物贮存间内分类、分区暂存，并设标识，定期由有资质的单位进行处理。</w:t>
                  </w:r>
                </w:p>
              </w:tc>
              <w:tc>
                <w:tcPr>
                  <w:tcW w:w="703" w:type="pct"/>
                  <w:noWrap w:val="0"/>
                  <w:vAlign w:val="center"/>
                </w:tcPr>
                <w:p>
                  <w:pPr>
                    <w:pStyle w:val="47"/>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w:t>
                  </w:r>
                </w:p>
              </w:tc>
              <w:tc>
                <w:tcPr>
                  <w:tcW w:w="1599" w:type="pct"/>
                  <w:noWrap w:val="0"/>
                  <w:vAlign w:val="center"/>
                </w:tcPr>
                <w:p>
                  <w:pPr>
                    <w:pStyle w:val="47"/>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bCs/>
                      <w:color w:val="0D0D0D"/>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284"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427"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rPr>
                  </w:pPr>
                </w:p>
              </w:tc>
              <w:tc>
                <w:tcPr>
                  <w:tcW w:w="1731" w:type="pct"/>
                  <w:noWrap w:val="0"/>
                  <w:vAlign w:val="center"/>
                </w:tcPr>
                <w:p>
                  <w:pPr>
                    <w:pStyle w:val="47"/>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auto"/>
                    </w:rPr>
                    <w:t>燃烧的生物质炉渣和布袋除尘灰</w:t>
                  </w:r>
                  <w:r>
                    <w:rPr>
                      <w:rFonts w:hint="eastAsia" w:cs="Times New Roman"/>
                      <w:color w:val="auto"/>
                      <w:lang w:eastAsia="zh-CN"/>
                    </w:rPr>
                    <w:t>、</w:t>
                  </w:r>
                  <w:r>
                    <w:rPr>
                      <w:rFonts w:hint="eastAsia" w:cs="Times New Roman"/>
                      <w:color w:val="auto"/>
                      <w:lang w:val="en-US" w:eastAsia="zh-CN"/>
                    </w:rPr>
                    <w:t>布袋除尘器废布袋、污水处理站栅渣，</w:t>
                  </w:r>
                  <w:r>
                    <w:rPr>
                      <w:rFonts w:hint="default" w:ascii="Times New Roman" w:hAnsi="Times New Roman" w:cs="Times New Roman"/>
                      <w:color w:val="auto"/>
                    </w:rPr>
                    <w:t>集中收集后定期由环卫部门清运</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离子交换树脂定期由厂家更换回收</w:t>
                  </w:r>
                  <w:r>
                    <w:rPr>
                      <w:rFonts w:hint="eastAsia" w:cs="Times New Roman"/>
                      <w:color w:val="auto"/>
                      <w:lang w:val="en-US" w:eastAsia="zh-CN"/>
                    </w:rPr>
                    <w:t>；污水处理站产生的污泥委托焚烧处置</w:t>
                  </w:r>
                </w:p>
              </w:tc>
              <w:tc>
                <w:tcPr>
                  <w:tcW w:w="703" w:type="pct"/>
                  <w:noWrap w:val="0"/>
                  <w:vAlign w:val="center"/>
                </w:tcPr>
                <w:p>
                  <w:pPr>
                    <w:pStyle w:val="47"/>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新增</w:t>
                  </w:r>
                </w:p>
              </w:tc>
              <w:tc>
                <w:tcPr>
                  <w:tcW w:w="1599" w:type="pct"/>
                  <w:noWrap w:val="0"/>
                  <w:vAlign w:val="center"/>
                </w:tcPr>
                <w:p>
                  <w:pPr>
                    <w:pStyle w:val="47"/>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D0D0D"/>
                      <w:sz w:val="21"/>
                      <w:szCs w:val="21"/>
                      <w:highlight w:val="none"/>
                      <w:lang w:val="en-US" w:eastAsia="zh-CN"/>
                    </w:rPr>
                  </w:pPr>
                  <w:r>
                    <w:rPr>
                      <w:rFonts w:hint="default" w:ascii="Times New Roman" w:hAnsi="Times New Roman" w:cs="Times New Roman"/>
                      <w:color w:val="000000"/>
                      <w:sz w:val="21"/>
                      <w:szCs w:val="21"/>
                      <w:highlight w:val="none"/>
                      <w:lang w:val="en-US" w:eastAsia="zh-CN"/>
                    </w:rPr>
                    <w:t>/</w:t>
                  </w:r>
                </w:p>
              </w:tc>
            </w:tr>
          </w:tbl>
          <w:p>
            <w:pPr>
              <w:pStyle w:val="39"/>
              <w:snapToGrid w:val="0"/>
              <w:spacing w:before="156" w:beforeLines="50"/>
              <w:ind w:firstLine="482"/>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、能源消耗</w:t>
            </w:r>
          </w:p>
          <w:p>
            <w:pPr>
              <w:adjustRightInd w:val="0"/>
              <w:snapToGrid w:val="0"/>
              <w:spacing w:line="360" w:lineRule="auto"/>
              <w:ind w:firstLine="480"/>
              <w:rPr>
                <w:rFonts w:hint="default" w:ascii="Times New Roman" w:hAnsi="Times New Roman" w:cs="Times New Roman"/>
                <w:color w:val="auto"/>
                <w:sz w:val="24"/>
                <w:szCs w:val="32"/>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32"/>
              </w:rPr>
              <w:t>主要原辅材料如下表所示。</w:t>
            </w:r>
          </w:p>
          <w:p>
            <w:pPr>
              <w:pStyle w:val="3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default" w:ascii="Times New Roman" w:hAnsi="Times New Roman" w:cs="Times New Roman"/>
                <w:b/>
                <w:bCs/>
                <w:color w:val="auto"/>
                <w:sz w:val="21"/>
                <w:szCs w:val="21"/>
              </w:rPr>
            </w:pPr>
          </w:p>
          <w:p>
            <w:pPr>
              <w:pStyle w:val="3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default" w:ascii="Times New Roman" w:hAnsi="Times New Roman" w:cs="Times New Roman"/>
                <w:b/>
                <w:bCs/>
                <w:color w:val="auto"/>
                <w:sz w:val="21"/>
                <w:szCs w:val="21"/>
              </w:rPr>
            </w:pPr>
          </w:p>
          <w:p>
            <w:pPr>
              <w:pStyle w:val="3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rPr>
                <w:rFonts w:hint="default" w:ascii="Times New Roman" w:hAnsi="Times New Roman" w:cs="Times New Roman"/>
                <w:b/>
                <w:bCs/>
                <w:color w:val="auto"/>
                <w:sz w:val="21"/>
                <w:szCs w:val="21"/>
              </w:rPr>
            </w:pPr>
          </w:p>
          <w:p>
            <w:pPr>
              <w:pStyle w:val="39"/>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本项目原辅材料及能源消耗表</w:t>
            </w:r>
          </w:p>
          <w:tbl>
            <w:tblPr>
              <w:tblStyle w:val="23"/>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13"/>
              <w:gridCol w:w="1620"/>
              <w:gridCol w:w="1171"/>
              <w:gridCol w:w="1557"/>
              <w:gridCol w:w="32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noWrap w:val="0"/>
                  <w:vAlign w:val="center"/>
                </w:tcPr>
                <w:p>
                  <w:pPr>
                    <w:pStyle w:val="19"/>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序号</w:t>
                  </w:r>
                </w:p>
              </w:tc>
              <w:tc>
                <w:tcPr>
                  <w:tcW w:w="964" w:type="pct"/>
                  <w:noWrap w:val="0"/>
                  <w:vAlign w:val="center"/>
                </w:tcPr>
                <w:p>
                  <w:pPr>
                    <w:pStyle w:val="19"/>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名称</w:t>
                  </w:r>
                </w:p>
              </w:tc>
              <w:tc>
                <w:tcPr>
                  <w:tcW w:w="697" w:type="pct"/>
                  <w:noWrap w:val="0"/>
                  <w:vAlign w:val="center"/>
                </w:tcPr>
                <w:p>
                  <w:pPr>
                    <w:pStyle w:val="19"/>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单位</w:t>
                  </w:r>
                </w:p>
              </w:tc>
              <w:tc>
                <w:tcPr>
                  <w:tcW w:w="927" w:type="pct"/>
                  <w:noWrap w:val="0"/>
                  <w:vAlign w:val="center"/>
                </w:tcPr>
                <w:p>
                  <w:pPr>
                    <w:pStyle w:val="19"/>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数量</w:t>
                  </w:r>
                </w:p>
              </w:tc>
              <w:tc>
                <w:tcPr>
                  <w:tcW w:w="1926" w:type="pct"/>
                  <w:noWrap w:val="0"/>
                  <w:vAlign w:val="center"/>
                </w:tcPr>
                <w:p>
                  <w:pPr>
                    <w:pStyle w:val="19"/>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c>
                <w:tcPr>
                  <w:tcW w:w="96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牛肉</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吨</w:t>
                  </w:r>
                </w:p>
              </w:tc>
              <w:tc>
                <w:tcPr>
                  <w:tcW w:w="92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800</w:t>
                  </w:r>
                </w:p>
              </w:tc>
              <w:tc>
                <w:tcPr>
                  <w:tcW w:w="1926" w:type="pct"/>
                  <w:vMerge w:val="restart"/>
                  <w:shd w:val="clear" w:color="auto" w:fill="auto"/>
                  <w:noWrap w:val="0"/>
                  <w:vAlign w:val="center"/>
                </w:tcPr>
                <w:p>
                  <w:pPr>
                    <w:pStyle w:val="19"/>
                    <w:spacing w:line="28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食品车间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w:t>
                  </w:r>
                </w:p>
              </w:tc>
              <w:tc>
                <w:tcPr>
                  <w:tcW w:w="964" w:type="pct"/>
                  <w:shd w:val="clear" w:color="auto" w:fill="auto"/>
                  <w:noWrap w:val="0"/>
                  <w:vAlign w:val="center"/>
                </w:tcPr>
                <w:p>
                  <w:pPr>
                    <w:pStyle w:val="19"/>
                    <w:spacing w:line="280" w:lineRule="exact"/>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牛板筋</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吨</w:t>
                  </w:r>
                </w:p>
              </w:tc>
              <w:tc>
                <w:tcPr>
                  <w:tcW w:w="92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275</w:t>
                  </w:r>
                </w:p>
              </w:tc>
              <w:tc>
                <w:tcPr>
                  <w:tcW w:w="1926" w:type="pct"/>
                  <w:vMerge w:val="continue"/>
                  <w:shd w:val="clear" w:color="auto" w:fill="auto"/>
                  <w:noWrap w:val="0"/>
                  <w:vAlign w:val="center"/>
                </w:tcPr>
                <w:p>
                  <w:pPr>
                    <w:pStyle w:val="19"/>
                    <w:spacing w:line="280" w:lineRule="exact"/>
                    <w:jc w:val="center"/>
                    <w:rPr>
                      <w:rFonts w:hint="default" w:ascii="Times New Roman" w:hAnsi="Times New Roman"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3</w:t>
                  </w:r>
                </w:p>
              </w:tc>
              <w:tc>
                <w:tcPr>
                  <w:tcW w:w="96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牛脆骨</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吨</w:t>
                  </w:r>
                </w:p>
              </w:tc>
              <w:tc>
                <w:tcPr>
                  <w:tcW w:w="92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275</w:t>
                  </w:r>
                </w:p>
              </w:tc>
              <w:tc>
                <w:tcPr>
                  <w:tcW w:w="1926" w:type="pct"/>
                  <w:vMerge w:val="continue"/>
                  <w:shd w:val="clear" w:color="auto" w:fill="auto"/>
                  <w:noWrap w:val="0"/>
                  <w:vAlign w:val="center"/>
                </w:tcPr>
                <w:p>
                  <w:pPr>
                    <w:pStyle w:val="19"/>
                    <w:spacing w:line="280" w:lineRule="exact"/>
                    <w:jc w:val="center"/>
                    <w:rPr>
                      <w:rFonts w:hint="default" w:ascii="Times New Roman" w:hAnsi="Times New Roman"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4</w:t>
                  </w:r>
                </w:p>
              </w:tc>
              <w:tc>
                <w:tcPr>
                  <w:tcW w:w="96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牛蹄筋</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吨</w:t>
                  </w:r>
                </w:p>
              </w:tc>
              <w:tc>
                <w:tcPr>
                  <w:tcW w:w="92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275</w:t>
                  </w:r>
                </w:p>
              </w:tc>
              <w:tc>
                <w:tcPr>
                  <w:tcW w:w="1926" w:type="pct"/>
                  <w:vMerge w:val="continue"/>
                  <w:noWrap w:val="0"/>
                  <w:vAlign w:val="center"/>
                </w:tcPr>
                <w:p>
                  <w:pPr>
                    <w:pStyle w:val="19"/>
                    <w:spacing w:line="28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5</w:t>
                  </w:r>
                </w:p>
              </w:tc>
              <w:tc>
                <w:tcPr>
                  <w:tcW w:w="96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牛副产品</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吨</w:t>
                  </w:r>
                </w:p>
              </w:tc>
              <w:tc>
                <w:tcPr>
                  <w:tcW w:w="92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4000</w:t>
                  </w:r>
                </w:p>
              </w:tc>
              <w:tc>
                <w:tcPr>
                  <w:tcW w:w="1926" w:type="pct"/>
                  <w:vMerge w:val="restart"/>
                  <w:noWrap w:val="0"/>
                  <w:vAlign w:val="center"/>
                </w:tcPr>
                <w:p>
                  <w:pPr>
                    <w:pStyle w:val="19"/>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宠物粮车间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6</w:t>
                  </w:r>
                </w:p>
              </w:tc>
              <w:tc>
                <w:tcPr>
                  <w:tcW w:w="96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牛碎肉</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吨</w:t>
                  </w:r>
                </w:p>
              </w:tc>
              <w:tc>
                <w:tcPr>
                  <w:tcW w:w="927" w:type="pct"/>
                  <w:shd w:val="clear" w:color="auto" w:fill="auto"/>
                  <w:noWrap w:val="0"/>
                  <w:vAlign w:val="center"/>
                </w:tcPr>
                <w:p>
                  <w:pPr>
                    <w:pStyle w:val="19"/>
                    <w:spacing w:line="280" w:lineRule="exact"/>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2000</w:t>
                  </w:r>
                </w:p>
              </w:tc>
              <w:tc>
                <w:tcPr>
                  <w:tcW w:w="1926" w:type="pct"/>
                  <w:vMerge w:val="continue"/>
                  <w:noWrap w:val="0"/>
                  <w:vAlign w:val="center"/>
                </w:tcPr>
                <w:p>
                  <w:pPr>
                    <w:pStyle w:val="19"/>
                    <w:spacing w:line="28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7</w:t>
                  </w:r>
                </w:p>
              </w:tc>
              <w:tc>
                <w:tcPr>
                  <w:tcW w:w="964"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牛杂骨</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吨</w:t>
                  </w:r>
                </w:p>
              </w:tc>
              <w:tc>
                <w:tcPr>
                  <w:tcW w:w="927" w:type="pct"/>
                  <w:shd w:val="clear" w:color="auto" w:fill="auto"/>
                  <w:noWrap w:val="0"/>
                  <w:vAlign w:val="center"/>
                </w:tcPr>
                <w:p>
                  <w:pPr>
                    <w:pStyle w:val="19"/>
                    <w:spacing w:line="280" w:lineRule="exact"/>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2000</w:t>
                  </w:r>
                </w:p>
              </w:tc>
              <w:tc>
                <w:tcPr>
                  <w:tcW w:w="1926" w:type="pct"/>
                  <w:vMerge w:val="continue"/>
                  <w:noWrap w:val="0"/>
                  <w:vAlign w:val="center"/>
                </w:tcPr>
                <w:p>
                  <w:pPr>
                    <w:pStyle w:val="19"/>
                    <w:spacing w:line="28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8</w:t>
                  </w:r>
                </w:p>
              </w:tc>
              <w:tc>
                <w:tcPr>
                  <w:tcW w:w="96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val="en-US" w:eastAsia="zh-CN"/>
                    </w:rPr>
                    <w:t>调味料</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9"/>
                    <w:spacing w:line="28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SA"/>
                    </w:rPr>
                    <w:t>288</w:t>
                  </w:r>
                </w:p>
              </w:tc>
              <w:tc>
                <w:tcPr>
                  <w:tcW w:w="1926" w:type="pct"/>
                  <w:noWrap w:val="0"/>
                  <w:vAlign w:val="center"/>
                </w:tcPr>
                <w:p>
                  <w:pPr>
                    <w:pStyle w:val="19"/>
                    <w:spacing w:line="28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9</w:t>
                  </w:r>
                </w:p>
              </w:tc>
              <w:tc>
                <w:tcPr>
                  <w:tcW w:w="96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highlight w:val="none"/>
                      <w:lang w:val="en-US" w:eastAsia="zh-CN"/>
                    </w:rPr>
                    <w:t>添加剂</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bidi="ar"/>
                    </w:rPr>
                  </w:pPr>
                  <w:r>
                    <w:rPr>
                      <w:rFonts w:hint="eastAsia"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9"/>
                    <w:spacing w:line="28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w:t>
                  </w:r>
                </w:p>
              </w:tc>
              <w:tc>
                <w:tcPr>
                  <w:tcW w:w="1926" w:type="pct"/>
                  <w:noWrap w:val="0"/>
                  <w:vAlign w:val="center"/>
                </w:tcPr>
                <w:p>
                  <w:pPr>
                    <w:pStyle w:val="19"/>
                    <w:spacing w:line="28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10</w:t>
                  </w:r>
                </w:p>
              </w:tc>
              <w:tc>
                <w:tcPr>
                  <w:tcW w:w="964"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生物质</w:t>
                  </w:r>
                </w:p>
              </w:tc>
              <w:tc>
                <w:tcPr>
                  <w:tcW w:w="697"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9"/>
                    <w:spacing w:line="280" w:lineRule="exact"/>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900</w:t>
                  </w:r>
                </w:p>
              </w:tc>
              <w:tc>
                <w:tcPr>
                  <w:tcW w:w="1926" w:type="pct"/>
                  <w:noWrap w:val="0"/>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汽车</w:t>
                  </w:r>
                  <w:r>
                    <w:rPr>
                      <w:rFonts w:hint="eastAsia" w:ascii="Times New Roman" w:hAnsi="Times New Roman" w:cs="Times New Roman"/>
                      <w:color w:val="auto"/>
                      <w:sz w:val="21"/>
                      <w:szCs w:val="21"/>
                      <w:lang w:val="en-US" w:eastAsia="zh-CN"/>
                    </w:rPr>
                    <w:t>运输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11</w:t>
                  </w:r>
                </w:p>
              </w:tc>
              <w:tc>
                <w:tcPr>
                  <w:tcW w:w="964"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聚合氯化铝</w:t>
                  </w:r>
                </w:p>
              </w:tc>
              <w:tc>
                <w:tcPr>
                  <w:tcW w:w="697"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9"/>
                    <w:spacing w:line="280" w:lineRule="exact"/>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22.7</w:t>
                  </w:r>
                </w:p>
              </w:tc>
              <w:tc>
                <w:tcPr>
                  <w:tcW w:w="1926" w:type="pct"/>
                  <w:noWrap w:val="0"/>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袋装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12</w:t>
                  </w:r>
                </w:p>
              </w:tc>
              <w:tc>
                <w:tcPr>
                  <w:tcW w:w="96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助凝剂</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926" w:type="pct"/>
                  <w:noWrap w:val="0"/>
                  <w:vAlign w:val="center"/>
                </w:tcPr>
                <w:p>
                  <w:pPr>
                    <w:pStyle w:val="19"/>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袋装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13</w:t>
                  </w:r>
                </w:p>
              </w:tc>
              <w:tc>
                <w:tcPr>
                  <w:tcW w:w="964"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次氯酸钠</w:t>
                  </w:r>
                </w:p>
              </w:tc>
              <w:tc>
                <w:tcPr>
                  <w:tcW w:w="697"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9"/>
                    <w:spacing w:line="280" w:lineRule="exact"/>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75.6</w:t>
                  </w:r>
                </w:p>
              </w:tc>
              <w:tc>
                <w:tcPr>
                  <w:tcW w:w="1926" w:type="pct"/>
                  <w:noWrap w:val="0"/>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袋装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14</w:t>
                  </w:r>
                </w:p>
              </w:tc>
              <w:tc>
                <w:tcPr>
                  <w:tcW w:w="96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尿素</w:t>
                  </w:r>
                </w:p>
              </w:tc>
              <w:tc>
                <w:tcPr>
                  <w:tcW w:w="697"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吨</w:t>
                  </w:r>
                </w:p>
              </w:tc>
              <w:tc>
                <w:tcPr>
                  <w:tcW w:w="927"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926" w:type="pct"/>
                  <w:noWrap w:val="0"/>
                  <w:vAlign w:val="center"/>
                </w:tcPr>
                <w:p>
                  <w:pPr>
                    <w:pStyle w:val="19"/>
                    <w:spacing w:line="280" w:lineRule="exact"/>
                    <w:jc w:val="center"/>
                    <w:rPr>
                      <w:rFonts w:hint="eastAsia" w:ascii="Times New Roman" w:hAnsi="Times New Roman"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15</w:t>
                  </w:r>
                </w:p>
              </w:tc>
              <w:tc>
                <w:tcPr>
                  <w:tcW w:w="964"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新鲜水</w:t>
                  </w:r>
                </w:p>
              </w:tc>
              <w:tc>
                <w:tcPr>
                  <w:tcW w:w="697"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t</w:t>
                  </w:r>
                  <w:r>
                    <w:rPr>
                      <w:rFonts w:hint="default" w:ascii="Times New Roman" w:hAnsi="Times New Roman" w:cs="Times New Roman"/>
                      <w:color w:val="auto"/>
                      <w:sz w:val="21"/>
                      <w:szCs w:val="21"/>
                      <w:highlight w:val="none"/>
                    </w:rPr>
                    <w:t>/a</w:t>
                  </w:r>
                </w:p>
              </w:tc>
              <w:tc>
                <w:tcPr>
                  <w:tcW w:w="927"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103780</w:t>
                  </w:r>
                </w:p>
              </w:tc>
              <w:tc>
                <w:tcPr>
                  <w:tcW w:w="1926" w:type="pct"/>
                  <w:noWrap w:val="0"/>
                  <w:vAlign w:val="center"/>
                </w:tcPr>
                <w:p>
                  <w:pPr>
                    <w:pStyle w:val="19"/>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b w:val="0"/>
                      <w:bCs/>
                      <w:color w:val="auto"/>
                      <w:kern w:val="44"/>
                      <w:sz w:val="21"/>
                      <w:szCs w:val="21"/>
                      <w:highlight w:val="none"/>
                      <w:vertAlign w:val="baseline"/>
                      <w:lang w:val="en-US" w:eastAsia="zh-CN"/>
                    </w:rPr>
                    <w:t>全厂用水量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shd w:val="clear" w:color="auto" w:fill="auto"/>
                  <w:noWrap w:val="0"/>
                  <w:vAlign w:val="center"/>
                </w:tcPr>
                <w:p>
                  <w:pPr>
                    <w:pStyle w:val="19"/>
                    <w:spacing w:line="280" w:lineRule="exact"/>
                    <w:jc w:val="center"/>
                    <w:rPr>
                      <w:rFonts w:hint="default" w:ascii="Times New Roman" w:hAnsi="Times New Roman"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16</w:t>
                  </w:r>
                </w:p>
              </w:tc>
              <w:tc>
                <w:tcPr>
                  <w:tcW w:w="964"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bidi="ar"/>
                    </w:rPr>
                    <w:t>电</w:t>
                  </w:r>
                </w:p>
              </w:tc>
              <w:tc>
                <w:tcPr>
                  <w:tcW w:w="697" w:type="pct"/>
                  <w:shd w:val="clear" w:color="auto" w:fill="auto"/>
                  <w:noWrap w:val="0"/>
                  <w:vAlign w:val="center"/>
                </w:tcPr>
                <w:p>
                  <w:pPr>
                    <w:pStyle w:val="19"/>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bidi="ar"/>
                    </w:rPr>
                    <w:t>kW·h/a</w:t>
                  </w:r>
                </w:p>
              </w:tc>
              <w:tc>
                <w:tcPr>
                  <w:tcW w:w="927" w:type="pct"/>
                  <w:shd w:val="clear" w:color="auto" w:fill="auto"/>
                  <w:noWrap w:val="0"/>
                  <w:vAlign w:val="center"/>
                </w:tcPr>
                <w:p>
                  <w:pPr>
                    <w:pStyle w:val="19"/>
                    <w:spacing w:line="28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24.5</w:t>
                  </w:r>
                  <w:r>
                    <w:rPr>
                      <w:rFonts w:hint="default" w:ascii="Times New Roman" w:hAnsi="Times New Roman" w:cs="Times New Roman"/>
                      <w:color w:val="auto"/>
                      <w:sz w:val="21"/>
                      <w:szCs w:val="21"/>
                      <w:highlight w:val="none"/>
                      <w:lang w:val="en-US" w:eastAsia="zh-CN"/>
                    </w:rPr>
                    <w:t>万</w:t>
                  </w:r>
                </w:p>
              </w:tc>
              <w:tc>
                <w:tcPr>
                  <w:tcW w:w="1926" w:type="pct"/>
                  <w:noWrap w:val="0"/>
                  <w:vAlign w:val="center"/>
                </w:tcPr>
                <w:p>
                  <w:pPr>
                    <w:pStyle w:val="19"/>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由</w:t>
                  </w:r>
                  <w:r>
                    <w:rPr>
                      <w:rFonts w:hint="eastAsia" w:eastAsia="宋体" w:cs="Times New Roman"/>
                      <w:color w:val="auto"/>
                      <w:sz w:val="21"/>
                      <w:szCs w:val="21"/>
                      <w:highlight w:val="none"/>
                      <w:lang w:val="en-US" w:eastAsia="zh-CN"/>
                    </w:rPr>
                    <w:t>半截塔镇供电</w:t>
                  </w:r>
                  <w:r>
                    <w:rPr>
                      <w:rFonts w:hint="default" w:ascii="Times New Roman" w:hAnsi="Times New Roman" w:eastAsia="宋体" w:cs="Times New Roman"/>
                      <w:color w:val="auto"/>
                      <w:sz w:val="21"/>
                      <w:szCs w:val="21"/>
                      <w:highlight w:val="none"/>
                      <w:lang w:val="en-US" w:eastAsia="zh-CN"/>
                    </w:rPr>
                    <w:t>电网供给</w:t>
                  </w:r>
                </w:p>
              </w:tc>
            </w:tr>
          </w:tbl>
          <w:p>
            <w:pPr>
              <w:adjustRightInd w:val="0"/>
              <w:snapToGrid w:val="0"/>
              <w:spacing w:line="360" w:lineRule="auto"/>
              <w:ind w:firstLine="480"/>
              <w:rPr>
                <w:rFonts w:hint="eastAsia" w:ascii="Times New Roman" w:hAnsi="Times New Roman" w:cs="Times New Roman"/>
                <w:color w:val="auto"/>
                <w:sz w:val="24"/>
                <w:szCs w:val="32"/>
                <w:lang w:val="en-US" w:eastAsia="zh-CN"/>
              </w:rPr>
            </w:pPr>
            <w:r>
              <w:rPr>
                <w:rFonts w:hint="eastAsia" w:ascii="Times New Roman" w:hAnsi="Times New Roman" w:cs="Times New Roman"/>
                <w:color w:val="auto"/>
                <w:sz w:val="24"/>
                <w:szCs w:val="32"/>
                <w:lang w:val="en-US" w:eastAsia="zh-CN"/>
              </w:rPr>
              <w:t>1t生物质发热量为17267J/g=17267000kj</w:t>
            </w:r>
          </w:p>
          <w:p>
            <w:pPr>
              <w:adjustRightInd w:val="0"/>
              <w:snapToGrid w:val="0"/>
              <w:spacing w:line="360" w:lineRule="auto"/>
              <w:ind w:firstLine="480"/>
              <w:rPr>
                <w:rFonts w:hint="default" w:ascii="Times New Roman" w:hAnsi="Times New Roman" w:cs="Times New Roman"/>
                <w:color w:val="auto"/>
                <w:sz w:val="24"/>
                <w:szCs w:val="32"/>
                <w:lang w:val="en-US" w:eastAsia="zh-CN"/>
              </w:rPr>
            </w:pPr>
            <w:r>
              <w:rPr>
                <w:rFonts w:hint="eastAsia" w:ascii="Times New Roman" w:hAnsi="Times New Roman" w:cs="Times New Roman"/>
                <w:color w:val="auto"/>
                <w:sz w:val="24"/>
                <w:szCs w:val="32"/>
                <w:lang w:val="en-US" w:eastAsia="zh-CN"/>
              </w:rPr>
              <w:t>2t/h蒸汽锅炉1h热量为1400KW×3600s=5040000kj</w:t>
            </w:r>
          </w:p>
          <w:p>
            <w:pPr>
              <w:adjustRightInd w:val="0"/>
              <w:snapToGrid w:val="0"/>
              <w:spacing w:line="360" w:lineRule="auto"/>
              <w:ind w:firstLine="480"/>
              <w:rPr>
                <w:rFonts w:hint="default" w:ascii="Times New Roman" w:hAnsi="Times New Roman" w:cs="Times New Roman"/>
                <w:color w:val="auto"/>
                <w:sz w:val="24"/>
                <w:szCs w:val="32"/>
                <w:lang w:val="en-US" w:eastAsia="zh-CN"/>
              </w:rPr>
            </w:pPr>
            <w:r>
              <w:rPr>
                <w:rFonts w:hint="eastAsia" w:ascii="Times New Roman" w:hAnsi="Times New Roman" w:cs="Times New Roman"/>
                <w:color w:val="auto"/>
                <w:sz w:val="24"/>
                <w:szCs w:val="32"/>
                <w:lang w:val="en-US" w:eastAsia="zh-CN"/>
              </w:rPr>
              <w:t>年生产2100h生物质用量约为：655t。</w:t>
            </w:r>
          </w:p>
          <w:p>
            <w:pPr>
              <w:adjustRightInd w:val="0"/>
              <w:snapToGrid w:val="0"/>
              <w:spacing w:line="360" w:lineRule="auto"/>
              <w:ind w:firstLine="480"/>
              <w:rPr>
                <w:rFonts w:hint="default" w:ascii="Times New Roman" w:hAnsi="Times New Roman" w:cs="Times New Roman"/>
                <w:color w:val="auto"/>
                <w:sz w:val="24"/>
                <w:szCs w:val="32"/>
                <w:lang w:val="en-US" w:eastAsia="zh-CN"/>
              </w:rPr>
            </w:pPr>
            <w:r>
              <w:rPr>
                <w:rFonts w:hint="eastAsia" w:ascii="Times New Roman" w:hAnsi="Times New Roman" w:cs="Times New Roman"/>
                <w:color w:val="auto"/>
                <w:sz w:val="24"/>
                <w:szCs w:val="32"/>
                <w:lang w:val="en-US" w:eastAsia="zh-CN"/>
              </w:rPr>
              <w:t>3t/h蒸汽锅炉1h热量为7560000kj；</w:t>
            </w:r>
          </w:p>
          <w:p>
            <w:pPr>
              <w:adjustRightInd w:val="0"/>
              <w:snapToGrid w:val="0"/>
              <w:spacing w:line="360" w:lineRule="auto"/>
              <w:ind w:firstLine="480"/>
              <w:rPr>
                <w:rFonts w:hint="default" w:ascii="Times New Roman" w:hAnsi="Times New Roman" w:cs="Times New Roman"/>
                <w:color w:val="auto"/>
                <w:sz w:val="24"/>
                <w:szCs w:val="32"/>
                <w:lang w:val="en-US" w:eastAsia="zh-CN"/>
              </w:rPr>
            </w:pPr>
            <w:r>
              <w:rPr>
                <w:rFonts w:hint="eastAsia" w:ascii="Times New Roman" w:hAnsi="Times New Roman" w:cs="Times New Roman"/>
                <w:color w:val="auto"/>
                <w:sz w:val="24"/>
                <w:szCs w:val="32"/>
                <w:lang w:val="en-US" w:eastAsia="zh-CN"/>
              </w:rPr>
              <w:t>年取暖600h生物质用量为：245t。</w:t>
            </w:r>
          </w:p>
          <w:p>
            <w:pPr>
              <w:adjustRightInd w:val="0"/>
              <w:snapToGrid w:val="0"/>
              <w:spacing w:line="360" w:lineRule="auto"/>
              <w:ind w:firstLine="480"/>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项目燃料选用</w:t>
            </w:r>
            <w:r>
              <w:rPr>
                <w:rFonts w:hint="eastAsia" w:ascii="Times New Roman" w:hAnsi="Times New Roman" w:cs="Times New Roman"/>
                <w:color w:val="auto"/>
                <w:sz w:val="24"/>
                <w:szCs w:val="32"/>
                <w:lang w:val="en-US" w:eastAsia="zh-CN"/>
              </w:rPr>
              <w:t>生物质</w:t>
            </w:r>
            <w:r>
              <w:rPr>
                <w:rFonts w:hint="default" w:ascii="Times New Roman" w:hAnsi="Times New Roman" w:cs="Times New Roman"/>
                <w:color w:val="auto"/>
                <w:sz w:val="24"/>
                <w:szCs w:val="32"/>
                <w:lang w:val="en-US" w:eastAsia="zh-CN"/>
              </w:rPr>
              <w:t>。用汽车运送至</w:t>
            </w:r>
            <w:r>
              <w:rPr>
                <w:rFonts w:hint="eastAsia" w:ascii="Times New Roman" w:hAnsi="Times New Roman" w:cs="Times New Roman"/>
                <w:color w:val="auto"/>
                <w:sz w:val="24"/>
                <w:szCs w:val="32"/>
                <w:lang w:val="en-US" w:eastAsia="zh-CN"/>
              </w:rPr>
              <w:t>厂区</w:t>
            </w:r>
            <w:r>
              <w:rPr>
                <w:rFonts w:hint="default" w:ascii="Times New Roman" w:hAnsi="Times New Roman" w:cs="Times New Roman"/>
                <w:color w:val="auto"/>
                <w:sz w:val="24"/>
                <w:szCs w:val="32"/>
                <w:lang w:val="en-US" w:eastAsia="zh-CN"/>
              </w:rPr>
              <w:t>。</w:t>
            </w:r>
            <w:r>
              <w:rPr>
                <w:rFonts w:hint="eastAsia" w:ascii="Times New Roman" w:hAnsi="Times New Roman" w:cs="Times New Roman"/>
                <w:color w:val="auto"/>
                <w:sz w:val="24"/>
                <w:szCs w:val="32"/>
                <w:lang w:val="en-US" w:eastAsia="zh-CN"/>
              </w:rPr>
              <w:t>生物质</w:t>
            </w:r>
            <w:r>
              <w:rPr>
                <w:rFonts w:hint="default" w:ascii="Times New Roman" w:hAnsi="Times New Roman" w:cs="Times New Roman"/>
                <w:color w:val="auto"/>
                <w:sz w:val="24"/>
                <w:szCs w:val="32"/>
                <w:lang w:val="en-US" w:eastAsia="zh-CN"/>
              </w:rPr>
              <w:t>成分见表2-</w:t>
            </w:r>
            <w:r>
              <w:rPr>
                <w:rFonts w:hint="eastAsia" w:ascii="Times New Roman" w:hAnsi="Times New Roman" w:cs="Times New Roman"/>
                <w:color w:val="auto"/>
                <w:sz w:val="24"/>
                <w:szCs w:val="32"/>
                <w:lang w:val="en-US" w:eastAsia="zh-CN"/>
              </w:rPr>
              <w:t>3</w:t>
            </w:r>
            <w:r>
              <w:rPr>
                <w:rFonts w:hint="default" w:ascii="Times New Roman" w:hAnsi="Times New Roman" w:cs="Times New Roman"/>
                <w:color w:val="auto"/>
                <w:sz w:val="24"/>
                <w:szCs w:val="32"/>
                <w:lang w:val="en-US" w:eastAsia="zh-CN"/>
              </w:rPr>
              <w:t>。</w:t>
            </w:r>
          </w:p>
          <w:p>
            <w:pPr>
              <w:pStyle w:val="39"/>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生物质</w:t>
            </w:r>
            <w:r>
              <w:rPr>
                <w:rFonts w:hint="default" w:ascii="Times New Roman" w:hAnsi="Times New Roman" w:cs="Times New Roman"/>
                <w:b/>
                <w:bCs/>
                <w:color w:val="auto"/>
                <w:sz w:val="21"/>
                <w:szCs w:val="21"/>
                <w:lang w:val="en-US" w:eastAsia="zh-CN"/>
              </w:rPr>
              <w:t>成分表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2202"/>
              <w:gridCol w:w="1696"/>
              <w:gridCol w:w="1354"/>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810" w:type="pct"/>
                  <w:tcBorders>
                    <w:tl2br w:val="single" w:color="auto" w:sz="6" w:space="0"/>
                  </w:tcBorders>
                  <w:vAlign w:val="center"/>
                </w:tcPr>
                <w:p>
                  <w:pPr>
                    <w:pStyle w:val="60"/>
                    <w:bidi w:val="0"/>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指标</w:t>
                  </w:r>
                </w:p>
                <w:p>
                  <w:pPr>
                    <w:pStyle w:val="60"/>
                    <w:bidi w:val="0"/>
                    <w:jc w:val="both"/>
                    <w:rPr>
                      <w:rFonts w:hint="default" w:ascii="Times New Roman" w:hAnsi="Times New Roman" w:cs="Times New Roman"/>
                      <w:color w:val="auto"/>
                    </w:rPr>
                  </w:pPr>
                  <w:r>
                    <w:rPr>
                      <w:rFonts w:hint="default" w:ascii="Times New Roman" w:hAnsi="Times New Roman" w:cs="Times New Roman"/>
                      <w:color w:val="auto"/>
                    </w:rPr>
                    <w:t>序号</w:t>
                  </w:r>
                </w:p>
              </w:tc>
              <w:tc>
                <w:tcPr>
                  <w:tcW w:w="1309" w:type="pct"/>
                  <w:vAlign w:val="center"/>
                </w:tcPr>
                <w:p>
                  <w:pPr>
                    <w:pStyle w:val="60"/>
                    <w:bidi w:val="0"/>
                    <w:rPr>
                      <w:rFonts w:hint="default" w:ascii="Times New Roman" w:hAnsi="Times New Roman" w:cs="Times New Roman"/>
                      <w:color w:val="auto"/>
                    </w:rPr>
                  </w:pPr>
                  <w:r>
                    <w:rPr>
                      <w:rFonts w:hint="default" w:ascii="Times New Roman" w:hAnsi="Times New Roman" w:cs="Times New Roman"/>
                      <w:color w:val="auto"/>
                    </w:rPr>
                    <w:t>名  称</w:t>
                  </w:r>
                </w:p>
              </w:tc>
              <w:tc>
                <w:tcPr>
                  <w:tcW w:w="1008" w:type="pct"/>
                  <w:vAlign w:val="center"/>
                </w:tcPr>
                <w:p>
                  <w:pPr>
                    <w:pStyle w:val="60"/>
                    <w:bidi w:val="0"/>
                    <w:rPr>
                      <w:rFonts w:hint="default" w:ascii="Times New Roman" w:hAnsi="Times New Roman" w:cs="Times New Roman"/>
                      <w:color w:val="auto"/>
                    </w:rPr>
                  </w:pPr>
                  <w:r>
                    <w:rPr>
                      <w:rFonts w:hint="default" w:ascii="Times New Roman" w:hAnsi="Times New Roman" w:cs="Times New Roman"/>
                      <w:color w:val="auto"/>
                    </w:rPr>
                    <w:t>符  号</w:t>
                  </w:r>
                </w:p>
              </w:tc>
              <w:tc>
                <w:tcPr>
                  <w:tcW w:w="805" w:type="pct"/>
                  <w:vAlign w:val="center"/>
                </w:tcPr>
                <w:p>
                  <w:pPr>
                    <w:pStyle w:val="60"/>
                    <w:bidi w:val="0"/>
                    <w:rPr>
                      <w:rFonts w:hint="default" w:ascii="Times New Roman" w:hAnsi="Times New Roman" w:cs="Times New Roman"/>
                      <w:color w:val="auto"/>
                    </w:rPr>
                  </w:pPr>
                  <w:r>
                    <w:rPr>
                      <w:rFonts w:hint="default" w:ascii="Times New Roman" w:hAnsi="Times New Roman" w:cs="Times New Roman"/>
                      <w:color w:val="auto"/>
                    </w:rPr>
                    <w:t>单 位</w:t>
                  </w:r>
                </w:p>
              </w:tc>
              <w:tc>
                <w:tcPr>
                  <w:tcW w:w="1065" w:type="pct"/>
                  <w:vAlign w:val="center"/>
                </w:tcPr>
                <w:p>
                  <w:pPr>
                    <w:pStyle w:val="60"/>
                    <w:bidi w:val="0"/>
                    <w:rPr>
                      <w:rFonts w:hint="default" w:ascii="Times New Roman" w:hAnsi="Times New Roman" w:cs="Times New Roman"/>
                      <w:color w:val="auto"/>
                    </w:rPr>
                  </w:pPr>
                  <w:r>
                    <w:rPr>
                      <w:rFonts w:hint="default" w:ascii="Times New Roman" w:hAnsi="Times New Roman" w:cs="Times New Roman"/>
                      <w:color w:val="auto"/>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1</w:t>
                  </w:r>
                </w:p>
              </w:tc>
              <w:tc>
                <w:tcPr>
                  <w:tcW w:w="1309"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收到基低位发热量</w:t>
                  </w:r>
                </w:p>
              </w:tc>
              <w:tc>
                <w:tcPr>
                  <w:tcW w:w="1008"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Qnet.v.ar</w:t>
                  </w:r>
                </w:p>
              </w:tc>
              <w:tc>
                <w:tcPr>
                  <w:tcW w:w="805" w:type="pct"/>
                  <w:vAlign w:val="center"/>
                </w:tcPr>
                <w:p>
                  <w:pPr>
                    <w:pStyle w:val="47"/>
                    <w:bidi w:val="0"/>
                    <w:rPr>
                      <w:rFonts w:hint="default" w:ascii="Times New Roman" w:hAnsi="Times New Roman" w:cs="Times New Roman"/>
                      <w:color w:val="auto"/>
                      <w:lang w:val="en-US"/>
                    </w:rPr>
                  </w:pPr>
                  <w:r>
                    <w:rPr>
                      <w:rFonts w:hint="eastAsia" w:cs="Times New Roman"/>
                      <w:color w:val="auto"/>
                      <w:lang w:val="en-US" w:eastAsia="zh-CN"/>
                    </w:rPr>
                    <w:t>J/g</w:t>
                  </w:r>
                </w:p>
              </w:tc>
              <w:tc>
                <w:tcPr>
                  <w:tcW w:w="1065" w:type="pct"/>
                  <w:vAlign w:val="center"/>
                </w:tcPr>
                <w:p>
                  <w:pPr>
                    <w:pStyle w:val="47"/>
                    <w:bidi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17267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2</w:t>
                  </w:r>
                </w:p>
              </w:tc>
              <w:tc>
                <w:tcPr>
                  <w:tcW w:w="1309"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收到基</w:t>
                  </w:r>
                  <w:r>
                    <w:rPr>
                      <w:rFonts w:hint="default" w:ascii="Times New Roman" w:hAnsi="Times New Roman" w:cs="Times New Roman"/>
                      <w:color w:val="auto"/>
                      <w:lang w:val="en-US" w:eastAsia="zh-CN"/>
                    </w:rPr>
                    <w:t>全</w:t>
                  </w:r>
                  <w:r>
                    <w:rPr>
                      <w:rFonts w:hint="default" w:ascii="Times New Roman" w:hAnsi="Times New Roman" w:cs="Times New Roman"/>
                      <w:color w:val="auto"/>
                    </w:rPr>
                    <w:t>水分</w:t>
                  </w:r>
                </w:p>
              </w:tc>
              <w:tc>
                <w:tcPr>
                  <w:tcW w:w="1008" w:type="pct"/>
                  <w:vAlign w:val="center"/>
                </w:tcPr>
                <w:p>
                  <w:pPr>
                    <w:pStyle w:val="4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M</w:t>
                  </w:r>
                  <w:r>
                    <w:rPr>
                      <w:rFonts w:hint="default" w:ascii="Times New Roman" w:hAnsi="Times New Roman" w:cs="Times New Roman"/>
                      <w:color w:val="auto"/>
                      <w:lang w:val="en-US" w:eastAsia="zh-CN"/>
                    </w:rPr>
                    <w:t>t</w:t>
                  </w:r>
                </w:p>
              </w:tc>
              <w:tc>
                <w:tcPr>
                  <w:tcW w:w="805"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w:t>
                  </w:r>
                </w:p>
              </w:tc>
              <w:tc>
                <w:tcPr>
                  <w:tcW w:w="1065" w:type="pct"/>
                  <w:vAlign w:val="center"/>
                </w:tcPr>
                <w:p>
                  <w:pPr>
                    <w:pStyle w:val="47"/>
                    <w:bidi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3</w:t>
                  </w:r>
                </w:p>
              </w:tc>
              <w:tc>
                <w:tcPr>
                  <w:tcW w:w="1309"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收到基灰分</w:t>
                  </w:r>
                </w:p>
              </w:tc>
              <w:tc>
                <w:tcPr>
                  <w:tcW w:w="1008" w:type="pct"/>
                  <w:vAlign w:val="center"/>
                </w:tcPr>
                <w:p>
                  <w:pPr>
                    <w:pStyle w:val="47"/>
                    <w:bidi w:val="0"/>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Aa</w:t>
                  </w:r>
                  <w:r>
                    <w:rPr>
                      <w:rFonts w:hint="eastAsia" w:cs="Times New Roman"/>
                      <w:color w:val="auto"/>
                      <w:lang w:val="en-US" w:eastAsia="zh-CN"/>
                    </w:rPr>
                    <w:t>d</w:t>
                  </w:r>
                </w:p>
              </w:tc>
              <w:tc>
                <w:tcPr>
                  <w:tcW w:w="805"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w:t>
                  </w:r>
                </w:p>
              </w:tc>
              <w:tc>
                <w:tcPr>
                  <w:tcW w:w="1065" w:type="pct"/>
                  <w:vAlign w:val="center"/>
                </w:tcPr>
                <w:p>
                  <w:pPr>
                    <w:pStyle w:val="47"/>
                    <w:bidi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4</w:t>
                  </w:r>
                </w:p>
              </w:tc>
              <w:tc>
                <w:tcPr>
                  <w:tcW w:w="1309"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收到基挥发分</w:t>
                  </w:r>
                </w:p>
              </w:tc>
              <w:tc>
                <w:tcPr>
                  <w:tcW w:w="1008" w:type="pct"/>
                  <w:vAlign w:val="center"/>
                </w:tcPr>
                <w:p>
                  <w:pPr>
                    <w:pStyle w:val="4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V</w:t>
                  </w:r>
                  <w:r>
                    <w:rPr>
                      <w:rFonts w:hint="default" w:ascii="Times New Roman" w:hAnsi="Times New Roman" w:cs="Times New Roman"/>
                      <w:color w:val="auto"/>
                      <w:lang w:val="en-US" w:eastAsia="zh-CN"/>
                    </w:rPr>
                    <w:t>a</w:t>
                  </w:r>
                  <w:r>
                    <w:rPr>
                      <w:rFonts w:hint="eastAsia" w:cs="Times New Roman"/>
                      <w:color w:val="auto"/>
                      <w:lang w:val="en-US" w:eastAsia="zh-CN"/>
                    </w:rPr>
                    <w:t>d</w:t>
                  </w:r>
                </w:p>
              </w:tc>
              <w:tc>
                <w:tcPr>
                  <w:tcW w:w="805"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w:t>
                  </w:r>
                </w:p>
              </w:tc>
              <w:tc>
                <w:tcPr>
                  <w:tcW w:w="1065" w:type="pct"/>
                  <w:vAlign w:val="center"/>
                </w:tcPr>
                <w:p>
                  <w:pPr>
                    <w:pStyle w:val="47"/>
                    <w:bidi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71.53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5</w:t>
                  </w:r>
                </w:p>
              </w:tc>
              <w:tc>
                <w:tcPr>
                  <w:tcW w:w="1309" w:type="pct"/>
                  <w:vAlign w:val="center"/>
                </w:tcPr>
                <w:p>
                  <w:pPr>
                    <w:pStyle w:val="47"/>
                    <w:bidi w:val="0"/>
                    <w:rPr>
                      <w:rFonts w:hint="eastAsia" w:ascii="Times New Roman" w:hAnsi="Times New Roman" w:cs="Times New Roman" w:eastAsiaTheme="minorEastAsia"/>
                      <w:color w:val="auto"/>
                      <w:lang w:val="en-US" w:eastAsia="zh-CN"/>
                    </w:rPr>
                  </w:pPr>
                  <w:r>
                    <w:rPr>
                      <w:rFonts w:hint="eastAsia" w:cs="Times New Roman"/>
                      <w:color w:val="auto"/>
                      <w:lang w:val="en-US" w:eastAsia="zh-CN"/>
                    </w:rPr>
                    <w:t>全硫</w:t>
                  </w:r>
                </w:p>
              </w:tc>
              <w:tc>
                <w:tcPr>
                  <w:tcW w:w="1008" w:type="pct"/>
                  <w:vAlign w:val="center"/>
                </w:tcPr>
                <w:p>
                  <w:pPr>
                    <w:pStyle w:val="47"/>
                    <w:bidi w:val="0"/>
                    <w:rPr>
                      <w:rFonts w:hint="default" w:ascii="Times New Roman" w:hAnsi="Times New Roman" w:eastAsia="宋体" w:cs="Times New Roman"/>
                      <w:color w:val="auto"/>
                      <w:lang w:val="en-US" w:eastAsia="zh-CN"/>
                    </w:rPr>
                  </w:pPr>
                  <w:r>
                    <w:rPr>
                      <w:rFonts w:hint="eastAsia" w:cs="Times New Roman"/>
                      <w:color w:val="auto"/>
                      <w:lang w:val="en-US" w:eastAsia="zh-CN"/>
                    </w:rPr>
                    <w:t>Stad</w:t>
                  </w:r>
                </w:p>
              </w:tc>
              <w:tc>
                <w:tcPr>
                  <w:tcW w:w="805" w:type="pct"/>
                  <w:vAlign w:val="center"/>
                </w:tcPr>
                <w:p>
                  <w:pPr>
                    <w:pStyle w:val="47"/>
                    <w:bidi w:val="0"/>
                    <w:rPr>
                      <w:rFonts w:hint="default" w:ascii="Times New Roman" w:hAnsi="Times New Roman" w:cs="Times New Roman"/>
                      <w:color w:val="auto"/>
                    </w:rPr>
                  </w:pPr>
                  <w:r>
                    <w:rPr>
                      <w:rFonts w:hint="default" w:ascii="Times New Roman" w:hAnsi="Times New Roman" w:cs="Times New Roman"/>
                      <w:color w:val="auto"/>
                    </w:rPr>
                    <w:t>%</w:t>
                  </w:r>
                </w:p>
              </w:tc>
              <w:tc>
                <w:tcPr>
                  <w:tcW w:w="1065" w:type="pct"/>
                  <w:vAlign w:val="center"/>
                </w:tcPr>
                <w:p>
                  <w:pPr>
                    <w:pStyle w:val="47"/>
                    <w:bidi w:val="0"/>
                    <w:rPr>
                      <w:rFonts w:hint="default" w:ascii="Times New Roman" w:hAnsi="Times New Roman" w:eastAsia="宋体" w:cs="Times New Roman"/>
                      <w:color w:val="auto"/>
                      <w:lang w:val="en-US" w:eastAsia="zh-CN"/>
                    </w:rPr>
                  </w:pPr>
                  <w:r>
                    <w:rPr>
                      <w:rFonts w:hint="eastAsia" w:eastAsia="宋体" w:cs="Times New Roman"/>
                      <w:color w:val="auto"/>
                      <w:lang w:val="en-US" w:eastAsia="zh-CN"/>
                    </w:rPr>
                    <w:t>0.01</w:t>
                  </w:r>
                </w:p>
              </w:tc>
            </w:tr>
          </w:tbl>
          <w:p>
            <w:pPr>
              <w:adjustRightInd w:val="0"/>
              <w:snapToGrid w:val="0"/>
              <w:spacing w:before="156"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3、生产设备</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本项目主要设备见下表。</w:t>
            </w:r>
          </w:p>
          <w:p>
            <w:pPr>
              <w:pStyle w:val="39"/>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主要设备一览表</w:t>
            </w:r>
          </w:p>
          <w:tbl>
            <w:tblPr>
              <w:tblStyle w:val="23"/>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72"/>
              <w:gridCol w:w="3242"/>
              <w:gridCol w:w="1410"/>
              <w:gridCol w:w="1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设备名称</w:t>
                  </w:r>
                </w:p>
              </w:tc>
              <w:tc>
                <w:tcPr>
                  <w:tcW w:w="1925"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型号及规格</w:t>
                  </w:r>
                </w:p>
              </w:tc>
              <w:tc>
                <w:tcPr>
                  <w:tcW w:w="837"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数量</w:t>
                  </w:r>
                </w:p>
              </w:tc>
              <w:tc>
                <w:tcPr>
                  <w:tcW w:w="1184"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清洗机</w:t>
                  </w:r>
                </w:p>
              </w:tc>
              <w:tc>
                <w:tcPr>
                  <w:tcW w:w="1925"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XLQX-007</w:t>
                  </w:r>
                </w:p>
              </w:tc>
              <w:tc>
                <w:tcPr>
                  <w:tcW w:w="837"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184" w:type="pct"/>
                  <w:vMerge w:val="restar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食品生产线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真空滚揉机</w:t>
                  </w:r>
                </w:p>
              </w:tc>
              <w:tc>
                <w:tcPr>
                  <w:tcW w:w="1925"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800L</w:t>
                  </w:r>
                </w:p>
              </w:tc>
              <w:tc>
                <w:tcPr>
                  <w:tcW w:w="837"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1184" w:type="pct"/>
                  <w:vMerge w:val="continue"/>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杀菌锅</w:t>
                  </w:r>
                </w:p>
              </w:tc>
              <w:tc>
                <w:tcPr>
                  <w:tcW w:w="1925"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R2023</w:t>
                  </w:r>
                </w:p>
              </w:tc>
              <w:tc>
                <w:tcPr>
                  <w:tcW w:w="837"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184" w:type="pct"/>
                  <w:vMerge w:val="continue"/>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eastAsiaTheme="minorEastAsia"/>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气泡清洗机</w:t>
                  </w:r>
                </w:p>
              </w:tc>
              <w:tc>
                <w:tcPr>
                  <w:tcW w:w="1925"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XKGP50</w:t>
                  </w:r>
                </w:p>
              </w:tc>
              <w:tc>
                <w:tcPr>
                  <w:tcW w:w="837"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184" w:type="pct"/>
                  <w:vMerge w:val="continue"/>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真空包装机</w:t>
                  </w:r>
                </w:p>
              </w:tc>
              <w:tc>
                <w:tcPr>
                  <w:tcW w:w="1925"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XLSP-170</w:t>
                  </w:r>
                </w:p>
              </w:tc>
              <w:tc>
                <w:tcPr>
                  <w:tcW w:w="837"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184" w:type="pct"/>
                  <w:vMerge w:val="continue"/>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枕式包装机</w:t>
                  </w:r>
                </w:p>
              </w:tc>
              <w:tc>
                <w:tcPr>
                  <w:tcW w:w="1925"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XLLN-300</w:t>
                  </w:r>
                </w:p>
              </w:tc>
              <w:tc>
                <w:tcPr>
                  <w:tcW w:w="837"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184" w:type="pct"/>
                  <w:vMerge w:val="restar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宠物粮生产线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智能化杀菌釜</w:t>
                  </w:r>
                </w:p>
              </w:tc>
              <w:tc>
                <w:tcPr>
                  <w:tcW w:w="1925"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XLTL-1200</w:t>
                  </w:r>
                </w:p>
              </w:tc>
              <w:tc>
                <w:tcPr>
                  <w:tcW w:w="837"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184" w:type="pct"/>
                  <w:vMerge w:val="continue"/>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冻干机</w:t>
                  </w:r>
                </w:p>
              </w:tc>
              <w:tc>
                <w:tcPr>
                  <w:tcW w:w="1925"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XDG-150</w:t>
                  </w:r>
                </w:p>
              </w:tc>
              <w:tc>
                <w:tcPr>
                  <w:tcW w:w="837"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184" w:type="pct"/>
                  <w:vMerge w:val="continue"/>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折叠盘系统</w:t>
                  </w:r>
                </w:p>
              </w:tc>
              <w:tc>
                <w:tcPr>
                  <w:tcW w:w="1925"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XLLN-300</w:t>
                  </w:r>
                </w:p>
              </w:tc>
              <w:tc>
                <w:tcPr>
                  <w:tcW w:w="837"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184" w:type="pct"/>
                  <w:vMerge w:val="continue"/>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料理机</w:t>
                  </w:r>
                </w:p>
              </w:tc>
              <w:tc>
                <w:tcPr>
                  <w:tcW w:w="1925"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XLWG-3T</w:t>
                  </w:r>
                </w:p>
              </w:tc>
              <w:tc>
                <w:tcPr>
                  <w:tcW w:w="837"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184" w:type="pct"/>
                  <w:vMerge w:val="continue"/>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生物质</w:t>
                  </w:r>
                  <w:r>
                    <w:rPr>
                      <w:rFonts w:hint="default" w:ascii="Times New Roman" w:hAnsi="Times New Roman" w:cs="Times New Roman"/>
                      <w:color w:val="auto"/>
                      <w:sz w:val="21"/>
                      <w:szCs w:val="21"/>
                      <w:lang w:val="en-US" w:eastAsia="zh-CN"/>
                    </w:rPr>
                    <w:t>锅炉</w:t>
                  </w:r>
                </w:p>
              </w:tc>
              <w:tc>
                <w:tcPr>
                  <w:tcW w:w="1925"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CLHS2.1-85-/60-S</w:t>
                  </w:r>
                </w:p>
              </w:tc>
              <w:tc>
                <w:tcPr>
                  <w:tcW w:w="837"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1184"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3t/h热水锅炉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生物质</w:t>
                  </w:r>
                  <w:r>
                    <w:rPr>
                      <w:rFonts w:hint="default" w:ascii="Times New Roman" w:hAnsi="Times New Roman" w:cs="Times New Roman"/>
                      <w:color w:val="auto"/>
                      <w:sz w:val="21"/>
                      <w:szCs w:val="21"/>
                      <w:lang w:val="en-US" w:eastAsia="zh-CN"/>
                    </w:rPr>
                    <w:t>锅炉</w:t>
                  </w:r>
                </w:p>
              </w:tc>
              <w:tc>
                <w:tcPr>
                  <w:tcW w:w="1925"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LSS2.0-0.09-S1</w:t>
                  </w:r>
                </w:p>
              </w:tc>
              <w:tc>
                <w:tcPr>
                  <w:tcW w:w="837"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1184"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2t/h蒸汽锅炉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3"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软水制备设施</w:t>
                  </w:r>
                </w:p>
              </w:tc>
              <w:tc>
                <w:tcPr>
                  <w:tcW w:w="1925" w:type="pct"/>
                  <w:tcBorders>
                    <w:tl2br w:val="nil"/>
                    <w:tr2bl w:val="nil"/>
                  </w:tcBorders>
                  <w:noWrap/>
                  <w:tcMar>
                    <w:top w:w="15" w:type="dxa"/>
                    <w:left w:w="15" w:type="dxa"/>
                    <w:right w:w="15" w:type="dxa"/>
                  </w:tcMar>
                  <w:vAlign w:val="center"/>
                </w:tcPr>
                <w:p>
                  <w:pPr>
                    <w:spacing w:line="300" w:lineRule="exact"/>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20m</w:t>
                  </w:r>
                  <w:r>
                    <w:rPr>
                      <w:rFonts w:hint="eastAsia" w:ascii="Times New Roman" w:hAnsi="Times New Roman" w:cs="Times New Roman"/>
                      <w:color w:val="auto"/>
                      <w:kern w:val="2"/>
                      <w:sz w:val="21"/>
                      <w:szCs w:val="21"/>
                      <w:vertAlign w:val="superscript"/>
                      <w:lang w:val="en-US" w:eastAsia="zh-CN" w:bidi="ar-SA"/>
                    </w:rPr>
                    <w:t>3</w:t>
                  </w:r>
                  <w:r>
                    <w:rPr>
                      <w:rFonts w:hint="eastAsia" w:ascii="Times New Roman" w:hAnsi="Times New Roman" w:cs="Times New Roman"/>
                      <w:color w:val="auto"/>
                      <w:kern w:val="2"/>
                      <w:sz w:val="21"/>
                      <w:szCs w:val="21"/>
                      <w:lang w:val="en-US" w:eastAsia="zh-CN" w:bidi="ar-SA"/>
                    </w:rPr>
                    <w:t>/d</w:t>
                  </w:r>
                </w:p>
              </w:tc>
              <w:tc>
                <w:tcPr>
                  <w:tcW w:w="837"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p>
              </w:tc>
              <w:tc>
                <w:tcPr>
                  <w:tcW w:w="1184" w:type="pct"/>
                  <w:tcBorders>
                    <w:tl2br w:val="nil"/>
                    <w:tr2bl w:val="nil"/>
                  </w:tcBorders>
                  <w:noWrap/>
                  <w:tcMar>
                    <w:top w:w="15" w:type="dxa"/>
                    <w:left w:w="15" w:type="dxa"/>
                    <w:right w:w="15" w:type="dxa"/>
                  </w:tcMar>
                  <w:vAlign w:val="center"/>
                </w:tcPr>
                <w:p>
                  <w:pPr>
                    <w:spacing w:line="300" w:lineRule="exact"/>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离子交换树脂</w:t>
                  </w:r>
                </w:p>
              </w:tc>
            </w:tr>
          </w:tbl>
          <w:p>
            <w:pPr>
              <w:pStyle w:val="39"/>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污水处理站</w:t>
            </w:r>
            <w:r>
              <w:rPr>
                <w:rFonts w:hint="default" w:ascii="Times New Roman" w:hAnsi="Times New Roman" w:eastAsia="宋体" w:cs="Times New Roman"/>
                <w:b/>
                <w:bCs/>
                <w:color w:val="auto"/>
                <w:sz w:val="21"/>
                <w:szCs w:val="21"/>
              </w:rPr>
              <w:t>主要设备一览表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735"/>
              <w:gridCol w:w="7"/>
              <w:gridCol w:w="2913"/>
              <w:gridCol w:w="752"/>
              <w:gridCol w:w="693"/>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b/>
                      <w:bCs/>
                      <w:sz w:val="24"/>
                    </w:rPr>
                  </w:pPr>
                  <w:bookmarkStart w:id="3" w:name="_Toc365297856"/>
                  <w:bookmarkStart w:id="4" w:name="_Toc366919670"/>
                  <w:bookmarkStart w:id="5" w:name="_Toc365278659"/>
                  <w:bookmarkStart w:id="6" w:name="_Toc364502741"/>
                  <w:r>
                    <w:rPr>
                      <w:rFonts w:hint="default" w:ascii="Times New Roman" w:hAnsi="Times New Roman" w:cs="Times New Roman"/>
                      <w:b/>
                      <w:bCs/>
                      <w:sz w:val="24"/>
                    </w:rPr>
                    <w:t>序号</w:t>
                  </w:r>
                  <w:bookmarkEnd w:id="3"/>
                  <w:bookmarkEnd w:id="4"/>
                  <w:bookmarkEnd w:id="5"/>
                  <w:bookmarkEnd w:id="6"/>
                </w:p>
              </w:tc>
              <w:tc>
                <w:tcPr>
                  <w:tcW w:w="1037" w:type="pct"/>
                  <w:gridSpan w:val="2"/>
                  <w:noWrap w:val="0"/>
                  <w:vAlign w:val="center"/>
                </w:tcPr>
                <w:p>
                  <w:pPr>
                    <w:spacing w:line="300" w:lineRule="exact"/>
                    <w:jc w:val="center"/>
                    <w:rPr>
                      <w:rFonts w:hint="default" w:ascii="Times New Roman" w:hAnsi="Times New Roman" w:cs="Times New Roman"/>
                      <w:b/>
                      <w:bCs/>
                      <w:color w:val="auto"/>
                      <w:sz w:val="21"/>
                      <w:szCs w:val="21"/>
                      <w:lang w:val="en-US" w:eastAsia="zh-CN"/>
                    </w:rPr>
                  </w:pPr>
                  <w:bookmarkStart w:id="7" w:name="_Toc364502742"/>
                  <w:bookmarkStart w:id="8" w:name="_Toc366919671"/>
                  <w:bookmarkStart w:id="9" w:name="_Toc365297857"/>
                  <w:bookmarkStart w:id="10" w:name="_Toc365278660"/>
                  <w:r>
                    <w:rPr>
                      <w:rFonts w:hint="default" w:ascii="Times New Roman" w:hAnsi="Times New Roman" w:cs="Times New Roman"/>
                      <w:b/>
                      <w:bCs/>
                      <w:color w:val="auto"/>
                      <w:sz w:val="21"/>
                      <w:szCs w:val="21"/>
                      <w:lang w:val="en-US" w:eastAsia="zh-CN"/>
                    </w:rPr>
                    <w:t>名称</w:t>
                  </w:r>
                  <w:bookmarkEnd w:id="7"/>
                  <w:bookmarkEnd w:id="8"/>
                  <w:bookmarkEnd w:id="9"/>
                  <w:bookmarkEnd w:id="10"/>
                </w:p>
              </w:tc>
              <w:tc>
                <w:tcPr>
                  <w:tcW w:w="1732" w:type="pct"/>
                  <w:noWrap w:val="0"/>
                  <w:vAlign w:val="center"/>
                </w:tcPr>
                <w:p>
                  <w:pPr>
                    <w:spacing w:line="300" w:lineRule="exact"/>
                    <w:jc w:val="center"/>
                    <w:rPr>
                      <w:rFonts w:hint="default" w:ascii="Times New Roman" w:hAnsi="Times New Roman" w:cs="Times New Roman"/>
                      <w:b/>
                      <w:bCs/>
                      <w:color w:val="auto"/>
                      <w:sz w:val="21"/>
                      <w:szCs w:val="21"/>
                      <w:lang w:val="en-US" w:eastAsia="zh-CN"/>
                    </w:rPr>
                  </w:pPr>
                  <w:bookmarkStart w:id="11" w:name="_Toc366919672"/>
                  <w:bookmarkStart w:id="12" w:name="_Toc365278661"/>
                  <w:bookmarkStart w:id="13" w:name="_Toc364502743"/>
                  <w:bookmarkStart w:id="14" w:name="_Toc365297858"/>
                  <w:r>
                    <w:rPr>
                      <w:rFonts w:hint="default" w:ascii="Times New Roman" w:hAnsi="Times New Roman" w:cs="Times New Roman"/>
                      <w:b/>
                      <w:bCs/>
                      <w:color w:val="auto"/>
                      <w:sz w:val="21"/>
                      <w:szCs w:val="21"/>
                      <w:lang w:val="en-US" w:eastAsia="zh-CN"/>
                    </w:rPr>
                    <w:t>规格型号</w:t>
                  </w:r>
                  <w:bookmarkEnd w:id="11"/>
                  <w:bookmarkEnd w:id="12"/>
                  <w:bookmarkEnd w:id="13"/>
                  <w:bookmarkEnd w:id="14"/>
                </w:p>
              </w:tc>
              <w:tc>
                <w:tcPr>
                  <w:tcW w:w="447" w:type="pct"/>
                  <w:noWrap w:val="0"/>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数量</w:t>
                  </w:r>
                </w:p>
              </w:tc>
              <w:tc>
                <w:tcPr>
                  <w:tcW w:w="412" w:type="pct"/>
                  <w:noWrap w:val="0"/>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单位</w:t>
                  </w:r>
                </w:p>
              </w:tc>
              <w:tc>
                <w:tcPr>
                  <w:tcW w:w="812" w:type="pct"/>
                  <w:noWrap w:val="0"/>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一</w:t>
                  </w:r>
                </w:p>
              </w:tc>
              <w:tc>
                <w:tcPr>
                  <w:tcW w:w="4443" w:type="pct"/>
                  <w:gridSpan w:val="6"/>
                  <w:noWrap w:val="0"/>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格栅渠、调节池、固液分离机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机械格栅</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不锈钢材质，栅隙10mm，B=500mm</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提升泵提升装置</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液位控制</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高低液位自控</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国内优质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污水提升泵</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WQ25-10-3</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5</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转子流量计</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0-30m3/h，DN65</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国内优质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6</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提升泵安装配件</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管道 法兰 阀门 电缆</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7</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调节池曝气系统</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PVC组合件DN80-DN50</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8</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固液分离机（叠螺机）</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2.2*0.8*1.3米</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二</w:t>
                  </w:r>
                </w:p>
              </w:tc>
              <w:tc>
                <w:tcPr>
                  <w:tcW w:w="4443" w:type="pct"/>
                  <w:gridSpan w:val="6"/>
                  <w:noWrap w:val="0"/>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溶气气浮机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vMerge w:val="restar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032" w:type="pct"/>
                  <w:vMerge w:val="restar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12.5吨/h气浮机主体</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絮凝反应池</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2 </w:t>
                  </w:r>
                </w:p>
              </w:tc>
              <w:tc>
                <w:tcPr>
                  <w:tcW w:w="412" w:type="pct"/>
                  <w:noWrap w:val="0"/>
                  <w:vAlign w:val="top"/>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vMerge w:val="continue"/>
                  <w:noWrap w:val="0"/>
                  <w:vAlign w:val="center"/>
                </w:tcPr>
                <w:p>
                  <w:pPr>
                    <w:ind w:firstLine="0" w:firstLineChars="0"/>
                    <w:jc w:val="center"/>
                    <w:rPr>
                      <w:rFonts w:hint="default" w:ascii="Times New Roman" w:hAnsi="Times New Roman" w:cs="Times New Roman"/>
                      <w:b/>
                      <w:sz w:val="24"/>
                      <w:szCs w:val="24"/>
                    </w:rPr>
                  </w:pPr>
                </w:p>
              </w:tc>
              <w:tc>
                <w:tcPr>
                  <w:tcW w:w="1032" w:type="pct"/>
                  <w:vMerge w:val="continue"/>
                  <w:noWrap w:val="0"/>
                  <w:vAlign w:val="center"/>
                </w:tcPr>
                <w:p>
                  <w:pPr>
                    <w:spacing w:line="300" w:lineRule="exact"/>
                    <w:jc w:val="center"/>
                    <w:rPr>
                      <w:rFonts w:hint="default" w:ascii="Times New Roman" w:hAnsi="Times New Roman" w:cs="Times New Roman"/>
                      <w:color w:val="auto"/>
                      <w:sz w:val="21"/>
                      <w:szCs w:val="21"/>
                      <w:lang w:val="en-US" w:eastAsia="zh-CN"/>
                    </w:rPr>
                  </w:pP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接触池</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top"/>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vMerge w:val="continue"/>
                  <w:noWrap w:val="0"/>
                  <w:vAlign w:val="center"/>
                </w:tcPr>
                <w:p>
                  <w:pPr>
                    <w:ind w:firstLine="0" w:firstLineChars="0"/>
                    <w:jc w:val="center"/>
                    <w:rPr>
                      <w:rFonts w:hint="default" w:ascii="Times New Roman" w:hAnsi="Times New Roman" w:cs="Times New Roman"/>
                      <w:b/>
                      <w:sz w:val="24"/>
                      <w:szCs w:val="24"/>
                    </w:rPr>
                  </w:pPr>
                </w:p>
              </w:tc>
              <w:tc>
                <w:tcPr>
                  <w:tcW w:w="1032" w:type="pct"/>
                  <w:vMerge w:val="continue"/>
                  <w:noWrap w:val="0"/>
                  <w:vAlign w:val="center"/>
                </w:tcPr>
                <w:p>
                  <w:pPr>
                    <w:spacing w:line="300" w:lineRule="exact"/>
                    <w:jc w:val="center"/>
                    <w:rPr>
                      <w:rFonts w:hint="default" w:ascii="Times New Roman" w:hAnsi="Times New Roman" w:cs="Times New Roman"/>
                      <w:color w:val="auto"/>
                      <w:sz w:val="21"/>
                      <w:szCs w:val="21"/>
                      <w:lang w:val="en-US" w:eastAsia="zh-CN"/>
                    </w:rPr>
                  </w:pP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浮上分离池</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1 </w:t>
                  </w:r>
                </w:p>
              </w:tc>
              <w:tc>
                <w:tcPr>
                  <w:tcW w:w="412" w:type="pct"/>
                  <w:noWrap w:val="0"/>
                  <w:vAlign w:val="top"/>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vMerge w:val="continue"/>
                  <w:noWrap w:val="0"/>
                  <w:vAlign w:val="center"/>
                </w:tcPr>
                <w:p>
                  <w:pPr>
                    <w:ind w:firstLine="0" w:firstLineChars="0"/>
                    <w:jc w:val="center"/>
                    <w:rPr>
                      <w:rFonts w:hint="default" w:ascii="Times New Roman" w:hAnsi="Times New Roman" w:cs="Times New Roman"/>
                      <w:b/>
                      <w:sz w:val="24"/>
                      <w:szCs w:val="24"/>
                    </w:rPr>
                  </w:pPr>
                </w:p>
              </w:tc>
              <w:tc>
                <w:tcPr>
                  <w:tcW w:w="1032" w:type="pct"/>
                  <w:vMerge w:val="continue"/>
                  <w:noWrap w:val="0"/>
                  <w:vAlign w:val="center"/>
                </w:tcPr>
                <w:p>
                  <w:pPr>
                    <w:spacing w:line="300" w:lineRule="exact"/>
                    <w:jc w:val="center"/>
                    <w:rPr>
                      <w:rFonts w:hint="default" w:ascii="Times New Roman" w:hAnsi="Times New Roman" w:cs="Times New Roman"/>
                      <w:color w:val="auto"/>
                      <w:sz w:val="21"/>
                      <w:szCs w:val="21"/>
                      <w:lang w:val="en-US" w:eastAsia="zh-CN"/>
                    </w:rPr>
                  </w:pP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清水池</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top"/>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vMerge w:val="continue"/>
                  <w:noWrap w:val="0"/>
                  <w:vAlign w:val="center"/>
                </w:tcPr>
                <w:p>
                  <w:pPr>
                    <w:ind w:firstLine="0" w:firstLineChars="0"/>
                    <w:jc w:val="center"/>
                    <w:rPr>
                      <w:rFonts w:hint="default" w:ascii="Times New Roman" w:hAnsi="Times New Roman" w:cs="Times New Roman"/>
                      <w:b/>
                      <w:sz w:val="24"/>
                      <w:szCs w:val="24"/>
                    </w:rPr>
                  </w:pPr>
                </w:p>
              </w:tc>
              <w:tc>
                <w:tcPr>
                  <w:tcW w:w="1032" w:type="pct"/>
                  <w:vMerge w:val="continue"/>
                  <w:noWrap w:val="0"/>
                  <w:vAlign w:val="center"/>
                </w:tcPr>
                <w:p>
                  <w:pPr>
                    <w:spacing w:line="300" w:lineRule="exact"/>
                    <w:jc w:val="center"/>
                    <w:rPr>
                      <w:rFonts w:hint="default" w:ascii="Times New Roman" w:hAnsi="Times New Roman" w:cs="Times New Roman"/>
                      <w:color w:val="auto"/>
                      <w:sz w:val="21"/>
                      <w:szCs w:val="21"/>
                      <w:lang w:val="en-US" w:eastAsia="zh-CN"/>
                    </w:rPr>
                  </w:pP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浮渣槽</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top"/>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溶气增压泵</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N=3</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空气压缩机</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0.17/0.8</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溶气罐</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500*1000mm</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释放器</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TV-3</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6</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旋转式刮渣机</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GZG-1500</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7</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控制箱</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400*500*200mm</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8</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巡查扶梯</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9</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管道阀门及附件</w:t>
                  </w:r>
                </w:p>
              </w:tc>
              <w:tc>
                <w:tcPr>
                  <w:tcW w:w="1737" w:type="pct"/>
                  <w:gridSpan w:val="2"/>
                  <w:noWrap w:val="0"/>
                  <w:vAlign w:val="top"/>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DN15-DN150</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批</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b/>
                      <w:sz w:val="24"/>
                      <w:szCs w:val="24"/>
                    </w:rPr>
                    <w:t>10</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中间提升泵</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WQ10-8-0.55</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ind w:firstLine="0" w:firstLineChars="0"/>
                    <w:jc w:val="center"/>
                    <w:rPr>
                      <w:rFonts w:hint="default" w:ascii="Times New Roman" w:hAnsi="Times New Roman" w:cs="Times New Roman"/>
                      <w:sz w:val="24"/>
                      <w:szCs w:val="24"/>
                    </w:rPr>
                  </w:pPr>
                  <w:r>
                    <w:rPr>
                      <w:rFonts w:hint="default" w:ascii="Times New Roman" w:hAnsi="Times New Roman" w:cs="Times New Roman"/>
                      <w:b/>
                      <w:sz w:val="24"/>
                      <w:szCs w:val="24"/>
                    </w:rPr>
                    <w:t>11</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中间提升泵耦合装置</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三</w:t>
                  </w:r>
                </w:p>
              </w:tc>
              <w:tc>
                <w:tcPr>
                  <w:tcW w:w="4443" w:type="pct"/>
                  <w:gridSpan w:val="6"/>
                  <w:noWrap w:val="0"/>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10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调节池</w:t>
                  </w:r>
                </w:p>
              </w:tc>
              <w:tc>
                <w:tcPr>
                  <w:tcW w:w="17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10*4.5*3米</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配套，碳钢防腐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四</w:t>
                  </w:r>
                </w:p>
              </w:tc>
              <w:tc>
                <w:tcPr>
                  <w:tcW w:w="4443" w:type="pct"/>
                  <w:gridSpan w:val="6"/>
                  <w:noWrap w:val="0"/>
                  <w:vAlign w:val="center"/>
                </w:tcPr>
                <w:p>
                  <w:pPr>
                    <w:spacing w:line="30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一体化污水处理设备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bookmarkStart w:id="15" w:name="_Toc365278673"/>
                  <w:bookmarkStart w:id="16" w:name="_Toc366919690"/>
                  <w:bookmarkStart w:id="17" w:name="_Toc365297876"/>
                  <w:bookmarkStart w:id="18" w:name="_Toc364502760"/>
                  <w:r>
                    <w:rPr>
                      <w:rFonts w:hint="default" w:ascii="Times New Roman" w:hAnsi="Times New Roman" w:cs="Times New Roman"/>
                      <w:sz w:val="24"/>
                    </w:rPr>
                    <w:t>1</w:t>
                  </w:r>
                  <w:bookmarkEnd w:id="15"/>
                  <w:bookmarkEnd w:id="16"/>
                  <w:bookmarkEnd w:id="17"/>
                  <w:bookmarkEnd w:id="18"/>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一体化污水处理设备主体</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Q235碳钢材质；壁厚≥6mm；内部环氧树脂防腐；外部丙烯酸防腐；尺寸：</w:t>
                  </w:r>
                </w:p>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10m×3m×3m</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（一）</w:t>
                  </w:r>
                </w:p>
              </w:tc>
              <w:tc>
                <w:tcPr>
                  <w:tcW w:w="4443" w:type="pct"/>
                  <w:gridSpan w:val="6"/>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厌氧池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组合填料</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ф150，聚乙烯材质</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m3</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填料支架</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组合件,环氧树脂防腐</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布水器</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ф100，PVC</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缺氧池搅拌系统</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WHPQ-10</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（二）</w:t>
                  </w:r>
                </w:p>
              </w:tc>
              <w:tc>
                <w:tcPr>
                  <w:tcW w:w="4443" w:type="pct"/>
                  <w:gridSpan w:val="6"/>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接触氧化池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组合填料</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ф150，聚乙烯材质</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m3</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填料支架</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组合件,环氧树脂防腐</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风机</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HC=50S</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膜片曝气器</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WHP-215-0.45 Φ215</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曝气管道</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DN80-200</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5</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柔性接头</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个</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6</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真空压力计</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只</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7</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风机消音器</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配套风机</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8</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风机安装配件</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管道 法兰 阀门 电缆</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9</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三角堰</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配套，碳钢防腐</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bookmarkStart w:id="19" w:name="_Toc366919707"/>
                  <w:bookmarkStart w:id="20" w:name="_Toc365297893"/>
                  <w:r>
                    <w:rPr>
                      <w:rFonts w:hint="default" w:ascii="Times New Roman" w:hAnsi="Times New Roman" w:cs="Times New Roman"/>
                      <w:sz w:val="24"/>
                    </w:rPr>
                    <w:t>（三）</w:t>
                  </w:r>
                  <w:bookmarkEnd w:id="19"/>
                  <w:bookmarkEnd w:id="20"/>
                </w:p>
              </w:tc>
              <w:tc>
                <w:tcPr>
                  <w:tcW w:w="4443" w:type="pct"/>
                  <w:gridSpan w:val="6"/>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MBR池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MBR膜系统</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PVDF+衬不断丝</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M³</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国内优质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安装支架</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组合件，环氧树脂防腐</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自吸泵</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WQ25-15-3</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波奇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反冲洗泵</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WQ25-15-3</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波奇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5</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三角堰</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配套，碳钢防腐</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6</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污泥回流泵</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WQ25-7-1.5</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波奇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7</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污泥回流泵耦合装置</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波奇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bookmarkStart w:id="21" w:name="_Toc365278690"/>
                  <w:bookmarkStart w:id="22" w:name="_Toc365297903"/>
                  <w:bookmarkStart w:id="23" w:name="_Toc366919715"/>
                  <w:r>
                    <w:rPr>
                      <w:rFonts w:hint="default" w:ascii="Times New Roman" w:hAnsi="Times New Roman" w:cs="Times New Roman"/>
                      <w:sz w:val="24"/>
                    </w:rPr>
                    <w:t>（四）</w:t>
                  </w:r>
                  <w:bookmarkEnd w:id="21"/>
                  <w:bookmarkEnd w:id="22"/>
                  <w:bookmarkEnd w:id="23"/>
                </w:p>
              </w:tc>
              <w:tc>
                <w:tcPr>
                  <w:tcW w:w="4443" w:type="pct"/>
                  <w:gridSpan w:val="6"/>
                  <w:noWrap w:val="0"/>
                  <w:vAlign w:val="center"/>
                </w:tcPr>
                <w:p>
                  <w:pPr>
                    <w:spacing w:line="300" w:lineRule="exact"/>
                    <w:jc w:val="center"/>
                    <w:rPr>
                      <w:rFonts w:hint="default" w:ascii="Times New Roman" w:hAnsi="Times New Roman" w:cs="Times New Roman"/>
                      <w:color w:val="auto"/>
                      <w:sz w:val="21"/>
                      <w:szCs w:val="21"/>
                      <w:lang w:val="en-US" w:eastAsia="zh-CN"/>
                    </w:rPr>
                  </w:pPr>
                  <w:bookmarkStart w:id="24" w:name="_Toc365278691"/>
                  <w:bookmarkStart w:id="25" w:name="_Toc365297904"/>
                  <w:bookmarkStart w:id="26" w:name="_Toc364502782"/>
                  <w:bookmarkStart w:id="27" w:name="_Toc366919716"/>
                  <w:r>
                    <w:rPr>
                      <w:rFonts w:hint="default" w:ascii="Times New Roman" w:hAnsi="Times New Roman" w:cs="Times New Roman"/>
                      <w:color w:val="auto"/>
                      <w:sz w:val="21"/>
                      <w:szCs w:val="21"/>
                      <w:lang w:val="en-US" w:eastAsia="zh-CN"/>
                    </w:rPr>
                    <w:t>消毒池</w:t>
                  </w:r>
                  <w:bookmarkEnd w:id="24"/>
                  <w:bookmarkEnd w:id="25"/>
                  <w:bookmarkEnd w:id="26"/>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二氧化氯投加器</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BS-500</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pPr>
                    <w:spacing w:line="360" w:lineRule="auto"/>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1037" w:type="pct"/>
                  <w:gridSpan w:val="2"/>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管道和阀门、电缆</w:t>
                  </w:r>
                </w:p>
              </w:tc>
              <w:tc>
                <w:tcPr>
                  <w:tcW w:w="173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配套</w:t>
                  </w:r>
                </w:p>
              </w:tc>
              <w:tc>
                <w:tcPr>
                  <w:tcW w:w="447"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812"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本公司</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4、劳动定员及工作制度</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w:t>
            </w:r>
            <w:r>
              <w:rPr>
                <w:rFonts w:hint="eastAsia" w:ascii="Times New Roman" w:hAnsi="Times New Roman" w:cs="Times New Roman"/>
                <w:color w:val="auto"/>
                <w:sz w:val="24"/>
                <w:lang w:val="en-US" w:eastAsia="zh-CN"/>
              </w:rPr>
              <w:t>劳动定员85人</w:t>
            </w:r>
            <w:r>
              <w:rPr>
                <w:rFonts w:hint="default" w:ascii="Times New Roman" w:hAnsi="Times New Roman" w:cs="Times New Roman"/>
                <w:color w:val="auto"/>
                <w:sz w:val="24"/>
                <w:lang w:val="en-US" w:eastAsia="zh-CN"/>
              </w:rPr>
              <w:t>。</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运行制度：</w:t>
            </w:r>
            <w:r>
              <w:rPr>
                <w:rFonts w:hint="eastAsia" w:ascii="Times New Roman" w:hAnsi="Times New Roman" w:cs="Times New Roman"/>
                <w:color w:val="auto"/>
                <w:sz w:val="24"/>
                <w:lang w:val="en-US" w:eastAsia="zh-CN"/>
              </w:rPr>
              <w:t>年生产300d，每天1班，每班8h。</w:t>
            </w:r>
          </w:p>
          <w:p>
            <w:pPr>
              <w:adjustRightInd w:val="0"/>
              <w:snapToGrid w:val="0"/>
              <w:spacing w:line="360" w:lineRule="auto"/>
              <w:ind w:firstLine="480" w:firstLineChars="200"/>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lang w:val="en-US" w:eastAsia="zh-CN"/>
              </w:rPr>
              <w:t>取暖锅炉取暖时间为11-12月、2-3月，年运行120天，每天5h，约600h；生产锅炉年运行时间约2100h。</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w:t>
            </w:r>
            <w:r>
              <w:rPr>
                <w:rFonts w:hint="eastAsia" w:ascii="Times New Roman" w:hAnsi="Times New Roman" w:cs="Times New Roman"/>
                <w:b/>
                <w:color w:val="auto"/>
                <w:sz w:val="24"/>
                <w:highlight w:val="none"/>
                <w:lang w:val="en-US" w:eastAsia="zh-CN"/>
              </w:rPr>
              <w:t>四邻关系及</w:t>
            </w:r>
            <w:r>
              <w:rPr>
                <w:rFonts w:hint="default" w:ascii="Times New Roman" w:hAnsi="Times New Roman" w:cs="Times New Roman"/>
                <w:b/>
                <w:color w:val="auto"/>
                <w:sz w:val="24"/>
                <w:highlight w:val="none"/>
              </w:rPr>
              <w:t>平面布置</w:t>
            </w:r>
          </w:p>
          <w:p>
            <w:pPr>
              <w:adjustRightInd w:val="0"/>
              <w:snapToGrid w:val="0"/>
              <w:spacing w:line="360" w:lineRule="auto"/>
              <w:ind w:firstLine="480" w:firstLineChars="200"/>
              <w:rPr>
                <w:rFonts w:hint="default" w:ascii="Times New Roman" w:hAnsi="Times New Roman" w:cs="Times New Roman"/>
                <w:color w:val="auto"/>
                <w:sz w:val="24"/>
                <w:highlight w:val="none"/>
                <w:lang w:val="en-US" w:eastAsia="zh-CN"/>
              </w:rPr>
            </w:pPr>
            <w:bookmarkStart w:id="28" w:name="_Hlk93325409"/>
            <w:r>
              <w:rPr>
                <w:rFonts w:hint="eastAsia" w:ascii="Times New Roman" w:hAnsi="Times New Roman" w:cs="Times New Roman"/>
                <w:color w:val="auto"/>
                <w:sz w:val="24"/>
                <w:highlight w:val="none"/>
                <w:lang w:val="en-US" w:eastAsia="zh-CN"/>
              </w:rPr>
              <w:t>四邻关系：厂区北侧为</w:t>
            </w:r>
            <w:r>
              <w:rPr>
                <w:rFonts w:hint="eastAsia" w:ascii="Times New Roman" w:hAnsi="Times New Roman" w:cs="Times New Roman"/>
                <w:color w:val="auto"/>
                <w:sz w:val="24"/>
                <w:highlight w:val="none"/>
                <w:lang w:val="en-US" w:eastAsia="zh-CN"/>
              </w:rPr>
              <w:fldChar w:fldCharType="begin"/>
            </w:r>
            <w:r>
              <w:rPr>
                <w:rFonts w:hint="eastAsia" w:ascii="Times New Roman" w:hAnsi="Times New Roman" w:cs="Times New Roman"/>
                <w:color w:val="auto"/>
                <w:sz w:val="24"/>
                <w:highlight w:val="none"/>
                <w:lang w:val="en-US" w:eastAsia="zh-CN"/>
              </w:rPr>
              <w:instrText xml:space="preserve"> HYPERLINK "https://www.tianyancha.com/company/433887430" \t "https://www.tianyancha.com/_blank" </w:instrText>
            </w:r>
            <w:r>
              <w:rPr>
                <w:rFonts w:hint="eastAsia" w:ascii="Times New Roman" w:hAnsi="Times New Roman" w:cs="Times New Roman"/>
                <w:color w:val="auto"/>
                <w:sz w:val="24"/>
                <w:highlight w:val="none"/>
                <w:lang w:val="en-US" w:eastAsia="zh-CN"/>
              </w:rPr>
              <w:fldChar w:fldCharType="separate"/>
            </w:r>
            <w:r>
              <w:rPr>
                <w:rFonts w:hint="default" w:ascii="Times New Roman" w:hAnsi="Times New Roman" w:cs="Times New Roman"/>
                <w:color w:val="auto"/>
                <w:sz w:val="24"/>
                <w:highlight w:val="none"/>
                <w:lang w:val="en-US" w:eastAsia="zh-CN"/>
              </w:rPr>
              <w:t>承德保承中药科技开发有限公司</w:t>
            </w:r>
            <w:r>
              <w:rPr>
                <w:rFonts w:hint="default" w:ascii="Times New Roman" w:hAnsi="Times New Roman" w:cs="Times New Roman"/>
                <w:color w:val="auto"/>
                <w:sz w:val="24"/>
                <w:highlight w:val="none"/>
                <w:lang w:val="en-US" w:eastAsia="zh-CN"/>
              </w:rPr>
              <w:fldChar w:fldCharType="end"/>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fldChar w:fldCharType="begin"/>
            </w:r>
            <w:r>
              <w:rPr>
                <w:rFonts w:hint="eastAsia" w:ascii="Times New Roman" w:hAnsi="Times New Roman" w:cs="Times New Roman"/>
                <w:color w:val="auto"/>
                <w:sz w:val="24"/>
                <w:highlight w:val="none"/>
                <w:lang w:val="en-US" w:eastAsia="zh-CN"/>
              </w:rPr>
              <w:instrText xml:space="preserve"> HYPERLINK "https://www.tianyancha.com/company/323155219" \t "https://www.tianyancha.com/_blank" </w:instrText>
            </w:r>
            <w:r>
              <w:rPr>
                <w:rFonts w:hint="eastAsia" w:ascii="Times New Roman" w:hAnsi="Times New Roman" w:cs="Times New Roman"/>
                <w:color w:val="auto"/>
                <w:sz w:val="24"/>
                <w:highlight w:val="none"/>
                <w:lang w:val="en-US" w:eastAsia="zh-CN"/>
              </w:rPr>
              <w:fldChar w:fldCharType="separate"/>
            </w:r>
            <w:r>
              <w:rPr>
                <w:rFonts w:hint="default" w:ascii="Times New Roman" w:hAnsi="Times New Roman" w:cs="Times New Roman"/>
                <w:color w:val="auto"/>
                <w:sz w:val="24"/>
                <w:highlight w:val="none"/>
                <w:lang w:val="en-US" w:eastAsia="zh-CN"/>
              </w:rPr>
              <w:t>承德泓辉双合淀粉有限公司</w:t>
            </w:r>
            <w:r>
              <w:rPr>
                <w:rFonts w:hint="default" w:ascii="Times New Roman" w:hAnsi="Times New Roman" w:cs="Times New Roman"/>
                <w:color w:val="auto"/>
                <w:sz w:val="24"/>
                <w:highlight w:val="none"/>
                <w:lang w:val="en-US" w:eastAsia="zh-CN"/>
              </w:rPr>
              <w:fldChar w:fldCharType="end"/>
            </w:r>
            <w:r>
              <w:rPr>
                <w:rFonts w:hint="eastAsia" w:ascii="Times New Roman" w:hAnsi="Times New Roman" w:cs="Times New Roman"/>
                <w:color w:val="auto"/>
                <w:sz w:val="24"/>
                <w:highlight w:val="none"/>
                <w:lang w:val="en-US" w:eastAsia="zh-CN"/>
              </w:rPr>
              <w:t>、承德富龙现代农业发展有限公司，其余三侧均为空地。</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eastAsia" w:ascii="Times New Roman" w:hAnsi="Times New Roman" w:cs="Times New Roman"/>
                <w:color w:val="auto"/>
                <w:sz w:val="24"/>
                <w:highlight w:val="none"/>
                <w:lang w:val="en-US" w:eastAsia="zh-CN"/>
              </w:rPr>
              <w:t>平面布置：</w:t>
            </w:r>
            <w:r>
              <w:rPr>
                <w:rFonts w:hint="default" w:ascii="Times New Roman" w:hAnsi="Times New Roman" w:cs="Times New Roman"/>
                <w:color w:val="auto"/>
                <w:sz w:val="24"/>
                <w:highlight w:val="none"/>
              </w:rPr>
              <w:t>本项目</w:t>
            </w:r>
            <w:bookmarkEnd w:id="28"/>
            <w:r>
              <w:rPr>
                <w:rFonts w:hint="eastAsia" w:ascii="Times New Roman" w:hAnsi="Times New Roman" w:cs="Times New Roman"/>
                <w:color w:val="auto"/>
                <w:sz w:val="24"/>
                <w:highlight w:val="none"/>
                <w:lang w:val="en-US" w:eastAsia="zh-CN"/>
              </w:rPr>
              <w:t>中部为食品加工生产车间、南部为宠物粮车间，</w:t>
            </w:r>
            <w:r>
              <w:rPr>
                <w:rFonts w:hint="default" w:ascii="Times New Roman" w:hAnsi="Times New Roman" w:cs="Times New Roman"/>
                <w:color w:val="auto"/>
                <w:sz w:val="24"/>
                <w:highlight w:val="none"/>
                <w:lang w:val="en-US" w:eastAsia="zh-CN"/>
              </w:rPr>
              <w:t>锅炉房位于</w:t>
            </w:r>
            <w:r>
              <w:rPr>
                <w:rFonts w:hint="eastAsia" w:ascii="Times New Roman" w:hAnsi="Times New Roman" w:cs="Times New Roman"/>
                <w:color w:val="auto"/>
                <w:sz w:val="24"/>
                <w:highlight w:val="none"/>
                <w:lang w:val="en-US" w:eastAsia="zh-CN"/>
              </w:rPr>
              <w:t>厂区西侧，锅炉房南侧为污水处理站，办公区位于厂区北侧；食品加工车间内包括冷库，原料库、冷库、成品库、内包间、杀菌间、外包间；缓化间、原料肉冷库、调味料加工区、熟肉冷却间等</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项目整体平面布置图详见附图</w:t>
            </w:r>
            <w:r>
              <w:rPr>
                <w:rFonts w:hint="default" w:ascii="Times New Roman" w:hAnsi="Times New Roman" w:cs="Times New Roman"/>
                <w:bCs/>
                <w:color w:val="auto"/>
                <w:sz w:val="24"/>
                <w:highlight w:val="none"/>
              </w:rPr>
              <w:t>。</w:t>
            </w:r>
          </w:p>
          <w:p>
            <w:pPr>
              <w:spacing w:line="360" w:lineRule="auto"/>
              <w:ind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6</w:t>
            </w:r>
            <w:r>
              <w:rPr>
                <w:rFonts w:hint="default" w:ascii="Times New Roman" w:hAnsi="Times New Roman" w:cs="Times New Roman"/>
                <w:b/>
                <w:color w:val="auto"/>
                <w:sz w:val="24"/>
                <w:highlight w:val="none"/>
              </w:rPr>
              <w:t>、公用工程</w:t>
            </w:r>
          </w:p>
          <w:p>
            <w:pPr>
              <w:numPr>
                <w:ilvl w:val="0"/>
                <w:numId w:val="0"/>
              </w:numPr>
              <w:adjustRightInd w:val="0"/>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1、给水工程</w:t>
            </w:r>
          </w:p>
          <w:p>
            <w:pPr>
              <w:numPr>
                <w:ilvl w:val="0"/>
                <w:numId w:val="7"/>
              </w:numPr>
              <w:adjustRightInd w:val="0"/>
              <w:snapToGrid w:val="0"/>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生产用水</w:t>
            </w:r>
          </w:p>
          <w:p>
            <w:pPr>
              <w:adjustRightInd w:val="0"/>
              <w:snapToGrid w:val="0"/>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卤煮过程：根据《工业取水定额 第11部分：食品行业》（DB13/T5448.11-2021）及结合企业实际及情况，</w:t>
            </w:r>
            <w:r>
              <w:rPr>
                <w:rFonts w:hint="default" w:ascii="Times New Roman" w:hAnsi="Times New Roman" w:cs="Times New Roman"/>
                <w:color w:val="auto"/>
                <w:sz w:val="24"/>
                <w:highlight w:val="none"/>
                <w:lang w:val="en-US" w:eastAsia="zh-CN"/>
              </w:rPr>
              <w:t>1t</w:t>
            </w:r>
            <w:r>
              <w:rPr>
                <w:rFonts w:hint="eastAsia" w:ascii="Times New Roman" w:hAnsi="Times New Roman" w:cs="Times New Roman"/>
                <w:color w:val="auto"/>
                <w:sz w:val="24"/>
                <w:highlight w:val="none"/>
                <w:lang w:val="en-US" w:eastAsia="zh-CN"/>
              </w:rPr>
              <w:t>肉类漂烫、蒸煮过程中用水量为10m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，年卤煮肉类食品用水量为96000m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/a（320m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p>
          <w:p>
            <w:pPr>
              <w:adjustRightInd w:val="0"/>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设备清洗：用水为2m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/d，年用水量为600m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/a。</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制备软化水</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000000" w:themeColor="text1"/>
                <w:sz w:val="24"/>
                <w:lang w:val="en-US" w:eastAsia="zh-CN"/>
                <w14:textFill>
                  <w14:solidFill>
                    <w14:schemeClr w14:val="tx1"/>
                  </w14:solidFill>
                </w14:textFill>
              </w:rPr>
              <w:t>本项目锅炉年产蒸汽4200t/a，锅炉补水量按蒸汽量的100%计算，则蒸汽锅炉软化水消耗量为14m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/d（4200m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热水锅炉每周更换一次软化水，每次3m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/次，年运行4个月，按16次计，年软化水消耗量为48m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/a（0.16</w:t>
            </w:r>
            <w:r>
              <w:rPr>
                <w:rFonts w:hint="eastAsia" w:ascii="Times New Roman" w:hAnsi="Times New Roman" w:cs="Times New Roman"/>
                <w:color w:val="000000" w:themeColor="text1"/>
                <w:sz w:val="24"/>
                <w:lang w:val="en-US" w:eastAsia="zh-CN"/>
                <w14:textFill>
                  <w14:solidFill>
                    <w14:schemeClr w14:val="tx1"/>
                  </w14:solidFill>
                </w14:textFill>
              </w:rPr>
              <w:t>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软水制备率按</w:t>
            </w:r>
            <w:r>
              <w:rPr>
                <w:rFonts w:hint="eastAsia"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lang w:val="en-US" w:eastAsia="zh-CN"/>
              </w:rPr>
              <w:t>%计算，则</w:t>
            </w:r>
            <w:r>
              <w:rPr>
                <w:rFonts w:hint="eastAsia" w:ascii="Times New Roman" w:hAnsi="Times New Roman" w:cs="Times New Roman"/>
                <w:color w:val="auto"/>
                <w:sz w:val="24"/>
                <w:highlight w:val="none"/>
                <w:lang w:val="en-US" w:eastAsia="zh-CN"/>
              </w:rPr>
              <w:t>新增</w:t>
            </w:r>
            <w:r>
              <w:rPr>
                <w:rFonts w:hint="default" w:ascii="Times New Roman" w:hAnsi="Times New Roman" w:cs="Times New Roman"/>
                <w:color w:val="auto"/>
                <w:sz w:val="24"/>
                <w:highlight w:val="none"/>
                <w:lang w:val="en-US" w:eastAsia="zh-CN"/>
              </w:rPr>
              <w:t>原水用量为</w:t>
            </w:r>
            <w:r>
              <w:rPr>
                <w:rFonts w:hint="eastAsia" w:ascii="Times New Roman" w:hAnsi="Times New Roman" w:cs="Times New Roman"/>
                <w:color w:val="auto"/>
                <w:sz w:val="24"/>
                <w:highlight w:val="none"/>
                <w:lang w:val="en-US" w:eastAsia="zh-CN"/>
              </w:rPr>
              <w:t>5310</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/a（</w:t>
            </w:r>
            <w:r>
              <w:rPr>
                <w:rFonts w:hint="eastAsia" w:ascii="Times New Roman" w:hAnsi="Times New Roman" w:cs="Times New Roman"/>
                <w:color w:val="auto"/>
                <w:sz w:val="24"/>
                <w:highlight w:val="none"/>
                <w:lang w:val="en-US" w:eastAsia="zh-CN"/>
              </w:rPr>
              <w:t>17.7</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p>
          <w:p>
            <w:pPr>
              <w:adjustRightInd w:val="0"/>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（2）生活用水（含食堂用水）</w:t>
            </w:r>
          </w:p>
          <w:p>
            <w:pPr>
              <w:adjustRightInd w:val="0"/>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生活用水量参照河北省地方标准《生活与服务业用水定额第1部分：居民生活》（DB13∕T5450.1-2021）中所规定的用水定额：农村居民生活用水18.5-22m</w:t>
            </w:r>
            <w:r>
              <w:rPr>
                <w:rFonts w:hint="eastAsia"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人</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a，本项目生活用水按照22m</w:t>
            </w:r>
            <w:r>
              <w:rPr>
                <w:rFonts w:hint="eastAsia"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人</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a计，本项目共有职工85人，年生产300天，用水量为：6.23m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（1870</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/a</w:t>
            </w:r>
            <w:r>
              <w:rPr>
                <w:rFonts w:hint="eastAsia" w:ascii="Times New Roman" w:hAnsi="Times New Roman" w:cs="Times New Roman"/>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综上：年使用新鲜水345.93</w:t>
            </w:r>
            <w:r>
              <w:rPr>
                <w:rFonts w:hint="eastAsia"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（103780</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/a</w:t>
            </w:r>
            <w:r>
              <w:rPr>
                <w:rFonts w:hint="eastAsia" w:ascii="Times New Roman" w:hAnsi="Times New Roman" w:cs="Times New Roman"/>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2、排水工程</w:t>
            </w:r>
          </w:p>
          <w:p>
            <w:pPr>
              <w:adjustRightInd w:val="0"/>
              <w:snapToGrid w:val="0"/>
              <w:spacing w:line="360" w:lineRule="auto"/>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废水包括生产废水和生活污水。</w:t>
            </w:r>
          </w:p>
          <w:p>
            <w:pPr>
              <w:adjustRightInd w:val="0"/>
              <w:snapToGrid w:val="0"/>
              <w:spacing w:line="360" w:lineRule="auto"/>
              <w:ind w:firstLine="480" w:firstLineChars="200"/>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（1）生产废水</w:t>
            </w:r>
          </w:p>
          <w:p>
            <w:pPr>
              <w:adjustRightInd w:val="0"/>
              <w:snapToGrid w:val="0"/>
              <w:spacing w:line="360" w:lineRule="auto"/>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卤煮过程：肉类漂烫、蒸煮过程中废水量按75%计，废水量为240m</w:t>
            </w:r>
            <w:r>
              <w:rPr>
                <w:rFonts w:hint="eastAsia" w:ascii="Times New Roman" w:hAnsi="Times New Roman" w:cs="Times New Roman"/>
                <w:b w:val="0"/>
                <w:bCs w:val="0"/>
                <w:color w:val="auto"/>
                <w:sz w:val="24"/>
                <w:highlight w:val="none"/>
                <w:vertAlign w:val="superscript"/>
                <w:lang w:val="en-US" w:eastAsia="zh-CN"/>
              </w:rPr>
              <w:t>3</w:t>
            </w:r>
            <w:r>
              <w:rPr>
                <w:rFonts w:hint="eastAsia" w:ascii="Times New Roman" w:hAnsi="Times New Roman" w:cs="Times New Roman"/>
                <w:b w:val="0"/>
                <w:bCs w:val="0"/>
                <w:color w:val="auto"/>
                <w:sz w:val="24"/>
                <w:highlight w:val="none"/>
                <w:lang w:val="en-US" w:eastAsia="zh-CN"/>
              </w:rPr>
              <w:t>/d（72000</w:t>
            </w:r>
            <w:r>
              <w:rPr>
                <w:rFonts w:hint="default" w:ascii="Times New Roman" w:hAnsi="Times New Roman" w:cs="Times New Roman"/>
                <w:b w:val="0"/>
                <w:bCs w:val="0"/>
                <w:color w:val="auto"/>
                <w:sz w:val="24"/>
                <w:highlight w:val="none"/>
                <w:lang w:val="en-US" w:eastAsia="zh-CN"/>
              </w:rPr>
              <w:t>m</w:t>
            </w:r>
            <w:r>
              <w:rPr>
                <w:rFonts w:hint="eastAsia" w:ascii="Times New Roman" w:hAnsi="Times New Roman" w:cs="Times New Roman"/>
                <w:b w:val="0"/>
                <w:bCs w:val="0"/>
                <w:color w:val="auto"/>
                <w:sz w:val="24"/>
                <w:highlight w:val="none"/>
                <w:vertAlign w:val="superscript"/>
                <w:lang w:val="en-US" w:eastAsia="zh-CN"/>
              </w:rPr>
              <w:t>3</w:t>
            </w:r>
            <w:r>
              <w:rPr>
                <w:rFonts w:hint="default" w:ascii="Times New Roman" w:hAnsi="Times New Roman" w:cs="Times New Roman"/>
                <w:b w:val="0"/>
                <w:bCs w:val="0"/>
                <w:color w:val="auto"/>
                <w:sz w:val="24"/>
                <w:highlight w:val="none"/>
                <w:lang w:val="en-US" w:eastAsia="zh-CN"/>
              </w:rPr>
              <w:t>/a</w:t>
            </w:r>
            <w:r>
              <w:rPr>
                <w:rFonts w:hint="eastAsia" w:ascii="Times New Roman" w:hAnsi="Times New Roman" w:cs="Times New Roman"/>
                <w:b w:val="0"/>
                <w:bCs w:val="0"/>
                <w:color w:val="auto"/>
                <w:sz w:val="24"/>
                <w:highlight w:val="none"/>
                <w:lang w:val="en-US" w:eastAsia="zh-CN"/>
              </w:rPr>
              <w:t>）；</w:t>
            </w:r>
          </w:p>
          <w:p>
            <w:pPr>
              <w:topLinePunct/>
              <w:snapToGrid w:val="0"/>
              <w:spacing w:line="360" w:lineRule="auto"/>
              <w:ind w:firstLine="480" w:firstLineChars="200"/>
              <w:jc w:val="left"/>
              <w:textAlignment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设备清洗：</w:t>
            </w:r>
            <w:r>
              <w:rPr>
                <w:rFonts w:hint="eastAsia" w:ascii="Times New Roman" w:hAnsi="Times New Roman" w:cs="Times New Roman"/>
                <w:b w:val="0"/>
                <w:bCs w:val="0"/>
                <w:color w:val="auto"/>
                <w:sz w:val="24"/>
                <w:highlight w:val="none"/>
                <w:lang w:val="en-US" w:eastAsia="zh-CN"/>
              </w:rPr>
              <w:t>废水量按0.8%计，废水量为1.6m</w:t>
            </w:r>
            <w:r>
              <w:rPr>
                <w:rFonts w:hint="eastAsia" w:ascii="Times New Roman" w:hAnsi="Times New Roman" w:cs="Times New Roman"/>
                <w:b w:val="0"/>
                <w:bCs w:val="0"/>
                <w:color w:val="auto"/>
                <w:sz w:val="24"/>
                <w:highlight w:val="none"/>
                <w:vertAlign w:val="superscript"/>
                <w:lang w:val="en-US" w:eastAsia="zh-CN"/>
              </w:rPr>
              <w:t>3</w:t>
            </w:r>
            <w:r>
              <w:rPr>
                <w:rFonts w:hint="eastAsia" w:ascii="Times New Roman" w:hAnsi="Times New Roman" w:cs="Times New Roman"/>
                <w:b w:val="0"/>
                <w:bCs w:val="0"/>
                <w:color w:val="auto"/>
                <w:sz w:val="24"/>
                <w:highlight w:val="none"/>
                <w:lang w:val="en-US" w:eastAsia="zh-CN"/>
              </w:rPr>
              <w:t>/d（480</w:t>
            </w:r>
            <w:r>
              <w:rPr>
                <w:rFonts w:hint="default" w:ascii="Times New Roman" w:hAnsi="Times New Roman" w:cs="Times New Roman"/>
                <w:b w:val="0"/>
                <w:bCs w:val="0"/>
                <w:color w:val="auto"/>
                <w:sz w:val="24"/>
                <w:highlight w:val="none"/>
                <w:lang w:val="en-US" w:eastAsia="zh-CN"/>
              </w:rPr>
              <w:t>m</w:t>
            </w:r>
            <w:r>
              <w:rPr>
                <w:rFonts w:hint="eastAsia" w:ascii="Times New Roman" w:hAnsi="Times New Roman" w:cs="Times New Roman"/>
                <w:b w:val="0"/>
                <w:bCs w:val="0"/>
                <w:color w:val="auto"/>
                <w:sz w:val="24"/>
                <w:highlight w:val="none"/>
                <w:vertAlign w:val="superscript"/>
                <w:lang w:val="en-US" w:eastAsia="zh-CN"/>
              </w:rPr>
              <w:t>3</w:t>
            </w:r>
            <w:r>
              <w:rPr>
                <w:rFonts w:hint="default" w:ascii="Times New Roman" w:hAnsi="Times New Roman" w:cs="Times New Roman"/>
                <w:b w:val="0"/>
                <w:bCs w:val="0"/>
                <w:color w:val="auto"/>
                <w:sz w:val="24"/>
                <w:highlight w:val="none"/>
                <w:lang w:val="en-US" w:eastAsia="zh-CN"/>
              </w:rPr>
              <w:t>/a</w:t>
            </w:r>
            <w:r>
              <w:rPr>
                <w:rFonts w:hint="eastAsia" w:ascii="Times New Roman" w:hAnsi="Times New Roman" w:cs="Times New Roman"/>
                <w:b w:val="0"/>
                <w:bCs w:val="0"/>
                <w:color w:val="auto"/>
                <w:sz w:val="24"/>
                <w:highlight w:val="none"/>
                <w:lang w:val="en-US" w:eastAsia="zh-CN"/>
              </w:rPr>
              <w:t>）；</w:t>
            </w:r>
          </w:p>
          <w:p>
            <w:pPr>
              <w:topLinePunct/>
              <w:snapToGrid w:val="0"/>
              <w:spacing w:line="360" w:lineRule="auto"/>
              <w:ind w:firstLine="480" w:firstLineChars="200"/>
              <w:jc w:val="left"/>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软化水制备：</w:t>
            </w:r>
          </w:p>
          <w:p>
            <w:pPr>
              <w:keepNext w:val="0"/>
              <w:keepLines w:val="0"/>
              <w:pageBreakBefore w:val="0"/>
              <w:widowControl w:val="0"/>
              <w:kinsoku/>
              <w:wordWrap/>
              <w:overflowPunct/>
              <w:autoSpaceDE/>
              <w:autoSpaceDN/>
              <w:bidi w:val="0"/>
              <w:adjustRightInd/>
              <w:snapToGrid w:val="0"/>
              <w:spacing w:line="360" w:lineRule="auto"/>
              <w:ind w:left="0" w:leftChars="0" w:right="0" w:rightChars="0" w:firstLine="480" w:firstLineChars="200"/>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val="en-US" w:eastAsia="zh-CN"/>
              </w:rPr>
              <w:t>热水锅炉定期排污，每周一次，年排污量为48m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r>
              <w:rPr>
                <w:rFonts w:hint="eastAsia" w:ascii="Times New Roman" w:hAnsi="Times New Roman" w:cs="Times New Roman"/>
                <w:color w:val="auto"/>
                <w:sz w:val="24"/>
                <w:highlight w:val="none"/>
                <w:lang w:val="en-US" w:eastAsia="zh-CN"/>
              </w:rPr>
              <w:t>（0.16</w:t>
            </w:r>
            <w:r>
              <w:rPr>
                <w:rFonts w:hint="eastAsia" w:ascii="Times New Roman" w:hAnsi="Times New Roman" w:cs="Times New Roman"/>
                <w:color w:val="000000" w:themeColor="text1"/>
                <w:sz w:val="24"/>
                <w:lang w:val="en-US" w:eastAsia="zh-CN"/>
                <w14:textFill>
                  <w14:solidFill>
                    <w14:schemeClr w14:val="tx1"/>
                  </w14:solidFill>
                </w14:textFill>
              </w:rPr>
              <w:t>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autoSpaceDE/>
              <w:autoSpaceDN/>
              <w:bidi w:val="0"/>
              <w:adjustRightInd/>
              <w:snapToGrid w:val="0"/>
              <w:spacing w:line="360" w:lineRule="auto"/>
              <w:ind w:left="0" w:leftChars="0" w:right="0" w:rightChars="0" w:firstLine="480" w:firstLineChars="200"/>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软水制备废水为3.54</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（1062</w:t>
            </w:r>
            <w:r>
              <w:rPr>
                <w:rFonts w:ascii="Times New Roman" w:hAnsi="Times New Roman" w:eastAsia="宋体" w:cs="Times New Roman"/>
                <w:color w:val="auto"/>
                <w:sz w:val="24"/>
                <w:highlight w:val="none"/>
              </w:rPr>
              <w:t>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/a</w:t>
            </w:r>
            <w:r>
              <w:rPr>
                <w:rFonts w:hint="eastAsia" w:ascii="Times New Roman" w:hAnsi="Times New Roman" w:eastAsia="宋体" w:cs="Times New Roman"/>
                <w:color w:val="auto"/>
                <w:sz w:val="24"/>
                <w:szCs w:val="24"/>
                <w:highlight w:val="none"/>
                <w:lang w:val="en-US" w:eastAsia="zh-CN"/>
              </w:rPr>
              <w:t>）。</w:t>
            </w:r>
          </w:p>
          <w:p>
            <w:pPr>
              <w:adjustRightInd w:val="0"/>
              <w:snapToGrid w:val="0"/>
              <w:spacing w:line="360" w:lineRule="auto"/>
              <w:ind w:firstLine="480" w:firstLineChars="200"/>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（2）生活污水</w:t>
            </w:r>
          </w:p>
          <w:p>
            <w:pPr>
              <w:adjustRightInd w:val="0"/>
              <w:snapToGrid w:val="0"/>
              <w:spacing w:line="360" w:lineRule="auto"/>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生活污水产生量按用水量的80%计，生活污水产生量为4.98m</w:t>
            </w:r>
            <w:r>
              <w:rPr>
                <w:rFonts w:hint="eastAsia" w:ascii="Times New Roman" w:hAnsi="Times New Roman" w:cs="Times New Roman"/>
                <w:b w:val="0"/>
                <w:bCs w:val="0"/>
                <w:color w:val="auto"/>
                <w:sz w:val="24"/>
                <w:highlight w:val="none"/>
                <w:vertAlign w:val="superscript"/>
                <w:lang w:val="en-US" w:eastAsia="zh-CN"/>
              </w:rPr>
              <w:t>3</w:t>
            </w:r>
            <w:r>
              <w:rPr>
                <w:rFonts w:hint="eastAsia" w:ascii="Times New Roman" w:hAnsi="Times New Roman" w:cs="Times New Roman"/>
                <w:b w:val="0"/>
                <w:bCs w:val="0"/>
                <w:color w:val="auto"/>
                <w:sz w:val="24"/>
                <w:highlight w:val="none"/>
                <w:lang w:val="en-US" w:eastAsia="zh-CN"/>
              </w:rPr>
              <w:t>/d（1496m</w:t>
            </w:r>
            <w:r>
              <w:rPr>
                <w:rFonts w:hint="eastAsia" w:ascii="Times New Roman" w:hAnsi="Times New Roman" w:cs="Times New Roman"/>
                <w:b w:val="0"/>
                <w:bCs w:val="0"/>
                <w:color w:val="auto"/>
                <w:sz w:val="24"/>
                <w:highlight w:val="none"/>
                <w:vertAlign w:val="superscript"/>
                <w:lang w:val="en-US" w:eastAsia="zh-CN"/>
              </w:rPr>
              <w:t>3</w:t>
            </w:r>
            <w:r>
              <w:rPr>
                <w:rFonts w:hint="eastAsia" w:ascii="Times New Roman" w:hAnsi="Times New Roman" w:cs="Times New Roman"/>
                <w:b w:val="0"/>
                <w:bCs w:val="0"/>
                <w:color w:val="auto"/>
                <w:sz w:val="24"/>
                <w:highlight w:val="none"/>
                <w:lang w:val="en-US" w:eastAsia="zh-CN"/>
              </w:rPr>
              <w:t>/a）。</w:t>
            </w:r>
          </w:p>
          <w:p>
            <w:pPr>
              <w:keepNext w:val="0"/>
              <w:keepLines w:val="0"/>
              <w:pageBreakBefore w:val="0"/>
              <w:widowControl w:val="0"/>
              <w:kinsoku/>
              <w:wordWrap/>
              <w:overflowPunct/>
              <w:autoSpaceDE/>
              <w:autoSpaceDN/>
              <w:bidi w:val="0"/>
              <w:adjustRightInd/>
              <w:snapToGrid w:val="0"/>
              <w:spacing w:line="360" w:lineRule="auto"/>
              <w:ind w:left="0" w:leftChars="0" w:right="0" w:rightChars="0" w:firstLine="480" w:firstLineChars="200"/>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w:t>
            </w:r>
            <w:r>
              <w:rPr>
                <w:rFonts w:hint="eastAsia" w:ascii="Times New Roman" w:hAnsi="Times New Roman" w:cs="Times New Roman"/>
                <w:b w:val="0"/>
                <w:bCs w:val="0"/>
                <w:color w:val="auto"/>
                <w:sz w:val="24"/>
                <w:highlight w:val="none"/>
                <w:lang w:val="en-US" w:eastAsia="zh-CN"/>
              </w:rPr>
              <w:t>年废水排放量为250.28m</w:t>
            </w:r>
            <w:r>
              <w:rPr>
                <w:rFonts w:hint="eastAsia" w:ascii="Times New Roman" w:hAnsi="Times New Roman" w:cs="Times New Roman"/>
                <w:b w:val="0"/>
                <w:bCs w:val="0"/>
                <w:color w:val="auto"/>
                <w:sz w:val="24"/>
                <w:highlight w:val="none"/>
                <w:vertAlign w:val="superscript"/>
                <w:lang w:val="en-US" w:eastAsia="zh-CN"/>
              </w:rPr>
              <w:t>3</w:t>
            </w:r>
            <w:r>
              <w:rPr>
                <w:rFonts w:hint="eastAsia" w:ascii="Times New Roman" w:hAnsi="Times New Roman" w:cs="Times New Roman"/>
                <w:b w:val="0"/>
                <w:bCs w:val="0"/>
                <w:color w:val="auto"/>
                <w:sz w:val="24"/>
                <w:highlight w:val="none"/>
                <w:lang w:val="en-US" w:eastAsia="zh-CN"/>
              </w:rPr>
              <w:t>/d（74608.6m</w:t>
            </w:r>
            <w:r>
              <w:rPr>
                <w:rFonts w:hint="eastAsia" w:ascii="Times New Roman" w:hAnsi="Times New Roman" w:cs="Times New Roman"/>
                <w:b w:val="0"/>
                <w:bCs w:val="0"/>
                <w:color w:val="auto"/>
                <w:sz w:val="24"/>
                <w:highlight w:val="none"/>
                <w:vertAlign w:val="superscript"/>
                <w:lang w:val="en-US" w:eastAsia="zh-CN"/>
              </w:rPr>
              <w:t>3</w:t>
            </w:r>
            <w:r>
              <w:rPr>
                <w:rFonts w:hint="eastAsia" w:ascii="Times New Roman" w:hAnsi="Times New Roman" w:cs="Times New Roman"/>
                <w:b w:val="0"/>
                <w:bCs w:val="0"/>
                <w:color w:val="auto"/>
                <w:sz w:val="24"/>
                <w:highlight w:val="none"/>
                <w:lang w:val="en-US" w:eastAsia="zh-CN"/>
              </w:rPr>
              <w:t>/a）。</w:t>
            </w:r>
          </w:p>
          <w:p>
            <w:pPr>
              <w:keepNext w:val="0"/>
              <w:keepLines w:val="0"/>
              <w:pageBreakBefore w:val="0"/>
              <w:widowControl w:val="0"/>
              <w:kinsoku/>
              <w:wordWrap/>
              <w:overflowPunct/>
              <w:autoSpaceDE/>
              <w:autoSpaceDN/>
              <w:bidi w:val="0"/>
              <w:adjustRightInd/>
              <w:snapToGrid w:val="0"/>
              <w:spacing w:line="360" w:lineRule="auto"/>
              <w:ind w:left="0" w:leftChars="0" w:right="0" w:rightChars="0" w:firstLine="480" w:firstLineChars="200"/>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项目建设完成后总用水量为345.93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103780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，废水排放量为250.28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74608.6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。食堂废水经隔油池处理后与生活污水一同进入化粪池进行预处理，生产废水与预处理后的生活污水一同经厂区污水处理站处理后通过</w:t>
            </w:r>
            <w:r>
              <w:rPr>
                <w:rFonts w:hint="default" w:ascii="Times New Roman" w:hAnsi="Times New Roman" w:eastAsia="宋体" w:cs="Times New Roman"/>
                <w:color w:val="auto"/>
                <w:sz w:val="24"/>
                <w:szCs w:val="24"/>
                <w:highlight w:val="none"/>
                <w:lang w:val="en-US" w:eastAsia="zh-CN"/>
              </w:rPr>
              <w:t>管网排放至半截塔污水处理厂</w:t>
            </w:r>
            <w:r>
              <w:rPr>
                <w:rFonts w:hint="eastAsia" w:ascii="Times New Roman" w:hAnsi="Times New Roman" w:eastAsia="宋体" w:cs="Times New Roman"/>
                <w:color w:val="auto"/>
                <w:sz w:val="24"/>
                <w:szCs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3、供电：</w:t>
            </w:r>
            <w:r>
              <w:rPr>
                <w:rFonts w:hint="default" w:ascii="Times New Roman" w:hAnsi="Times New Roman" w:cs="Times New Roman"/>
                <w:color w:val="auto"/>
                <w:sz w:val="24"/>
                <w:szCs w:val="24"/>
                <w:highlight w:val="none"/>
                <w:lang w:val="en-US" w:eastAsia="zh-CN"/>
              </w:rPr>
              <w:t>由</w:t>
            </w:r>
            <w:r>
              <w:rPr>
                <w:rFonts w:hint="eastAsia" w:cs="Times New Roman"/>
                <w:color w:val="auto"/>
                <w:sz w:val="24"/>
                <w:szCs w:val="24"/>
                <w:lang w:val="en-US" w:eastAsia="zh-CN"/>
              </w:rPr>
              <w:t>围场满族蒙古族自治县半截塔镇</w:t>
            </w:r>
            <w:r>
              <w:rPr>
                <w:rFonts w:hint="default" w:ascii="Times New Roman" w:hAnsi="Times New Roman" w:eastAsia="宋体" w:cs="Times New Roman"/>
                <w:color w:val="auto"/>
                <w:sz w:val="24"/>
                <w:szCs w:val="24"/>
                <w:highlight w:val="none"/>
                <w:lang w:val="en-US" w:eastAsia="zh-CN"/>
              </w:rPr>
              <w:t>供电电网</w:t>
            </w:r>
            <w:r>
              <w:rPr>
                <w:rFonts w:hint="eastAsia" w:ascii="Times New Roman" w:hAnsi="Times New Roman" w:eastAsia="宋体" w:cs="Times New Roman"/>
                <w:color w:val="auto"/>
                <w:sz w:val="24"/>
                <w:szCs w:val="24"/>
                <w:highlight w:val="none"/>
                <w:lang w:val="en-US" w:eastAsia="zh-CN"/>
              </w:rPr>
              <w:t>供给</w:t>
            </w:r>
            <w:r>
              <w:rPr>
                <w:rFonts w:hint="default" w:ascii="Times New Roman" w:hAnsi="Times New Roman" w:eastAsia="宋体" w:cs="Times New Roman"/>
                <w:color w:val="auto"/>
                <w:sz w:val="24"/>
                <w:szCs w:val="24"/>
                <w:highlight w:val="none"/>
                <w:lang w:val="en-US" w:eastAsia="zh-CN"/>
              </w:rPr>
              <w:t>，用电量</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lang w:val="en-US" w:eastAsia="zh-CN"/>
              </w:rPr>
              <w:t>万kW·h/a。</w:t>
            </w:r>
          </w:p>
          <w:p>
            <w:pPr>
              <w:adjustRightInd w:val="0"/>
              <w:snapToGrid w:val="0"/>
              <w:spacing w:line="360" w:lineRule="auto"/>
              <w:rPr>
                <w:rFonts w:hint="default" w:ascii="Times New Roman" w:hAnsi="Times New Roman" w:eastAsia="宋体" w:cs="Times New Roman"/>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5" w:hRule="atLeast"/>
          <w:jc w:val="center"/>
        </w:trPr>
        <w:tc>
          <w:tcPr>
            <w:tcW w:w="203" w:type="pct"/>
            <w:tcBorders>
              <w:top w:val="single" w:color="auto" w:sz="4" w:space="0"/>
              <w:left w:val="single" w:color="auto" w:sz="8" w:space="0"/>
              <w:bottom w:val="single" w:color="auto" w:sz="4" w:space="0"/>
              <w:right w:val="single" w:color="auto" w:sz="4" w:space="0"/>
            </w:tcBorders>
            <w:shd w:val="clear" w:color="auto" w:fill="auto"/>
            <w:vAlign w:val="center"/>
          </w:tcPr>
          <w:p>
            <w:pPr>
              <w:pStyle w:val="19"/>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4796" w:type="pct"/>
            <w:tcBorders>
              <w:top w:val="single" w:color="auto" w:sz="4" w:space="0"/>
              <w:left w:val="single" w:color="auto" w:sz="4" w:space="0"/>
              <w:bottom w:val="single" w:color="auto" w:sz="4" w:space="0"/>
              <w:right w:val="single" w:color="auto" w:sz="8" w:space="0"/>
            </w:tcBorders>
            <w:shd w:val="clear" w:color="auto" w:fill="auto"/>
          </w:tcPr>
          <w:p>
            <w:pPr>
              <w:pStyle w:val="2"/>
              <w:rPr>
                <w:rFonts w:hint="default" w:ascii="Times New Roman" w:hAnsi="Times New Roman" w:cs="Times New Roman"/>
                <w:color w:val="auto"/>
                <w:sz w:val="24"/>
              </w:rPr>
            </w:pPr>
            <w:r>
              <w:rPr>
                <w:rFonts w:hint="default" w:ascii="Times New Roman" w:hAnsi="Times New Roman" w:cs="Times New Roman"/>
                <w:color w:val="auto"/>
                <w:szCs w:val="28"/>
              </w:rPr>
              <w:t>工艺流程简述</w:t>
            </w:r>
            <w:r>
              <w:rPr>
                <w:rFonts w:hint="default" w:ascii="Times New Roman" w:hAnsi="Times New Roman" w:cs="Times New Roman"/>
                <w:color w:val="auto"/>
                <w:sz w:val="24"/>
              </w:rPr>
              <w:t>：</w:t>
            </w:r>
          </w:p>
          <w:p>
            <w:pPr>
              <w:pStyle w:val="7"/>
              <w:spacing w:after="0"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1、施工期</w:t>
            </w:r>
          </w:p>
          <w:p>
            <w:pPr>
              <w:snapToGrid w:val="0"/>
              <w:spacing w:line="360" w:lineRule="auto"/>
              <w:ind w:firstLine="480" w:firstLineChars="200"/>
              <w:rPr>
                <w:color w:val="auto"/>
                <w:sz w:val="24"/>
              </w:rPr>
            </w:pPr>
            <w:r>
              <w:rPr>
                <w:rFonts w:hint="eastAsia" w:ascii="Times New Roman" w:hAnsi="Times New Roman" w:cs="Times New Roman"/>
                <w:color w:val="auto"/>
                <w:sz w:val="24"/>
                <w:lang w:val="en-US" w:eastAsia="zh-CN"/>
              </w:rPr>
              <w:t>项目主体工程已建设完成，在建设过程中锅炉及污水处理站发生变化，</w:t>
            </w:r>
            <w:r>
              <w:rPr>
                <w:color w:val="auto"/>
                <w:sz w:val="24"/>
              </w:rPr>
              <w:t>施工期工程</w:t>
            </w:r>
            <w:r>
              <w:rPr>
                <w:rFonts w:hint="eastAsia"/>
                <w:color w:val="auto"/>
                <w:sz w:val="24"/>
                <w:lang w:val="en-US" w:eastAsia="zh-CN"/>
              </w:rPr>
              <w:t>为锅炉房、生物质库、污水处理站建设</w:t>
            </w:r>
            <w:r>
              <w:rPr>
                <w:rFonts w:hint="eastAsia"/>
                <w:color w:val="auto"/>
                <w:sz w:val="24"/>
                <w:lang w:eastAsia="zh-CN"/>
              </w:rPr>
              <w:t>，</w:t>
            </w:r>
            <w:r>
              <w:rPr>
                <w:rFonts w:hint="eastAsia"/>
                <w:color w:val="auto"/>
                <w:sz w:val="24"/>
                <w:lang w:val="en-US" w:eastAsia="zh-CN"/>
              </w:rPr>
              <w:t>以及</w:t>
            </w:r>
            <w:r>
              <w:rPr>
                <w:color w:val="auto"/>
                <w:sz w:val="24"/>
              </w:rPr>
              <w:t>现场清理等，产污环节主要为场地平整、主体施工等过程中产生的施工</w:t>
            </w:r>
            <w:r>
              <w:rPr>
                <w:rFonts w:hint="eastAsia"/>
                <w:color w:val="auto"/>
                <w:sz w:val="24"/>
              </w:rPr>
              <w:t>扬尘</w:t>
            </w:r>
            <w:r>
              <w:rPr>
                <w:color w:val="auto"/>
                <w:sz w:val="24"/>
              </w:rPr>
              <w:t>、施工废水、施工设备噪声、</w:t>
            </w:r>
            <w:r>
              <w:rPr>
                <w:rFonts w:hint="eastAsia"/>
                <w:color w:val="auto"/>
                <w:sz w:val="24"/>
              </w:rPr>
              <w:t>固体废物</w:t>
            </w:r>
            <w:r>
              <w:rPr>
                <w:color w:val="auto"/>
                <w:sz w:val="24"/>
              </w:rPr>
              <w:t>等污染物。</w:t>
            </w:r>
          </w:p>
          <w:p>
            <w:pPr>
              <w:pStyle w:val="9"/>
              <w:ind w:left="0" w:leftChars="0" w:firstLine="0" w:firstLineChars="0"/>
              <w:rPr>
                <w:color w:val="auto"/>
              </w:rPr>
            </w:pPr>
            <w:r>
              <w:rPr>
                <w:b/>
                <w:color w:val="auto"/>
                <w:sz w:val="24"/>
              </w:rPr>
              <mc:AlternateContent>
                <mc:Choice Requires="wpg">
                  <w:drawing>
                    <wp:inline distT="0" distB="0" distL="114300" distR="114300">
                      <wp:extent cx="5102860" cy="1563370"/>
                      <wp:effectExtent l="7620" t="6350" r="13970" b="11430"/>
                      <wp:docPr id="20" name="组合 2"/>
                      <wp:cNvGraphicFramePr/>
                      <a:graphic xmlns:a="http://schemas.openxmlformats.org/drawingml/2006/main">
                        <a:graphicData uri="http://schemas.microsoft.com/office/word/2010/wordprocessingGroup">
                          <wpg:wgp>
                            <wpg:cNvGrpSpPr/>
                            <wpg:grpSpPr>
                              <a:xfrm>
                                <a:off x="0" y="0"/>
                                <a:ext cx="5102860" cy="1563370"/>
                                <a:chOff x="7207" y="17728"/>
                                <a:chExt cx="79453" cy="23762"/>
                              </a:xfrm>
                              <a:effectLst/>
                            </wpg:grpSpPr>
                            <wps:wsp>
                              <wps:cNvPr id="71" name="矩形 71"/>
                              <wps:cNvSpPr/>
                              <wps:spPr>
                                <a:xfrm>
                                  <a:off x="24114" y="27568"/>
                                  <a:ext cx="12997" cy="4318"/>
                                </a:xfrm>
                                <a:prstGeom prst="rect">
                                  <a:avLst/>
                                </a:prstGeom>
                                <a:noFill/>
                                <a:ln w="15875" cap="flat" cmpd="sng">
                                  <a:solidFill>
                                    <a:srgbClr val="000000"/>
                                  </a:solidFill>
                                  <a:prstDash val="solid"/>
                                  <a:miter/>
                                  <a:headEnd type="none" w="med" len="med"/>
                                  <a:tailEnd type="none" w="med" len="med"/>
                                </a:ln>
                                <a:effectLst/>
                              </wps:spPr>
                              <wps:txb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主体工程施工</w:t>
                                    </w:r>
                                  </w:p>
                                  <w:p/>
                                </w:txbxContent>
                              </wps:txbx>
                              <wps:bodyPr anchor="ctr" anchorCtr="0" upright="1"/>
                            </wps:wsp>
                            <wps:wsp>
                              <wps:cNvPr id="72" name="直接箭头连接符 72"/>
                              <wps:cNvCnPr>
                                <a:stCxn id="71" idx="3"/>
                              </wps:cNvCnPr>
                              <wps:spPr>
                                <a:xfrm flipV="1">
                                  <a:off x="37111" y="29723"/>
                                  <a:ext cx="3210" cy="9"/>
                                </a:xfrm>
                                <a:prstGeom prst="straightConnector1">
                                  <a:avLst/>
                                </a:prstGeom>
                                <a:ln w="15875" cap="flat" cmpd="sng">
                                  <a:solidFill>
                                    <a:srgbClr val="000000"/>
                                  </a:solidFill>
                                  <a:prstDash val="solid"/>
                                  <a:headEnd type="none" w="med" len="med"/>
                                  <a:tailEnd type="triangle" w="lg" len="lg"/>
                                </a:ln>
                                <a:effectLst/>
                              </wps:spPr>
                              <wps:bodyPr/>
                            </wps:wsp>
                            <wps:wsp>
                              <wps:cNvPr id="73" name="矩形 73"/>
                              <wps:cNvSpPr/>
                              <wps:spPr>
                                <a:xfrm>
                                  <a:off x="75249" y="27573"/>
                                  <a:ext cx="11411" cy="4314"/>
                                </a:xfrm>
                                <a:prstGeom prst="rect">
                                  <a:avLst/>
                                </a:prstGeom>
                                <a:noFill/>
                                <a:ln w="15875" cap="flat" cmpd="sng">
                                  <a:solidFill>
                                    <a:srgbClr val="000000"/>
                                  </a:solidFill>
                                  <a:prstDash val="solid"/>
                                  <a:miter/>
                                  <a:headEnd type="none" w="med" len="med"/>
                                  <a:tailEnd type="none" w="med" len="med"/>
                                </a:ln>
                                <a:effectLst/>
                              </wps:spPr>
                              <wps:txb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现场清理</w:t>
                                    </w:r>
                                  </w:p>
                                </w:txbxContent>
                              </wps:txbx>
                              <wps:bodyPr anchor="ctr" anchorCtr="0" upright="1"/>
                            </wps:wsp>
                            <wps:wsp>
                              <wps:cNvPr id="74" name="直接箭头连接符 74"/>
                              <wps:cNvCnPr/>
                              <wps:spPr>
                                <a:xfrm>
                                  <a:off x="18351" y="29727"/>
                                  <a:ext cx="5199" cy="0"/>
                                </a:xfrm>
                                <a:prstGeom prst="straightConnector1">
                                  <a:avLst/>
                                </a:prstGeom>
                                <a:ln w="15875" cap="flat" cmpd="sng">
                                  <a:solidFill>
                                    <a:srgbClr val="000000"/>
                                  </a:solidFill>
                                  <a:prstDash val="solid"/>
                                  <a:headEnd type="none" w="med" len="med"/>
                                  <a:tailEnd type="triangle" w="lg" len="lg"/>
                                </a:ln>
                                <a:effectLst/>
                              </wps:spPr>
                              <wps:bodyPr/>
                            </wps:wsp>
                            <wps:wsp>
                              <wps:cNvPr id="75" name="矩形 75"/>
                              <wps:cNvSpPr/>
                              <wps:spPr>
                                <a:xfrm>
                                  <a:off x="59408" y="27573"/>
                                  <a:ext cx="11263" cy="4314"/>
                                </a:xfrm>
                                <a:prstGeom prst="rect">
                                  <a:avLst/>
                                </a:prstGeom>
                                <a:noFill/>
                                <a:ln w="15875" cap="flat" cmpd="sng">
                                  <a:solidFill>
                                    <a:srgbClr val="000000"/>
                                  </a:solidFill>
                                  <a:prstDash val="solid"/>
                                  <a:miter/>
                                  <a:headEnd type="none" w="med" len="med"/>
                                  <a:tailEnd type="none" w="med" len="med"/>
                                </a:ln>
                                <a:effectLst/>
                              </wps:spPr>
                              <wps:txb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表面修整</w:t>
                                    </w:r>
                                  </w:p>
                                </w:txbxContent>
                              </wps:txbx>
                              <wps:bodyPr anchor="ctr" anchorCtr="0" upright="1"/>
                            </wps:wsp>
                            <wps:wsp>
                              <wps:cNvPr id="76" name="矩形 76"/>
                              <wps:cNvSpPr/>
                              <wps:spPr>
                                <a:xfrm>
                                  <a:off x="40322" y="27568"/>
                                  <a:ext cx="11438" cy="4318"/>
                                </a:xfrm>
                                <a:prstGeom prst="rect">
                                  <a:avLst/>
                                </a:prstGeom>
                                <a:noFill/>
                                <a:ln w="15875" cap="flat" cmpd="sng">
                                  <a:solidFill>
                                    <a:srgbClr val="000000"/>
                                  </a:solidFill>
                                  <a:prstDash val="solid"/>
                                  <a:miter/>
                                  <a:headEnd type="none" w="med" len="med"/>
                                  <a:tailEnd type="none" w="med" len="med"/>
                                </a:ln>
                                <a:effectLst/>
                              </wps:spPr>
                              <wps:txb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设备安装</w:t>
                                    </w:r>
                                  </w:p>
                                  <w:p/>
                                </w:txbxContent>
                              </wps:txbx>
                              <wps:bodyPr anchor="ctr" anchorCtr="0" upright="1"/>
                            </wps:wsp>
                            <wps:wsp>
                              <wps:cNvPr id="77" name="直接箭头连接符 77"/>
                              <wps:cNvCnPr>
                                <a:stCxn id="76" idx="3"/>
                              </wps:cNvCnPr>
                              <wps:spPr>
                                <a:xfrm flipV="1">
                                  <a:off x="51756" y="29723"/>
                                  <a:ext cx="7648" cy="9"/>
                                </a:xfrm>
                                <a:prstGeom prst="straightConnector1">
                                  <a:avLst/>
                                </a:prstGeom>
                                <a:ln w="15875" cap="flat" cmpd="sng">
                                  <a:solidFill>
                                    <a:srgbClr val="000000"/>
                                  </a:solidFill>
                                  <a:prstDash val="solid"/>
                                  <a:headEnd type="none" w="med" len="med"/>
                                  <a:tailEnd type="triangle" w="lg" len="lg"/>
                                </a:ln>
                                <a:effectLst/>
                              </wps:spPr>
                              <wps:bodyPr/>
                            </wps:wsp>
                            <wps:wsp>
                              <wps:cNvPr id="78" name="矩形 78"/>
                              <wps:cNvSpPr/>
                              <wps:spPr>
                                <a:xfrm>
                                  <a:off x="7207" y="27568"/>
                                  <a:ext cx="11144" cy="4318"/>
                                </a:xfrm>
                                <a:prstGeom prst="rect">
                                  <a:avLst/>
                                </a:prstGeom>
                                <a:noFill/>
                                <a:ln w="15875" cap="flat" cmpd="sng">
                                  <a:solidFill>
                                    <a:srgbClr val="000000"/>
                                  </a:solidFill>
                                  <a:prstDash val="solid"/>
                                  <a:miter/>
                                  <a:headEnd type="none" w="med" len="med"/>
                                  <a:tailEnd type="none" w="med" len="med"/>
                                </a:ln>
                                <a:effectLst/>
                              </wps:spPr>
                              <wps:txb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场地平整</w:t>
                                    </w:r>
                                  </w:p>
                                </w:txbxContent>
                              </wps:txbx>
                              <wps:bodyPr anchor="ctr" anchorCtr="0" upright="1"/>
                            </wps:wsp>
                            <wps:wsp>
                              <wps:cNvPr id="79" name="直接箭头连接符 79"/>
                              <wps:cNvCnPr/>
                              <wps:spPr>
                                <a:xfrm rot="5400000">
                                  <a:off x="10072" y="34402"/>
                                  <a:ext cx="5032" cy="0"/>
                                </a:xfrm>
                                <a:prstGeom prst="straightConnector1">
                                  <a:avLst/>
                                </a:prstGeom>
                                <a:ln w="9525" cap="flat" cmpd="sng">
                                  <a:solidFill>
                                    <a:srgbClr val="000000"/>
                                  </a:solidFill>
                                  <a:prstDash val="dash"/>
                                  <a:headEnd type="none" w="med" len="med"/>
                                  <a:tailEnd type="triangle" w="lg" len="med"/>
                                </a:ln>
                                <a:effectLst/>
                              </wps:spPr>
                              <wps:bodyPr/>
                            </wps:wsp>
                            <wps:wsp>
                              <wps:cNvPr id="80" name="直接箭头连接符 80"/>
                              <wps:cNvCnPr/>
                              <wps:spPr>
                                <a:xfrm flipV="1">
                                  <a:off x="71215" y="29725"/>
                                  <a:ext cx="4034" cy="106"/>
                                </a:xfrm>
                                <a:prstGeom prst="straightConnector1">
                                  <a:avLst/>
                                </a:prstGeom>
                                <a:ln w="15875" cap="flat" cmpd="sng">
                                  <a:solidFill>
                                    <a:srgbClr val="000000"/>
                                  </a:solidFill>
                                  <a:prstDash val="solid"/>
                                  <a:headEnd type="none" w="med" len="med"/>
                                  <a:tailEnd type="triangle" w="lg" len="lg"/>
                                </a:ln>
                                <a:effectLst/>
                              </wps:spPr>
                              <wps:bodyPr/>
                            </wps:wsp>
                            <wps:wsp>
                              <wps:cNvPr id="81" name="直接箭头连接符 81"/>
                              <wps:cNvCnPr/>
                              <wps:spPr>
                                <a:xfrm rot="5400000">
                                  <a:off x="44521" y="34529"/>
                                  <a:ext cx="5032" cy="0"/>
                                </a:xfrm>
                                <a:prstGeom prst="straightConnector1">
                                  <a:avLst/>
                                </a:prstGeom>
                                <a:ln w="12700" cap="flat" cmpd="sng">
                                  <a:solidFill>
                                    <a:srgbClr val="000000"/>
                                  </a:solidFill>
                                  <a:prstDash val="dash"/>
                                  <a:headEnd type="none" w="med" len="med"/>
                                  <a:tailEnd type="triangle" w="lg" len="lg"/>
                                </a:ln>
                                <a:effectLst/>
                              </wps:spPr>
                              <wps:bodyPr/>
                            </wps:wsp>
                            <wps:wsp>
                              <wps:cNvPr id="82" name="直接箭头连接符 82"/>
                              <wps:cNvCnPr/>
                              <wps:spPr>
                                <a:xfrm rot="5400000">
                                  <a:off x="77970" y="34529"/>
                                  <a:ext cx="5032" cy="0"/>
                                </a:xfrm>
                                <a:prstGeom prst="straightConnector1">
                                  <a:avLst/>
                                </a:prstGeom>
                                <a:ln w="12700" cap="flat" cmpd="sng">
                                  <a:solidFill>
                                    <a:srgbClr val="000000"/>
                                  </a:solidFill>
                                  <a:prstDash val="dash"/>
                                  <a:headEnd type="none" w="med" len="med"/>
                                  <a:tailEnd type="triangle" w="lg" len="lg"/>
                                </a:ln>
                                <a:effectLst/>
                              </wps:spPr>
                              <wps:bodyPr/>
                            </wps:wsp>
                            <wps:wsp>
                              <wps:cNvPr id="83" name="矩形 83"/>
                              <wps:cNvSpPr/>
                              <wps:spPr>
                                <a:xfrm>
                                  <a:off x="7207" y="36918"/>
                                  <a:ext cx="11144" cy="4318"/>
                                </a:xfrm>
                                <a:prstGeom prst="rect">
                                  <a:avLst/>
                                </a:prstGeom>
                                <a:noFill/>
                                <a:ln w="12700" cap="flat" cmpd="sng">
                                  <a:solidFill>
                                    <a:srgbClr val="000000"/>
                                  </a:solidFill>
                                  <a:prstDash val="dash"/>
                                  <a:miter/>
                                  <a:headEnd type="none" w="med" len="med"/>
                                  <a:tailEnd type="none" w="med" len="med"/>
                                </a:ln>
                                <a:effectLst/>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wps:txbx>
                              <wps:bodyPr anchor="ctr" anchorCtr="0" upright="1"/>
                            </wps:wsp>
                            <wps:wsp>
                              <wps:cNvPr id="84" name="矩形 84"/>
                              <wps:cNvSpPr/>
                              <wps:spPr>
                                <a:xfrm>
                                  <a:off x="40719" y="37172"/>
                                  <a:ext cx="13113" cy="4318"/>
                                </a:xfrm>
                                <a:prstGeom prst="rect">
                                  <a:avLst/>
                                </a:prstGeom>
                                <a:noFill/>
                                <a:ln w="12700" cap="flat" cmpd="sng">
                                  <a:solidFill>
                                    <a:srgbClr val="000000"/>
                                  </a:solidFill>
                                  <a:prstDash val="dash"/>
                                  <a:miter/>
                                  <a:headEnd type="none" w="med" len="med"/>
                                  <a:tailEnd type="none" w="med" len="med"/>
                                </a:ln>
                                <a:effectLst/>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噪声</w:t>
                                    </w:r>
                                  </w:p>
                                </w:txbxContent>
                              </wps:txbx>
                              <wps:bodyPr anchor="ctr" anchorCtr="0" upright="1"/>
                            </wps:wsp>
                            <wps:wsp>
                              <wps:cNvPr id="85" name="矩形 85"/>
                              <wps:cNvSpPr/>
                              <wps:spPr>
                                <a:xfrm>
                                  <a:off x="41399" y="17728"/>
                                  <a:ext cx="11160" cy="4318"/>
                                </a:xfrm>
                                <a:prstGeom prst="rect">
                                  <a:avLst/>
                                </a:prstGeom>
                                <a:noFill/>
                                <a:ln w="12700" cap="flat" cmpd="sng">
                                  <a:solidFill>
                                    <a:srgbClr val="000000"/>
                                  </a:solidFill>
                                  <a:prstDash val="dash"/>
                                  <a:miter/>
                                  <a:headEnd type="none" w="med" len="med"/>
                                  <a:tailEnd type="none" w="med" len="med"/>
                                </a:ln>
                                <a:effectLst/>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扬尘、废水</w:t>
                                    </w:r>
                                  </w:p>
                                </w:txbxContent>
                              </wps:txbx>
                              <wps:bodyPr anchor="ctr" anchorCtr="0" upright="1"/>
                            </wps:wsp>
                            <wps:wsp>
                              <wps:cNvPr id="86" name="矩形 86"/>
                              <wps:cNvSpPr/>
                              <wps:spPr>
                                <a:xfrm>
                                  <a:off x="75342" y="37172"/>
                                  <a:ext cx="11160" cy="4318"/>
                                </a:xfrm>
                                <a:prstGeom prst="rect">
                                  <a:avLst/>
                                </a:prstGeom>
                                <a:noFill/>
                                <a:ln w="12700" cap="flat" cmpd="sng">
                                  <a:solidFill>
                                    <a:srgbClr val="000000"/>
                                  </a:solidFill>
                                  <a:prstDash val="dash"/>
                                  <a:miter/>
                                  <a:headEnd type="none" w="med" len="med"/>
                                  <a:tailEnd type="none" w="med" len="med"/>
                                </a:ln>
                                <a:effectLst/>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wps:txbx>
                              <wps:bodyPr anchor="ctr" anchorCtr="0" upright="1"/>
                            </wps:wsp>
                            <wps:wsp>
                              <wps:cNvPr id="87" name="直接箭头连接符 87"/>
                              <wps:cNvCnPr/>
                              <wps:spPr>
                                <a:xfrm rot="-5400000" flipV="1">
                                  <a:off x="44643" y="24565"/>
                                  <a:ext cx="5033" cy="0"/>
                                </a:xfrm>
                                <a:prstGeom prst="straightConnector1">
                                  <a:avLst/>
                                </a:prstGeom>
                                <a:ln w="12700" cap="flat" cmpd="sng">
                                  <a:solidFill>
                                    <a:srgbClr val="000000"/>
                                  </a:solidFill>
                                  <a:prstDash val="dash"/>
                                  <a:headEnd type="none" w="med" len="med"/>
                                  <a:tailEnd type="triangle" w="lg" len="lg"/>
                                </a:ln>
                                <a:effectLst/>
                              </wps:spPr>
                              <wps:bodyPr/>
                            </wps:wsp>
                            <wps:wsp>
                              <wps:cNvPr id="88" name="直接箭头连接符 88"/>
                              <wps:cNvCnPr/>
                              <wps:spPr>
                                <a:xfrm>
                                  <a:off x="17636" y="32129"/>
                                  <a:ext cx="20883" cy="5761"/>
                                </a:xfrm>
                                <a:prstGeom prst="straightConnector1">
                                  <a:avLst/>
                                </a:prstGeom>
                                <a:ln w="12700" cap="flat" cmpd="sng">
                                  <a:solidFill>
                                    <a:srgbClr val="000000"/>
                                  </a:solidFill>
                                  <a:prstDash val="dash"/>
                                  <a:headEnd type="none" w="med" len="med"/>
                                  <a:tailEnd type="triangle" w="lg" len="lg"/>
                                </a:ln>
                                <a:effectLst/>
                              </wps:spPr>
                              <wps:bodyPr/>
                            </wps:wsp>
                            <wps:wsp>
                              <wps:cNvPr id="89" name="直接箭头连接符 89"/>
                              <wps:cNvCnPr/>
                              <wps:spPr>
                                <a:xfrm>
                                  <a:off x="34198" y="32129"/>
                                  <a:ext cx="5761" cy="5041"/>
                                </a:xfrm>
                                <a:prstGeom prst="straightConnector1">
                                  <a:avLst/>
                                </a:prstGeom>
                                <a:ln w="12700" cap="flat" cmpd="sng">
                                  <a:solidFill>
                                    <a:srgbClr val="000000"/>
                                  </a:solidFill>
                                  <a:prstDash val="dash"/>
                                  <a:headEnd type="none" w="med" len="med"/>
                                  <a:tailEnd type="triangle" w="lg" len="lg"/>
                                </a:ln>
                                <a:effectLst/>
                              </wps:spPr>
                              <wps:bodyPr/>
                            </wps:wsp>
                            <wps:wsp>
                              <wps:cNvPr id="90" name="直接箭头连接符 90"/>
                              <wps:cNvCnPr/>
                              <wps:spPr>
                                <a:xfrm flipV="1">
                                  <a:off x="34198" y="22048"/>
                                  <a:ext cx="7201" cy="5041"/>
                                </a:xfrm>
                                <a:prstGeom prst="straightConnector1">
                                  <a:avLst/>
                                </a:prstGeom>
                                <a:ln w="12700" cap="flat" cmpd="sng">
                                  <a:solidFill>
                                    <a:srgbClr val="000000"/>
                                  </a:solidFill>
                                  <a:prstDash val="dash"/>
                                  <a:headEnd type="none" w="med" len="med"/>
                                  <a:tailEnd type="triangle" w="lg" len="lg"/>
                                </a:ln>
                                <a:effectLst/>
                              </wps:spPr>
                              <wps:bodyPr/>
                            </wps:wsp>
                            <wps:wsp>
                              <wps:cNvPr id="91" name="直接箭头连接符 91"/>
                              <wps:cNvCnPr/>
                              <wps:spPr>
                                <a:xfrm flipH="1">
                                  <a:off x="54360" y="32129"/>
                                  <a:ext cx="5041" cy="5041"/>
                                </a:xfrm>
                                <a:prstGeom prst="straightConnector1">
                                  <a:avLst/>
                                </a:prstGeom>
                                <a:ln w="12700" cap="flat" cmpd="sng">
                                  <a:solidFill>
                                    <a:srgbClr val="000000"/>
                                  </a:solidFill>
                                  <a:prstDash val="dash"/>
                                  <a:headEnd type="none" w="med" len="med"/>
                                  <a:tailEnd type="triangle" w="lg" len="lg"/>
                                </a:ln>
                                <a:effectLst/>
                              </wps:spPr>
                              <wps:bodyPr/>
                            </wps:wsp>
                            <wps:wsp>
                              <wps:cNvPr id="92" name="直接箭头连接符 92"/>
                              <wps:cNvCnPr/>
                              <wps:spPr>
                                <a:xfrm flipH="1" flipV="1">
                                  <a:off x="53640" y="22048"/>
                                  <a:ext cx="5761" cy="5041"/>
                                </a:xfrm>
                                <a:prstGeom prst="straightConnector1">
                                  <a:avLst/>
                                </a:prstGeom>
                                <a:ln w="12700" cap="flat" cmpd="sng">
                                  <a:solidFill>
                                    <a:srgbClr val="000000"/>
                                  </a:solidFill>
                                  <a:prstDash val="dash"/>
                                  <a:headEnd type="none" w="med" len="med"/>
                                  <a:tailEnd type="triangle" w="lg" len="lg"/>
                                </a:ln>
                                <a:effectLst/>
                              </wps:spPr>
                              <wps:bodyPr/>
                            </wps:wsp>
                            <wps:wsp>
                              <wps:cNvPr id="93" name="直接箭头连接符 93"/>
                              <wps:cNvCnPr/>
                              <wps:spPr>
                                <a:xfrm flipV="1">
                                  <a:off x="18356" y="19888"/>
                                  <a:ext cx="22323" cy="7201"/>
                                </a:xfrm>
                                <a:prstGeom prst="straightConnector1">
                                  <a:avLst/>
                                </a:prstGeom>
                                <a:ln w="12700" cap="flat" cmpd="sng">
                                  <a:solidFill>
                                    <a:srgbClr val="000000"/>
                                  </a:solidFill>
                                  <a:prstDash val="dash"/>
                                  <a:headEnd type="none" w="med" len="med"/>
                                  <a:tailEnd type="triangle" w="lg" len="lg"/>
                                </a:ln>
                                <a:effectLst/>
                              </wps:spPr>
                              <wps:bodyPr/>
                            </wps:wsp>
                            <wps:wsp>
                              <wps:cNvPr id="94" name="直接箭头连接符 94"/>
                              <wps:cNvCnPr/>
                              <wps:spPr>
                                <a:xfrm flipH="1" flipV="1">
                                  <a:off x="53069" y="19745"/>
                                  <a:ext cx="22318" cy="7200"/>
                                </a:xfrm>
                                <a:prstGeom prst="straightConnector1">
                                  <a:avLst/>
                                </a:prstGeom>
                                <a:ln w="12700" cap="flat" cmpd="sng">
                                  <a:solidFill>
                                    <a:srgbClr val="000000"/>
                                  </a:solidFill>
                                  <a:prstDash val="dash"/>
                                  <a:headEnd type="none" w="med" len="med"/>
                                  <a:tailEnd type="triangle" w="lg" len="lg"/>
                                </a:ln>
                                <a:effectLst/>
                              </wps:spPr>
                              <wps:bodyPr/>
                            </wps:wsp>
                            <wps:wsp>
                              <wps:cNvPr id="95" name="直接箭头连接符 95"/>
                              <wps:cNvCnPr/>
                              <wps:spPr>
                                <a:xfrm flipH="1">
                                  <a:off x="54360" y="32129"/>
                                  <a:ext cx="21603" cy="7921"/>
                                </a:xfrm>
                                <a:prstGeom prst="straightConnector1">
                                  <a:avLst/>
                                </a:prstGeom>
                                <a:ln w="12700" cap="flat" cmpd="sng">
                                  <a:solidFill>
                                    <a:srgbClr val="000000"/>
                                  </a:solidFill>
                                  <a:prstDash val="dash"/>
                                  <a:headEnd type="none" w="med" len="med"/>
                                  <a:tailEnd type="triangle" w="lg" len="lg"/>
                                </a:ln>
                                <a:effectLst/>
                              </wps:spPr>
                              <wps:bodyPr/>
                            </wps:wsp>
                          </wpg:wgp>
                        </a:graphicData>
                      </a:graphic>
                    </wp:inline>
                  </w:drawing>
                </mc:Choice>
                <mc:Fallback>
                  <w:pict>
                    <v:group id="组合 2" o:spid="_x0000_s1026" o:spt="203" style="height:123.1pt;width:401.8pt;" coordorigin="7207,17728" coordsize="79453,23762" o:gfxdata="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v7QnedYAAAAFAQAADwAAAAAAAAABACAAAAAi&#10;AAAAZHJzL2Rvd25yZXYueG1sUEsBAhQAFAAAAAgAh07iQMRPqO25BgAAbjsAAA4AAAAAAAAAAQAg&#10;AAAAJQEAAGRycy9lMm9Eb2MueG1sUEsFBgAAAAAGAAYAWQEAAFAKAAAAAA==&#10;">
                      <o:lock v:ext="edit" aspectratio="f"/>
                      <v:rect id="_x0000_s1026" o:spid="_x0000_s1026" o:spt="1" style="position:absolute;left:24114;top:27568;height:4318;width:12997;v-text-anchor:middle;" filled="f" stroked="t" coordsize="21600,21600" o:gfxdata="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yqV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主体工程施工</w:t>
                              </w:r>
                            </w:p>
                            <w:p/>
                          </w:txbxContent>
                        </v:textbox>
                      </v:rect>
                      <v:shape id="_x0000_s1026" o:spid="_x0000_s1026" o:spt="32" type="#_x0000_t32" style="position:absolute;left:37111;top:29723;flip:y;height:9;width:3210;" filled="f" stroked="t" coordsize="21600,21600" o:gfxdata="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TWx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75249;top:27573;height:4314;width:11411;v-text-anchor:middle;" filled="f" stroked="t" coordsize="21600,21600" o:gfxdata="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F5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现场清理</w:t>
                              </w:r>
                            </w:p>
                          </w:txbxContent>
                        </v:textbox>
                      </v:rect>
                      <v:shape id="_x0000_s1026" o:spid="_x0000_s1026" o:spt="32" type="#_x0000_t32" style="position:absolute;left:18351;top:29727;height:0;width:5199;" filled="f" stroked="t" coordsize="21600,21600" o:gfxdata="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R/t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59408;top:27573;height:4314;width:11263;v-text-anchor:middle;" filled="f" stroked="t" coordsize="21600,21600" o:gfxdata="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CyW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表面修整</w:t>
                              </w:r>
                            </w:p>
                          </w:txbxContent>
                        </v:textbox>
                      </v:rect>
                      <v:rect id="_x0000_s1026" o:spid="_x0000_s1026" o:spt="1" style="position:absolute;left:40322;top:27568;height:4318;width:11438;v-text-anchor:middle;" filled="f" stroked="t" coordsize="21600,21600" o:gfxdata="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KsuG8AAAA&#10;2w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设备安装</w:t>
                              </w:r>
                            </w:p>
                            <w:p/>
                          </w:txbxContent>
                        </v:textbox>
                      </v:rect>
                      <v:shape id="_x0000_s1026" o:spid="_x0000_s1026" o:spt="32" type="#_x0000_t32" style="position:absolute;left:51756;top:29723;flip:y;height:9;width:7648;" filled="f" stroked="t" coordsize="21600,21600" o:gfxdata="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pYp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7207;top:27568;height:4318;width:11144;v-text-anchor:middle;" filled="f" stroked="t" coordsize="21600,21600" o:gfxdata="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mDCLsAAADb&#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场地平整</w:t>
                              </w:r>
                            </w:p>
                          </w:txbxContent>
                        </v:textbox>
                      </v:rect>
                      <v:shape id="_x0000_s1026" o:spid="_x0000_s1026" o:spt="32" type="#_x0000_t32" style="position:absolute;left:10072;top:34402;height:0;width:5032;rotation:5898240f;" filled="f" stroked="t" coordsize="21600,21600" o:gfxdata="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Wc2a8AAAA&#10;2wAAAA8AAAAAAAAAAQAgAAAAIgAAAGRycy9kb3ducmV2LnhtbFBLAQIUABQAAAAIAIdO4kAzLwWe&#10;OwAAADkAAAAQAAAAAAAAAAEAIAAAAAsBAABkcnMvc2hhcGV4bWwueG1sUEsFBgAAAAAGAAYAWwEA&#10;ALUDAAAAAA==&#10;">
                        <v:fill on="f" focussize="0,0"/>
                        <v:stroke color="#000000" joinstyle="round" dashstyle="dash" endarrow="block" endarrowwidth="wide"/>
                        <v:imagedata o:title=""/>
                        <o:lock v:ext="edit" aspectratio="f"/>
                      </v:shape>
                      <v:shape id="_x0000_s1026" o:spid="_x0000_s1026" o:spt="32" type="#_x0000_t32" style="position:absolute;left:71215;top:29725;flip:y;height:106;width:4034;" filled="f" stroked="t" coordsize="21600,21600" o:gfxdata="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Ofnq5AAAA2wAA&#10;AA8AAAAAAAAAAQAgAAAAIgAAAGRycy9kb3ducmV2LnhtbFBLAQIUABQAAAAIAIdO4kAzLwWeOwAA&#10;ADkAAAAQAAAAAAAAAAEAIAAAAAgBAABkcnMvc2hhcGV4bWwueG1sUEsFBgAAAAAGAAYAWwEAALID&#10;AAAAAA==&#10;">
                        <v:fill on="f" focussize="0,0"/>
                        <v:stroke weight="1.25pt" color="#000000" joinstyle="round" endarrow="block" endarrowwidth="wide" endarrowlength="long"/>
                        <v:imagedata o:title=""/>
                        <o:lock v:ext="edit" aspectratio="f"/>
                      </v:shape>
                      <v:shape id="_x0000_s1026" o:spid="_x0000_s1026" o:spt="32" type="#_x0000_t32" style="position:absolute;left:44521;top:34529;height:0;width:5032;rotation:5898240f;" filled="f" stroked="t" coordsize="21600,21600" o:gfxdata="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KWm5AAAA2wAA&#10;AA8AAAAAAAAAAQAgAAAAIgAAAGRycy9kb3ducmV2LnhtbFBLAQIUABQAAAAIAIdO4kAzLwWeOwAA&#10;ADkAAAAQAAAAAAAAAAEAIAAAAAgBAABkcnMvc2hhcGV4bWwueG1sUEsFBgAAAAAGAAYAWwEAALID&#10;A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77970;top:34529;height:0;width:5032;rotation:5898240f;" filled="f" stroked="t" coordsize="21600,21600" o:gfxdata="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ltx65AAAA2wAA&#10;AA8AAAAAAAAAAQAgAAAAIgAAAGRycy9kb3ducmV2LnhtbFBLAQIUABQAAAAIAIdO4kAzLwWeOwAA&#10;ADkAAAAQAAAAAAAAAAEAIAAAAAgBAABkcnMvc2hhcGV4bWwueG1sUEsFBgAAAAAGAAYAWwEAALID&#10;AAAAAA==&#10;">
                        <v:fill on="f" focussize="0,0"/>
                        <v:stroke weight="1pt" color="#000000" joinstyle="round" dashstyle="dash" endarrow="block" endarrowwidth="wide" endarrowlength="long"/>
                        <v:imagedata o:title=""/>
                        <o:lock v:ext="edit" aspectratio="f"/>
                      </v:shape>
                      <v:rect id="_x0000_s1026" o:spid="_x0000_s1026" o:spt="1" style="position:absolute;left:7207;top:36918;height:4318;width:11144;v-text-anchor:middle;" filled="f" stroked="t" coordsize="21600,21600" o:gfxdata="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840G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v:textbox>
                      </v:rect>
                      <v:rect id="_x0000_s1026" o:spid="_x0000_s1026" o:spt="1" style="position:absolute;left:40719;top:37172;height:4318;width:13113;v-text-anchor:middle;" filled="f" stroked="t" coordsize="21600,21600" o:gfxdata="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VezW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噪声</w:t>
                              </w:r>
                            </w:p>
                          </w:txbxContent>
                        </v:textbox>
                      </v:rect>
                      <v:rect id="_x0000_s1026" o:spid="_x0000_s1026" o:spt="1" style="position:absolute;left:41399;top:17728;height:4318;width:11160;v-text-anchor:middle;" filled="f" stroked="t" coordsize="21600,21600" o:gfxdata="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Z3q6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扬尘、废水</w:t>
                              </w:r>
                            </w:p>
                          </w:txbxContent>
                        </v:textbox>
                      </v:rect>
                      <v:rect id="_x0000_s1026" o:spid="_x0000_s1026" o:spt="1" style="position:absolute;left:75342;top:37172;height:4318;width:11160;v-text-anchor:middle;" filled="f" stroked="t" coordsize="21600,21600" o:gfxdata="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LQNm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v:textbox>
                      </v:rect>
                      <v:shape id="_x0000_s1026" o:spid="_x0000_s1026" o:spt="32" type="#_x0000_t32" style="position:absolute;left:44643;top:24565;flip:y;height:0;width:5033;rotation:5898240f;" filled="f" stroked="t" coordsize="21600,21600" o:gfxdata="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rWIL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17636;top:32129;height:5761;width:20883;" filled="f" stroked="t" coordsize="21600,21600" o:gfxdata="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7fb7sAAADb&#10;AAAADwAAAAAAAAABACAAAAAiAAAAZHJzL2Rvd25yZXYueG1sUEsBAhQAFAAAAAgAh07iQDMvBZ47&#10;AAAAOQAAABAAAAAAAAAAAQAgAAAACgEAAGRycy9zaGFwZXhtbC54bWxQSwUGAAAAAAYABgBbAQAA&#10;tA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34198;top:32129;height:5041;width:5761;" filled="f" stroked="t" coordsize="21600,21600" o:gfxdata="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nr0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34198;top:22048;flip:y;height:5041;width:7201;" filled="f" stroked="t" coordsize="21600,21600" o:gfxdata="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uC+bsAAADb&#10;AAAADwAAAAAAAAABACAAAAAiAAAAZHJzL2Rvd25yZXYueG1sUEsBAhQAFAAAAAgAh07iQDMvBZ47&#10;AAAAOQAAABAAAAAAAAAAAQAgAAAACgEAAGRycy9zaGFwZXhtbC54bWxQSwUGAAAAAAYABgBbAQAA&#10;tA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4360;top:32129;flip:x;height:5041;width:5041;" filled="f" stroked="t" coordsize="21600,21600" o:gfxdata="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cnYr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3640;top:22048;flip:x y;height:5041;width:5761;" filled="f" stroked="t" coordsize="21600,21600" o:gfxdata="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Peq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18356;top:19888;flip:y;height:7201;width:22323;" filled="f" stroked="t" coordsize="21600,21600" o:gfxdata="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kcjr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3069;top:19745;flip:x y;height:7200;width:22318;" filled="f" stroked="t" coordsize="21600,21600" o:gfxdata="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cpF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4360;top:32129;flip:x;height:7921;width:21603;" filled="f" stroked="t" coordsize="21600,21600" o:gfxdata="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whYb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w10:wrap type="none"/>
                      <w10:anchorlock/>
                    </v:group>
                  </w:pict>
                </mc:Fallback>
              </mc:AlternateContent>
            </w:r>
          </w:p>
          <w:p>
            <w:pPr>
              <w:pStyle w:val="62"/>
              <w:numPr>
                <w:ilvl w:val="0"/>
                <w:numId w:val="8"/>
              </w:numPr>
              <w:adjustRightInd w:val="0"/>
              <w:snapToGrid w:val="0"/>
              <w:ind w:left="0" w:firstLine="0" w:firstLineChars="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施工期工艺流程图</w:t>
            </w:r>
          </w:p>
          <w:p>
            <w:pPr>
              <w:pStyle w:val="7"/>
              <w:numPr>
                <w:ilvl w:val="0"/>
                <w:numId w:val="9"/>
              </w:numPr>
              <w:spacing w:after="0"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运营期</w:t>
            </w:r>
          </w:p>
          <w:p>
            <w:pPr>
              <w:snapToGrid w:val="0"/>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食品加工生产线</w:t>
            </w:r>
            <w:r>
              <w:rPr>
                <w:rFonts w:hint="default" w:ascii="Times New Roman" w:hAnsi="Times New Roman" w:eastAsia="宋体" w:cs="Times New Roman"/>
                <w:b/>
                <w:bCs/>
                <w:color w:val="auto"/>
                <w:sz w:val="24"/>
                <w:szCs w:val="24"/>
                <w:highlight w:val="none"/>
                <w:lang w:eastAsia="zh-CN"/>
              </w:rPr>
              <w:t>工艺简要说明</w:t>
            </w:r>
            <w:r>
              <w:rPr>
                <w:rFonts w:hint="eastAsia" w:ascii="Times New Roman" w:hAnsi="Times New Roman" w:eastAsia="宋体" w:cs="Times New Roman"/>
                <w:b/>
                <w:bCs/>
                <w:color w:val="auto"/>
                <w:sz w:val="24"/>
                <w:szCs w:val="24"/>
                <w:highlight w:val="none"/>
                <w:lang w:val="en-US" w:eastAsia="zh-CN"/>
              </w:rPr>
              <w:t>：</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（1）挑选：外购的原料肉放在恒温库内储存，生产时首先对原料肉进行人工挑选。</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（2）清洗：经过挑拣原料肉放在解冻桶里化冰，接着再进行清洗。</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（3）卤制：把清洗好的原料肉放入卤锅内，加入适量的调味料和水进行高温蒸煮。卤锅的热源由生物质锅炉锅炉提供。</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（4）冷却：原料肉卤制完成后，用风扇冷却。</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（5）调味：冷却后的原料肉根据不同口味需求进行调味。</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（6）包装：将已冷却的卤制品用真空包装机自动包装成袋。</w:t>
            </w:r>
          </w:p>
          <w:p>
            <w:pPr>
              <w:snapToGrid w:val="0"/>
              <w:spacing w:line="36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drawing>
                <wp:inline distT="0" distB="0" distL="114300" distR="114300">
                  <wp:extent cx="3846195" cy="2366010"/>
                  <wp:effectExtent l="0" t="0" r="1905" b="15240"/>
                  <wp:docPr id="27" name="F360BE8B-6686-4F3D-AEAF-501FE73E4058-1"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360BE8B-6686-4F3D-AEAF-501FE73E4058-1" descr="绘图1"/>
                          <pic:cNvPicPr>
                            <a:picLocks noChangeAspect="1"/>
                          </pic:cNvPicPr>
                        </pic:nvPicPr>
                        <pic:blipFill>
                          <a:blip r:embed="rId12"/>
                          <a:stretch>
                            <a:fillRect/>
                          </a:stretch>
                        </pic:blipFill>
                        <pic:spPr>
                          <a:xfrm>
                            <a:off x="0" y="0"/>
                            <a:ext cx="3846195" cy="2366010"/>
                          </a:xfrm>
                          <a:prstGeom prst="rect">
                            <a:avLst/>
                          </a:prstGeom>
                        </pic:spPr>
                      </pic:pic>
                    </a:graphicData>
                  </a:graphic>
                </wp:inline>
              </w:drawing>
            </w:r>
          </w:p>
          <w:p>
            <w:pPr>
              <w:pStyle w:val="62"/>
              <w:numPr>
                <w:ilvl w:val="0"/>
                <w:numId w:val="8"/>
              </w:numPr>
              <w:adjustRightInd w:val="0"/>
              <w:snapToGrid w:val="0"/>
              <w:ind w:left="0" w:firstLine="0" w:firstLineChars="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食品加工生产工艺流程图</w:t>
            </w:r>
          </w:p>
          <w:p>
            <w:pPr>
              <w:snapToGrid w:val="0"/>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宠物粮生产线</w:t>
            </w:r>
            <w:r>
              <w:rPr>
                <w:rFonts w:hint="default" w:ascii="Times New Roman" w:hAnsi="Times New Roman" w:eastAsia="宋体" w:cs="Times New Roman"/>
                <w:b/>
                <w:bCs/>
                <w:color w:val="auto"/>
                <w:sz w:val="24"/>
                <w:szCs w:val="24"/>
                <w:highlight w:val="none"/>
                <w:lang w:eastAsia="zh-CN"/>
              </w:rPr>
              <w:t>工艺简要说明</w:t>
            </w:r>
            <w:r>
              <w:rPr>
                <w:rFonts w:hint="eastAsia" w:ascii="Times New Roman" w:hAnsi="Times New Roman" w:eastAsia="宋体" w:cs="Times New Roman"/>
                <w:b/>
                <w:bCs/>
                <w:color w:val="auto"/>
                <w:sz w:val="24"/>
                <w:szCs w:val="24"/>
                <w:highlight w:val="none"/>
                <w:lang w:val="en-US" w:eastAsia="zh-CN"/>
              </w:rPr>
              <w:t>：</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（1）挑选：外购的</w:t>
            </w:r>
            <w:r>
              <w:rPr>
                <w:rFonts w:hint="eastAsia" w:ascii="Times New Roman" w:hAnsi="Times New Roman" w:cs="Times New Roman"/>
                <w:color w:val="auto"/>
                <w:sz w:val="24"/>
                <w:lang w:val="en-US" w:eastAsia="zh-CN"/>
              </w:rPr>
              <w:t>碎肉</w:t>
            </w:r>
            <w:r>
              <w:rPr>
                <w:rFonts w:hint="default" w:ascii="Times New Roman" w:hAnsi="Times New Roman" w:cs="Times New Roman"/>
                <w:color w:val="auto"/>
                <w:sz w:val="24"/>
                <w:lang w:val="en-US" w:eastAsia="zh-CN"/>
              </w:rPr>
              <w:t>放在恒温库内储存，生产时首先对原料肉进行人工挑选。</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（2）清洗：经过挑拣</w:t>
            </w:r>
            <w:r>
              <w:rPr>
                <w:rFonts w:hint="eastAsia" w:ascii="Times New Roman" w:hAnsi="Times New Roman" w:cs="Times New Roman"/>
                <w:color w:val="auto"/>
                <w:sz w:val="24"/>
                <w:lang w:val="en-US" w:eastAsia="zh-CN"/>
              </w:rPr>
              <w:t>碎肉</w:t>
            </w:r>
            <w:r>
              <w:rPr>
                <w:rFonts w:hint="default" w:ascii="Times New Roman" w:hAnsi="Times New Roman" w:cs="Times New Roman"/>
                <w:color w:val="auto"/>
                <w:sz w:val="24"/>
                <w:lang w:val="en-US" w:eastAsia="zh-CN"/>
              </w:rPr>
              <w:t>放在解冻桶里化冰，接着再进行清洗。</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（3）卤制：把清洗好的原料肉放入卤锅内，加入适量的调味料和水进行高温蒸煮。卤锅的热源由生物质锅炉锅炉提供。</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（4）冷却：原料肉卤制完成后，用风扇冷却。</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（5）调味：冷却后的原料肉根据不同口味需求进行调味。</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（6）</w:t>
            </w:r>
            <w:r>
              <w:rPr>
                <w:rFonts w:hint="eastAsia" w:ascii="Times New Roman" w:hAnsi="Times New Roman" w:cs="Times New Roman"/>
                <w:color w:val="auto"/>
                <w:sz w:val="24"/>
                <w:lang w:val="en-US" w:eastAsia="zh-CN"/>
              </w:rPr>
              <w:t>冻干：调制好的宠物粮经冻干机进行冻干。</w:t>
            </w:r>
          </w:p>
          <w:p>
            <w:pPr>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lang w:val="en-US" w:eastAsia="zh-CN"/>
              </w:rPr>
              <w:t>包装：</w:t>
            </w:r>
            <w:r>
              <w:rPr>
                <w:rFonts w:hint="eastAsia" w:ascii="Times New Roman" w:hAnsi="Times New Roman" w:cs="Times New Roman"/>
                <w:color w:val="auto"/>
                <w:sz w:val="24"/>
                <w:lang w:val="en-US" w:eastAsia="zh-CN"/>
              </w:rPr>
              <w:t>冻干后的宠物粮采用</w:t>
            </w:r>
            <w:r>
              <w:rPr>
                <w:rFonts w:hint="default" w:ascii="Times New Roman" w:hAnsi="Times New Roman" w:cs="Times New Roman"/>
                <w:color w:val="auto"/>
                <w:sz w:val="24"/>
                <w:lang w:val="en-US" w:eastAsia="zh-CN"/>
              </w:rPr>
              <w:t>自动包装成袋</w:t>
            </w:r>
            <w:r>
              <w:rPr>
                <w:rFonts w:hint="eastAsia" w:ascii="Times New Roman" w:hAnsi="Times New Roman" w:cs="Times New Roman"/>
                <w:color w:val="auto"/>
                <w:sz w:val="24"/>
                <w:lang w:val="en-US" w:eastAsia="zh-CN"/>
              </w:rPr>
              <w:t>。</w:t>
            </w:r>
          </w:p>
          <w:p>
            <w:pPr>
              <w:snapToGrid w:val="0"/>
              <w:spacing w:line="360" w:lineRule="auto"/>
              <w:ind w:firstLine="480" w:firstLineChars="200"/>
              <w:rPr>
                <w:rFonts w:hint="eastAsia" w:ascii="Times New Roman" w:hAnsi="Times New Roman" w:cs="Times New Roman"/>
                <w:color w:val="auto"/>
                <w:sz w:val="24"/>
                <w:lang w:val="en-US" w:eastAsia="zh-CN"/>
              </w:rPr>
            </w:pPr>
          </w:p>
          <w:p>
            <w:pPr>
              <w:snapToGrid w:val="0"/>
              <w:spacing w:line="360" w:lineRule="auto"/>
              <w:ind w:firstLine="480" w:firstLineChars="200"/>
              <w:rPr>
                <w:rFonts w:hint="eastAsia" w:ascii="Times New Roman" w:hAnsi="Times New Roman" w:cs="Times New Roman"/>
                <w:color w:val="auto"/>
                <w:sz w:val="24"/>
                <w:lang w:val="en-US" w:eastAsia="zh-CN"/>
              </w:rPr>
            </w:pPr>
          </w:p>
          <w:p>
            <w:pPr>
              <w:snapToGrid w:val="0"/>
              <w:spacing w:line="360" w:lineRule="auto"/>
              <w:ind w:firstLine="480" w:firstLineChars="200"/>
              <w:rPr>
                <w:rFonts w:hint="eastAsia" w:ascii="Times New Roman" w:hAnsi="Times New Roman" w:cs="Times New Roman"/>
                <w:color w:val="auto"/>
                <w:sz w:val="24"/>
                <w:lang w:val="en-US" w:eastAsia="zh-CN"/>
              </w:rPr>
            </w:pPr>
          </w:p>
          <w:p>
            <w:pPr>
              <w:snapToGrid w:val="0"/>
              <w:spacing w:line="360" w:lineRule="auto"/>
              <w:ind w:firstLine="480" w:firstLineChars="200"/>
              <w:rPr>
                <w:rFonts w:hint="eastAsia" w:ascii="Times New Roman" w:hAnsi="Times New Roman" w:cs="Times New Roman"/>
                <w:color w:val="auto"/>
                <w:sz w:val="24"/>
                <w:lang w:val="en-US" w:eastAsia="zh-CN"/>
              </w:rPr>
            </w:pPr>
          </w:p>
          <w:p>
            <w:pPr>
              <w:snapToGrid w:val="0"/>
              <w:spacing w:line="360" w:lineRule="auto"/>
              <w:ind w:firstLine="480" w:firstLineChars="200"/>
              <w:rPr>
                <w:rFonts w:hint="eastAsia" w:ascii="Times New Roman" w:hAnsi="Times New Roman" w:cs="Times New Roman"/>
                <w:color w:val="auto"/>
                <w:sz w:val="24"/>
                <w:lang w:val="en-US" w:eastAsia="zh-CN"/>
              </w:rPr>
            </w:pPr>
          </w:p>
          <w:p>
            <w:pPr>
              <w:snapToGrid w:val="0"/>
              <w:spacing w:line="360" w:lineRule="auto"/>
              <w:ind w:firstLine="480" w:firstLineChars="200"/>
              <w:rPr>
                <w:rFonts w:hint="eastAsia" w:ascii="Times New Roman" w:hAnsi="Times New Roman" w:cs="Times New Roman"/>
                <w:color w:val="auto"/>
                <w:sz w:val="24"/>
                <w:lang w:val="en-US" w:eastAsia="zh-CN"/>
              </w:rPr>
            </w:pPr>
          </w:p>
          <w:p>
            <w:pPr>
              <w:snapToGrid w:val="0"/>
              <w:spacing w:line="360" w:lineRule="auto"/>
              <w:ind w:firstLine="480" w:firstLineChars="200"/>
              <w:rPr>
                <w:rFonts w:hint="eastAsia" w:ascii="Times New Roman" w:hAnsi="Times New Roman" w:cs="Times New Roman"/>
                <w:color w:val="auto"/>
                <w:sz w:val="24"/>
                <w:lang w:val="en-US" w:eastAsia="zh-CN"/>
              </w:rPr>
            </w:pPr>
          </w:p>
          <w:p>
            <w:pPr>
              <w:snapToGrid w:val="0"/>
              <w:spacing w:line="360" w:lineRule="auto"/>
              <w:ind w:firstLine="480" w:firstLineChars="200"/>
              <w:rPr>
                <w:rFonts w:hint="eastAsia" w:ascii="Times New Roman" w:hAnsi="Times New Roman" w:cs="Times New Roman"/>
                <w:color w:val="auto"/>
                <w:sz w:val="24"/>
                <w:lang w:val="en-US" w:eastAsia="zh-CN"/>
              </w:rPr>
            </w:pPr>
          </w:p>
          <w:p>
            <w:pPr>
              <w:snapToGrid w:val="0"/>
              <w:spacing w:line="360" w:lineRule="auto"/>
              <w:ind w:firstLine="480" w:firstLineChars="200"/>
              <w:rPr>
                <w:rFonts w:hint="eastAsia" w:ascii="Times New Roman" w:hAnsi="Times New Roman" w:cs="Times New Roman"/>
                <w:color w:val="auto"/>
                <w:sz w:val="24"/>
                <w:lang w:val="en-US" w:eastAsia="zh-CN"/>
              </w:rPr>
            </w:pPr>
          </w:p>
          <w:p>
            <w:pPr>
              <w:snapToGrid w:val="0"/>
              <w:spacing w:line="360" w:lineRule="auto"/>
              <w:ind w:firstLine="482" w:firstLineChars="200"/>
              <w:rPr>
                <w:rFonts w:hint="default" w:ascii="Times New Roman" w:hAnsi="Times New Roman" w:eastAsia="宋体" w:cs="Times New Roman"/>
                <w:b/>
                <w:bCs/>
                <w:color w:val="auto"/>
                <w:sz w:val="24"/>
                <w:szCs w:val="24"/>
                <w:highlight w:val="yellow"/>
                <w:lang w:val="en-US" w:eastAsia="zh-CN"/>
              </w:rPr>
            </w:pPr>
          </w:p>
          <w:p>
            <w:pPr>
              <w:snapToGrid w:val="0"/>
              <w:spacing w:line="360" w:lineRule="auto"/>
              <w:ind w:firstLine="480" w:firstLineChars="20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drawing>
                <wp:inline distT="0" distB="0" distL="114300" distR="114300">
                  <wp:extent cx="3781425" cy="2832735"/>
                  <wp:effectExtent l="0" t="0" r="9525" b="5715"/>
                  <wp:docPr id="28" name="F360BE8B-6686-4F3D-AEAF-501FE73E4058-2" descr="C:/Users/56997/AppData/Local/Temp/绘图1(1).png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360BE8B-6686-4F3D-AEAF-501FE73E4058-2" descr="C:/Users/56997/AppData/Local/Temp/绘图1(1).png绘图1(1)"/>
                          <pic:cNvPicPr>
                            <a:picLocks noChangeAspect="1"/>
                          </pic:cNvPicPr>
                        </pic:nvPicPr>
                        <pic:blipFill>
                          <a:blip r:embed="rId13"/>
                          <a:stretch>
                            <a:fillRect/>
                          </a:stretch>
                        </pic:blipFill>
                        <pic:spPr>
                          <a:xfrm>
                            <a:off x="0" y="0"/>
                            <a:ext cx="3781425" cy="2832735"/>
                          </a:xfrm>
                          <a:prstGeom prst="rect">
                            <a:avLst/>
                          </a:prstGeom>
                        </pic:spPr>
                      </pic:pic>
                    </a:graphicData>
                  </a:graphic>
                </wp:inline>
              </w:drawing>
            </w:r>
          </w:p>
          <w:p>
            <w:pPr>
              <w:pStyle w:val="62"/>
              <w:numPr>
                <w:ilvl w:val="0"/>
                <w:numId w:val="8"/>
              </w:numPr>
              <w:adjustRightInd w:val="0"/>
              <w:snapToGrid w:val="0"/>
              <w:ind w:left="0" w:firstLine="0" w:firstLineChars="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宠物粮生产工艺流程图</w:t>
            </w:r>
          </w:p>
          <w:p>
            <w:pPr>
              <w:snapToGrid w:val="0"/>
              <w:spacing w:line="360" w:lineRule="auto"/>
              <w:ind w:firstLine="482"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生物质锅炉工艺简要说明：</w:t>
            </w:r>
          </w:p>
          <w:p>
            <w:pPr>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燃烧系统：燃料被螺旋给料机送入炉膛，在此处由于高温烟气和一次风的作用逐步预热，干燥、着火、燃烧，此过程中析出大量挥发分，燃烧剧烈。当炉膛内温度达到其挥发分的析出温度时，在给风的条件下启动点火器燃料就能够迅速着火燃烧。燃烧后的烟气通过炉膛进入对流烟道进行换热，然后进入除尘器进行净化处理，最后排出完成整个燃烧和传热过程。</w:t>
            </w:r>
          </w:p>
          <w:p>
            <w:pPr>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（2）软化水处理系统：采用</w:t>
            </w:r>
            <w:r>
              <w:rPr>
                <w:rFonts w:hint="eastAsia" w:ascii="Times New Roman" w:hAnsi="Times New Roman" w:eastAsia="宋体" w:cs="Times New Roman"/>
                <w:color w:val="auto"/>
                <w:sz w:val="24"/>
                <w:szCs w:val="24"/>
                <w:lang w:val="en-US" w:eastAsia="zh-CN"/>
              </w:rPr>
              <w:t>离子交换树脂</w:t>
            </w:r>
            <w:r>
              <w:rPr>
                <w:rFonts w:hint="default" w:ascii="Times New Roman" w:hAnsi="Times New Roman" w:eastAsia="宋体" w:cs="Times New Roman"/>
                <w:color w:val="auto"/>
                <w:sz w:val="24"/>
                <w:szCs w:val="24"/>
                <w:lang w:eastAsia="zh-CN"/>
              </w:rPr>
              <w:t>对给水进行软化处理。</w:t>
            </w:r>
          </w:p>
          <w:p>
            <w:pPr>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本项目运营期主要流程及排污节点如下图：</w:t>
            </w:r>
          </w:p>
          <w:p>
            <w:pPr>
              <w:adjustRightInd w:val="0"/>
              <w:snapToGrid w:val="0"/>
              <w:jc w:val="center"/>
              <w:rPr>
                <w:rFonts w:hint="default" w:ascii="Times New Roman" w:hAnsi="Times New Roman" w:eastAsia="宋体" w:cs="Times New Roman"/>
                <w:color w:val="auto"/>
                <w:sz w:val="24"/>
              </w:rPr>
            </w:pPr>
            <w:r>
              <w:rPr>
                <w:color w:val="auto"/>
              </w:rPr>
              <w:drawing>
                <wp:inline distT="0" distB="0" distL="114300" distR="114300">
                  <wp:extent cx="5379720" cy="1724660"/>
                  <wp:effectExtent l="0" t="0" r="1143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379720" cy="1724660"/>
                          </a:xfrm>
                          <a:prstGeom prst="rect">
                            <a:avLst/>
                          </a:prstGeom>
                          <a:noFill/>
                          <a:ln>
                            <a:noFill/>
                          </a:ln>
                        </pic:spPr>
                      </pic:pic>
                    </a:graphicData>
                  </a:graphic>
                </wp:inline>
              </w:drawing>
            </w:r>
          </w:p>
          <w:p>
            <w:pPr>
              <w:pStyle w:val="62"/>
              <w:numPr>
                <w:ilvl w:val="0"/>
                <w:numId w:val="8"/>
              </w:numPr>
              <w:adjustRightInd w:val="0"/>
              <w:snapToGrid w:val="0"/>
              <w:ind w:left="0" w:firstLine="0" w:firstLineChars="0"/>
              <w:jc w:val="center"/>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lang w:val="en-US" w:eastAsia="zh-CN"/>
              </w:rPr>
              <w:t>锅炉工艺</w:t>
            </w:r>
            <w:r>
              <w:rPr>
                <w:rFonts w:hint="default" w:ascii="Times New Roman" w:hAnsi="Times New Roman" w:eastAsia="宋体" w:cs="Times New Roman"/>
                <w:b/>
                <w:bCs/>
                <w:color w:val="auto"/>
                <w:highlight w:val="none"/>
              </w:rPr>
              <w:t>及产污节点图</w:t>
            </w:r>
            <w:r>
              <w:rPr>
                <w:rFonts w:hint="default" w:ascii="Times New Roman" w:hAnsi="Times New Roman" w:eastAsia="宋体" w:cs="Times New Roman"/>
                <w:b/>
                <w:bCs/>
                <w:color w:val="auto"/>
                <w:szCs w:val="21"/>
                <w:highlight w:val="none"/>
              </w:rPr>
              <w:t>（G废气；N噪声</w:t>
            </w:r>
            <w:r>
              <w:rPr>
                <w:rFonts w:hint="eastAsia" w:ascii="Times New Roman" w:hAnsi="Times New Roman" w:eastAsia="宋体" w:cs="Times New Roman"/>
                <w:b/>
                <w:bCs/>
                <w:color w:val="auto"/>
                <w:szCs w:val="21"/>
                <w:highlight w:val="none"/>
                <w:lang w:eastAsia="zh-CN"/>
              </w:rPr>
              <w:t>；</w:t>
            </w:r>
            <w:r>
              <w:rPr>
                <w:rFonts w:hint="eastAsia" w:ascii="Times New Roman" w:hAnsi="Times New Roman" w:eastAsia="宋体" w:cs="Times New Roman"/>
                <w:b/>
                <w:bCs/>
                <w:color w:val="auto"/>
                <w:szCs w:val="21"/>
                <w:highlight w:val="none"/>
                <w:lang w:val="en-US" w:eastAsia="zh-CN"/>
              </w:rPr>
              <w:t>W废水；S固废</w:t>
            </w:r>
            <w:r>
              <w:rPr>
                <w:rFonts w:hint="default" w:ascii="Times New Roman" w:hAnsi="Times New Roman" w:eastAsia="宋体" w:cs="Times New Roman"/>
                <w:b/>
                <w:bCs/>
                <w:color w:val="auto"/>
                <w:szCs w:val="21"/>
                <w:highlight w:val="none"/>
              </w:rPr>
              <w:t>）</w:t>
            </w:r>
          </w:p>
          <w:p>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企业污水包括生产过程中产生的肉类漂烫、蒸煮废水，主要污染因子为pH、COD、氨氮、BOD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vertAlign w:val="baseline"/>
                <w:lang w:val="en-US" w:eastAsia="zh-CN"/>
              </w:rPr>
              <w:t>、动植物油、磷酸盐</w:t>
            </w:r>
            <w:r>
              <w:rPr>
                <w:rFonts w:hint="eastAsia" w:ascii="Times New Roman" w:hAnsi="Times New Roman" w:eastAsia="宋体" w:cs="Times New Roman"/>
                <w:color w:val="auto"/>
                <w:sz w:val="24"/>
                <w:szCs w:val="24"/>
                <w:lang w:val="en-US" w:eastAsia="zh-CN"/>
              </w:rPr>
              <w:t>，锅炉软水制备废水及锅炉排污水，主要污染因子为</w:t>
            </w:r>
            <w:r>
              <w:rPr>
                <w:rFonts w:ascii="Times New Roman" w:hAnsi="Times New Roman" w:eastAsia="宋体" w:cs="Times New Roman"/>
                <w:color w:val="auto"/>
                <w:kern w:val="24"/>
                <w:sz w:val="24"/>
                <w:szCs w:val="24"/>
              </w:rPr>
              <w:t>pH、COD、</w:t>
            </w:r>
            <w:r>
              <w:rPr>
                <w:rFonts w:hint="eastAsia" w:ascii="Times New Roman" w:hAnsi="Times New Roman" w:eastAsia="宋体" w:cs="Times New Roman"/>
                <w:color w:val="auto"/>
                <w:kern w:val="24"/>
                <w:sz w:val="24"/>
                <w:szCs w:val="24"/>
                <w:lang w:val="en-US" w:eastAsia="zh-CN"/>
              </w:rPr>
              <w:t>氨氮、悬浮物、总溶解性固体（全盐量）</w:t>
            </w:r>
            <w:r>
              <w:rPr>
                <w:rFonts w:hint="eastAsia" w:ascii="Times New Roman" w:hAnsi="Times New Roman" w:eastAsia="宋体" w:cs="Times New Roman"/>
                <w:color w:val="auto"/>
                <w:sz w:val="24"/>
                <w:szCs w:val="24"/>
                <w:lang w:val="en-US" w:eastAsia="zh-CN"/>
              </w:rPr>
              <w:t>；生活污水为职工生活盥洗废水及食堂废水，主要污染因子为pH、COD、氨氮、BOD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vertAlign w:val="baseline"/>
                <w:lang w:val="en-US" w:eastAsia="zh-CN"/>
              </w:rPr>
              <w:t>、动植物油、磷酸盐</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highlight w:val="none"/>
                <w:lang w:val="en-US" w:eastAsia="zh-CN"/>
              </w:rPr>
              <w:t>食堂废水经隔油池处理后与生活污水一同进入化粪池进行预处理，生产废水与预处理后的生活污水一同经厂区污水处理站处理后通过</w:t>
            </w:r>
            <w:r>
              <w:rPr>
                <w:rFonts w:hint="default" w:ascii="Times New Roman" w:hAnsi="Times New Roman" w:eastAsia="宋体" w:cs="Times New Roman"/>
                <w:color w:val="auto"/>
                <w:sz w:val="24"/>
                <w:szCs w:val="24"/>
                <w:highlight w:val="none"/>
                <w:lang w:val="en-US" w:eastAsia="zh-CN"/>
              </w:rPr>
              <w:t>管网排放至半截塔污水处理厂</w:t>
            </w:r>
            <w:r>
              <w:rPr>
                <w:rFonts w:hint="eastAsia" w:ascii="Times New Roman" w:hAnsi="Times New Roman" w:eastAsia="宋体" w:cs="Times New Roman"/>
                <w:color w:val="auto"/>
                <w:sz w:val="24"/>
                <w:szCs w:val="24"/>
                <w:highlight w:val="none"/>
                <w:lang w:val="en-US" w:eastAsia="zh-CN"/>
              </w:rPr>
              <w:t>。</w:t>
            </w:r>
          </w:p>
          <w:p>
            <w:pPr>
              <w:snapToGrid w:val="0"/>
              <w:spacing w:line="360" w:lineRule="auto"/>
              <w:ind w:firstLine="482" w:firstLineChars="200"/>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污水处理站</w:t>
            </w:r>
            <w:r>
              <w:rPr>
                <w:rFonts w:hint="default" w:ascii="Times New Roman" w:hAnsi="Times New Roman" w:eastAsia="宋体" w:cs="Times New Roman"/>
                <w:b/>
                <w:bCs/>
                <w:color w:val="auto"/>
                <w:sz w:val="24"/>
                <w:szCs w:val="24"/>
                <w:lang w:eastAsia="zh-CN"/>
              </w:rPr>
              <w:t>工艺简要说明</w:t>
            </w:r>
            <w:r>
              <w:rPr>
                <w:rFonts w:hint="eastAsia" w:ascii="Times New Roman" w:hAnsi="Times New Roman" w:eastAsia="宋体" w:cs="Times New Roman"/>
                <w:b/>
                <w:bCs/>
                <w:color w:val="auto"/>
                <w:sz w:val="24"/>
                <w:szCs w:val="24"/>
                <w:lang w:val="en-US" w:eastAsia="zh-CN"/>
              </w:rPr>
              <w:t>如下</w:t>
            </w:r>
            <w:r>
              <w:rPr>
                <w:rFonts w:hint="eastAsia" w:ascii="Times New Roman" w:hAnsi="Times New Roman" w:eastAsia="宋体" w:cs="Times New Roman"/>
                <w:b/>
                <w:bCs/>
                <w:color w:val="auto"/>
                <w:sz w:val="24"/>
                <w:szCs w:val="24"/>
                <w:lang w:eastAsia="zh-CN"/>
              </w:rPr>
              <w:t>：</w:t>
            </w:r>
          </w:p>
          <w:p>
            <w:pPr>
              <w:snapToGrid w:val="0"/>
              <w:spacing w:line="360" w:lineRule="auto"/>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格栅：</w:t>
            </w:r>
            <w:r>
              <w:rPr>
                <w:rFonts w:hint="eastAsia" w:ascii="Times New Roman" w:hAnsi="Times New Roman" w:eastAsia="宋体" w:cs="Times New Roman"/>
                <w:color w:val="auto"/>
                <w:sz w:val="24"/>
                <w:szCs w:val="24"/>
                <w:lang w:val="en-US" w:eastAsia="zh-CN"/>
              </w:rPr>
              <w:t>废水中含有大量的大颗粒杂质。这些杂物进入后续处理设施会形成浮渣，甚至堵塞管路和设备，必须予以隔除。进水前端设置格栅，废水经格栅去除污水中较大渣滓污染物质，既能保证水泵正常运转，又能减少水泵磨损。</w:t>
            </w:r>
          </w:p>
          <w:p>
            <w:pPr>
              <w:snapToGrid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曝气调节池：</w:t>
            </w:r>
            <w:r>
              <w:rPr>
                <w:rFonts w:hint="eastAsia" w:ascii="Times New Roman" w:hAnsi="Times New Roman" w:eastAsia="宋体" w:cs="Times New Roman"/>
                <w:color w:val="auto"/>
                <w:sz w:val="24"/>
                <w:szCs w:val="24"/>
                <w:lang w:val="en-US" w:eastAsia="zh-CN"/>
              </w:rPr>
              <w:t>调节池是作为废水水量调节和均质的构筑物，由于生产废水在白天与夜晚排放具有时段不均匀性、时变化系数较大的特点。要使后续处理系统均衡地运行，尽量减少生产废水冲击负荷的影响，以达到理想的处理效果，则需设调节池，对废水水量进行调节并均质，使调节池提升泵始终按平均处理水量向后续处理系统供水。</w:t>
            </w:r>
          </w:p>
          <w:p>
            <w:pPr>
              <w:snapToGrid w:val="0"/>
              <w:spacing w:line="360" w:lineRule="auto"/>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气浮：</w:t>
            </w:r>
            <w:r>
              <w:rPr>
                <w:rFonts w:hint="eastAsia" w:ascii="Times New Roman" w:hAnsi="Times New Roman" w:eastAsia="宋体" w:cs="Times New Roman"/>
                <w:color w:val="auto"/>
                <w:sz w:val="24"/>
                <w:szCs w:val="24"/>
                <w:lang w:val="en-US" w:eastAsia="zh-CN"/>
              </w:rPr>
              <w:t>废水及冲洗废水中含有大量的比重较低的悬浮物，必须采用气浮工艺处理。气浮采用一体化气浮装置，它由池体，溶气罐、空压机及回流水泵组成，由一个电控箱进行控制操作。废水中有大量的细小悬浮物及油脂，通过气浮装置的处理可大大降低上述污染物浓度，在气浮设备工作时加入高分子絮凝剂，废水经加药反应后进入气浮池内，与通过TJ型释放器释放的气泡充分混合接触，使水中的絮凝体粘附在微小气泡上，释放的气泡平均直径Φ30um左右，絮体浮向水面形成浮渣，浮渣聚集到一定厚度后，由刮渣机刮入气浮泥槽道送到污泥干化池，气浮池下层的清水一部分经溶气泵抽送供溶气水使用，剩余的清水通过溢流管进入中间水池。</w:t>
            </w:r>
          </w:p>
          <w:p>
            <w:pPr>
              <w:snapToGrid w:val="0"/>
              <w:spacing w:line="360" w:lineRule="auto"/>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固液分离（</w:t>
            </w:r>
            <w:r>
              <w:rPr>
                <w:rFonts w:hint="eastAsia" w:ascii="宋体" w:hAnsi="宋体"/>
                <w:b/>
                <w:bCs/>
                <w:color w:val="auto"/>
                <w:sz w:val="24"/>
                <w:lang w:eastAsia="zh-CN"/>
              </w:rPr>
              <w:t>叠螺机</w:t>
            </w: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color w:val="auto"/>
                <w:sz w:val="24"/>
                <w:szCs w:val="24"/>
                <w:lang w:val="en-US" w:eastAsia="zh-CN"/>
              </w:rPr>
              <w:t>叠螺脱水机中，当螺旋推动轴转动时，设在推动轴外围的多重固活叠片相对移动，在重力作用下，水从相对移动的叠片间隙中滤出，实现快速浓缩。经过浓缩的污泥随着螺旋轴的转动不断往前移动；沿泥饼出口方向，螺旋轴的螺距逐渐变小，环与环间的间隙也逐渐变小，螺旋腔的体积不断收缩；在出口处背压板的作用下，内压逐渐增强，在螺旋推动轴依次连续运转推动下，污泥中的水分受挤压排出，滤饼含固量不断升高。最终实现污泥的连续脱水。叠螺式污泥脱水机将污泥的浓缩和压滤脱水工作在一个筒内完成，取代了传统的滤布和离心的过滤方式。</w:t>
            </w:r>
          </w:p>
          <w:p>
            <w:pPr>
              <w:snapToGrid w:val="0"/>
              <w:spacing w:line="360" w:lineRule="auto"/>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A2O：</w:t>
            </w:r>
            <w:r>
              <w:rPr>
                <w:rFonts w:hint="eastAsia" w:ascii="Times New Roman" w:hAnsi="Times New Roman" w:eastAsia="宋体" w:cs="Times New Roman"/>
                <w:color w:val="auto"/>
                <w:sz w:val="24"/>
                <w:szCs w:val="24"/>
                <w:lang w:val="en-US" w:eastAsia="zh-CN"/>
              </w:rPr>
              <w:t>厌氧、缺氧、好氧三种不同的环境条件和微生物菌群种类的有机配合，能同时具有去除有机物、脱氮除磷的功能。污水与回流污泥先进入厌氧池（DO&lt;0.2mg/L）完全混合，经一定时间（1~2h）的厌氧分解，去除部分BOD，使部分含氮化合物转化成N</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vertAlign w:val="baseline"/>
                <w:lang w:val="en-US" w:eastAsia="zh-CN"/>
              </w:rPr>
              <w:t>（反硝化作用）</w:t>
            </w:r>
            <w:r>
              <w:rPr>
                <w:rFonts w:hint="eastAsia" w:ascii="Times New Roman" w:hAnsi="Times New Roman" w:eastAsia="宋体" w:cs="Times New Roman"/>
                <w:color w:val="auto"/>
                <w:sz w:val="24"/>
                <w:szCs w:val="24"/>
                <w:lang w:val="en-US" w:eastAsia="zh-CN"/>
              </w:rPr>
              <w:t>而释放，回流污泥中的聚磷微生物（聚磷菌等）释放出磷，满足细菌对磷的需求。然后污水流入缺氧池（DO&lt;=0.5mg/L），池中的反硝化细菌以污水中未分解的含碳有机物为碳源，将好氧池内通过内循环回流进来的硝酸根还原为N</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而释放。接下来污水流入好氧池（DO，2-4mg/L），水中的NH</w:t>
            </w:r>
            <w:r>
              <w:rPr>
                <w:rFonts w:hint="eastAsia"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-N（氨氮）进行硝化反应生成硝酸根，同时水中的有机物氧化分解供给吸磷微生物以能量，微生物从水中吸收磷，磷进入细胞组织，富集在微生物内，经沉淀分离后以富磷污泥的形式从系统中排出。</w:t>
            </w:r>
          </w:p>
          <w:p>
            <w:pPr>
              <w:snapToGrid w:val="0"/>
              <w:spacing w:line="360" w:lineRule="auto"/>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MBR池：</w:t>
            </w:r>
            <w:r>
              <w:rPr>
                <w:rFonts w:hint="eastAsia" w:ascii="Times New Roman" w:hAnsi="Times New Roman" w:eastAsia="宋体" w:cs="Times New Roman"/>
                <w:color w:val="auto"/>
                <w:sz w:val="24"/>
                <w:szCs w:val="24"/>
                <w:lang w:val="en-US" w:eastAsia="zh-CN"/>
              </w:rPr>
              <w:t>废水经接触氧化池后自流到膜池，本池系接触氧化池出水进行固液分离的构筑物，功能是将水中老化的生物膜及SS除去。接触氧化池对污水进行生化降解过程中，会产生许多脱落下来的生物膜（污泥）悬浮于水中，这些生物膜必须从水中分离出去，才能保证处理水悬浮物及有机物达标排放。固设置二沉池，对沉淀池内废水进行泥水分离，去除污水中的SS。</w:t>
            </w:r>
          </w:p>
          <w:p>
            <w:pPr>
              <w:snapToGrid w:val="0"/>
              <w:spacing w:line="360" w:lineRule="auto"/>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消毒：</w:t>
            </w:r>
            <w:r>
              <w:rPr>
                <w:rFonts w:hint="eastAsia" w:ascii="Times New Roman" w:hAnsi="Times New Roman" w:eastAsia="宋体" w:cs="Times New Roman"/>
                <w:color w:val="auto"/>
                <w:sz w:val="24"/>
                <w:szCs w:val="24"/>
                <w:lang w:val="en-US" w:eastAsia="zh-CN"/>
              </w:rPr>
              <w:t>污水经生化处理后，除部分细菌随污泥沉淀下来外，大部分大肠杆菌、粪便链球菌等致病菌仍然存在污水中，必须进行消毒处理。</w:t>
            </w:r>
          </w:p>
          <w:p>
            <w:pPr>
              <w:adjustRightInd w:val="0"/>
              <w:snapToGrid w:val="0"/>
              <w:spacing w:before="156" w:beforeLines="50" w:line="360" w:lineRule="auto"/>
              <w:rPr>
                <w:rFonts w:hint="default" w:ascii="Times New Roman" w:hAnsi="Times New Roman" w:cs="Times New Roman"/>
                <w:bCs/>
                <w:color w:val="auto"/>
                <w:sz w:val="24"/>
              </w:rPr>
            </w:pPr>
            <w:r>
              <w:rPr>
                <w:color w:val="auto"/>
              </w:rPr>
              <w:drawing>
                <wp:inline distT="0" distB="0" distL="114300" distR="114300">
                  <wp:extent cx="5379085" cy="3980815"/>
                  <wp:effectExtent l="0" t="0" r="12065"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5379085" cy="3980815"/>
                          </a:xfrm>
                          <a:prstGeom prst="rect">
                            <a:avLst/>
                          </a:prstGeom>
                          <a:noFill/>
                          <a:ln>
                            <a:noFill/>
                          </a:ln>
                        </pic:spPr>
                      </pic:pic>
                    </a:graphicData>
                  </a:graphic>
                </wp:inline>
              </w:drawing>
            </w:r>
          </w:p>
          <w:p>
            <w:pPr>
              <w:pStyle w:val="62"/>
              <w:numPr>
                <w:ilvl w:val="0"/>
                <w:numId w:val="8"/>
              </w:numPr>
              <w:adjustRightInd w:val="0"/>
              <w:snapToGrid w:val="0"/>
              <w:ind w:left="0" w:firstLine="0" w:firstLineChars="0"/>
              <w:jc w:val="center"/>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lang w:val="en-US" w:eastAsia="zh-CN"/>
              </w:rPr>
              <w:t>污水处理站工艺流程图</w:t>
            </w:r>
          </w:p>
          <w:p>
            <w:pPr>
              <w:adjustRightInd w:val="0"/>
              <w:snapToGrid w:val="0"/>
              <w:spacing w:before="156"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项目运营期</w:t>
            </w:r>
            <w:r>
              <w:rPr>
                <w:rFonts w:hint="default" w:ascii="Times New Roman" w:hAnsi="Times New Roman" w:cs="Times New Roman"/>
                <w:color w:val="auto"/>
                <w:sz w:val="24"/>
              </w:rPr>
              <w:t>产排污环节详见下表：</w:t>
            </w:r>
          </w:p>
          <w:p>
            <w:pPr>
              <w:pStyle w:val="39"/>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主要排污节点一览表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87"/>
              <w:gridCol w:w="488"/>
              <w:gridCol w:w="1011"/>
              <w:gridCol w:w="1011"/>
              <w:gridCol w:w="1163"/>
              <w:gridCol w:w="993"/>
              <w:gridCol w:w="658"/>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Align w:val="center"/>
                </w:tcPr>
                <w:p>
                  <w:pPr>
                    <w:spacing w:line="2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类别</w:t>
                  </w:r>
                </w:p>
              </w:tc>
              <w:tc>
                <w:tcPr>
                  <w:tcW w:w="290" w:type="pct"/>
                  <w:vAlign w:val="center"/>
                </w:tcPr>
                <w:p>
                  <w:pPr>
                    <w:spacing w:line="2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序号</w:t>
                  </w:r>
                </w:p>
              </w:tc>
              <w:tc>
                <w:tcPr>
                  <w:tcW w:w="601" w:type="pct"/>
                  <w:vAlign w:val="center"/>
                </w:tcPr>
                <w:p>
                  <w:pPr>
                    <w:spacing w:line="2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排污节点</w:t>
                  </w:r>
                </w:p>
              </w:tc>
              <w:tc>
                <w:tcPr>
                  <w:tcW w:w="601" w:type="pct"/>
                  <w:vAlign w:val="center"/>
                </w:tcPr>
                <w:p>
                  <w:pPr>
                    <w:spacing w:line="2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污染物</w:t>
                  </w:r>
                </w:p>
              </w:tc>
              <w:tc>
                <w:tcPr>
                  <w:tcW w:w="691" w:type="pct"/>
                  <w:vAlign w:val="center"/>
                </w:tcPr>
                <w:p>
                  <w:pPr>
                    <w:spacing w:line="2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污染因子</w:t>
                  </w:r>
                </w:p>
              </w:tc>
              <w:tc>
                <w:tcPr>
                  <w:tcW w:w="590" w:type="pct"/>
                  <w:vAlign w:val="center"/>
                </w:tcPr>
                <w:p>
                  <w:pPr>
                    <w:spacing w:line="2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所在生产单元</w:t>
                  </w:r>
                </w:p>
              </w:tc>
              <w:tc>
                <w:tcPr>
                  <w:tcW w:w="391" w:type="pct"/>
                  <w:vAlign w:val="center"/>
                </w:tcPr>
                <w:p>
                  <w:pPr>
                    <w:spacing w:line="2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产生特征</w:t>
                  </w:r>
                </w:p>
              </w:tc>
              <w:tc>
                <w:tcPr>
                  <w:tcW w:w="1604" w:type="pct"/>
                  <w:vAlign w:val="center"/>
                </w:tcPr>
                <w:p>
                  <w:pPr>
                    <w:spacing w:line="2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restar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废气</w:t>
                  </w:r>
                </w:p>
              </w:tc>
              <w:tc>
                <w:tcPr>
                  <w:tcW w:w="2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G1</w:t>
                  </w:r>
                </w:p>
              </w:tc>
              <w:tc>
                <w:tcPr>
                  <w:tcW w:w="601" w:type="pct"/>
                  <w:vAlign w:val="center"/>
                </w:tcPr>
                <w:p>
                  <w:pPr>
                    <w:spacing w:line="28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蒸汽</w:t>
                  </w:r>
                  <w:r>
                    <w:rPr>
                      <w:rFonts w:ascii="Times New Roman" w:hAnsi="Times New Roman" w:eastAsia="宋体" w:cs="Times New Roman"/>
                      <w:bCs/>
                      <w:color w:val="auto"/>
                      <w:szCs w:val="21"/>
                    </w:rPr>
                    <w:t>锅炉</w:t>
                  </w:r>
                </w:p>
              </w:tc>
              <w:tc>
                <w:tcPr>
                  <w:tcW w:w="60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锅炉烟气</w:t>
                  </w:r>
                </w:p>
              </w:tc>
              <w:tc>
                <w:tcPr>
                  <w:tcW w:w="6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颗粒物、SO</w:t>
                  </w:r>
                  <w:r>
                    <w:rPr>
                      <w:rFonts w:ascii="Times New Roman" w:hAnsi="Times New Roman" w:eastAsia="宋体" w:cs="Times New Roman"/>
                      <w:bCs/>
                      <w:color w:val="auto"/>
                      <w:szCs w:val="21"/>
                      <w:vertAlign w:val="subscript"/>
                    </w:rPr>
                    <w:t>2</w:t>
                  </w:r>
                  <w:r>
                    <w:rPr>
                      <w:rFonts w:ascii="Times New Roman" w:hAnsi="Times New Roman" w:eastAsia="宋体" w:cs="Times New Roman"/>
                      <w:bCs/>
                      <w:color w:val="auto"/>
                      <w:szCs w:val="21"/>
                    </w:rPr>
                    <w:t>、NOx、烟气黑度</w:t>
                  </w:r>
                </w:p>
              </w:tc>
              <w:tc>
                <w:tcPr>
                  <w:tcW w:w="5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锅炉房</w:t>
                  </w:r>
                </w:p>
              </w:tc>
              <w:tc>
                <w:tcPr>
                  <w:tcW w:w="3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连续</w:t>
                  </w:r>
                </w:p>
              </w:tc>
              <w:tc>
                <w:tcPr>
                  <w:tcW w:w="1604" w:type="pct"/>
                  <w:vMerge w:val="restart"/>
                  <w:vAlign w:val="center"/>
                </w:tcPr>
                <w:p>
                  <w:pPr>
                    <w:spacing w:line="280" w:lineRule="exact"/>
                    <w:jc w:val="center"/>
                    <w:rPr>
                      <w:rFonts w:hint="default" w:ascii="Times New Roman" w:hAnsi="Times New Roman" w:eastAsia="宋体" w:cs="Times New Roman"/>
                      <w:bCs/>
                      <w:color w:val="auto"/>
                      <w:szCs w:val="21"/>
                      <w:highlight w:val="yellow"/>
                      <w:lang w:val="en-US" w:eastAsia="zh-CN"/>
                    </w:rPr>
                  </w:pPr>
                  <w:r>
                    <w:rPr>
                      <w:rFonts w:hint="eastAsia" w:ascii="Times New Roman" w:hAnsi="Times New Roman" w:eastAsia="宋体" w:cs="Times New Roman"/>
                      <w:bCs/>
                      <w:color w:val="auto"/>
                      <w:szCs w:val="21"/>
                      <w:highlight w:val="none"/>
                      <w:lang w:val="en-US" w:eastAsia="zh-CN"/>
                    </w:rPr>
                    <w:t>布袋除尘器+SNCR</w:t>
                  </w:r>
                  <w:r>
                    <w:rPr>
                      <w:rFonts w:hint="eastAsia" w:ascii="Times New Roman" w:hAnsi="Times New Roman" w:cs="Times New Roman"/>
                      <w:b w:val="0"/>
                      <w:bCs/>
                      <w:color w:val="auto"/>
                      <w:sz w:val="21"/>
                      <w:szCs w:val="21"/>
                      <w:highlight w:val="none"/>
                      <w:lang w:val="en-US" w:eastAsia="zh-CN"/>
                    </w:rPr>
                    <w:t>烟气脱硝设施+</w:t>
                  </w:r>
                  <w:r>
                    <w:rPr>
                      <w:rFonts w:hint="eastAsia" w:ascii="Times New Roman" w:hAnsi="Times New Roman" w:eastAsia="宋体" w:cs="Times New Roman"/>
                      <w:bCs/>
                      <w:color w:val="auto"/>
                      <w:szCs w:val="21"/>
                      <w:highlight w:val="none"/>
                      <w:lang w:val="en-US" w:eastAsia="zh-CN"/>
                    </w:rPr>
                    <w:t>35m高排气筒（DA002）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G2</w:t>
                  </w:r>
                </w:p>
              </w:tc>
              <w:tc>
                <w:tcPr>
                  <w:tcW w:w="601" w:type="pct"/>
                  <w:vAlign w:val="center"/>
                </w:tcPr>
                <w:p>
                  <w:pPr>
                    <w:spacing w:line="28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热水</w:t>
                  </w:r>
                  <w:r>
                    <w:rPr>
                      <w:rFonts w:ascii="Times New Roman" w:hAnsi="Times New Roman" w:eastAsia="宋体" w:cs="Times New Roman"/>
                      <w:bCs/>
                      <w:color w:val="auto"/>
                      <w:szCs w:val="21"/>
                    </w:rPr>
                    <w:t>锅炉</w:t>
                  </w:r>
                </w:p>
              </w:tc>
              <w:tc>
                <w:tcPr>
                  <w:tcW w:w="60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锅炉烟气</w:t>
                  </w:r>
                </w:p>
              </w:tc>
              <w:tc>
                <w:tcPr>
                  <w:tcW w:w="6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颗粒物、SO</w:t>
                  </w:r>
                  <w:r>
                    <w:rPr>
                      <w:rFonts w:ascii="Times New Roman" w:hAnsi="Times New Roman" w:eastAsia="宋体" w:cs="Times New Roman"/>
                      <w:bCs/>
                      <w:color w:val="auto"/>
                      <w:szCs w:val="21"/>
                      <w:vertAlign w:val="subscript"/>
                    </w:rPr>
                    <w:t>2</w:t>
                  </w:r>
                  <w:r>
                    <w:rPr>
                      <w:rFonts w:ascii="Times New Roman" w:hAnsi="Times New Roman" w:eastAsia="宋体" w:cs="Times New Roman"/>
                      <w:bCs/>
                      <w:color w:val="auto"/>
                      <w:szCs w:val="21"/>
                    </w:rPr>
                    <w:t>、NOx、烟气黑度</w:t>
                  </w:r>
                </w:p>
              </w:tc>
              <w:tc>
                <w:tcPr>
                  <w:tcW w:w="5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锅炉房</w:t>
                  </w:r>
                </w:p>
              </w:tc>
              <w:tc>
                <w:tcPr>
                  <w:tcW w:w="3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连续</w:t>
                  </w:r>
                </w:p>
              </w:tc>
              <w:tc>
                <w:tcPr>
                  <w:tcW w:w="1604" w:type="pct"/>
                  <w:vMerge w:val="continue"/>
                  <w:vAlign w:val="center"/>
                </w:tcPr>
                <w:p>
                  <w:pPr>
                    <w:spacing w:line="280" w:lineRule="exact"/>
                    <w:jc w:val="center"/>
                    <w:rPr>
                      <w:rFonts w:hint="eastAsia" w:ascii="Times New Roman" w:hAnsi="Times New Roman" w:eastAsia="宋体" w:cs="Times New Roman"/>
                      <w:bCs/>
                      <w:color w:val="auto"/>
                      <w:szCs w:val="21"/>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G3</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污水处理站</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恶臭</w:t>
                  </w:r>
                </w:p>
              </w:tc>
              <w:tc>
                <w:tcPr>
                  <w:tcW w:w="691" w:type="pct"/>
                  <w:vAlign w:val="center"/>
                </w:tcPr>
                <w:p>
                  <w:pPr>
                    <w:spacing w:line="280" w:lineRule="exact"/>
                    <w:jc w:val="center"/>
                    <w:rPr>
                      <w:rFonts w:ascii="Times New Roman" w:hAnsi="Times New Roman" w:eastAsia="宋体" w:cs="Times New Roman"/>
                      <w:bCs/>
                      <w:color w:val="auto"/>
                      <w:szCs w:val="21"/>
                    </w:rPr>
                  </w:pPr>
                  <w:r>
                    <w:rPr>
                      <w:rFonts w:hint="default" w:ascii="Times New Roman" w:hAnsi="Times New Roman" w:eastAsia="宋体" w:cs="Times New Roman"/>
                      <w:bCs/>
                      <w:color w:val="auto"/>
                      <w:szCs w:val="21"/>
                    </w:rPr>
                    <w:t>NH</w:t>
                  </w:r>
                  <w:r>
                    <w:rPr>
                      <w:rFonts w:hint="default" w:ascii="Times New Roman" w:hAnsi="Times New Roman" w:eastAsia="宋体" w:cs="Times New Roman"/>
                      <w:bCs/>
                      <w:color w:val="auto"/>
                      <w:szCs w:val="21"/>
                      <w:vertAlign w:val="subscript"/>
                    </w:rPr>
                    <w:t>3</w:t>
                  </w:r>
                  <w:r>
                    <w:rPr>
                      <w:rFonts w:hint="default" w:ascii="Times New Roman" w:hAnsi="Times New Roman" w:eastAsia="宋体" w:cs="Times New Roman"/>
                      <w:bCs/>
                      <w:color w:val="auto"/>
                      <w:szCs w:val="21"/>
                    </w:rPr>
                    <w:t>、H</w:t>
                  </w:r>
                  <w:r>
                    <w:rPr>
                      <w:rFonts w:hint="default" w:ascii="Times New Roman" w:hAnsi="Times New Roman" w:eastAsia="宋体" w:cs="Times New Roman"/>
                      <w:bCs/>
                      <w:color w:val="auto"/>
                      <w:szCs w:val="21"/>
                      <w:vertAlign w:val="subscript"/>
                    </w:rPr>
                    <w:t>2</w:t>
                  </w:r>
                  <w:r>
                    <w:rPr>
                      <w:rFonts w:hint="default" w:ascii="Times New Roman" w:hAnsi="Times New Roman" w:eastAsia="宋体" w:cs="Times New Roman"/>
                      <w:bCs/>
                      <w:color w:val="auto"/>
                      <w:szCs w:val="21"/>
                    </w:rPr>
                    <w:t>S、臭气浓度</w:t>
                  </w:r>
                </w:p>
              </w:tc>
              <w:tc>
                <w:tcPr>
                  <w:tcW w:w="590"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污水处理站</w:t>
                  </w:r>
                </w:p>
              </w:tc>
              <w:tc>
                <w:tcPr>
                  <w:tcW w:w="3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连续</w:t>
                  </w:r>
                </w:p>
              </w:tc>
              <w:tc>
                <w:tcPr>
                  <w:tcW w:w="1604"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生物除臭系统</w:t>
                  </w:r>
                  <w:r>
                    <w:rPr>
                      <w:rFonts w:hint="eastAsia" w:ascii="Times New Roman" w:hAnsi="Times New Roman" w:cs="Times New Roman"/>
                      <w:bCs/>
                      <w:color w:val="auto"/>
                      <w:szCs w:val="21"/>
                      <w:lang w:val="en-US" w:eastAsia="zh-CN"/>
                    </w:rPr>
                    <w:t>+20m高排气筒（DA003）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G4</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卤煮过程</w:t>
                  </w:r>
                </w:p>
              </w:tc>
              <w:tc>
                <w:tcPr>
                  <w:tcW w:w="60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恶臭</w:t>
                  </w:r>
                </w:p>
              </w:tc>
              <w:tc>
                <w:tcPr>
                  <w:tcW w:w="691" w:type="pct"/>
                  <w:vAlign w:val="center"/>
                </w:tcPr>
                <w:p>
                  <w:pPr>
                    <w:spacing w:line="28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臭气浓度</w:t>
                  </w:r>
                </w:p>
              </w:tc>
              <w:tc>
                <w:tcPr>
                  <w:tcW w:w="5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食品生产线</w:t>
                  </w:r>
                </w:p>
              </w:tc>
              <w:tc>
                <w:tcPr>
                  <w:tcW w:w="3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连续</w:t>
                  </w:r>
                </w:p>
              </w:tc>
              <w:tc>
                <w:tcPr>
                  <w:tcW w:w="1604" w:type="pct"/>
                  <w:vMerge w:val="restart"/>
                  <w:vAlign w:val="center"/>
                </w:tcPr>
                <w:p>
                  <w:pPr>
                    <w:spacing w:line="28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高效油烟净化器+20m高排气筒（DA001）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G5</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卤煮过程</w:t>
                  </w:r>
                </w:p>
              </w:tc>
              <w:tc>
                <w:tcPr>
                  <w:tcW w:w="60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恶臭</w:t>
                  </w:r>
                </w:p>
              </w:tc>
              <w:tc>
                <w:tcPr>
                  <w:tcW w:w="691" w:type="pct"/>
                  <w:vAlign w:val="center"/>
                </w:tcPr>
                <w:p>
                  <w:pPr>
                    <w:spacing w:line="28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臭气浓度</w:t>
                  </w:r>
                </w:p>
              </w:tc>
              <w:tc>
                <w:tcPr>
                  <w:tcW w:w="5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宠物粮生产线</w:t>
                  </w:r>
                </w:p>
              </w:tc>
              <w:tc>
                <w:tcPr>
                  <w:tcW w:w="3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连续</w:t>
                  </w:r>
                </w:p>
              </w:tc>
              <w:tc>
                <w:tcPr>
                  <w:tcW w:w="1604" w:type="pct"/>
                  <w:vMerge w:val="continue"/>
                  <w:vAlign w:val="center"/>
                </w:tcPr>
                <w:p>
                  <w:pPr>
                    <w:spacing w:line="280" w:lineRule="exact"/>
                    <w:jc w:val="center"/>
                    <w:rPr>
                      <w:rFonts w:hint="default" w:ascii="Times New Roman" w:hAnsi="Times New Roman" w:cs="Times New Roman"/>
                      <w:bCs/>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restar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废水</w:t>
                  </w:r>
                </w:p>
              </w:tc>
              <w:tc>
                <w:tcPr>
                  <w:tcW w:w="2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W1</w:t>
                  </w:r>
                </w:p>
              </w:tc>
              <w:tc>
                <w:tcPr>
                  <w:tcW w:w="60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软化水制备设备</w:t>
                  </w:r>
                </w:p>
              </w:tc>
              <w:tc>
                <w:tcPr>
                  <w:tcW w:w="601" w:type="pct"/>
                  <w:vMerge w:val="restar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软化水制备废水</w:t>
                  </w:r>
                </w:p>
              </w:tc>
              <w:tc>
                <w:tcPr>
                  <w:tcW w:w="691" w:type="pct"/>
                  <w:vMerge w:val="restart"/>
                  <w:vAlign w:val="center"/>
                </w:tcPr>
                <w:p>
                  <w:pPr>
                    <w:spacing w:line="280" w:lineRule="exact"/>
                    <w:jc w:val="center"/>
                    <w:rPr>
                      <w:rFonts w:ascii="Times New Roman" w:hAnsi="Times New Roman" w:eastAsia="宋体" w:cs="Times New Roman"/>
                      <w:color w:val="auto"/>
                      <w:kern w:val="24"/>
                      <w:szCs w:val="21"/>
                    </w:rPr>
                  </w:pPr>
                  <w:r>
                    <w:rPr>
                      <w:rFonts w:ascii="Times New Roman" w:hAnsi="Times New Roman" w:eastAsia="宋体" w:cs="Times New Roman"/>
                      <w:color w:val="auto"/>
                      <w:kern w:val="24"/>
                      <w:szCs w:val="21"/>
                    </w:rPr>
                    <w:t>pH、COD、</w:t>
                  </w:r>
                  <w:r>
                    <w:rPr>
                      <w:rFonts w:hint="eastAsia" w:ascii="Times New Roman" w:hAnsi="Times New Roman" w:eastAsia="宋体" w:cs="Times New Roman"/>
                      <w:color w:val="auto"/>
                      <w:kern w:val="24"/>
                      <w:szCs w:val="21"/>
                      <w:lang w:val="en-US" w:eastAsia="zh-CN"/>
                    </w:rPr>
                    <w:t>氨氮、悬浮物、总溶解性固体（全盐量）</w:t>
                  </w:r>
                </w:p>
              </w:tc>
              <w:tc>
                <w:tcPr>
                  <w:tcW w:w="5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软化水制备设备</w:t>
                  </w:r>
                </w:p>
              </w:tc>
              <w:tc>
                <w:tcPr>
                  <w:tcW w:w="3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间断</w:t>
                  </w:r>
                </w:p>
              </w:tc>
              <w:tc>
                <w:tcPr>
                  <w:tcW w:w="1604" w:type="pct"/>
                  <w:vMerge w:val="restar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采用</w:t>
                  </w:r>
                  <w:r>
                    <w:rPr>
                      <w:rFonts w:hint="eastAsia" w:ascii="Times New Roman" w:hAnsi="Times New Roman" w:cs="Times New Roman"/>
                      <w:color w:val="auto"/>
                      <w:sz w:val="21"/>
                      <w:szCs w:val="21"/>
                      <w:lang w:val="en-US" w:eastAsia="zh-CN"/>
                    </w:rPr>
                    <w:t>“机械格栅</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调节池+气浮+固液分离+A2O+MBR+消毒”工艺处理后经管网排放至</w:t>
                  </w:r>
                  <w:r>
                    <w:rPr>
                      <w:rFonts w:hint="eastAsia" w:ascii="Times New Roman" w:hAnsi="Times New Roman" w:eastAsia="宋体" w:cs="Times New Roman"/>
                      <w:bCs/>
                      <w:color w:val="auto"/>
                      <w:szCs w:val="21"/>
                      <w:lang w:val="en-US" w:eastAsia="zh-CN"/>
                    </w:rPr>
                    <w:t>半截塔污水处理厂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W2</w:t>
                  </w:r>
                </w:p>
              </w:tc>
              <w:tc>
                <w:tcPr>
                  <w:tcW w:w="60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w:t>
                  </w:r>
                </w:p>
              </w:tc>
              <w:tc>
                <w:tcPr>
                  <w:tcW w:w="601" w:type="pct"/>
                  <w:vMerge w:val="continue"/>
                  <w:vAlign w:val="center"/>
                </w:tcPr>
                <w:p>
                  <w:pPr>
                    <w:spacing w:line="280" w:lineRule="exact"/>
                    <w:jc w:val="center"/>
                    <w:rPr>
                      <w:rFonts w:hint="default" w:ascii="Times New Roman" w:hAnsi="Times New Roman" w:eastAsia="宋体" w:cs="Times New Roman"/>
                      <w:bCs/>
                      <w:color w:val="auto"/>
                      <w:szCs w:val="21"/>
                      <w:lang w:val="en-US" w:eastAsia="zh-CN"/>
                    </w:rPr>
                  </w:pPr>
                </w:p>
              </w:tc>
              <w:tc>
                <w:tcPr>
                  <w:tcW w:w="691" w:type="pct"/>
                  <w:vMerge w:val="continue"/>
                  <w:vAlign w:val="center"/>
                </w:tcPr>
                <w:p>
                  <w:pPr>
                    <w:spacing w:line="280" w:lineRule="exact"/>
                    <w:jc w:val="center"/>
                    <w:rPr>
                      <w:rFonts w:ascii="Times New Roman" w:hAnsi="Times New Roman" w:eastAsia="宋体" w:cs="Times New Roman"/>
                      <w:color w:val="auto"/>
                      <w:kern w:val="24"/>
                      <w:szCs w:val="21"/>
                    </w:rPr>
                  </w:pPr>
                </w:p>
              </w:tc>
              <w:tc>
                <w:tcPr>
                  <w:tcW w:w="590" w:type="pct"/>
                  <w:vAlign w:val="center"/>
                </w:tcPr>
                <w:p>
                  <w:pPr>
                    <w:spacing w:line="280" w:lineRule="exact"/>
                    <w:jc w:val="center"/>
                    <w:rPr>
                      <w:rFonts w:ascii="Times New Roman" w:hAnsi="Times New Roman" w:eastAsia="宋体" w:cs="Times New Roman"/>
                      <w:color w:val="auto"/>
                      <w:szCs w:val="21"/>
                    </w:rPr>
                  </w:pPr>
                  <w:r>
                    <w:rPr>
                      <w:rFonts w:ascii="Times New Roman" w:hAnsi="Times New Roman" w:eastAsia="宋体" w:cs="Times New Roman"/>
                      <w:bCs/>
                      <w:color w:val="auto"/>
                      <w:szCs w:val="21"/>
                    </w:rPr>
                    <w:t>锅炉</w:t>
                  </w:r>
                </w:p>
              </w:tc>
              <w:tc>
                <w:tcPr>
                  <w:tcW w:w="3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间断</w:t>
                  </w:r>
                </w:p>
              </w:tc>
              <w:tc>
                <w:tcPr>
                  <w:tcW w:w="1604" w:type="pct"/>
                  <w:vMerge w:val="continue"/>
                  <w:vAlign w:val="center"/>
                </w:tcPr>
                <w:p>
                  <w:pPr>
                    <w:spacing w:line="28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W3</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设备清洗废水</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清洗废水</w:t>
                  </w:r>
                </w:p>
              </w:tc>
              <w:tc>
                <w:tcPr>
                  <w:tcW w:w="691" w:type="pct"/>
                  <w:vMerge w:val="restar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pH、COD、氨氮、BOD</w:t>
                  </w:r>
                  <w:r>
                    <w:rPr>
                      <w:rFonts w:hint="eastAsia" w:ascii="Times New Roman" w:hAnsi="Times New Roman" w:eastAsia="宋体" w:cs="Times New Roman"/>
                      <w:bCs/>
                      <w:color w:val="auto"/>
                      <w:szCs w:val="21"/>
                      <w:vertAlign w:val="subscript"/>
                      <w:lang w:val="en-US" w:eastAsia="zh-CN"/>
                    </w:rPr>
                    <w:t>5</w:t>
                  </w:r>
                  <w:r>
                    <w:rPr>
                      <w:rFonts w:hint="eastAsia" w:ascii="Times New Roman" w:hAnsi="Times New Roman" w:eastAsia="宋体" w:cs="Times New Roman"/>
                      <w:bCs/>
                      <w:color w:val="auto"/>
                      <w:szCs w:val="21"/>
                      <w:lang w:val="en-US" w:eastAsia="zh-CN"/>
                    </w:rPr>
                    <w:t>、动植物油、磷酸盐</w:t>
                  </w:r>
                </w:p>
              </w:tc>
              <w:tc>
                <w:tcPr>
                  <w:tcW w:w="5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设备清洗</w:t>
                  </w:r>
                </w:p>
              </w:tc>
              <w:tc>
                <w:tcPr>
                  <w:tcW w:w="391" w:type="pct"/>
                  <w:vAlign w:val="center"/>
                </w:tcPr>
                <w:p>
                  <w:pPr>
                    <w:spacing w:line="28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间断</w:t>
                  </w:r>
                </w:p>
              </w:tc>
              <w:tc>
                <w:tcPr>
                  <w:tcW w:w="1604" w:type="pct"/>
                  <w:vMerge w:val="continue"/>
                  <w:vAlign w:val="center"/>
                </w:tcPr>
                <w:p>
                  <w:pPr>
                    <w:spacing w:line="28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W4</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卤煮废水</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卤煮废水</w:t>
                  </w:r>
                </w:p>
              </w:tc>
              <w:tc>
                <w:tcPr>
                  <w:tcW w:w="691" w:type="pct"/>
                  <w:vMerge w:val="continue"/>
                  <w:vAlign w:val="center"/>
                </w:tcPr>
                <w:p>
                  <w:pPr>
                    <w:spacing w:line="280" w:lineRule="exact"/>
                    <w:jc w:val="center"/>
                    <w:rPr>
                      <w:rFonts w:hint="eastAsia" w:ascii="Times New Roman" w:hAnsi="Times New Roman" w:eastAsia="宋体" w:cs="Times New Roman"/>
                      <w:bCs/>
                      <w:color w:val="auto"/>
                      <w:szCs w:val="21"/>
                      <w:lang w:val="en-US" w:eastAsia="zh-CN"/>
                    </w:rPr>
                  </w:pPr>
                </w:p>
              </w:tc>
              <w:tc>
                <w:tcPr>
                  <w:tcW w:w="5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卤煮过程</w:t>
                  </w:r>
                </w:p>
              </w:tc>
              <w:tc>
                <w:tcPr>
                  <w:tcW w:w="391" w:type="pct"/>
                  <w:vAlign w:val="center"/>
                </w:tcPr>
                <w:p>
                  <w:pPr>
                    <w:spacing w:line="28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间断</w:t>
                  </w:r>
                </w:p>
              </w:tc>
              <w:tc>
                <w:tcPr>
                  <w:tcW w:w="1604" w:type="pct"/>
                  <w:vMerge w:val="continue"/>
                  <w:vAlign w:val="center"/>
                </w:tcPr>
                <w:p>
                  <w:pPr>
                    <w:spacing w:line="280" w:lineRule="exact"/>
                    <w:jc w:val="center"/>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噪声</w:t>
                  </w:r>
                </w:p>
              </w:tc>
              <w:tc>
                <w:tcPr>
                  <w:tcW w:w="2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N</w:t>
                  </w:r>
                </w:p>
              </w:tc>
              <w:tc>
                <w:tcPr>
                  <w:tcW w:w="601" w:type="pct"/>
                  <w:vAlign w:val="center"/>
                </w:tcPr>
                <w:p>
                  <w:pPr>
                    <w:spacing w:line="28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生产设备、</w:t>
                  </w:r>
                  <w:r>
                    <w:rPr>
                      <w:rFonts w:ascii="Times New Roman" w:hAnsi="Times New Roman" w:eastAsia="宋体" w:cs="Times New Roman"/>
                      <w:bCs/>
                      <w:color w:val="auto"/>
                      <w:szCs w:val="21"/>
                    </w:rPr>
                    <w:t>水泵、软化水制备等设备</w:t>
                  </w:r>
                </w:p>
              </w:tc>
              <w:tc>
                <w:tcPr>
                  <w:tcW w:w="60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设备噪声</w:t>
                  </w:r>
                </w:p>
              </w:tc>
              <w:tc>
                <w:tcPr>
                  <w:tcW w:w="6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等效连续A声级</w:t>
                  </w:r>
                </w:p>
              </w:tc>
              <w:tc>
                <w:tcPr>
                  <w:tcW w:w="5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锅炉房</w:t>
                  </w:r>
                </w:p>
              </w:tc>
              <w:tc>
                <w:tcPr>
                  <w:tcW w:w="3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连续</w:t>
                  </w:r>
                </w:p>
              </w:tc>
              <w:tc>
                <w:tcPr>
                  <w:tcW w:w="1604"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锅炉房封闭、使用低噪声设备、设备基础减振等措施。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restar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固废</w:t>
                  </w:r>
                </w:p>
              </w:tc>
              <w:tc>
                <w:tcPr>
                  <w:tcW w:w="290"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S1</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软水制备</w:t>
                  </w:r>
                </w:p>
              </w:tc>
              <w:tc>
                <w:tcPr>
                  <w:tcW w:w="601" w:type="pct"/>
                  <w:vAlign w:val="center"/>
                </w:tcPr>
                <w:p>
                  <w:pPr>
                    <w:spacing w:line="28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离子交换树脂</w:t>
                  </w:r>
                </w:p>
              </w:tc>
              <w:tc>
                <w:tcPr>
                  <w:tcW w:w="691" w:type="pct"/>
                  <w:vAlign w:val="center"/>
                </w:tcPr>
                <w:p>
                  <w:pPr>
                    <w:spacing w:line="28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离子交换树脂</w:t>
                  </w:r>
                </w:p>
              </w:tc>
              <w:tc>
                <w:tcPr>
                  <w:tcW w:w="5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锅炉房</w:t>
                  </w:r>
                </w:p>
              </w:tc>
              <w:tc>
                <w:tcPr>
                  <w:tcW w:w="3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间断</w:t>
                  </w:r>
                </w:p>
              </w:tc>
              <w:tc>
                <w:tcPr>
                  <w:tcW w:w="1604" w:type="pct"/>
                  <w:vAlign w:val="center"/>
                </w:tcPr>
                <w:p>
                  <w:pPr>
                    <w:spacing w:line="280" w:lineRule="exact"/>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定期由厂家更换回收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eastAsia" w:ascii="Times New Roman" w:hAnsi="Times New Roman" w:eastAsia="宋体" w:cs="Times New Roman"/>
                      <w:bCs/>
                      <w:color w:val="auto"/>
                      <w:szCs w:val="21"/>
                      <w:lang w:eastAsia="zh-CN"/>
                    </w:rPr>
                  </w:pPr>
                  <w:r>
                    <w:rPr>
                      <w:rFonts w:ascii="Times New Roman" w:hAnsi="Times New Roman" w:eastAsia="宋体" w:cs="Times New Roman"/>
                      <w:bCs/>
                      <w:color w:val="auto"/>
                      <w:szCs w:val="21"/>
                    </w:rPr>
                    <w:t>S</w:t>
                  </w:r>
                  <w:r>
                    <w:rPr>
                      <w:rFonts w:hint="eastAsia" w:ascii="Times New Roman" w:hAnsi="Times New Roman" w:eastAsia="宋体" w:cs="Times New Roman"/>
                      <w:bCs/>
                      <w:color w:val="auto"/>
                      <w:szCs w:val="21"/>
                      <w:lang w:val="en-US" w:eastAsia="zh-CN"/>
                    </w:rPr>
                    <w:t>2</w:t>
                  </w:r>
                </w:p>
              </w:tc>
              <w:tc>
                <w:tcPr>
                  <w:tcW w:w="60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炉渣</w:t>
                  </w:r>
                </w:p>
              </w:tc>
              <w:tc>
                <w:tcPr>
                  <w:tcW w:w="60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生物质燃烧炉渣</w:t>
                  </w:r>
                </w:p>
              </w:tc>
              <w:tc>
                <w:tcPr>
                  <w:tcW w:w="6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生物质燃烧炉渣</w:t>
                  </w:r>
                </w:p>
              </w:tc>
              <w:tc>
                <w:tcPr>
                  <w:tcW w:w="5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锅炉房</w:t>
                  </w:r>
                </w:p>
              </w:tc>
              <w:tc>
                <w:tcPr>
                  <w:tcW w:w="3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连续</w:t>
                  </w:r>
                </w:p>
              </w:tc>
              <w:tc>
                <w:tcPr>
                  <w:tcW w:w="1604" w:type="pct"/>
                  <w:vMerge w:val="restart"/>
                  <w:vAlign w:val="center"/>
                </w:tcPr>
                <w:p>
                  <w:pPr>
                    <w:spacing w:line="280" w:lineRule="exact"/>
                    <w:jc w:val="center"/>
                    <w:rPr>
                      <w:rFonts w:ascii="Times New Roman" w:hAnsi="Times New Roman" w:cs="Times New Roman"/>
                      <w:color w:val="auto"/>
                      <w:szCs w:val="21"/>
                    </w:rPr>
                  </w:pPr>
                  <w:r>
                    <w:rPr>
                      <w:rFonts w:ascii="Times New Roman" w:hAnsi="Times New Roman" w:cs="Times New Roman"/>
                      <w:color w:val="auto"/>
                    </w:rPr>
                    <w:t>集中收集后定期由环卫部门清运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eastAsia" w:ascii="Times New Roman" w:hAnsi="Times New Roman" w:eastAsia="宋体" w:cs="Times New Roman"/>
                      <w:bCs/>
                      <w:color w:val="auto"/>
                      <w:szCs w:val="21"/>
                      <w:lang w:eastAsia="zh-CN"/>
                    </w:rPr>
                  </w:pPr>
                  <w:r>
                    <w:rPr>
                      <w:rFonts w:ascii="Times New Roman" w:hAnsi="Times New Roman" w:eastAsia="宋体" w:cs="Times New Roman"/>
                      <w:bCs/>
                      <w:color w:val="auto"/>
                      <w:szCs w:val="21"/>
                    </w:rPr>
                    <w:t>S</w:t>
                  </w:r>
                  <w:r>
                    <w:rPr>
                      <w:rFonts w:hint="eastAsia" w:ascii="Times New Roman" w:hAnsi="Times New Roman" w:eastAsia="宋体" w:cs="Times New Roman"/>
                      <w:bCs/>
                      <w:color w:val="auto"/>
                      <w:szCs w:val="21"/>
                      <w:lang w:val="en-US" w:eastAsia="zh-CN"/>
                    </w:rPr>
                    <w:t>3</w:t>
                  </w:r>
                </w:p>
              </w:tc>
              <w:tc>
                <w:tcPr>
                  <w:tcW w:w="60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w:t>
                  </w:r>
                </w:p>
              </w:tc>
              <w:tc>
                <w:tcPr>
                  <w:tcW w:w="60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除尘灰</w:t>
                  </w:r>
                </w:p>
              </w:tc>
              <w:tc>
                <w:tcPr>
                  <w:tcW w:w="6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颗粒物</w:t>
                  </w:r>
                </w:p>
              </w:tc>
              <w:tc>
                <w:tcPr>
                  <w:tcW w:w="5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锅炉房</w:t>
                  </w:r>
                </w:p>
              </w:tc>
              <w:tc>
                <w:tcPr>
                  <w:tcW w:w="391"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连续</w:t>
                  </w:r>
                </w:p>
              </w:tc>
              <w:tc>
                <w:tcPr>
                  <w:tcW w:w="1604" w:type="pct"/>
                  <w:vMerge w:val="continue"/>
                  <w:vAlign w:val="center"/>
                </w:tcPr>
                <w:p>
                  <w:pPr>
                    <w:spacing w:line="280" w:lineRule="exact"/>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S4</w:t>
                  </w:r>
                </w:p>
              </w:tc>
              <w:tc>
                <w:tcPr>
                  <w:tcW w:w="60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布袋除尘器</w:t>
                  </w:r>
                </w:p>
              </w:tc>
              <w:tc>
                <w:tcPr>
                  <w:tcW w:w="60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废布袋</w:t>
                  </w:r>
                </w:p>
              </w:tc>
              <w:tc>
                <w:tcPr>
                  <w:tcW w:w="6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废布袋</w:t>
                  </w:r>
                </w:p>
              </w:tc>
              <w:tc>
                <w:tcPr>
                  <w:tcW w:w="590" w:type="pct"/>
                  <w:vAlign w:val="center"/>
                </w:tcPr>
                <w:p>
                  <w:pPr>
                    <w:spacing w:line="280" w:lineRule="exact"/>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锅炉房</w:t>
                  </w:r>
                </w:p>
              </w:tc>
              <w:tc>
                <w:tcPr>
                  <w:tcW w:w="391" w:type="pct"/>
                  <w:vAlign w:val="center"/>
                </w:tcPr>
                <w:p>
                  <w:pPr>
                    <w:spacing w:line="280" w:lineRule="exact"/>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间断</w:t>
                  </w:r>
                </w:p>
              </w:tc>
              <w:tc>
                <w:tcPr>
                  <w:tcW w:w="1604" w:type="pct"/>
                  <w:vMerge w:val="continue"/>
                  <w:vAlign w:val="center"/>
                </w:tcPr>
                <w:p>
                  <w:pPr>
                    <w:spacing w:line="280" w:lineRule="exact"/>
                    <w:jc w:val="center"/>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S5</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废包装材料</w:t>
                  </w:r>
                </w:p>
              </w:tc>
              <w:tc>
                <w:tcPr>
                  <w:tcW w:w="60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废包装材料</w:t>
                  </w:r>
                </w:p>
              </w:tc>
              <w:tc>
                <w:tcPr>
                  <w:tcW w:w="6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废包装材料</w:t>
                  </w:r>
                </w:p>
              </w:tc>
              <w:tc>
                <w:tcPr>
                  <w:tcW w:w="5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生产车间</w:t>
                  </w:r>
                </w:p>
              </w:tc>
              <w:tc>
                <w:tcPr>
                  <w:tcW w:w="39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间断</w:t>
                  </w:r>
                </w:p>
              </w:tc>
              <w:tc>
                <w:tcPr>
                  <w:tcW w:w="1604" w:type="pct"/>
                  <w:vMerge w:val="continue"/>
                  <w:vAlign w:val="center"/>
                </w:tcPr>
                <w:p>
                  <w:pPr>
                    <w:spacing w:line="280" w:lineRule="exact"/>
                    <w:jc w:val="center"/>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S6</w:t>
                  </w:r>
                </w:p>
              </w:tc>
              <w:tc>
                <w:tcPr>
                  <w:tcW w:w="601" w:type="pct"/>
                  <w:vMerge w:val="restar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污水处理站</w:t>
                  </w:r>
                </w:p>
              </w:tc>
              <w:tc>
                <w:tcPr>
                  <w:tcW w:w="60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栅渣</w:t>
                  </w:r>
                </w:p>
              </w:tc>
              <w:tc>
                <w:tcPr>
                  <w:tcW w:w="691"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栅渣</w:t>
                  </w:r>
                </w:p>
              </w:tc>
              <w:tc>
                <w:tcPr>
                  <w:tcW w:w="590" w:type="pct"/>
                  <w:vMerge w:val="restar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污水处理站</w:t>
                  </w:r>
                </w:p>
              </w:tc>
              <w:tc>
                <w:tcPr>
                  <w:tcW w:w="3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间断</w:t>
                  </w:r>
                </w:p>
              </w:tc>
              <w:tc>
                <w:tcPr>
                  <w:tcW w:w="1604" w:type="pct"/>
                  <w:vMerge w:val="continue"/>
                  <w:vAlign w:val="center"/>
                </w:tcPr>
                <w:p>
                  <w:pPr>
                    <w:spacing w:line="280" w:lineRule="exact"/>
                    <w:jc w:val="center"/>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S7</w:t>
                  </w:r>
                </w:p>
              </w:tc>
              <w:tc>
                <w:tcPr>
                  <w:tcW w:w="601" w:type="pct"/>
                  <w:vMerge w:val="continue"/>
                  <w:vAlign w:val="center"/>
                </w:tcPr>
                <w:p>
                  <w:pPr>
                    <w:spacing w:line="280" w:lineRule="exact"/>
                    <w:jc w:val="center"/>
                    <w:rPr>
                      <w:rFonts w:hint="eastAsia" w:ascii="Times New Roman" w:hAnsi="Times New Roman" w:eastAsia="宋体" w:cs="Times New Roman"/>
                      <w:bCs/>
                      <w:color w:val="auto"/>
                      <w:szCs w:val="21"/>
                      <w:lang w:val="en-US" w:eastAsia="zh-CN"/>
                    </w:rPr>
                  </w:pPr>
                </w:p>
              </w:tc>
              <w:tc>
                <w:tcPr>
                  <w:tcW w:w="60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污泥</w:t>
                  </w:r>
                </w:p>
              </w:tc>
              <w:tc>
                <w:tcPr>
                  <w:tcW w:w="6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污泥</w:t>
                  </w:r>
                </w:p>
              </w:tc>
              <w:tc>
                <w:tcPr>
                  <w:tcW w:w="590" w:type="pct"/>
                  <w:vMerge w:val="continue"/>
                  <w:vAlign w:val="center"/>
                </w:tcPr>
                <w:p>
                  <w:pPr>
                    <w:spacing w:line="280" w:lineRule="exact"/>
                    <w:jc w:val="center"/>
                    <w:rPr>
                      <w:rFonts w:hint="eastAsia" w:ascii="Times New Roman" w:hAnsi="Times New Roman" w:eastAsia="宋体" w:cs="Times New Roman"/>
                      <w:bCs/>
                      <w:color w:val="auto"/>
                      <w:szCs w:val="21"/>
                      <w:lang w:val="en-US" w:eastAsia="zh-CN"/>
                    </w:rPr>
                  </w:pPr>
                </w:p>
              </w:tc>
              <w:tc>
                <w:tcPr>
                  <w:tcW w:w="3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间断</w:t>
                  </w:r>
                </w:p>
              </w:tc>
              <w:tc>
                <w:tcPr>
                  <w:tcW w:w="1604" w:type="pct"/>
                  <w:vAlign w:val="center"/>
                </w:tcPr>
                <w:p>
                  <w:pPr>
                    <w:spacing w:line="280" w:lineRule="exact"/>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委托焚烧处置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S8</w:t>
                  </w:r>
                </w:p>
              </w:tc>
              <w:tc>
                <w:tcPr>
                  <w:tcW w:w="601" w:type="pct"/>
                  <w:vMerge w:val="restar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设备维修</w:t>
                  </w:r>
                </w:p>
              </w:tc>
              <w:tc>
                <w:tcPr>
                  <w:tcW w:w="60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废润滑油</w:t>
                  </w:r>
                </w:p>
              </w:tc>
              <w:tc>
                <w:tcPr>
                  <w:tcW w:w="6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废润滑油</w:t>
                  </w:r>
                </w:p>
              </w:tc>
              <w:tc>
                <w:tcPr>
                  <w:tcW w:w="590" w:type="pct"/>
                  <w:vMerge w:val="restar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生产车间</w:t>
                  </w:r>
                </w:p>
              </w:tc>
              <w:tc>
                <w:tcPr>
                  <w:tcW w:w="3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间断</w:t>
                  </w:r>
                </w:p>
              </w:tc>
              <w:tc>
                <w:tcPr>
                  <w:tcW w:w="1604" w:type="pct"/>
                  <w:vMerge w:val="restart"/>
                  <w:vAlign w:val="center"/>
                </w:tcPr>
                <w:p>
                  <w:pPr>
                    <w:spacing w:line="28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暂存于危险废物贮存间，定期交由有资质单位收集转运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0" w:type="pct"/>
                  <w:vMerge w:val="continue"/>
                  <w:vAlign w:val="center"/>
                </w:tcPr>
                <w:p>
                  <w:pPr>
                    <w:spacing w:line="280" w:lineRule="exact"/>
                    <w:jc w:val="center"/>
                    <w:rPr>
                      <w:rFonts w:ascii="Times New Roman" w:hAnsi="Times New Roman" w:eastAsia="宋体" w:cs="Times New Roman"/>
                      <w:bCs/>
                      <w:color w:val="auto"/>
                      <w:szCs w:val="21"/>
                    </w:rPr>
                  </w:pPr>
                </w:p>
              </w:tc>
              <w:tc>
                <w:tcPr>
                  <w:tcW w:w="290" w:type="pct"/>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S9</w:t>
                  </w:r>
                </w:p>
              </w:tc>
              <w:tc>
                <w:tcPr>
                  <w:tcW w:w="601" w:type="pct"/>
                  <w:vMerge w:val="continue"/>
                  <w:vAlign w:val="center"/>
                </w:tcPr>
                <w:p>
                  <w:pPr>
                    <w:spacing w:line="280" w:lineRule="exact"/>
                    <w:jc w:val="center"/>
                    <w:rPr>
                      <w:rFonts w:hint="default" w:ascii="Times New Roman" w:hAnsi="Times New Roman" w:eastAsia="宋体" w:cs="Times New Roman"/>
                      <w:bCs/>
                      <w:color w:val="auto"/>
                      <w:szCs w:val="21"/>
                      <w:lang w:val="en-US" w:eastAsia="zh-CN"/>
                    </w:rPr>
                  </w:pPr>
                </w:p>
              </w:tc>
              <w:tc>
                <w:tcPr>
                  <w:tcW w:w="60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废油桶</w:t>
                  </w:r>
                </w:p>
              </w:tc>
              <w:tc>
                <w:tcPr>
                  <w:tcW w:w="6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废油桶</w:t>
                  </w:r>
                </w:p>
              </w:tc>
              <w:tc>
                <w:tcPr>
                  <w:tcW w:w="590" w:type="pct"/>
                  <w:vMerge w:val="continue"/>
                  <w:vAlign w:val="center"/>
                </w:tcPr>
                <w:p>
                  <w:pPr>
                    <w:spacing w:line="280" w:lineRule="exact"/>
                    <w:jc w:val="center"/>
                    <w:rPr>
                      <w:rFonts w:hint="eastAsia" w:ascii="Times New Roman" w:hAnsi="Times New Roman" w:eastAsia="宋体" w:cs="Times New Roman"/>
                      <w:bCs/>
                      <w:color w:val="auto"/>
                      <w:szCs w:val="21"/>
                      <w:lang w:val="en-US" w:eastAsia="zh-CN"/>
                    </w:rPr>
                  </w:pPr>
                </w:p>
              </w:tc>
              <w:tc>
                <w:tcPr>
                  <w:tcW w:w="391" w:type="pct"/>
                  <w:vAlign w:val="center"/>
                </w:tcPr>
                <w:p>
                  <w:pPr>
                    <w:spacing w:line="280" w:lineRule="exact"/>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间断</w:t>
                  </w:r>
                </w:p>
              </w:tc>
              <w:tc>
                <w:tcPr>
                  <w:tcW w:w="1604" w:type="pct"/>
                  <w:vMerge w:val="continue"/>
                  <w:vAlign w:val="center"/>
                </w:tcPr>
                <w:p>
                  <w:pPr>
                    <w:spacing w:line="280" w:lineRule="exact"/>
                    <w:jc w:val="center"/>
                    <w:rPr>
                      <w:rFonts w:hint="eastAsia" w:ascii="Times New Roman" w:hAnsi="Times New Roman" w:cs="Times New Roman"/>
                      <w:color w:val="auto"/>
                      <w:lang w:val="en-US" w:eastAsia="zh-CN"/>
                    </w:rPr>
                  </w:pPr>
                </w:p>
              </w:tc>
            </w:tr>
          </w:tbl>
          <w:p>
            <w:pPr>
              <w:pStyle w:val="62"/>
              <w:numPr>
                <w:ilvl w:val="0"/>
                <w:numId w:val="0"/>
              </w:numPr>
              <w:adjustRightInd w:val="0"/>
              <w:snapToGrid w:val="0"/>
              <w:spacing w:line="240" w:lineRule="auto"/>
              <w:ind w:leftChars="0"/>
              <w:jc w:val="both"/>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 w:type="pct"/>
            <w:tcBorders>
              <w:top w:val="single" w:color="auto" w:sz="4" w:space="0"/>
              <w:left w:val="single" w:color="auto" w:sz="8" w:space="0"/>
              <w:bottom w:val="single" w:color="auto" w:sz="8" w:space="0"/>
              <w:right w:val="single" w:color="auto" w:sz="4" w:space="0"/>
            </w:tcBorders>
            <w:shd w:val="clear" w:color="auto" w:fill="auto"/>
            <w:vAlign w:val="center"/>
          </w:tcPr>
          <w:p>
            <w:pPr>
              <w:pStyle w:val="19"/>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4796" w:type="pct"/>
            <w:tcBorders>
              <w:top w:val="single" w:color="auto" w:sz="4" w:space="0"/>
              <w:left w:val="single" w:color="auto" w:sz="4" w:space="0"/>
              <w:bottom w:val="single" w:color="auto" w:sz="8" w:space="0"/>
              <w:right w:val="single" w:color="auto" w:sz="8" w:space="0"/>
            </w:tcBorders>
            <w:shd w:val="clear" w:color="auto" w:fill="auto"/>
            <w:vAlign w:val="top"/>
          </w:tcPr>
          <w:p>
            <w:pPr>
              <w:spacing w:line="360" w:lineRule="auto"/>
              <w:rPr>
                <w:rFonts w:hint="eastAsia" w:ascii="Times New Roman" w:hAnsi="Times New Roman" w:cs="Times New Roman" w:eastAsiaTheme="minorEastAsia"/>
                <w:color w:val="auto"/>
                <w:sz w:val="24"/>
                <w:lang w:eastAsia="zh-CN"/>
              </w:rPr>
            </w:pPr>
            <w:r>
              <w:rPr>
                <w:rFonts w:hint="default" w:ascii="Times New Roman" w:hAnsi="Times New Roman" w:cs="Times New Roman"/>
                <w:b/>
                <w:color w:val="auto"/>
                <w:sz w:val="24"/>
              </w:rPr>
              <w:t>与项目有关的原有污染情况及主要环境问题</w:t>
            </w:r>
            <w:r>
              <w:rPr>
                <w:rFonts w:hint="eastAsia" w:ascii="Times New Roman" w:hAnsi="Times New Roman" w:cs="Times New Roman"/>
                <w:b/>
                <w:color w:val="auto"/>
                <w:sz w:val="24"/>
                <w:lang w:eastAsia="zh-CN"/>
              </w:rPr>
              <w:t>：</w:t>
            </w:r>
          </w:p>
          <w:p>
            <w:pPr>
              <w:spacing w:line="360" w:lineRule="auto"/>
              <w:ind w:firstLine="480" w:firstLineChars="200"/>
              <w:rPr>
                <w:rFonts w:hint="default"/>
                <w:color w:val="auto"/>
                <w:lang w:val="en-US" w:eastAsia="zh-CN"/>
              </w:rPr>
            </w:pPr>
            <w:r>
              <w:rPr>
                <w:rFonts w:hint="eastAsia" w:ascii="Times New Roman" w:hAnsi="Times New Roman" w:eastAsia="宋体" w:cs="Times New Roman"/>
                <w:bCs/>
                <w:color w:val="auto"/>
                <w:sz w:val="24"/>
                <w:szCs w:val="24"/>
              </w:rPr>
              <w:t>依据《建设项目环境影响评价分类管理名录（2021年版）》（2020年11月30日生态环境部令第16号公布，自2021年1月1日起施行），承德市德德食品加工有限公司</w:t>
            </w:r>
            <w:r>
              <w:rPr>
                <w:rFonts w:hint="eastAsia" w:ascii="Times New Roman" w:hAnsi="Times New Roman" w:eastAsia="宋体" w:cs="Times New Roman"/>
                <w:bCs/>
                <w:color w:val="auto"/>
                <w:sz w:val="24"/>
                <w:szCs w:val="24"/>
                <w:lang w:val="en-US" w:eastAsia="zh-CN"/>
              </w:rPr>
              <w:t>属于十、农副食品加工业13-18屠宰及肉类加工-其他肉类加工，需进行环境影响评价，企业于2022年9月2日在建设项目环境影响登记表备案系统对半截塔镇牛羊副食品加工项目进行备案，项目建成后年产9600t产品（其中宠物粮8000t）。</w:t>
            </w:r>
          </w:p>
          <w:p>
            <w:pPr>
              <w:spacing w:line="360" w:lineRule="auto"/>
              <w:ind w:firstLine="480" w:firstLineChars="200"/>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根据现场勘查，不存在原有环境问题。</w:t>
            </w:r>
          </w:p>
          <w:p>
            <w:pPr>
              <w:pStyle w:val="29"/>
              <w:rPr>
                <w:rFonts w:hint="default" w:ascii="Times New Roman" w:hAnsi="Times New Roman" w:cs="Times New Roman"/>
                <w:bCs/>
                <w:color w:val="auto"/>
                <w:sz w:val="24"/>
                <w:lang w:val="en-US" w:eastAsia="zh-CN"/>
              </w:rPr>
            </w:pPr>
          </w:p>
          <w:p>
            <w:pPr>
              <w:rPr>
                <w:rFonts w:hint="default" w:ascii="Times New Roman" w:hAnsi="Times New Roman" w:cs="Times New Roman"/>
                <w:bCs/>
                <w:color w:val="auto"/>
                <w:sz w:val="24"/>
                <w:lang w:val="en-US" w:eastAsia="zh-CN"/>
              </w:rPr>
            </w:pPr>
          </w:p>
          <w:p>
            <w:pPr>
              <w:pStyle w:val="29"/>
              <w:rPr>
                <w:rFonts w:hint="default" w:ascii="Times New Roman" w:hAnsi="Times New Roman" w:cs="Times New Roman"/>
                <w:bCs/>
                <w:color w:val="auto"/>
                <w:sz w:val="24"/>
                <w:lang w:val="en-US" w:eastAsia="zh-CN"/>
              </w:rPr>
            </w:pPr>
          </w:p>
          <w:p>
            <w:pPr>
              <w:rPr>
                <w:rFonts w:hint="default" w:ascii="Times New Roman" w:hAnsi="Times New Roman" w:cs="Times New Roman"/>
                <w:bCs/>
                <w:color w:val="auto"/>
                <w:sz w:val="24"/>
                <w:lang w:val="en-US" w:eastAsia="zh-CN"/>
              </w:rPr>
            </w:pPr>
          </w:p>
          <w:p>
            <w:pPr>
              <w:spacing w:line="360" w:lineRule="auto"/>
              <w:rPr>
                <w:rFonts w:hint="default" w:ascii="Times New Roman" w:hAnsi="Times New Roman" w:cs="Times New Roman"/>
                <w:bCs/>
                <w:color w:val="auto"/>
                <w:szCs w:val="21"/>
              </w:rPr>
            </w:pPr>
          </w:p>
        </w:tc>
      </w:tr>
    </w:tbl>
    <w:p>
      <w:pPr>
        <w:rPr>
          <w:rFonts w:ascii="Times New Roman" w:hAnsi="Times New Roman" w:eastAsia="黑体" w:cs="Times New Roman"/>
          <w:snapToGrid w:val="0"/>
          <w:color w:val="auto"/>
          <w:sz w:val="36"/>
          <w:szCs w:val="36"/>
        </w:rPr>
        <w:sectPr>
          <w:pgSz w:w="11906" w:h="16838"/>
          <w:pgMar w:top="1702" w:right="1531" w:bottom="1702" w:left="1531" w:header="851" w:footer="851" w:gutter="0"/>
          <w:pgBorders>
            <w:top w:val="none" w:sz="0" w:space="0"/>
            <w:left w:val="none" w:sz="0" w:space="0"/>
            <w:bottom w:val="none" w:sz="0" w:space="0"/>
            <w:right w:val="none" w:sz="0" w:space="0"/>
          </w:pgBorders>
          <w:cols w:space="425" w:num="1"/>
          <w:docGrid w:type="lines" w:linePitch="312" w:charSpace="0"/>
        </w:sectPr>
      </w:pPr>
    </w:p>
    <w:p>
      <w:pPr>
        <w:pStyle w:val="19"/>
        <w:spacing w:beforeAutospacing="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23"/>
        <w:tblW w:w="92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456" w:type="dxa"/>
            <w:tcBorders>
              <w:top w:val="single" w:color="auto" w:sz="8"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区域</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环境</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质量</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现状</w:t>
            </w:r>
          </w:p>
        </w:tc>
        <w:tc>
          <w:tcPr>
            <w:tcW w:w="8752" w:type="dxa"/>
            <w:tcBorders>
              <w:top w:val="single" w:color="auto" w:sz="8" w:space="0"/>
              <w:left w:val="single" w:color="auto" w:sz="4" w:space="0"/>
              <w:bottom w:val="single" w:color="auto" w:sz="4" w:space="0"/>
              <w:right w:val="single" w:color="auto" w:sz="8" w:space="0"/>
            </w:tcBorders>
            <w:shd w:val="clear" w:color="auto" w:fill="auto"/>
            <w:vAlign w:val="center"/>
          </w:tcPr>
          <w:p>
            <w:pPr>
              <w:pStyle w:val="13"/>
              <w:snapToGrid w:val="0"/>
              <w:spacing w:before="156" w:beforeLines="50"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1、大气环境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（1）环境质量公报</w:t>
            </w:r>
          </w:p>
          <w:p>
            <w:pPr>
              <w:spacing w:line="360" w:lineRule="auto"/>
              <w:ind w:firstLine="480" w:firstLineChars="200"/>
              <w:rPr>
                <w:rFonts w:ascii="Times New Roman" w:hAnsi="Times New Roman" w:cs="Times New Roman"/>
                <w:color w:val="auto"/>
                <w:sz w:val="24"/>
              </w:rPr>
            </w:pPr>
            <w:r>
              <w:rPr>
                <w:rFonts w:hint="default" w:ascii="Times New Roman" w:hAnsi="Times New Roman" w:cs="Times New Roman"/>
                <w:color w:val="auto"/>
                <w:sz w:val="24"/>
                <w:szCs w:val="24"/>
              </w:rPr>
              <w:t>项目所在区域环境</w:t>
            </w:r>
            <w:r>
              <w:rPr>
                <w:rFonts w:ascii="Times New Roman" w:hAnsi="Times New Roman" w:cs="Times New Roman"/>
                <w:color w:val="auto"/>
                <w:sz w:val="24"/>
              </w:rPr>
              <w:t>空气质量执行《环境空气质量标准》（GB3095-2012）及其修改单中二级标准要求。本评价引用《202</w:t>
            </w:r>
            <w:r>
              <w:rPr>
                <w:rFonts w:hint="eastAsia" w:ascii="Times New Roman" w:hAnsi="Times New Roman" w:cs="Times New Roman"/>
                <w:color w:val="auto"/>
                <w:sz w:val="24"/>
                <w:lang w:val="en-US" w:eastAsia="zh-CN"/>
              </w:rPr>
              <w:t>2</w:t>
            </w:r>
            <w:r>
              <w:rPr>
                <w:rFonts w:ascii="Times New Roman" w:hAnsi="Times New Roman" w:cs="Times New Roman"/>
                <w:color w:val="auto"/>
                <w:sz w:val="24"/>
              </w:rPr>
              <w:t>年承德市生态环境状况公报》中</w:t>
            </w:r>
            <w:r>
              <w:rPr>
                <w:rFonts w:hint="eastAsia" w:ascii="Times New Roman" w:hAnsi="Times New Roman" w:cs="Times New Roman"/>
                <w:color w:val="auto"/>
                <w:sz w:val="24"/>
                <w:lang w:val="en-US" w:eastAsia="zh-CN"/>
              </w:rPr>
              <w:t>围场县</w:t>
            </w:r>
            <w:r>
              <w:rPr>
                <w:rFonts w:ascii="Times New Roman" w:hAnsi="Times New Roman" w:cs="Times New Roman"/>
                <w:color w:val="auto"/>
                <w:sz w:val="24"/>
              </w:rPr>
              <w:t>大气常规污染物中的SO</w:t>
            </w:r>
            <w:r>
              <w:rPr>
                <w:rFonts w:ascii="Times New Roman" w:hAnsi="Times New Roman" w:cs="Times New Roman"/>
                <w:color w:val="auto"/>
                <w:sz w:val="24"/>
                <w:vertAlign w:val="subscript"/>
              </w:rPr>
              <w:t>2</w:t>
            </w:r>
            <w:r>
              <w:rPr>
                <w:rFonts w:ascii="Times New Roman" w:hAnsi="Times New Roman" w:cs="Times New Roman"/>
                <w:color w:val="auto"/>
                <w:sz w:val="24"/>
              </w:rPr>
              <w:t>、CO、NO</w:t>
            </w:r>
            <w:r>
              <w:rPr>
                <w:rFonts w:ascii="Times New Roman" w:hAnsi="Times New Roman" w:cs="Times New Roman"/>
                <w:color w:val="auto"/>
                <w:sz w:val="24"/>
                <w:vertAlign w:val="subscript"/>
              </w:rPr>
              <w:t>2</w:t>
            </w:r>
            <w:r>
              <w:rPr>
                <w:rFonts w:ascii="Times New Roman" w:hAnsi="Times New Roman" w:cs="Times New Roman"/>
                <w:color w:val="auto"/>
                <w:sz w:val="24"/>
              </w:rPr>
              <w:t>、O</w:t>
            </w:r>
            <w:r>
              <w:rPr>
                <w:rFonts w:ascii="Times New Roman" w:hAnsi="Times New Roman" w:cs="Times New Roman"/>
                <w:color w:val="auto"/>
                <w:sz w:val="24"/>
                <w:vertAlign w:val="subscript"/>
              </w:rPr>
              <w:t>3</w:t>
            </w:r>
            <w:r>
              <w:rPr>
                <w:rFonts w:ascii="Times New Roman" w:hAnsi="Times New Roman" w:cs="Times New Roman"/>
                <w:color w:val="auto"/>
                <w:sz w:val="24"/>
              </w:rPr>
              <w:t>、PM</w:t>
            </w:r>
            <w:r>
              <w:rPr>
                <w:rFonts w:ascii="Times New Roman" w:hAnsi="Times New Roman" w:cs="Times New Roman"/>
                <w:color w:val="auto"/>
                <w:sz w:val="24"/>
                <w:vertAlign w:val="subscript"/>
              </w:rPr>
              <w:t>10</w:t>
            </w:r>
            <w:r>
              <w:rPr>
                <w:rFonts w:ascii="Times New Roman" w:hAnsi="Times New Roman" w:cs="Times New Roman"/>
                <w:color w:val="auto"/>
                <w:sz w:val="24"/>
              </w:rPr>
              <w:t>和PM</w:t>
            </w:r>
            <w:r>
              <w:rPr>
                <w:rFonts w:ascii="Times New Roman" w:hAnsi="Times New Roman" w:cs="Times New Roman"/>
                <w:color w:val="auto"/>
                <w:sz w:val="24"/>
                <w:vertAlign w:val="subscript"/>
              </w:rPr>
              <w:t>2.5</w:t>
            </w:r>
            <w:r>
              <w:rPr>
                <w:rFonts w:ascii="Times New Roman" w:hAnsi="Times New Roman" w:cs="Times New Roman"/>
                <w:color w:val="auto"/>
                <w:sz w:val="24"/>
              </w:rPr>
              <w:t>现状监测统计资料，来说明拟建地区的环境空气质量，监测结果见下表。</w:t>
            </w:r>
          </w:p>
          <w:p>
            <w:pPr>
              <w:pStyle w:val="62"/>
              <w:keepNext w:val="0"/>
              <w:keepLines w:val="0"/>
              <w:pageBreakBefore w:val="0"/>
              <w:widowControl w:val="0"/>
              <w:numPr>
                <w:ilvl w:val="0"/>
                <w:numId w:val="10"/>
              </w:numPr>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b/>
                <w:bCs/>
                <w:color w:val="auto"/>
                <w:szCs w:val="21"/>
              </w:rPr>
            </w:pPr>
            <w:r>
              <w:rPr>
                <w:rStyle w:val="26"/>
                <w:rFonts w:ascii="Times New Roman" w:hAnsi="Times New Roman" w:eastAsia="宋体"/>
                <w:color w:val="auto"/>
              </w:rPr>
              <w:t>202</w:t>
            </w:r>
            <w:r>
              <w:rPr>
                <w:rStyle w:val="26"/>
                <w:rFonts w:hint="eastAsia" w:ascii="Times New Roman" w:hAnsi="Times New Roman" w:eastAsia="宋体"/>
                <w:color w:val="auto"/>
                <w:lang w:val="en-US" w:eastAsia="zh-CN"/>
              </w:rPr>
              <w:t>2</w:t>
            </w:r>
            <w:r>
              <w:rPr>
                <w:rStyle w:val="26"/>
                <w:rFonts w:ascii="Times New Roman" w:hAnsi="Times New Roman" w:eastAsia="宋体"/>
                <w:color w:val="auto"/>
              </w:rPr>
              <w:t>年</w:t>
            </w:r>
            <w:r>
              <w:rPr>
                <w:rStyle w:val="26"/>
                <w:rFonts w:hint="eastAsia" w:ascii="Times New Roman" w:hAnsi="Times New Roman" w:eastAsia="宋体"/>
                <w:color w:val="auto"/>
                <w:lang w:val="en-US" w:eastAsia="zh-CN"/>
              </w:rPr>
              <w:t>围场县</w:t>
            </w:r>
            <w:r>
              <w:rPr>
                <w:rFonts w:ascii="Times New Roman" w:hAnsi="Times New Roman" w:eastAsia="宋体"/>
                <w:b/>
                <w:bCs/>
                <w:color w:val="auto"/>
                <w:szCs w:val="21"/>
              </w:rPr>
              <w:t>环境空气质量监测结果表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812"/>
              <w:gridCol w:w="812"/>
              <w:gridCol w:w="812"/>
              <w:gridCol w:w="812"/>
              <w:gridCol w:w="812"/>
              <w:gridCol w:w="817"/>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污染物名称</w:t>
                  </w:r>
                </w:p>
              </w:tc>
              <w:tc>
                <w:tcPr>
                  <w:tcW w:w="476"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PM</w:t>
                  </w:r>
                  <w:r>
                    <w:rPr>
                      <w:rFonts w:ascii="Times New Roman" w:hAnsi="Times New Roman" w:cs="Times New Roman"/>
                      <w:b/>
                      <w:bCs/>
                      <w:color w:val="auto"/>
                      <w:szCs w:val="21"/>
                      <w:vertAlign w:val="subscript"/>
                    </w:rPr>
                    <w:t>10</w:t>
                  </w:r>
                </w:p>
              </w:tc>
              <w:tc>
                <w:tcPr>
                  <w:tcW w:w="476"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PM</w:t>
                  </w:r>
                  <w:r>
                    <w:rPr>
                      <w:rFonts w:ascii="Times New Roman" w:hAnsi="Times New Roman" w:cs="Times New Roman"/>
                      <w:b/>
                      <w:bCs/>
                      <w:color w:val="auto"/>
                      <w:szCs w:val="21"/>
                      <w:vertAlign w:val="subscript"/>
                    </w:rPr>
                    <w:t>2.5</w:t>
                  </w:r>
                </w:p>
              </w:tc>
              <w:tc>
                <w:tcPr>
                  <w:tcW w:w="476"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SO</w:t>
                  </w:r>
                  <w:r>
                    <w:rPr>
                      <w:rFonts w:ascii="Times New Roman" w:hAnsi="Times New Roman" w:cs="Times New Roman"/>
                      <w:b/>
                      <w:bCs/>
                      <w:color w:val="auto"/>
                      <w:szCs w:val="21"/>
                      <w:vertAlign w:val="subscript"/>
                    </w:rPr>
                    <w:t>2</w:t>
                  </w:r>
                </w:p>
              </w:tc>
              <w:tc>
                <w:tcPr>
                  <w:tcW w:w="476"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NO</w:t>
                  </w:r>
                  <w:r>
                    <w:rPr>
                      <w:rFonts w:ascii="Times New Roman" w:hAnsi="Times New Roman" w:cs="Times New Roman"/>
                      <w:b/>
                      <w:bCs/>
                      <w:color w:val="auto"/>
                      <w:szCs w:val="21"/>
                      <w:vertAlign w:val="subscript"/>
                    </w:rPr>
                    <w:t>2</w:t>
                  </w:r>
                </w:p>
              </w:tc>
              <w:tc>
                <w:tcPr>
                  <w:tcW w:w="476"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CO</w:t>
                  </w:r>
                </w:p>
              </w:tc>
              <w:tc>
                <w:tcPr>
                  <w:tcW w:w="479"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O</w:t>
                  </w:r>
                  <w:r>
                    <w:rPr>
                      <w:rFonts w:ascii="Times New Roman" w:hAnsi="Times New Roman" w:cs="Times New Roman"/>
                      <w:b/>
                      <w:bCs/>
                      <w:color w:val="auto"/>
                      <w:szCs w:val="21"/>
                      <w:vertAlign w:val="subscript"/>
                    </w:rPr>
                    <w:t>3</w:t>
                  </w:r>
                </w:p>
              </w:tc>
              <w:tc>
                <w:tcPr>
                  <w:tcW w:w="1385" w:type="pct"/>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环境空气质量综合指数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年均值</w:t>
                  </w:r>
                </w:p>
              </w:tc>
              <w:tc>
                <w:tcPr>
                  <w:tcW w:w="476"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w:t>
                  </w:r>
                </w:p>
              </w:tc>
              <w:tc>
                <w:tcPr>
                  <w:tcW w:w="476"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476"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w:t>
                  </w:r>
                </w:p>
              </w:tc>
              <w:tc>
                <w:tcPr>
                  <w:tcW w:w="476"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476"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w:t>
                  </w:r>
                </w:p>
              </w:tc>
              <w:tc>
                <w:tcPr>
                  <w:tcW w:w="479"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131</w:t>
                  </w:r>
                </w:p>
              </w:tc>
              <w:tc>
                <w:tcPr>
                  <w:tcW w:w="1385" w:type="pct"/>
                  <w:vAlign w:val="center"/>
                </w:tcPr>
                <w:p>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标准（二级）</w:t>
                  </w:r>
                </w:p>
              </w:tc>
              <w:tc>
                <w:tcPr>
                  <w:tcW w:w="476"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70</w:t>
                  </w:r>
                </w:p>
              </w:tc>
              <w:tc>
                <w:tcPr>
                  <w:tcW w:w="476"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35</w:t>
                  </w:r>
                </w:p>
              </w:tc>
              <w:tc>
                <w:tcPr>
                  <w:tcW w:w="476"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60</w:t>
                  </w:r>
                </w:p>
              </w:tc>
              <w:tc>
                <w:tcPr>
                  <w:tcW w:w="476"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40</w:t>
                  </w:r>
                </w:p>
              </w:tc>
              <w:tc>
                <w:tcPr>
                  <w:tcW w:w="476"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4.0</w:t>
                  </w:r>
                </w:p>
              </w:tc>
              <w:tc>
                <w:tcPr>
                  <w:tcW w:w="479"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160</w:t>
                  </w:r>
                </w:p>
              </w:tc>
              <w:tc>
                <w:tcPr>
                  <w:tcW w:w="1385" w:type="pc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r>
          </w:tbl>
          <w:p>
            <w:pPr>
              <w:autoSpaceDE w:val="0"/>
              <w:autoSpaceDN w:val="0"/>
              <w:adjustRightInd w:val="0"/>
              <w:snapToGrid w:val="0"/>
              <w:spacing w:line="360" w:lineRule="auto"/>
              <w:rPr>
                <w:rFonts w:ascii="Times New Roman" w:hAnsi="Times New Roman" w:cs="Times New Roman"/>
                <w:b/>
                <w:color w:val="auto"/>
                <w:szCs w:val="21"/>
              </w:rPr>
            </w:pPr>
            <w:r>
              <w:rPr>
                <w:rFonts w:ascii="Times New Roman" w:hAnsi="Times New Roman" w:cs="Times New Roman"/>
                <w:b/>
                <w:color w:val="auto"/>
                <w:szCs w:val="21"/>
              </w:rPr>
              <w:t>注：1.CO的浓度单位是mg/m</w:t>
            </w:r>
            <w:r>
              <w:rPr>
                <w:rFonts w:ascii="Times New Roman" w:hAnsi="Times New Roman" w:cs="Times New Roman"/>
                <w:b/>
                <w:color w:val="auto"/>
                <w:szCs w:val="21"/>
                <w:vertAlign w:val="superscript"/>
              </w:rPr>
              <w:t>3</w:t>
            </w:r>
            <w:r>
              <w:rPr>
                <w:rFonts w:ascii="Times New Roman" w:hAnsi="Times New Roman" w:cs="Times New Roman"/>
                <w:b/>
                <w:color w:val="auto"/>
                <w:szCs w:val="21"/>
              </w:rPr>
              <w:t>，PM</w:t>
            </w:r>
            <w:r>
              <w:rPr>
                <w:rFonts w:ascii="Times New Roman" w:hAnsi="Times New Roman" w:cs="Times New Roman"/>
                <w:b/>
                <w:color w:val="auto"/>
                <w:szCs w:val="21"/>
                <w:vertAlign w:val="subscript"/>
              </w:rPr>
              <w:t>2.5</w:t>
            </w:r>
            <w:r>
              <w:rPr>
                <w:rFonts w:ascii="Times New Roman" w:hAnsi="Times New Roman" w:cs="Times New Roman"/>
                <w:b/>
                <w:color w:val="auto"/>
                <w:szCs w:val="21"/>
              </w:rPr>
              <w:t>、PM</w:t>
            </w:r>
            <w:r>
              <w:rPr>
                <w:rFonts w:ascii="Times New Roman" w:hAnsi="Times New Roman" w:cs="Times New Roman"/>
                <w:b/>
                <w:color w:val="auto"/>
                <w:szCs w:val="21"/>
                <w:vertAlign w:val="subscript"/>
              </w:rPr>
              <w:t>10</w:t>
            </w:r>
            <w:r>
              <w:rPr>
                <w:rFonts w:ascii="Times New Roman" w:hAnsi="Times New Roman" w:cs="Times New Roman"/>
                <w:b/>
                <w:color w:val="auto"/>
                <w:szCs w:val="21"/>
              </w:rPr>
              <w:t>、NO</w:t>
            </w:r>
            <w:r>
              <w:rPr>
                <w:rFonts w:ascii="Times New Roman" w:hAnsi="Times New Roman" w:cs="Times New Roman"/>
                <w:b/>
                <w:color w:val="auto"/>
                <w:szCs w:val="21"/>
                <w:vertAlign w:val="subscript"/>
              </w:rPr>
              <w:t>2</w:t>
            </w:r>
            <w:r>
              <w:rPr>
                <w:rFonts w:ascii="Times New Roman" w:hAnsi="Times New Roman" w:cs="Times New Roman"/>
                <w:b/>
                <w:color w:val="auto"/>
                <w:szCs w:val="21"/>
              </w:rPr>
              <w:t>、SO</w:t>
            </w:r>
            <w:r>
              <w:rPr>
                <w:rFonts w:ascii="Times New Roman" w:hAnsi="Times New Roman" w:cs="Times New Roman"/>
                <w:b/>
                <w:color w:val="auto"/>
                <w:szCs w:val="21"/>
                <w:vertAlign w:val="subscript"/>
              </w:rPr>
              <w:t>2</w:t>
            </w:r>
            <w:r>
              <w:rPr>
                <w:rFonts w:ascii="Times New Roman" w:hAnsi="Times New Roman" w:cs="Times New Roman"/>
                <w:b/>
                <w:color w:val="auto"/>
                <w:szCs w:val="21"/>
              </w:rPr>
              <w:t>、O</w:t>
            </w:r>
            <w:r>
              <w:rPr>
                <w:rFonts w:ascii="Times New Roman" w:hAnsi="Times New Roman" w:cs="Times New Roman"/>
                <w:b/>
                <w:color w:val="auto"/>
                <w:szCs w:val="21"/>
                <w:vertAlign w:val="subscript"/>
              </w:rPr>
              <w:t>3</w:t>
            </w:r>
            <w:r>
              <w:rPr>
                <w:rFonts w:ascii="Times New Roman" w:hAnsi="Times New Roman" w:cs="Times New Roman"/>
                <w:b/>
                <w:color w:val="auto"/>
                <w:szCs w:val="21"/>
              </w:rPr>
              <w:t>的浓度单位是μg/m</w:t>
            </w:r>
            <w:r>
              <w:rPr>
                <w:rFonts w:ascii="Times New Roman" w:hAnsi="Times New Roman" w:cs="Times New Roman"/>
                <w:b/>
                <w:color w:val="auto"/>
                <w:szCs w:val="21"/>
                <w:vertAlign w:val="superscript"/>
              </w:rPr>
              <w:t>3</w:t>
            </w:r>
            <w:r>
              <w:rPr>
                <w:rFonts w:ascii="Times New Roman" w:hAnsi="Times New Roman" w:cs="Times New Roman"/>
                <w:b/>
                <w:color w:val="auto"/>
                <w:szCs w:val="21"/>
              </w:rPr>
              <w:t>；2.CO为24小时平均第95百分位数，O</w:t>
            </w:r>
            <w:r>
              <w:rPr>
                <w:rFonts w:ascii="Times New Roman" w:hAnsi="Times New Roman" w:cs="Times New Roman"/>
                <w:b/>
                <w:color w:val="auto"/>
                <w:szCs w:val="21"/>
                <w:vertAlign w:val="subscript"/>
              </w:rPr>
              <w:t>3</w:t>
            </w:r>
            <w:r>
              <w:rPr>
                <w:rFonts w:ascii="Times New Roman" w:hAnsi="Times New Roman" w:cs="Times New Roman"/>
                <w:b/>
                <w:color w:val="auto"/>
                <w:szCs w:val="21"/>
              </w:rPr>
              <w:t>为日最大8小时平均第90百分位数。</w:t>
            </w:r>
          </w:p>
          <w:p>
            <w:pPr>
              <w:adjustRightInd w:val="0"/>
              <w:snapToGrid w:val="0"/>
              <w:spacing w:line="360" w:lineRule="auto"/>
              <w:ind w:firstLine="440" w:firstLineChars="200"/>
              <w:rPr>
                <w:rFonts w:ascii="Times New Roman" w:hAnsi="Times New Roman" w:cs="Times New Roman"/>
                <w:bCs/>
                <w:color w:val="auto"/>
                <w:spacing w:val="-10"/>
                <w:sz w:val="24"/>
              </w:rPr>
            </w:pPr>
            <w:r>
              <w:rPr>
                <w:rFonts w:ascii="Times New Roman" w:hAnsi="Times New Roman" w:cs="Times New Roman"/>
                <w:bCs/>
                <w:color w:val="auto"/>
                <w:spacing w:val="-10"/>
                <w:sz w:val="24"/>
              </w:rPr>
              <w:t>区域环境空气质量现状评价表见下表：</w:t>
            </w:r>
          </w:p>
          <w:p>
            <w:pPr>
              <w:pStyle w:val="62"/>
              <w:keepNext w:val="0"/>
              <w:keepLines w:val="0"/>
              <w:pageBreakBefore w:val="0"/>
              <w:widowControl w:val="0"/>
              <w:numPr>
                <w:ilvl w:val="0"/>
                <w:numId w:val="10"/>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6"/>
                <w:rFonts w:ascii="Times New Roman" w:hAnsi="Times New Roman" w:eastAsia="宋体"/>
                <w:color w:val="auto"/>
              </w:rPr>
            </w:pPr>
            <w:r>
              <w:rPr>
                <w:rStyle w:val="26"/>
                <w:rFonts w:ascii="Times New Roman" w:hAnsi="Times New Roman" w:eastAsia="宋体"/>
                <w:color w:val="auto"/>
              </w:rPr>
              <w:t>202</w:t>
            </w:r>
            <w:r>
              <w:rPr>
                <w:rStyle w:val="26"/>
                <w:rFonts w:hint="eastAsia" w:ascii="Times New Roman" w:hAnsi="Times New Roman" w:eastAsia="宋体"/>
                <w:color w:val="auto"/>
                <w:lang w:val="en-US" w:eastAsia="zh-CN"/>
              </w:rPr>
              <w:t>2</w:t>
            </w:r>
            <w:r>
              <w:rPr>
                <w:rStyle w:val="26"/>
                <w:rFonts w:ascii="Times New Roman" w:hAnsi="Times New Roman" w:eastAsia="宋体"/>
                <w:color w:val="auto"/>
              </w:rPr>
              <w:t>年区域环境空气质量现状评价表</w:t>
            </w:r>
          </w:p>
          <w:tbl>
            <w:tblPr>
              <w:tblStyle w:val="23"/>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1079"/>
              <w:gridCol w:w="1079"/>
              <w:gridCol w:w="1079"/>
              <w:gridCol w:w="1079"/>
              <w:gridCol w:w="1079"/>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环境空气质量综合指数</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PM</w:t>
                  </w:r>
                  <w:r>
                    <w:rPr>
                      <w:rFonts w:ascii="Times New Roman" w:hAnsi="Times New Roman" w:eastAsia="宋体" w:cs="Times New Roman"/>
                      <w:b/>
                      <w:bCs/>
                      <w:color w:val="auto"/>
                      <w:szCs w:val="21"/>
                      <w:vertAlign w:val="subscript"/>
                    </w:rPr>
                    <w:t>10</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PM</w:t>
                  </w:r>
                  <w:r>
                    <w:rPr>
                      <w:rFonts w:ascii="Times New Roman" w:hAnsi="Times New Roman" w:eastAsia="宋体" w:cs="Times New Roman"/>
                      <w:b/>
                      <w:bCs/>
                      <w:color w:val="auto"/>
                      <w:szCs w:val="21"/>
                      <w:vertAlign w:val="subscript"/>
                    </w:rPr>
                    <w:t>2.5</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SO</w:t>
                  </w:r>
                  <w:r>
                    <w:rPr>
                      <w:rFonts w:ascii="Times New Roman" w:hAnsi="Times New Roman" w:eastAsia="宋体" w:cs="Times New Roman"/>
                      <w:b/>
                      <w:bCs/>
                      <w:color w:val="auto"/>
                      <w:szCs w:val="21"/>
                      <w:vertAlign w:val="subscript"/>
                    </w:rPr>
                    <w:t>2</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NO</w:t>
                  </w:r>
                  <w:r>
                    <w:rPr>
                      <w:rFonts w:ascii="Times New Roman" w:hAnsi="Times New Roman" w:eastAsia="宋体" w:cs="Times New Roman"/>
                      <w:b/>
                      <w:bCs/>
                      <w:color w:val="auto"/>
                      <w:szCs w:val="21"/>
                      <w:vertAlign w:val="subscript"/>
                    </w:rPr>
                    <w:t>2</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CO</w:t>
                  </w:r>
                </w:p>
              </w:tc>
              <w:tc>
                <w:tcPr>
                  <w:tcW w:w="636" w:type="pct"/>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O</w:t>
                  </w:r>
                  <w:r>
                    <w:rPr>
                      <w:rFonts w:ascii="Times New Roman" w:hAnsi="Times New Roman" w:eastAsia="宋体" w:cs="Times New Roman"/>
                      <w:b/>
                      <w:bCs/>
                      <w:color w:val="auto"/>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pct"/>
                  <w:vAlign w:val="center"/>
                </w:tcPr>
                <w:p>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现状浓度（µg/m</w:t>
                  </w:r>
                  <w:r>
                    <w:rPr>
                      <w:rFonts w:ascii="Times New Roman" w:hAnsi="Times New Roman" w:eastAsia="宋体" w:cs="Times New Roman"/>
                      <w:color w:val="auto"/>
                      <w:kern w:val="0"/>
                      <w:szCs w:val="21"/>
                      <w:vertAlign w:val="superscript"/>
                    </w:rPr>
                    <w:t>3</w:t>
                  </w:r>
                  <w:r>
                    <w:rPr>
                      <w:rFonts w:ascii="Times New Roman" w:hAnsi="Times New Roman" w:eastAsia="宋体" w:cs="Times New Roman"/>
                      <w:color w:val="auto"/>
                      <w:kern w:val="0"/>
                      <w:szCs w:val="21"/>
                    </w:rPr>
                    <w:t>）</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42</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18</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9</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17</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0.8</w:t>
                  </w:r>
                </w:p>
              </w:tc>
              <w:tc>
                <w:tcPr>
                  <w:tcW w:w="1079" w:type="dxa"/>
                  <w:vAlign w:val="center"/>
                </w:tcPr>
                <w:p>
                  <w:pPr>
                    <w:widowControl/>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pct"/>
                  <w:vAlign w:val="center"/>
                </w:tcPr>
                <w:p>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标准值（µg/m</w:t>
                  </w:r>
                  <w:r>
                    <w:rPr>
                      <w:rFonts w:ascii="Times New Roman" w:hAnsi="Times New Roman" w:eastAsia="宋体" w:cs="Times New Roman"/>
                      <w:color w:val="auto"/>
                      <w:kern w:val="0"/>
                      <w:szCs w:val="21"/>
                      <w:vertAlign w:val="superscript"/>
                    </w:rPr>
                    <w:t>3</w:t>
                  </w:r>
                  <w:r>
                    <w:rPr>
                      <w:rFonts w:ascii="Times New Roman" w:hAnsi="Times New Roman" w:eastAsia="宋体" w:cs="Times New Roman"/>
                      <w:color w:val="auto"/>
                      <w:kern w:val="0"/>
                      <w:szCs w:val="21"/>
                    </w:rPr>
                    <w:t>）</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szCs w:val="21"/>
                    </w:rPr>
                    <w:t>70</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szCs w:val="21"/>
                    </w:rPr>
                    <w:t>35</w:t>
                  </w:r>
                </w:p>
              </w:tc>
              <w:tc>
                <w:tcPr>
                  <w:tcW w:w="636" w:type="pct"/>
                  <w:vAlign w:val="center"/>
                </w:tcPr>
                <w:p>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60</w:t>
                  </w:r>
                </w:p>
              </w:tc>
              <w:tc>
                <w:tcPr>
                  <w:tcW w:w="636" w:type="pct"/>
                  <w:vAlign w:val="center"/>
                </w:tcPr>
                <w:p>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40</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szCs w:val="21"/>
                    </w:rPr>
                    <w:t>4.0</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pct"/>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占标率</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51.4%</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42.5%</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636"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pct"/>
                  <w:vAlign w:val="center"/>
                </w:tcPr>
                <w:p>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达标情况</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kern w:val="0"/>
                      <w:szCs w:val="21"/>
                    </w:rPr>
                    <w:t>达标</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kern w:val="0"/>
                      <w:szCs w:val="21"/>
                    </w:rPr>
                    <w:t>达标</w:t>
                  </w:r>
                </w:p>
              </w:tc>
              <w:tc>
                <w:tcPr>
                  <w:tcW w:w="636" w:type="pct"/>
                  <w:vAlign w:val="center"/>
                </w:tcPr>
                <w:p>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达标</w:t>
                  </w:r>
                </w:p>
              </w:tc>
              <w:tc>
                <w:tcPr>
                  <w:tcW w:w="636" w:type="pct"/>
                  <w:vAlign w:val="center"/>
                </w:tcPr>
                <w:p>
                  <w:pPr>
                    <w:widowControl/>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达标</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kern w:val="0"/>
                      <w:szCs w:val="21"/>
                    </w:rPr>
                    <w:t>达标</w:t>
                  </w:r>
                </w:p>
              </w:tc>
              <w:tc>
                <w:tcPr>
                  <w:tcW w:w="636" w:type="pct"/>
                  <w:vAlign w:val="center"/>
                </w:tcPr>
                <w:p>
                  <w:pPr>
                    <w:widowControl/>
                    <w:jc w:val="center"/>
                    <w:rPr>
                      <w:rFonts w:ascii="Times New Roman" w:hAnsi="Times New Roman" w:eastAsia="宋体" w:cs="Times New Roman"/>
                      <w:bCs/>
                      <w:color w:val="auto"/>
                      <w:kern w:val="0"/>
                      <w:szCs w:val="21"/>
                    </w:rPr>
                  </w:pPr>
                  <w:r>
                    <w:rPr>
                      <w:rFonts w:ascii="Times New Roman" w:hAnsi="Times New Roman" w:eastAsia="宋体" w:cs="Times New Roman"/>
                      <w:color w:val="auto"/>
                      <w:kern w:val="0"/>
                      <w:szCs w:val="21"/>
                    </w:rPr>
                    <w:t>达标</w:t>
                  </w:r>
                </w:p>
              </w:tc>
            </w:tr>
          </w:tbl>
          <w:p>
            <w:pPr>
              <w:spacing w:line="360" w:lineRule="auto"/>
              <w:ind w:firstLine="480" w:firstLineChars="200"/>
              <w:rPr>
                <w:rFonts w:ascii="Times New Roman" w:hAnsi="Times New Roman" w:cs="Times New Roman"/>
                <w:bCs/>
                <w:color w:val="auto"/>
                <w:sz w:val="24"/>
              </w:rPr>
            </w:pPr>
            <w:r>
              <w:rPr>
                <w:rFonts w:hint="default" w:ascii="Times New Roman" w:hAnsi="Times New Roman" w:cs="Times New Roman"/>
                <w:color w:val="auto"/>
                <w:sz w:val="24"/>
                <w:szCs w:val="24"/>
              </w:rPr>
              <w:t>由上表评价结果可知，</w:t>
            </w:r>
            <w:r>
              <w:rPr>
                <w:rFonts w:hint="eastAsia" w:ascii="Times New Roman" w:hAnsi="Times New Roman" w:cs="Times New Roman"/>
                <w:color w:val="auto"/>
                <w:sz w:val="24"/>
                <w:szCs w:val="24"/>
                <w:lang w:val="en-US" w:eastAsia="zh-CN"/>
              </w:rPr>
              <w:t>围场县</w:t>
            </w:r>
            <w:r>
              <w:rPr>
                <w:rFonts w:hint="default" w:ascii="Times New Roman" w:hAnsi="Times New Roman" w:cs="Times New Roman"/>
                <w:color w:val="auto"/>
                <w:sz w:val="24"/>
                <w:szCs w:val="24"/>
              </w:rPr>
              <w:t>环境空气质量中PM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、CO、O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六项常规污染物监测结果中：SO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的年平均质量浓度、NO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的年平均质量浓度、CO24小时平均浓度第95百分位数、PM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年平均质量浓度、PM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的年平均质量浓度、O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日最大8小时平均浓度达标。则根据上述分析结果判定：项目所在区域为达标</w:t>
            </w:r>
            <w:r>
              <w:rPr>
                <w:rFonts w:hint="default" w:ascii="Times New Roman" w:hAnsi="Times New Roman" w:cs="Times New Roman"/>
                <w:bCs/>
                <w:color w:val="auto"/>
                <w:sz w:val="24"/>
              </w:rPr>
              <w:t>区。</w:t>
            </w:r>
          </w:p>
          <w:p>
            <w:pPr>
              <w:spacing w:line="360" w:lineRule="auto"/>
              <w:ind w:firstLine="480" w:firstLineChars="200"/>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为进一步了解项目区环境空气质量现状，</w:t>
            </w:r>
            <w:r>
              <w:rPr>
                <w:rFonts w:hint="eastAsia" w:ascii="Times New Roman" w:hAnsi="Times New Roman" w:cs="Times New Roman"/>
                <w:color w:val="auto"/>
                <w:sz w:val="24"/>
                <w:szCs w:val="24"/>
                <w:lang w:val="en-US" w:eastAsia="zh-CN"/>
              </w:rPr>
              <w:t>参考2022年11月7日-2022年11月13日</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承德泓辉双合淀粉有限公司粉条白酒、40吨小时蒸汽锅炉粉渣饲料、变性淀粉建设项目</w:t>
            </w:r>
            <w:r>
              <w:rPr>
                <w:rFonts w:hint="eastAsia" w:ascii="Times New Roman" w:hAnsi="Times New Roman" w:cs="Times New Roman"/>
                <w:color w:val="auto"/>
                <w:sz w:val="24"/>
                <w:szCs w:val="24"/>
              </w:rPr>
              <w:t>环境质量现状</w:t>
            </w:r>
            <w:r>
              <w:rPr>
                <w:rFonts w:hint="eastAsia" w:ascii="Times New Roman" w:hAnsi="Times New Roman" w:cs="Times New Roman"/>
                <w:color w:val="auto"/>
                <w:sz w:val="24"/>
                <w:szCs w:val="24"/>
                <w:lang w:eastAsia="zh-CN"/>
              </w:rPr>
              <w:t>检测</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中对TSP进行的监测，承德泓辉双合淀粉有限公司粉条白酒、40吨小时蒸汽锅炉粉渣饲料、变性淀粉建设项目位于本项目厂区东侧350m，满足引用要求，监测结果见下表：</w:t>
            </w:r>
          </w:p>
          <w:p>
            <w:pPr>
              <w:pStyle w:val="62"/>
              <w:keepNext w:val="0"/>
              <w:keepLines w:val="0"/>
              <w:pageBreakBefore w:val="0"/>
              <w:widowControl w:val="0"/>
              <w:numPr>
                <w:ilvl w:val="0"/>
                <w:numId w:val="10"/>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6"/>
                <w:rFonts w:hint="default" w:ascii="Times New Roman" w:hAnsi="Times New Roman" w:eastAsia="宋体" w:cs="Times New Roman"/>
                <w:color w:val="auto"/>
              </w:rPr>
            </w:pPr>
            <w:r>
              <w:rPr>
                <w:rStyle w:val="26"/>
                <w:rFonts w:hint="default" w:ascii="Times New Roman" w:hAnsi="Times New Roman" w:eastAsia="宋体" w:cs="Times New Roman"/>
                <w:color w:val="auto"/>
              </w:rPr>
              <w:t>环境空气质量现状监测与统计结果</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1595"/>
              <w:gridCol w:w="1264"/>
              <w:gridCol w:w="887"/>
              <w:gridCol w:w="1013"/>
              <w:gridCol w:w="1054"/>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38"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935"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监测日期</w:t>
                  </w:r>
                </w:p>
              </w:tc>
              <w:tc>
                <w:tcPr>
                  <w:tcW w:w="741"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浓度值</w:t>
                  </w:r>
                </w:p>
              </w:tc>
              <w:tc>
                <w:tcPr>
                  <w:tcW w:w="520"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p>
              </w:tc>
              <w:tc>
                <w:tcPr>
                  <w:tcW w:w="594"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618"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超标率</w:t>
                  </w:r>
                </w:p>
                <w:p>
                  <w:pPr>
                    <w:widowControl/>
                    <w:tabs>
                      <w:tab w:val="center" w:pos="4252"/>
                    </w:tabs>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850"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单因子标准指数（%）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3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总悬浮颗粒物</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24小时平均值</w:t>
                  </w:r>
                </w:p>
              </w:tc>
              <w:tc>
                <w:tcPr>
                  <w:tcW w:w="9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2022.11.07</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85</w:t>
                  </w:r>
                </w:p>
              </w:tc>
              <w:tc>
                <w:tcPr>
                  <w:tcW w:w="520"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300</w:t>
                  </w:r>
                </w:p>
              </w:tc>
              <w:tc>
                <w:tcPr>
                  <w:tcW w:w="5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8"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38"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2022.11.08</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81</w:t>
                  </w:r>
                </w:p>
              </w:tc>
              <w:tc>
                <w:tcPr>
                  <w:tcW w:w="520"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300</w:t>
                  </w:r>
                </w:p>
              </w:tc>
              <w:tc>
                <w:tcPr>
                  <w:tcW w:w="5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8"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38"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2022.11.09</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90</w:t>
                  </w:r>
                </w:p>
              </w:tc>
              <w:tc>
                <w:tcPr>
                  <w:tcW w:w="520"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300</w:t>
                  </w:r>
                </w:p>
              </w:tc>
              <w:tc>
                <w:tcPr>
                  <w:tcW w:w="5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8"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38"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2022.11.10</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84</w:t>
                  </w:r>
                </w:p>
              </w:tc>
              <w:tc>
                <w:tcPr>
                  <w:tcW w:w="520"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300</w:t>
                  </w:r>
                </w:p>
              </w:tc>
              <w:tc>
                <w:tcPr>
                  <w:tcW w:w="5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8"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38"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2022.11.11</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78</w:t>
                  </w:r>
                </w:p>
              </w:tc>
              <w:tc>
                <w:tcPr>
                  <w:tcW w:w="520"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300</w:t>
                  </w:r>
                </w:p>
              </w:tc>
              <w:tc>
                <w:tcPr>
                  <w:tcW w:w="5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8"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38"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2022.11.12</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88</w:t>
                  </w:r>
                </w:p>
              </w:tc>
              <w:tc>
                <w:tcPr>
                  <w:tcW w:w="520"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300</w:t>
                  </w:r>
                </w:p>
              </w:tc>
              <w:tc>
                <w:tcPr>
                  <w:tcW w:w="5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8"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38"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2022.11.13</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83</w:t>
                  </w:r>
                </w:p>
              </w:tc>
              <w:tc>
                <w:tcPr>
                  <w:tcW w:w="520"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300</w:t>
                  </w:r>
                </w:p>
              </w:tc>
              <w:tc>
                <w:tcPr>
                  <w:tcW w:w="5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8"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w:t>
                  </w:r>
                </w:p>
              </w:tc>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r>
          </w:tbl>
          <w:p>
            <w:pPr>
              <w:spacing w:line="360" w:lineRule="auto"/>
              <w:ind w:firstLine="422" w:firstLineChars="200"/>
              <w:rPr>
                <w:rFonts w:hint="eastAsia" w:ascii="Times New Roman" w:hAnsi="Times New Roman" w:cs="Times New Roman"/>
                <w:b/>
                <w:bCs/>
                <w:color w:val="auto"/>
                <w:sz w:val="21"/>
                <w:szCs w:val="21"/>
                <w:lang w:val="en-US" w:eastAsia="zh-CN"/>
              </w:rPr>
            </w:pPr>
            <w:r>
              <w:rPr>
                <w:rFonts w:hint="eastAsia"/>
                <w:b/>
                <w:bCs/>
                <w:color w:val="auto"/>
                <w:sz w:val="21"/>
                <w:szCs w:val="21"/>
                <w:lang w:eastAsia="zh-CN"/>
              </w:rPr>
              <w:t>备注：</w:t>
            </w:r>
            <w:r>
              <w:rPr>
                <w:rFonts w:hint="eastAsia"/>
                <w:b/>
                <w:bCs/>
                <w:color w:val="auto"/>
                <w:sz w:val="21"/>
                <w:szCs w:val="21"/>
                <w:lang w:val="en-US" w:eastAsia="zh-CN"/>
              </w:rPr>
              <w:t>“＜+数值”代表小于检出限。</w:t>
            </w:r>
          </w:p>
          <w:p>
            <w:pPr>
              <w:pStyle w:val="39"/>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根据上表监测结果，总悬浮颗粒物</w:t>
            </w:r>
            <w:r>
              <w:rPr>
                <w:rFonts w:hint="eastAsia" w:ascii="Times New Roman" w:hAnsi="Times New Roman" w:cs="Times New Roman"/>
                <w:color w:val="auto"/>
                <w:sz w:val="24"/>
                <w:highlight w:val="none"/>
                <w:lang w:val="en-US" w:eastAsia="zh-CN"/>
              </w:rPr>
              <w:t>监测24小时平均值</w:t>
            </w:r>
            <w:r>
              <w:rPr>
                <w:rFonts w:hint="default" w:ascii="Times New Roman" w:hAnsi="Times New Roman" w:cs="Times New Roman"/>
                <w:color w:val="auto"/>
                <w:sz w:val="24"/>
                <w:highlight w:val="none"/>
                <w:lang w:val="en-US" w:eastAsia="zh-CN"/>
              </w:rPr>
              <w:t>符合</w:t>
            </w:r>
            <w:r>
              <w:rPr>
                <w:rFonts w:hint="eastAsia" w:ascii="Times New Roman" w:hAnsi="Times New Roman" w:cs="Times New Roman"/>
                <w:color w:val="auto"/>
                <w:sz w:val="24"/>
                <w:highlight w:val="none"/>
                <w:lang w:val="en-US" w:eastAsia="zh-CN"/>
              </w:rPr>
              <w:t>《环境空气质量标准》（GB3095-2012）及其修改单（2018年8月13日）的二级标准</w:t>
            </w:r>
            <w:r>
              <w:rPr>
                <w:rFonts w:hint="default" w:ascii="Times New Roman" w:hAnsi="Times New Roman" w:cs="Times New Roman"/>
                <w:color w:val="auto"/>
                <w:sz w:val="24"/>
                <w:highlight w:val="none"/>
                <w:lang w:val="en-US" w:eastAsia="zh-CN"/>
              </w:rPr>
              <w:t>。</w:t>
            </w:r>
          </w:p>
          <w:p>
            <w:pPr>
              <w:pStyle w:val="3"/>
              <w:spacing w:before="0" w:after="0" w:line="360" w:lineRule="auto"/>
              <w:ind w:firstLine="482"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2、地表水环境</w:t>
            </w:r>
          </w:p>
          <w:p>
            <w:pPr>
              <w:pStyle w:val="39"/>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w:t>
            </w:r>
            <w:r>
              <w:rPr>
                <w:rFonts w:hint="eastAsia" w:ascii="Times New Roman" w:hAnsi="Times New Roman" w:cs="Times New Roman"/>
                <w:color w:val="auto"/>
                <w:sz w:val="24"/>
                <w:highlight w:val="none"/>
                <w:lang w:val="en-US" w:eastAsia="zh-CN"/>
              </w:rPr>
              <w:t>南侧90m为蚁蚂吐河，蚁蚂吐河为伊逊河主要支流</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根据</w:t>
            </w:r>
            <w:r>
              <w:rPr>
                <w:rFonts w:ascii="Times New Roman" w:hAnsi="Times New Roman" w:cs="Times New Roman"/>
                <w:color w:val="auto"/>
                <w:sz w:val="24"/>
                <w:highlight w:val="none"/>
              </w:rPr>
              <w:t>《202</w:t>
            </w:r>
            <w:r>
              <w:rPr>
                <w:rFonts w:hint="eastAsia" w:ascii="Times New Roman" w:hAnsi="Times New Roman" w:cs="Times New Roman"/>
                <w:color w:val="auto"/>
                <w:sz w:val="24"/>
                <w:highlight w:val="none"/>
                <w:lang w:val="en-US" w:eastAsia="zh-CN"/>
              </w:rPr>
              <w:t>2</w:t>
            </w:r>
            <w:r>
              <w:rPr>
                <w:rFonts w:ascii="Times New Roman" w:hAnsi="Times New Roman" w:cs="Times New Roman"/>
                <w:color w:val="auto"/>
                <w:sz w:val="24"/>
                <w:highlight w:val="none"/>
              </w:rPr>
              <w:t>年承德市生态环境状况公报》</w:t>
            </w:r>
            <w:r>
              <w:rPr>
                <w:rFonts w:hint="default" w:ascii="Times New Roman" w:hAnsi="Times New Roman" w:cs="Times New Roman"/>
                <w:color w:val="auto"/>
                <w:sz w:val="24"/>
                <w:highlight w:val="none"/>
                <w:lang w:val="en-US" w:eastAsia="zh-CN"/>
              </w:rPr>
              <w:t>，伊逊河是滦河的一级支流，发源于围场县塞罕坝机械林场千层板，流经围场县、隆化县、滦平县、双滦区，于双滦区大龙庙村汇入滦河，河长236.55公里，流域面积6734平方公里，共布设地表水常规监测断面2个。2022年，唐三营、李台断面水质类别均为</w:t>
            </w:r>
            <w:r>
              <w:rPr>
                <w:rFonts w:hint="eastAsia" w:ascii="Times New Roman" w:hAnsi="Times New Roman" w:cs="Times New Roman"/>
                <w:color w:val="auto"/>
                <w:sz w:val="24"/>
                <w:highlight w:val="none"/>
                <w:lang w:val="en-US" w:eastAsia="zh-CN"/>
              </w:rPr>
              <w:t>II</w:t>
            </w:r>
            <w:r>
              <w:rPr>
                <w:rFonts w:hint="default" w:ascii="Times New Roman" w:hAnsi="Times New Roman" w:cs="Times New Roman"/>
                <w:color w:val="auto"/>
                <w:sz w:val="24"/>
                <w:highlight w:val="none"/>
                <w:lang w:val="en-US" w:eastAsia="zh-CN"/>
              </w:rPr>
              <w:t>类。伊逊河流域总体水质状况为优，与2021年相比水环境质量有明显改善。</w:t>
            </w:r>
          </w:p>
          <w:p>
            <w:pPr>
              <w:pStyle w:val="62"/>
              <w:keepNext w:val="0"/>
              <w:keepLines w:val="0"/>
              <w:pageBreakBefore w:val="0"/>
              <w:widowControl w:val="0"/>
              <w:numPr>
                <w:ilvl w:val="0"/>
                <w:numId w:val="10"/>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6"/>
                <w:rFonts w:ascii="Times New Roman" w:hAnsi="Times New Roman" w:eastAsia="宋体"/>
                <w:color w:val="auto"/>
                <w:highlight w:val="none"/>
              </w:rPr>
            </w:pPr>
            <w:r>
              <w:rPr>
                <w:rStyle w:val="26"/>
                <w:rFonts w:hint="default" w:ascii="Times New Roman" w:hAnsi="Times New Roman" w:eastAsia="宋体"/>
                <w:color w:val="auto"/>
                <w:highlight w:val="none"/>
                <w:lang w:val="en-US" w:eastAsia="zh-CN"/>
              </w:rPr>
              <w:t>20</w:t>
            </w:r>
            <w:r>
              <w:rPr>
                <w:rStyle w:val="26"/>
                <w:rFonts w:hint="eastAsia" w:ascii="Times New Roman" w:hAnsi="Times New Roman" w:eastAsia="宋体"/>
                <w:color w:val="auto"/>
                <w:highlight w:val="none"/>
                <w:lang w:val="en-US" w:eastAsia="zh-CN"/>
              </w:rPr>
              <w:t>22年伊逊河监测评价表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69"/>
              <w:gridCol w:w="1772"/>
              <w:gridCol w:w="899"/>
              <w:gridCol w:w="926"/>
              <w:gridCol w:w="1540"/>
              <w:gridCol w:w="132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b/>
                      <w:bCs w:val="0"/>
                      <w:color w:val="auto"/>
                      <w:kern w:val="2"/>
                      <w:sz w:val="21"/>
                      <w:szCs w:val="21"/>
                      <w:highlight w:val="none"/>
                      <w:lang w:val="en-US" w:eastAsia="zh-CN" w:bidi="ar"/>
                    </w:rPr>
                    <w:t>河流名称</w:t>
                  </w:r>
                </w:p>
              </w:tc>
              <w:tc>
                <w:tcPr>
                  <w:tcW w:w="10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b/>
                      <w:bCs w:val="0"/>
                      <w:color w:val="auto"/>
                      <w:kern w:val="2"/>
                      <w:sz w:val="21"/>
                      <w:szCs w:val="21"/>
                      <w:highlight w:val="none"/>
                      <w:lang w:val="en-US" w:eastAsia="zh-CN" w:bidi="ar"/>
                    </w:rPr>
                    <w:t>断面名称</w:t>
                  </w:r>
                </w:p>
              </w:tc>
              <w:tc>
                <w:tcPr>
                  <w:tcW w:w="275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b/>
                      <w:bCs w:val="0"/>
                      <w:color w:val="auto"/>
                      <w:kern w:val="2"/>
                      <w:sz w:val="21"/>
                      <w:szCs w:val="21"/>
                      <w:highlight w:val="none"/>
                      <w:lang w:val="en-US" w:eastAsia="zh-CN" w:bidi="ar"/>
                    </w:rPr>
                    <w:t>各监测断面水质情况</w:t>
                  </w:r>
                </w:p>
              </w:tc>
              <w:tc>
                <w:tcPr>
                  <w:tcW w:w="58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b/>
                      <w:bCs w:val="0"/>
                      <w:color w:val="auto"/>
                      <w:kern w:val="2"/>
                      <w:sz w:val="21"/>
                      <w:szCs w:val="21"/>
                      <w:highlight w:val="none"/>
                      <w:lang w:val="en-US" w:eastAsia="zh-CN" w:bidi="ar"/>
                    </w:rPr>
                    <w:t>河流水质状况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color w:val="auto"/>
                      <w:sz w:val="24"/>
                      <w:szCs w:val="24"/>
                      <w:highlight w:val="none"/>
                    </w:rPr>
                  </w:pPr>
                </w:p>
              </w:tc>
              <w:tc>
                <w:tcPr>
                  <w:tcW w:w="10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color w:val="auto"/>
                      <w:sz w:val="24"/>
                      <w:szCs w:val="24"/>
                      <w:highlight w:val="none"/>
                    </w:rPr>
                  </w:pP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highlight w:val="none"/>
                    </w:rPr>
                  </w:pPr>
                  <w:r>
                    <w:rPr>
                      <w:rFonts w:hint="default" w:ascii="Times New Roman" w:hAnsi="Times New Roman" w:eastAsia="宋体" w:cs="Times New Roman"/>
                      <w:b/>
                      <w:bCs w:val="0"/>
                      <w:color w:val="auto"/>
                      <w:kern w:val="2"/>
                      <w:sz w:val="21"/>
                      <w:szCs w:val="21"/>
                      <w:highlight w:val="none"/>
                      <w:lang w:val="en-US" w:eastAsia="zh-CN" w:bidi="ar"/>
                    </w:rPr>
                    <w:t>20</w:t>
                  </w:r>
                  <w:r>
                    <w:rPr>
                      <w:rFonts w:hint="eastAsia" w:ascii="Times New Roman" w:hAnsi="Times New Roman" w:eastAsia="宋体" w:cs="Times New Roman"/>
                      <w:b/>
                      <w:bCs w:val="0"/>
                      <w:color w:val="auto"/>
                      <w:kern w:val="2"/>
                      <w:sz w:val="21"/>
                      <w:szCs w:val="21"/>
                      <w:highlight w:val="none"/>
                      <w:lang w:val="en-US" w:eastAsia="zh-CN" w:bidi="ar"/>
                    </w:rPr>
                    <w:t>21</w:t>
                  </w:r>
                  <w:r>
                    <w:rPr>
                      <w:rFonts w:hint="eastAsia" w:ascii="宋体" w:hAnsi="宋体" w:eastAsia="宋体" w:cs="宋体"/>
                      <w:b/>
                      <w:bCs w:val="0"/>
                      <w:color w:val="auto"/>
                      <w:kern w:val="2"/>
                      <w:sz w:val="21"/>
                      <w:szCs w:val="21"/>
                      <w:highlight w:val="none"/>
                      <w:lang w:val="en-US" w:eastAsia="zh-CN" w:bidi="ar"/>
                    </w:rPr>
                    <w:t>年</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highlight w:val="none"/>
                    </w:rPr>
                  </w:pPr>
                  <w:r>
                    <w:rPr>
                      <w:rFonts w:hint="default" w:ascii="Times New Roman" w:hAnsi="Times New Roman" w:eastAsia="宋体" w:cs="Times New Roman"/>
                      <w:b/>
                      <w:bCs w:val="0"/>
                      <w:color w:val="auto"/>
                      <w:kern w:val="2"/>
                      <w:sz w:val="21"/>
                      <w:szCs w:val="21"/>
                      <w:highlight w:val="none"/>
                      <w:lang w:val="en-US" w:eastAsia="zh-CN" w:bidi="ar"/>
                    </w:rPr>
                    <w:t>20</w:t>
                  </w:r>
                  <w:r>
                    <w:rPr>
                      <w:rFonts w:hint="eastAsia" w:ascii="Times New Roman" w:hAnsi="Times New Roman" w:eastAsia="宋体" w:cs="Times New Roman"/>
                      <w:b/>
                      <w:bCs w:val="0"/>
                      <w:color w:val="auto"/>
                      <w:kern w:val="2"/>
                      <w:sz w:val="21"/>
                      <w:szCs w:val="21"/>
                      <w:highlight w:val="none"/>
                      <w:lang w:val="en-US" w:eastAsia="zh-CN" w:bidi="ar"/>
                    </w:rPr>
                    <w:t>22</w:t>
                  </w:r>
                  <w:r>
                    <w:rPr>
                      <w:rFonts w:hint="eastAsia" w:ascii="宋体" w:hAnsi="宋体" w:eastAsia="宋体" w:cs="宋体"/>
                      <w:b/>
                      <w:bCs w:val="0"/>
                      <w:color w:val="auto"/>
                      <w:kern w:val="2"/>
                      <w:sz w:val="21"/>
                      <w:szCs w:val="21"/>
                      <w:highlight w:val="none"/>
                      <w:lang w:val="en-US" w:eastAsia="zh-CN" w:bidi="ar"/>
                    </w:rPr>
                    <w:t>年</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b/>
                      <w:bCs w:val="0"/>
                      <w:color w:val="auto"/>
                      <w:kern w:val="2"/>
                      <w:sz w:val="21"/>
                      <w:szCs w:val="21"/>
                      <w:highlight w:val="none"/>
                      <w:lang w:val="en-US" w:eastAsia="zh-CN" w:bidi="ar"/>
                    </w:rPr>
                    <w:t>水质达标情况</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b/>
                      <w:bCs w:val="0"/>
                      <w:color w:val="auto"/>
                      <w:kern w:val="2"/>
                      <w:sz w:val="21"/>
                      <w:szCs w:val="21"/>
                      <w:highlight w:val="none"/>
                      <w:lang w:val="en-US" w:eastAsia="zh-CN" w:bidi="ar"/>
                    </w:rPr>
                    <w:t>主要污染物</w:t>
                  </w:r>
                </w:p>
              </w:tc>
              <w:tc>
                <w:tcPr>
                  <w:tcW w:w="58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27" w:type="pct"/>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伊逊河</w:t>
                  </w:r>
                </w:p>
              </w:tc>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唐三营</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III</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II</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达标</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w:t>
                  </w:r>
                </w:p>
              </w:tc>
              <w:tc>
                <w:tcPr>
                  <w:tcW w:w="582" w:type="pct"/>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27" w:type="pct"/>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color w:val="auto"/>
                      <w:kern w:val="2"/>
                      <w:sz w:val="21"/>
                      <w:szCs w:val="21"/>
                      <w:highlight w:val="none"/>
                      <w:lang w:val="en-US" w:eastAsia="zh-CN" w:bidi="ar"/>
                    </w:rPr>
                  </w:pPr>
                </w:p>
              </w:tc>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李台</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highlight w:val="none"/>
                      <w:lang w:val="en-US" w:eastAsia="zh-CN"/>
                    </w:rPr>
                    <w:t>III</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1" w:after="0" w:afterAutospacing="1"/>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II</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highlight w:val="none"/>
                      <w:lang w:val="en-US" w:eastAsia="zh-CN"/>
                    </w:rPr>
                    <w:t>达标</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highlight w:val="none"/>
                      <w:lang w:val="en-US" w:eastAsia="zh-CN"/>
                    </w:rPr>
                    <w:t>/</w:t>
                  </w:r>
                </w:p>
              </w:tc>
              <w:tc>
                <w:tcPr>
                  <w:tcW w:w="582" w:type="pct"/>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color w:val="auto"/>
                      <w:kern w:val="2"/>
                      <w:sz w:val="21"/>
                      <w:szCs w:val="21"/>
                      <w:highlight w:val="none"/>
                      <w:lang w:val="en-US" w:eastAsia="zh-CN" w:bidi="ar"/>
                    </w:rPr>
                  </w:pPr>
                </w:p>
              </w:tc>
            </w:tr>
          </w:tbl>
          <w:p>
            <w:pPr>
              <w:adjustRightInd w:val="0"/>
              <w:snapToGrid w:val="0"/>
              <w:spacing w:before="156" w:beforeLines="50" w:line="360" w:lineRule="auto"/>
              <w:ind w:firstLine="482"/>
              <w:rPr>
                <w:rFonts w:ascii="Times New Roman" w:hAnsi="Times New Roman" w:cs="Times New Roman"/>
                <w:b/>
                <w:bCs/>
                <w:color w:val="auto"/>
                <w:sz w:val="24"/>
              </w:rPr>
            </w:pPr>
            <w:r>
              <w:rPr>
                <w:rFonts w:ascii="Times New Roman" w:hAnsi="Times New Roman" w:cs="Times New Roman"/>
                <w:b/>
                <w:bCs/>
                <w:color w:val="auto"/>
                <w:sz w:val="24"/>
              </w:rPr>
              <w:t>3、地下水环境</w:t>
            </w:r>
          </w:p>
          <w:p>
            <w:pPr>
              <w:adjustRightInd w:val="0"/>
              <w:snapToGrid w:val="0"/>
              <w:spacing w:line="360" w:lineRule="auto"/>
              <w:ind w:firstLine="482"/>
              <w:rPr>
                <w:rFonts w:ascii="Times New Roman" w:hAnsi="Times New Roman" w:cs="Times New Roman"/>
                <w:b/>
                <w:bCs/>
                <w:color w:val="auto"/>
                <w:sz w:val="24"/>
              </w:rPr>
            </w:pPr>
            <w:r>
              <w:rPr>
                <w:rFonts w:ascii="Times New Roman" w:hAnsi="Times New Roman" w:cs="Times New Roman"/>
                <w:snapToGrid w:val="0"/>
                <w:color w:val="auto"/>
                <w:kern w:val="0"/>
                <w:sz w:val="24"/>
              </w:rPr>
              <w:t>根据工程分析，本项目不涉及地下水污染源</w:t>
            </w:r>
            <w:r>
              <w:rPr>
                <w:rFonts w:hint="eastAsia" w:ascii="Times New Roman" w:hAnsi="Times New Roman" w:cs="Times New Roman"/>
                <w:snapToGrid w:val="0"/>
                <w:color w:val="auto"/>
                <w:kern w:val="0"/>
                <w:sz w:val="24"/>
                <w:lang w:eastAsia="zh-CN"/>
              </w:rPr>
              <w:t>，</w:t>
            </w:r>
            <w:r>
              <w:rPr>
                <w:rFonts w:hint="eastAsia" w:ascii="Times New Roman" w:hAnsi="Times New Roman" w:cs="Times New Roman"/>
                <w:snapToGrid w:val="0"/>
                <w:color w:val="auto"/>
                <w:kern w:val="0"/>
                <w:sz w:val="24"/>
                <w:lang w:val="en-US" w:eastAsia="zh-CN"/>
              </w:rPr>
              <w:t>厂区地面均已硬化，不存在</w:t>
            </w:r>
            <w:r>
              <w:rPr>
                <w:rFonts w:ascii="Times New Roman" w:hAnsi="Times New Roman" w:cs="Times New Roman"/>
                <w:snapToGrid w:val="0"/>
                <w:color w:val="auto"/>
                <w:kern w:val="0"/>
                <w:sz w:val="24"/>
              </w:rPr>
              <w:t>地下水环境污染途径，不开展环境质量现状调查。</w:t>
            </w:r>
          </w:p>
          <w:p>
            <w:pPr>
              <w:adjustRightInd w:val="0"/>
              <w:snapToGrid w:val="0"/>
              <w:spacing w:line="360" w:lineRule="auto"/>
              <w:ind w:firstLine="482"/>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4、声环境</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厂界外周边50米范围内</w:t>
            </w:r>
            <w:r>
              <w:rPr>
                <w:rFonts w:ascii="Times New Roman" w:hAnsi="Times New Roman" w:cs="Times New Roman"/>
                <w:color w:val="auto"/>
                <w:sz w:val="24"/>
              </w:rPr>
              <w:t>不存在声环境保护目标。</w:t>
            </w:r>
          </w:p>
          <w:p>
            <w:pPr>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5、土壤环境</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cs="Times New Roman"/>
                <w:snapToGrid w:val="0"/>
                <w:color w:val="auto"/>
                <w:kern w:val="0"/>
                <w:sz w:val="24"/>
                <w:lang w:val="en-US" w:eastAsia="zh-CN"/>
              </w:rPr>
              <w:t>厂区地面均已硬化，不开展环境质量现状调查。</w:t>
            </w:r>
          </w:p>
          <w:p>
            <w:pPr>
              <w:spacing w:line="360" w:lineRule="auto"/>
              <w:ind w:firstLine="482" w:firstLineChars="200"/>
              <w:rPr>
                <w:rFonts w:ascii="Times New Roman" w:hAnsi="Times New Roman" w:cs="Times New Roman"/>
                <w:b/>
                <w:bCs/>
                <w:color w:val="auto"/>
                <w:kern w:val="0"/>
                <w:sz w:val="24"/>
              </w:rPr>
            </w:pPr>
            <w:r>
              <w:rPr>
                <w:rFonts w:ascii="Times New Roman" w:hAnsi="Times New Roman" w:cs="Times New Roman"/>
                <w:b/>
                <w:bCs/>
                <w:color w:val="auto"/>
                <w:kern w:val="0"/>
                <w:sz w:val="24"/>
              </w:rPr>
              <w:t>6、生态环境</w:t>
            </w:r>
          </w:p>
          <w:p>
            <w:pPr>
              <w:spacing w:line="360" w:lineRule="auto"/>
              <w:ind w:firstLine="480" w:firstLineChars="200"/>
              <w:rPr>
                <w:rFonts w:hint="eastAsia" w:ascii="Times New Roman" w:hAnsi="Times New Roman" w:cs="Times New Roman"/>
                <w:color w:val="auto"/>
                <w:kern w:val="0"/>
                <w:sz w:val="24"/>
                <w:lang w:eastAsia="zh-CN"/>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在现有厂区内进行建设，无新增占地，</w:t>
            </w:r>
            <w:r>
              <w:rPr>
                <w:rFonts w:ascii="Times New Roman" w:hAnsi="Times New Roman" w:eastAsia="宋体" w:cs="Times New Roman"/>
                <w:color w:val="auto"/>
                <w:sz w:val="24"/>
                <w:szCs w:val="24"/>
              </w:rPr>
              <w:t>所在区域内不存在自然保护区、世界文化和自然遗产地等特殊生态敏感区，也不存在风景名胜区、森林公园、地质公园、重要湿地、原始天然林、珍稀濒危野生动植物天然集中分布区、重要水生生物的自然产卵场及索饵场、越冬场和洄游通道、天然渔场等重要生态敏感区，</w:t>
            </w:r>
            <w:r>
              <w:rPr>
                <w:rFonts w:ascii="Times New Roman" w:hAnsi="Times New Roman" w:cs="Times New Roman"/>
                <w:color w:val="auto"/>
                <w:kern w:val="0"/>
                <w:sz w:val="24"/>
              </w:rPr>
              <w:t>不开展生态现状调查</w:t>
            </w:r>
            <w:r>
              <w:rPr>
                <w:rFonts w:hint="eastAsia" w:ascii="Times New Roman" w:hAnsi="Times New Roman" w:cs="Times New Roman"/>
                <w:color w:val="auto"/>
                <w:kern w:val="0"/>
                <w:sz w:val="24"/>
                <w:lang w:eastAsia="zh-CN"/>
              </w:rPr>
              <w:t>。</w:t>
            </w:r>
          </w:p>
          <w:p>
            <w:pPr>
              <w:spacing w:line="360" w:lineRule="auto"/>
              <w:ind w:firstLine="480" w:firstLineChars="200"/>
              <w:rPr>
                <w:rFonts w:ascii="Times New Roman" w:hAnsi="Times New Roman" w:cs="Times New Roman"/>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8" w:hRule="atLeast"/>
          <w:jc w:val="center"/>
        </w:trPr>
        <w:tc>
          <w:tcPr>
            <w:tcW w:w="456"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环境</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保护</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目标</w:t>
            </w:r>
          </w:p>
        </w:tc>
        <w:tc>
          <w:tcPr>
            <w:tcW w:w="8752" w:type="dxa"/>
            <w:tcBorders>
              <w:top w:val="single" w:color="auto" w:sz="4" w:space="0"/>
              <w:left w:val="single" w:color="auto" w:sz="4" w:space="0"/>
              <w:bottom w:val="single" w:color="auto" w:sz="4" w:space="0"/>
              <w:right w:val="single" w:color="auto" w:sz="8" w:space="0"/>
            </w:tcBorders>
            <w:shd w:val="clear" w:color="auto" w:fill="auto"/>
            <w:vAlign w:val="center"/>
          </w:tcPr>
          <w:p>
            <w:pPr>
              <w:snapToGrid w:val="0"/>
              <w:spacing w:before="156" w:beforeLines="50" w:line="360" w:lineRule="auto"/>
              <w:rPr>
                <w:rFonts w:ascii="Times New Roman" w:hAnsi="Times New Roman" w:eastAsia="宋体" w:cs="Times New Roman"/>
                <w:b/>
                <w:bCs/>
                <w:color w:val="auto"/>
                <w:kern w:val="0"/>
                <w:sz w:val="24"/>
              </w:rPr>
            </w:pPr>
            <w:r>
              <w:rPr>
                <w:rFonts w:ascii="Times New Roman" w:hAnsi="Times New Roman" w:eastAsia="宋体" w:cs="Times New Roman"/>
                <w:b/>
                <w:bCs/>
                <w:color w:val="auto"/>
                <w:kern w:val="0"/>
                <w:sz w:val="24"/>
              </w:rPr>
              <w:t>主要环境保护目标</w:t>
            </w:r>
          </w:p>
          <w:p>
            <w:pPr>
              <w:widowControl/>
              <w:adjustRightInd w:val="0"/>
              <w:snapToGrid w:val="0"/>
              <w:spacing w:line="360" w:lineRule="auto"/>
              <w:ind w:firstLine="480" w:firstLineChars="200"/>
              <w:rPr>
                <w:rFonts w:hint="eastAsia" w:ascii="Times New Roman" w:hAnsi="Times New Roman" w:cs="Times New Roman"/>
                <w:color w:val="auto"/>
                <w:sz w:val="24"/>
              </w:rPr>
            </w:pPr>
            <w:r>
              <w:rPr>
                <w:rFonts w:ascii="Times New Roman" w:hAnsi="Times New Roman" w:cs="Times New Roman"/>
                <w:color w:val="auto"/>
                <w:sz w:val="24"/>
              </w:rPr>
              <w:t>项目厂界外</w:t>
            </w:r>
            <w:r>
              <w:rPr>
                <w:rFonts w:hint="eastAsia" w:ascii="Times New Roman" w:hAnsi="Times New Roman" w:cs="Times New Roman"/>
                <w:color w:val="auto"/>
                <w:sz w:val="24"/>
                <w:lang w:val="en-US" w:eastAsia="zh-CN"/>
              </w:rPr>
              <w:t>500k</w:t>
            </w:r>
            <w:r>
              <w:rPr>
                <w:rFonts w:ascii="Times New Roman" w:hAnsi="Times New Roman" w:cs="Times New Roman"/>
                <w:color w:val="auto"/>
                <w:sz w:val="24"/>
              </w:rPr>
              <w:t>m范围内无自然保护区、风景名胜区、文化区；项目厂界外50m范围内无声环境保护目标；项目厂界外500m范围内无地下水集中式饮用水水源和热水、矿泉水、温泉等特殊地下水资源；项目用地范围内不含特殊生态敏感区、重要生态敏感区。</w:t>
            </w:r>
          </w:p>
          <w:p>
            <w:pPr>
              <w:pStyle w:val="62"/>
              <w:keepNext w:val="0"/>
              <w:keepLines w:val="0"/>
              <w:pageBreakBefore w:val="0"/>
              <w:widowControl w:val="0"/>
              <w:numPr>
                <w:ilvl w:val="0"/>
                <w:numId w:val="10"/>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6"/>
                <w:rFonts w:hint="default" w:ascii="Times New Roman" w:hAnsi="Times New Roman" w:eastAsia="宋体" w:cs="Times New Roman"/>
                <w:color w:val="auto"/>
                <w:highlight w:val="none"/>
                <w:lang w:val="en-US" w:eastAsia="zh-CN"/>
              </w:rPr>
            </w:pPr>
            <w:r>
              <w:rPr>
                <w:rStyle w:val="26"/>
                <w:rFonts w:hint="default" w:ascii="Times New Roman" w:hAnsi="Times New Roman" w:eastAsia="宋体" w:cs="Times New Roman"/>
                <w:color w:val="auto"/>
                <w:highlight w:val="none"/>
                <w:lang w:val="en-US" w:eastAsia="zh-CN"/>
              </w:rPr>
              <w:t>环境保护目标</w:t>
            </w:r>
          </w:p>
          <w:tbl>
            <w:tblPr>
              <w:tblStyle w:val="23"/>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98"/>
              <w:gridCol w:w="1317"/>
              <w:gridCol w:w="1238"/>
              <w:gridCol w:w="720"/>
              <w:gridCol w:w="698"/>
              <w:gridCol w:w="579"/>
              <w:gridCol w:w="710"/>
              <w:gridCol w:w="816"/>
              <w:gridCol w:w="17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0" w:type="pct"/>
                  <w:vMerge w:val="restart"/>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环境要素</w:t>
                  </w:r>
                </w:p>
              </w:tc>
              <w:tc>
                <w:tcPr>
                  <w:tcW w:w="1500" w:type="pct"/>
                  <w:gridSpan w:val="2"/>
                  <w:tcBorders>
                    <w:righ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位置坐标</w:t>
                  </w:r>
                </w:p>
              </w:tc>
              <w:tc>
                <w:tcPr>
                  <w:tcW w:w="423" w:type="pct"/>
                  <w:vMerge w:val="restart"/>
                  <w:tcBorders>
                    <w:lef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410" w:type="pct"/>
                  <w:vMerge w:val="restart"/>
                  <w:tcBorders>
                    <w:righ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保护内容</w:t>
                  </w:r>
                </w:p>
              </w:tc>
              <w:tc>
                <w:tcPr>
                  <w:tcW w:w="340" w:type="pct"/>
                  <w:vMerge w:val="restart"/>
                  <w:tcBorders>
                    <w:left w:val="single" w:color="auto" w:sz="4" w:space="0"/>
                    <w:righ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环境功能区划</w:t>
                  </w:r>
                </w:p>
              </w:tc>
              <w:tc>
                <w:tcPr>
                  <w:tcW w:w="417" w:type="pct"/>
                  <w:vMerge w:val="restart"/>
                  <w:tcBorders>
                    <w:lef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相对方位</w:t>
                  </w:r>
                </w:p>
              </w:tc>
              <w:tc>
                <w:tcPr>
                  <w:tcW w:w="479" w:type="pct"/>
                  <w:vMerge w:val="restart"/>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相对距离(m)</w:t>
                  </w:r>
                </w:p>
              </w:tc>
              <w:tc>
                <w:tcPr>
                  <w:tcW w:w="1018" w:type="pct"/>
                  <w:vMerge w:val="restart"/>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环境质量标准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0" w:type="pct"/>
                  <w:vMerge w:val="continue"/>
                  <w:tcBorders>
                    <w:bottom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773" w:type="pct"/>
                  <w:tcBorders>
                    <w:bottom w:val="single" w:color="auto" w:sz="4" w:space="0"/>
                    <w:righ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E</w:t>
                  </w:r>
                </w:p>
              </w:tc>
              <w:tc>
                <w:tcPr>
                  <w:tcW w:w="727" w:type="pct"/>
                  <w:tcBorders>
                    <w:left w:val="single" w:color="auto" w:sz="4" w:space="0"/>
                    <w:bottom w:val="single" w:color="auto" w:sz="4" w:space="0"/>
                    <w:righ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N</w:t>
                  </w:r>
                </w:p>
              </w:tc>
              <w:tc>
                <w:tcPr>
                  <w:tcW w:w="423" w:type="pct"/>
                  <w:vMerge w:val="continue"/>
                  <w:tcBorders>
                    <w:left w:val="single" w:color="auto" w:sz="4" w:space="0"/>
                    <w:bottom w:val="single" w:color="auto" w:sz="8"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410" w:type="pct"/>
                  <w:vMerge w:val="continue"/>
                  <w:tcBorders>
                    <w:bottom w:val="single" w:color="auto" w:sz="8" w:space="0"/>
                    <w:righ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eastAsia="zh-CN"/>
                    </w:rPr>
                  </w:pPr>
                </w:p>
              </w:tc>
              <w:tc>
                <w:tcPr>
                  <w:tcW w:w="340" w:type="pct"/>
                  <w:vMerge w:val="continue"/>
                  <w:tcBorders>
                    <w:left w:val="single" w:color="auto" w:sz="4" w:space="0"/>
                    <w:bottom w:val="single" w:color="auto" w:sz="8" w:space="0"/>
                    <w:righ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eastAsia="zh-CN"/>
                    </w:rPr>
                  </w:pPr>
                </w:p>
              </w:tc>
              <w:tc>
                <w:tcPr>
                  <w:tcW w:w="417" w:type="pct"/>
                  <w:vMerge w:val="continue"/>
                  <w:tcBorders>
                    <w:left w:val="single" w:color="auto" w:sz="4" w:space="0"/>
                    <w:bottom w:val="single" w:color="auto" w:sz="8"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479" w:type="pct"/>
                  <w:vMerge w:val="continue"/>
                  <w:tcBorders>
                    <w:bottom w:val="single" w:color="auto" w:sz="8"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018" w:type="pct"/>
                  <w:vMerge w:val="continue"/>
                  <w:tcBorders>
                    <w:bottom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0" w:type="pct"/>
                  <w:tcBorders>
                    <w:top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环境</w:t>
                  </w:r>
                </w:p>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空气</w:t>
                  </w:r>
                </w:p>
              </w:tc>
              <w:tc>
                <w:tcPr>
                  <w:tcW w:w="773" w:type="pct"/>
                  <w:tcBorders>
                    <w:top w:val="single" w:color="auto" w:sz="4" w:space="0"/>
                    <w:bottom w:val="single" w:color="auto" w:sz="8"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117.420236</w:t>
                  </w:r>
                </w:p>
              </w:tc>
              <w:tc>
                <w:tcPr>
                  <w:tcW w:w="727" w:type="pct"/>
                  <w:tcBorders>
                    <w:top w:val="single" w:color="auto" w:sz="4" w:space="0"/>
                    <w:bottom w:val="single" w:color="auto" w:sz="8"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41.944392</w:t>
                  </w:r>
                </w:p>
              </w:tc>
              <w:tc>
                <w:tcPr>
                  <w:tcW w:w="423" w:type="pct"/>
                  <w:tcBorders>
                    <w:top w:val="single" w:color="auto" w:sz="4" w:space="0"/>
                    <w:bottom w:val="single" w:color="auto" w:sz="8"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燕格柏沟门</w:t>
                  </w:r>
                </w:p>
              </w:tc>
              <w:tc>
                <w:tcPr>
                  <w:tcW w:w="410" w:type="pct"/>
                  <w:tcBorders>
                    <w:top w:val="single" w:color="auto" w:sz="4" w:space="0"/>
                    <w:bottom w:val="single" w:color="auto" w:sz="8"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居民</w:t>
                  </w:r>
                </w:p>
              </w:tc>
              <w:tc>
                <w:tcPr>
                  <w:tcW w:w="340" w:type="pct"/>
                  <w:tcBorders>
                    <w:top w:val="single" w:color="auto" w:sz="4" w:space="0"/>
                    <w:bottom w:val="single" w:color="auto" w:sz="8"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二类区</w:t>
                  </w:r>
                </w:p>
              </w:tc>
              <w:tc>
                <w:tcPr>
                  <w:tcW w:w="417" w:type="pct"/>
                  <w:tcBorders>
                    <w:top w:val="single" w:color="auto" w:sz="4" w:space="0"/>
                    <w:bottom w:val="single" w:color="auto" w:sz="8"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w:t>
                  </w:r>
                </w:p>
              </w:tc>
              <w:tc>
                <w:tcPr>
                  <w:tcW w:w="479" w:type="pct"/>
                  <w:tcBorders>
                    <w:top w:val="single" w:color="auto" w:sz="4" w:space="0"/>
                    <w:bottom w:val="single" w:color="auto" w:sz="8"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170</w:t>
                  </w:r>
                </w:p>
              </w:tc>
              <w:tc>
                <w:tcPr>
                  <w:tcW w:w="1018" w:type="pct"/>
                  <w:tcBorders>
                    <w:top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《环境空气质量标准》（GB3095-2012）</w:t>
                  </w:r>
                  <w:r>
                    <w:rPr>
                      <w:rFonts w:hint="default" w:ascii="Times New Roman" w:hAnsi="Times New Roman" w:eastAsia="宋体" w:cs="Times New Roman"/>
                      <w:b w:val="0"/>
                      <w:bCs w:val="0"/>
                      <w:color w:val="auto"/>
                      <w:sz w:val="21"/>
                      <w:szCs w:val="21"/>
                      <w:highlight w:val="none"/>
                      <w:lang w:val="en-US" w:eastAsia="zh-CN"/>
                    </w:rPr>
                    <w:t>及其修改单中的</w:t>
                  </w:r>
                  <w:r>
                    <w:rPr>
                      <w:rFonts w:hint="default" w:ascii="Times New Roman" w:hAnsi="Times New Roman" w:eastAsia="宋体" w:cs="Times New Roman"/>
                      <w:b w:val="0"/>
                      <w:bCs w:val="0"/>
                      <w:color w:val="auto"/>
                      <w:sz w:val="21"/>
                      <w:szCs w:val="21"/>
                      <w:highlight w:val="none"/>
                    </w:rPr>
                    <w:t>二级</w:t>
                  </w:r>
                  <w:r>
                    <w:rPr>
                      <w:rFonts w:hint="default" w:ascii="Times New Roman" w:hAnsi="Times New Roman" w:eastAsia="宋体" w:cs="Times New Roman"/>
                      <w:b w:val="0"/>
                      <w:bCs w:val="0"/>
                      <w:color w:val="auto"/>
                      <w:sz w:val="21"/>
                      <w:szCs w:val="21"/>
                      <w:highlight w:val="none"/>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0" w:type="pct"/>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地表水</w:t>
                  </w:r>
                </w:p>
              </w:tc>
              <w:tc>
                <w:tcPr>
                  <w:tcW w:w="1500" w:type="pct"/>
                  <w:gridSpan w:val="2"/>
                  <w:tcBorders>
                    <w:righ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蚁蚂吐河</w:t>
                  </w:r>
                </w:p>
              </w:tc>
              <w:tc>
                <w:tcPr>
                  <w:tcW w:w="423" w:type="pct"/>
                  <w:tcBorders>
                    <w:lef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410" w:type="pct"/>
                  <w:tcBorders>
                    <w:righ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河流</w:t>
                  </w:r>
                </w:p>
              </w:tc>
              <w:tc>
                <w:tcPr>
                  <w:tcW w:w="340" w:type="pct"/>
                  <w:tcBorders>
                    <w:left w:val="single" w:color="auto" w:sz="4" w:space="0"/>
                    <w:righ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417" w:type="pct"/>
                  <w:tcBorders>
                    <w:left w:val="single" w:color="auto" w:sz="4" w:space="0"/>
                  </w:tcBorders>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S</w:t>
                  </w:r>
                </w:p>
              </w:tc>
              <w:tc>
                <w:tcPr>
                  <w:tcW w:w="479" w:type="pct"/>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90</w:t>
                  </w:r>
                </w:p>
              </w:tc>
              <w:tc>
                <w:tcPr>
                  <w:tcW w:w="1018" w:type="pct"/>
                  <w:noWrap w:val="0"/>
                  <w:vAlign w:val="center"/>
                </w:tcPr>
                <w:p>
                  <w:pPr>
                    <w:topLinePunct/>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《地表水环境质量标准》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GB3838-2002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Ⅲ类标准</w:t>
                  </w:r>
                </w:p>
              </w:tc>
            </w:tr>
          </w:tbl>
          <w:p>
            <w:pPr>
              <w:widowControl/>
              <w:adjustRightInd w:val="0"/>
              <w:snapToGrid w:val="0"/>
              <w:spacing w:line="360" w:lineRule="auto"/>
              <w:rPr>
                <w:rFonts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1" w:hRule="atLeast"/>
          <w:jc w:val="center"/>
        </w:trPr>
        <w:tc>
          <w:tcPr>
            <w:tcW w:w="456"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污染</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物排</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放控</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制标</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准</w:t>
            </w:r>
          </w:p>
        </w:tc>
        <w:tc>
          <w:tcPr>
            <w:tcW w:w="8752" w:type="dxa"/>
            <w:tcBorders>
              <w:top w:val="single" w:color="auto" w:sz="4" w:space="0"/>
              <w:left w:val="single" w:color="auto" w:sz="4" w:space="0"/>
              <w:bottom w:val="single" w:color="auto" w:sz="4" w:space="0"/>
              <w:right w:val="single" w:color="auto" w:sz="8" w:space="0"/>
            </w:tcBorders>
            <w:shd w:val="clear" w:color="auto" w:fill="auto"/>
            <w:vAlign w:val="center"/>
          </w:tcPr>
          <w:p>
            <w:pPr>
              <w:numPr>
                <w:ilvl w:val="0"/>
                <w:numId w:val="11"/>
              </w:numPr>
              <w:snapToGrid w:val="0"/>
              <w:spacing w:before="156" w:beforeLines="50" w:line="360" w:lineRule="auto"/>
              <w:ind w:firstLine="482" w:firstLineChars="200"/>
              <w:outlineLvl w:val="0"/>
              <w:rPr>
                <w:rFonts w:ascii="Times New Roman" w:hAnsi="Times New Roman" w:cs="Times New Roman"/>
                <w:b/>
                <w:color w:val="auto"/>
                <w:sz w:val="24"/>
              </w:rPr>
            </w:pPr>
            <w:r>
              <w:rPr>
                <w:rFonts w:ascii="Times New Roman" w:hAnsi="Times New Roman" w:cs="Times New Roman"/>
                <w:b/>
                <w:color w:val="auto"/>
                <w:sz w:val="24"/>
              </w:rPr>
              <w:t>大气污染物排放标准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施工期</w:t>
            </w:r>
            <w:r>
              <w:rPr>
                <w:rFonts w:hint="default" w:ascii="Times New Roman" w:hAnsi="Times New Roman" w:cs="Times New Roman"/>
                <w:color w:val="auto"/>
                <w:sz w:val="24"/>
              </w:rPr>
              <w:t>大气污染物中PM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执行《施工场地扬尘排放标准》</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DB13/2934-2019</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表1中的扬尘排放浓度限值</w:t>
            </w:r>
            <w:r>
              <w:rPr>
                <w:rFonts w:hint="default" w:ascii="Times New Roman" w:hAnsi="Times New Roman" w:cs="Times New Roman"/>
                <w:color w:val="auto"/>
                <w:kern w:val="0"/>
                <w:sz w:val="24"/>
              </w:rPr>
              <w:t>；</w:t>
            </w:r>
            <w:r>
              <w:rPr>
                <w:rFonts w:hint="default" w:ascii="Times New Roman" w:hAnsi="Times New Roman" w:cs="Times New Roman"/>
                <w:color w:val="auto"/>
                <w:sz w:val="24"/>
                <w:szCs w:val="24"/>
                <w:lang w:eastAsia="zh-CN"/>
              </w:rPr>
              <w:t>生产运行阶段</w:t>
            </w:r>
            <w:r>
              <w:rPr>
                <w:rFonts w:hint="default" w:ascii="Times New Roman" w:hAnsi="Times New Roman" w:cs="Times New Roman"/>
                <w:color w:val="auto"/>
                <w:sz w:val="24"/>
                <w:szCs w:val="24"/>
              </w:rPr>
              <w:t>锅炉废气</w:t>
            </w:r>
            <w:r>
              <w:rPr>
                <w:rFonts w:hint="default" w:ascii="Times New Roman" w:hAnsi="Times New Roman" w:cs="Times New Roman"/>
                <w:color w:val="auto"/>
                <w:sz w:val="24"/>
                <w:szCs w:val="24"/>
                <w:lang w:eastAsia="zh-CN"/>
              </w:rPr>
              <w:t>排放浓度</w:t>
            </w:r>
            <w:r>
              <w:rPr>
                <w:rFonts w:hint="default" w:ascii="Times New Roman" w:hAnsi="Times New Roman" w:cs="Times New Roman"/>
                <w:color w:val="auto"/>
                <w:sz w:val="24"/>
                <w:szCs w:val="24"/>
                <w:lang w:val="en-US" w:eastAsia="zh-CN"/>
              </w:rPr>
              <w:t>执行</w:t>
            </w:r>
            <w:r>
              <w:rPr>
                <w:rFonts w:hint="default" w:ascii="Times New Roman" w:hAnsi="Times New Roman" w:cs="Times New Roman"/>
                <w:color w:val="auto"/>
                <w:sz w:val="24"/>
                <w:szCs w:val="24"/>
              </w:rPr>
              <w:t>《锅炉大气污染物排放标准》（</w:t>
            </w:r>
            <w:r>
              <w:rPr>
                <w:rFonts w:hint="default" w:ascii="Times New Roman" w:hAnsi="Times New Roman" w:cs="Times New Roman"/>
                <w:color w:val="auto"/>
                <w:sz w:val="24"/>
                <w:szCs w:val="24"/>
                <w:lang w:val="en-US" w:eastAsia="zh-CN"/>
              </w:rPr>
              <w:t>DB13/5161-2020</w:t>
            </w:r>
            <w:r>
              <w:rPr>
                <w:rFonts w:hint="default" w:ascii="Times New Roman" w:hAnsi="Times New Roman" w:cs="Times New Roman"/>
                <w:color w:val="auto"/>
                <w:sz w:val="24"/>
                <w:szCs w:val="24"/>
              </w:rPr>
              <w:t>）中表</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中限值要求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lang w:val="en-US" w:eastAsia="zh-CN"/>
              </w:rPr>
              <w:t>无组织颗粒物执行</w:t>
            </w:r>
            <w:r>
              <w:rPr>
                <w:rFonts w:hint="default" w:ascii="Times New Roman" w:hAnsi="Times New Roman" w:cs="Times New Roman"/>
                <w:color w:val="auto"/>
                <w:sz w:val="24"/>
              </w:rPr>
              <w:t>《大气污染物综合排放标准》（GB16297-1996）表2中</w:t>
            </w:r>
            <w:r>
              <w:rPr>
                <w:rFonts w:hint="default" w:ascii="Times New Roman" w:hAnsi="Times New Roman" w:cs="Times New Roman"/>
                <w:color w:val="auto"/>
                <w:sz w:val="24"/>
                <w:lang w:val="en-US" w:eastAsia="zh-CN"/>
              </w:rPr>
              <w:t>无组织排放监控限值</w:t>
            </w:r>
            <w:r>
              <w:rPr>
                <w:rFonts w:hint="eastAsia" w:ascii="Times New Roman" w:hAnsi="Times New Roman" w:cs="Times New Roman"/>
                <w:color w:val="auto"/>
                <w:sz w:val="24"/>
                <w:lang w:val="en-US" w:eastAsia="zh-CN"/>
              </w:rPr>
              <w:t>；污水处理站氨、硫化氢、臭气浓度执行</w:t>
            </w:r>
            <w:r>
              <w:rPr>
                <w:rFonts w:hint="eastAsia" w:ascii="Times New Roman" w:hAnsi="Times New Roman" w:eastAsia="宋体" w:cs="Times New Roman"/>
                <w:color w:val="auto"/>
                <w:sz w:val="24"/>
                <w:szCs w:val="24"/>
                <w:lang w:eastAsia="zh-CN"/>
              </w:rPr>
              <w:t>《恶臭污染物排放标准》（GB14554-93）</w:t>
            </w:r>
            <w:r>
              <w:rPr>
                <w:rFonts w:hint="eastAsia" w:ascii="Times New Roman" w:hAnsi="Times New Roman" w:eastAsia="宋体" w:cs="Times New Roman"/>
                <w:color w:val="auto"/>
                <w:sz w:val="24"/>
                <w:szCs w:val="24"/>
                <w:lang w:val="en-US" w:eastAsia="zh-CN"/>
              </w:rPr>
              <w:t>表1</w:t>
            </w:r>
            <w:r>
              <w:rPr>
                <w:rFonts w:hint="eastAsia" w:ascii="Times New Roman" w:hAnsi="Times New Roman" w:cs="Times New Roman"/>
                <w:color w:val="auto"/>
                <w:sz w:val="24"/>
                <w:szCs w:val="24"/>
                <w:lang w:eastAsia="zh-CN"/>
              </w:rPr>
              <w:t>表2恶臭污染物排放标准值；</w:t>
            </w:r>
            <w:r>
              <w:rPr>
                <w:rFonts w:hint="default" w:ascii="Times New Roman" w:hAnsi="Times New Roman" w:cs="Times New Roman"/>
                <w:color w:val="auto"/>
                <w:sz w:val="24"/>
              </w:rPr>
              <w:t>具体标准限值详见下表：</w:t>
            </w:r>
          </w:p>
          <w:p>
            <w:pPr>
              <w:pStyle w:val="62"/>
              <w:keepNext w:val="0"/>
              <w:keepLines w:val="0"/>
              <w:pageBreakBefore w:val="0"/>
              <w:widowControl w:val="0"/>
              <w:numPr>
                <w:ilvl w:val="0"/>
                <w:numId w:val="10"/>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6"/>
                <w:rFonts w:hint="default" w:ascii="Times New Roman" w:hAnsi="Times New Roman" w:eastAsia="宋体"/>
                <w:color w:val="auto"/>
                <w:lang w:val="en-US" w:eastAsia="zh-CN"/>
              </w:rPr>
            </w:pPr>
            <w:r>
              <w:rPr>
                <w:rStyle w:val="26"/>
                <w:rFonts w:hint="default" w:ascii="Times New Roman" w:hAnsi="Times New Roman" w:eastAsia="宋体"/>
                <w:color w:val="auto"/>
                <w:lang w:val="en-US" w:eastAsia="zh-CN"/>
              </w:rPr>
              <w:t>大气污染物排放标准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897"/>
              <w:gridCol w:w="1183"/>
              <w:gridCol w:w="1003"/>
              <w:gridCol w:w="1185"/>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rPr>
                  </w:pPr>
                  <w:r>
                    <w:rPr>
                      <w:b/>
                      <w:color w:val="000000"/>
                      <w:szCs w:val="21"/>
                      <w:highlight w:val="none"/>
                    </w:rPr>
                    <w:t>时期</w:t>
                  </w:r>
                </w:p>
              </w:tc>
              <w:tc>
                <w:tcPr>
                  <w:tcW w:w="122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污染物</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标准值</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单位</w:t>
                  </w:r>
                </w:p>
              </w:tc>
              <w:tc>
                <w:tcPr>
                  <w:tcW w:w="19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1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施工期</w:t>
                  </w:r>
                </w:p>
              </w:tc>
              <w:tc>
                <w:tcPr>
                  <w:tcW w:w="1220" w:type="pct"/>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r>
                    <w:rPr>
                      <w:rFonts w:hint="default" w:ascii="Times New Roman" w:hAnsi="Times New Roman" w:cs="Times New Roman"/>
                      <w:b/>
                      <w:bCs/>
                      <w:color w:val="auto"/>
                      <w:sz w:val="21"/>
                      <w:szCs w:val="21"/>
                      <w:vertAlign w:val="baseline"/>
                      <w:lang w:val="en-US" w:eastAsia="zh-CN"/>
                    </w:rPr>
                    <w:t>*</w:t>
                  </w:r>
                </w:p>
              </w:tc>
              <w:tc>
                <w:tcPr>
                  <w:tcW w:w="588" w:type="pct"/>
                  <w:vAlign w:val="center"/>
                </w:tcPr>
                <w:p>
                  <w:pPr>
                    <w:topLinePunct/>
                    <w:adjustRightInd w:val="0"/>
                    <w:spacing w:line="0" w:lineRule="atLeast"/>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color w:val="auto"/>
                      <w:szCs w:val="21"/>
                    </w:rPr>
                    <w:t>80</w:t>
                  </w:r>
                </w:p>
              </w:tc>
              <w:tc>
                <w:tcPr>
                  <w:tcW w:w="695" w:type="pct"/>
                  <w:vAlign w:val="center"/>
                </w:tcPr>
                <w:p>
                  <w:pPr>
                    <w:topLinePunct/>
                    <w:adjustRightInd w:val="0"/>
                    <w:spacing w:line="0" w:lineRule="atLeast"/>
                    <w:jc w:val="center"/>
                    <w:textAlignment w:val="center"/>
                    <w:rPr>
                      <w:rFonts w:hint="default" w:ascii="Times New Roman" w:hAnsi="Times New Roman" w:cs="Times New Roman"/>
                      <w:b w:val="0"/>
                      <w:bCs/>
                      <w:color w:val="auto"/>
                      <w:sz w:val="21"/>
                      <w:szCs w:val="21"/>
                    </w:rPr>
                  </w:pPr>
                  <w:r>
                    <w:rPr>
                      <w:rFonts w:hint="default" w:ascii="Times New Roman" w:hAnsi="Times New Roman" w:cs="Times New Roman"/>
                      <w:color w:val="auto"/>
                      <w:szCs w:val="21"/>
                    </w:rPr>
                    <w:t>μg/m³</w:t>
                  </w:r>
                </w:p>
              </w:tc>
              <w:tc>
                <w:tcPr>
                  <w:tcW w:w="1979" w:type="pct"/>
                  <w:vMerge w:val="restart"/>
                  <w:vAlign w:val="center"/>
                </w:tcPr>
                <w:p>
                  <w:pPr>
                    <w:topLinePunct/>
                    <w:adjustRightInd w:val="0"/>
                    <w:spacing w:line="0" w:lineRule="atLeast"/>
                    <w:jc w:val="center"/>
                    <w:textAlignment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rPr>
                    <w:t>《施工场地扬尘排放标准》(DB13/2934-2019)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1220" w:type="pct"/>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588" w:type="pct"/>
                  <w:vAlign w:val="center"/>
                </w:tcPr>
                <w:p>
                  <w:pPr>
                    <w:topLinePunct/>
                    <w:adjustRightInd w:val="0"/>
                    <w:spacing w:line="0" w:lineRule="atLeast"/>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color w:val="auto"/>
                      <w:szCs w:val="21"/>
                      <w:lang w:val="en-US" w:eastAsia="zh-CN"/>
                    </w:rPr>
                    <w:t>≤2</w:t>
                  </w:r>
                </w:p>
              </w:tc>
              <w:tc>
                <w:tcPr>
                  <w:tcW w:w="695" w:type="pct"/>
                  <w:vAlign w:val="center"/>
                </w:tcPr>
                <w:p>
                  <w:pPr>
                    <w:topLinePunct/>
                    <w:adjustRightInd w:val="0"/>
                    <w:spacing w:line="0" w:lineRule="atLeast"/>
                    <w:jc w:val="center"/>
                    <w:textAlignment w:val="center"/>
                    <w:rPr>
                      <w:rFonts w:hint="default" w:ascii="Times New Roman" w:hAnsi="Times New Roman" w:cs="Times New Roman"/>
                      <w:b w:val="0"/>
                      <w:bCs/>
                      <w:color w:val="auto"/>
                      <w:sz w:val="21"/>
                      <w:szCs w:val="21"/>
                    </w:rPr>
                  </w:pPr>
                  <w:r>
                    <w:rPr>
                      <w:rFonts w:hint="default" w:ascii="Times New Roman" w:hAnsi="Times New Roman" w:cs="Times New Roman"/>
                      <w:color w:val="auto"/>
                      <w:szCs w:val="21"/>
                      <w:lang w:val="en-US" w:eastAsia="zh-CN"/>
                    </w:rPr>
                    <w:t>次/天</w:t>
                  </w:r>
                </w:p>
              </w:tc>
              <w:tc>
                <w:tcPr>
                  <w:tcW w:w="197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1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运行期</w:t>
                  </w:r>
                </w:p>
              </w:tc>
              <w:tc>
                <w:tcPr>
                  <w:tcW w:w="122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颗粒物</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eastAsia" w:ascii="Times New Roman" w:hAnsi="Times New Roman" w:cs="Times New Roman"/>
                      <w:b w:val="0"/>
                      <w:bCs/>
                      <w:color w:val="auto"/>
                      <w:sz w:val="21"/>
                      <w:szCs w:val="21"/>
                      <w:lang w:val="en-US" w:eastAsia="zh-CN"/>
                    </w:rPr>
                    <w:t>20</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197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《锅炉大气污染物排放标准》（</w:t>
                  </w:r>
                  <w:r>
                    <w:rPr>
                      <w:rFonts w:hint="default" w:ascii="Times New Roman" w:hAnsi="Times New Roman" w:cs="Times New Roman"/>
                      <w:b w:val="0"/>
                      <w:bCs/>
                      <w:color w:val="auto"/>
                      <w:sz w:val="21"/>
                      <w:szCs w:val="21"/>
                      <w:lang w:val="en-US" w:eastAsia="zh-CN"/>
                    </w:rPr>
                    <w:t>DB13/5161-2020</w:t>
                  </w:r>
                  <w:r>
                    <w:rPr>
                      <w:rFonts w:hint="default" w:ascii="Times New Roman" w:hAnsi="Times New Roman" w:cs="Times New Roman"/>
                      <w:b w:val="0"/>
                      <w:bCs/>
                      <w:color w:val="auto"/>
                      <w:sz w:val="21"/>
                      <w:szCs w:val="21"/>
                    </w:rPr>
                    <w:t>）中表</w:t>
                  </w:r>
                  <w:r>
                    <w:rPr>
                      <w:rFonts w:hint="default" w:ascii="Times New Roman" w:hAnsi="Times New Roman" w:cs="Times New Roman"/>
                      <w:b w:val="0"/>
                      <w:bCs/>
                      <w:color w:val="auto"/>
                      <w:sz w:val="21"/>
                      <w:szCs w:val="21"/>
                      <w:lang w:val="en-US" w:eastAsia="zh-CN"/>
                    </w:rPr>
                    <w:t>1</w:t>
                  </w:r>
                  <w:r>
                    <w:rPr>
                      <w:rFonts w:hint="default" w:ascii="Times New Roman" w:hAnsi="Times New Roman" w:cs="Times New Roman"/>
                      <w:b w:val="0"/>
                      <w:bCs/>
                      <w:color w:val="auto"/>
                      <w:sz w:val="21"/>
                      <w:szCs w:val="21"/>
                    </w:rPr>
                    <w:t>中限值要求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122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SO</w:t>
                  </w:r>
                  <w:r>
                    <w:rPr>
                      <w:rFonts w:hint="default" w:ascii="Times New Roman" w:hAnsi="Times New Roman" w:cs="Times New Roman"/>
                      <w:b w:val="0"/>
                      <w:bCs/>
                      <w:color w:val="auto"/>
                      <w:sz w:val="21"/>
                      <w:szCs w:val="21"/>
                      <w:vertAlign w:val="subscript"/>
                      <w:lang w:val="en-US" w:eastAsia="zh-CN"/>
                    </w:rPr>
                    <w:t>2</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eastAsia" w:ascii="Times New Roman" w:hAnsi="Times New Roman" w:cs="Times New Roman"/>
                      <w:b w:val="0"/>
                      <w:bCs/>
                      <w:color w:val="auto"/>
                      <w:spacing w:val="-2"/>
                      <w:sz w:val="21"/>
                      <w:szCs w:val="21"/>
                      <w:lang w:val="en-US" w:eastAsia="zh-CN"/>
                    </w:rPr>
                    <w:t>30</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197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122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NOx</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eastAsia" w:ascii="Times New Roman" w:hAnsi="Times New Roman" w:cs="Times New Roman"/>
                      <w:b w:val="0"/>
                      <w:bCs/>
                      <w:color w:val="auto"/>
                      <w:spacing w:val="-2"/>
                      <w:sz w:val="21"/>
                      <w:szCs w:val="21"/>
                      <w:lang w:val="en-US" w:eastAsia="zh-CN"/>
                    </w:rPr>
                    <w:t>150</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197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122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烟气黑度</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2"/>
                      <w:sz w:val="21"/>
                      <w:szCs w:val="21"/>
                      <w:lang w:val="en-US" w:eastAsia="zh-CN"/>
                    </w:rPr>
                  </w:pPr>
                  <w:r>
                    <w:rPr>
                      <w:rFonts w:hint="default" w:ascii="Times New Roman" w:hAnsi="Times New Roman" w:cs="Times New Roman"/>
                      <w:b w:val="0"/>
                      <w:bCs/>
                      <w:color w:val="auto"/>
                      <w:spacing w:val="-2"/>
                      <w:sz w:val="21"/>
                      <w:szCs w:val="21"/>
                      <w:lang w:val="en-US" w:eastAsia="zh-CN"/>
                    </w:rPr>
                    <w:t>1</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级</w:t>
                  </w:r>
                </w:p>
              </w:tc>
              <w:tc>
                <w:tcPr>
                  <w:tcW w:w="197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color w:val="auto"/>
                      <w:sz w:val="21"/>
                      <w:szCs w:val="21"/>
                      <w:lang w:val="en-US" w:eastAsia="zh-CN"/>
                    </w:rPr>
                  </w:pPr>
                </w:p>
              </w:tc>
              <w:tc>
                <w:tcPr>
                  <w:tcW w:w="52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有组织</w:t>
                  </w:r>
                </w:p>
              </w:tc>
              <w:tc>
                <w:tcPr>
                  <w:tcW w:w="69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氨</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2"/>
                      <w:sz w:val="21"/>
                      <w:szCs w:val="21"/>
                      <w:lang w:val="en-US" w:eastAsia="zh-CN"/>
                    </w:rPr>
                  </w:pPr>
                  <w:r>
                    <w:rPr>
                      <w:rFonts w:hint="eastAsia" w:ascii="Times New Roman" w:hAnsi="Times New Roman" w:cs="Times New Roman"/>
                      <w:b w:val="0"/>
                      <w:bCs/>
                      <w:color w:val="auto"/>
                      <w:sz w:val="21"/>
                      <w:szCs w:val="21"/>
                      <w:lang w:val="en-US" w:eastAsia="zh-CN"/>
                    </w:rPr>
                    <w:t>4.9</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b w:val="0"/>
                      <w:bCs/>
                      <w:color w:val="auto"/>
                      <w:sz w:val="21"/>
                      <w:szCs w:val="21"/>
                      <w:lang w:val="en-US" w:eastAsia="zh-CN"/>
                    </w:rPr>
                    <w:t>kg/h</w:t>
                  </w:r>
                </w:p>
              </w:tc>
              <w:tc>
                <w:tcPr>
                  <w:tcW w:w="197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rPr>
                  </w:pPr>
                  <w:r>
                    <w:rPr>
                      <w:rFonts w:hint="eastAsia" w:ascii="Times New Roman" w:hAnsi="Times New Roman" w:cs="Times New Roman"/>
                      <w:b w:val="0"/>
                      <w:bCs/>
                      <w:color w:val="auto"/>
                      <w:sz w:val="21"/>
                      <w:szCs w:val="21"/>
                      <w:lang w:eastAsia="zh-CN"/>
                    </w:rPr>
                    <w:t>《恶臭污染物排放标准》（GB14554-93）</w:t>
                  </w:r>
                  <w:r>
                    <w:rPr>
                      <w:rFonts w:hint="eastAsia" w:ascii="Times New Roman" w:hAnsi="Times New Roman" w:cs="Times New Roman"/>
                      <w:b w:val="0"/>
                      <w:bCs/>
                      <w:color w:val="auto"/>
                      <w:sz w:val="21"/>
                      <w:szCs w:val="21"/>
                      <w:lang w:val="en-US" w:eastAsia="zh-CN"/>
                    </w:rPr>
                    <w:t>表2，15m高排气筒限值要求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52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69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硫化氢</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2"/>
                      <w:sz w:val="21"/>
                      <w:szCs w:val="21"/>
                      <w:lang w:val="en-US" w:eastAsia="zh-CN"/>
                    </w:rPr>
                  </w:pPr>
                  <w:r>
                    <w:rPr>
                      <w:rFonts w:hint="eastAsia" w:ascii="Times New Roman" w:hAnsi="Times New Roman" w:cs="Times New Roman"/>
                      <w:b w:val="0"/>
                      <w:bCs/>
                      <w:color w:val="auto"/>
                      <w:sz w:val="21"/>
                      <w:szCs w:val="21"/>
                      <w:lang w:val="en-US" w:eastAsia="zh-CN"/>
                    </w:rPr>
                    <w:t>0.33</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b w:val="0"/>
                      <w:bCs/>
                      <w:color w:val="auto"/>
                      <w:sz w:val="21"/>
                      <w:szCs w:val="21"/>
                      <w:lang w:val="en-US" w:eastAsia="zh-CN"/>
                    </w:rPr>
                    <w:t>kg/h</w:t>
                  </w:r>
                </w:p>
              </w:tc>
              <w:tc>
                <w:tcPr>
                  <w:tcW w:w="197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52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69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臭气浓度</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2"/>
                      <w:sz w:val="21"/>
                      <w:szCs w:val="21"/>
                      <w:lang w:val="en-US" w:eastAsia="zh-CN"/>
                    </w:rPr>
                  </w:pPr>
                  <w:r>
                    <w:rPr>
                      <w:rFonts w:hint="eastAsia" w:ascii="Times New Roman" w:hAnsi="Times New Roman" w:cs="Times New Roman"/>
                      <w:b w:val="0"/>
                      <w:bCs/>
                      <w:color w:val="auto"/>
                      <w:sz w:val="21"/>
                      <w:szCs w:val="21"/>
                      <w:lang w:val="en-US" w:eastAsia="zh-CN"/>
                    </w:rPr>
                    <w:t>2000</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b w:val="0"/>
                      <w:bCs/>
                      <w:color w:val="auto"/>
                      <w:sz w:val="21"/>
                      <w:szCs w:val="21"/>
                      <w:lang w:val="en-US" w:eastAsia="zh-CN"/>
                    </w:rPr>
                    <w:t>无量纲</w:t>
                  </w:r>
                </w:p>
              </w:tc>
              <w:tc>
                <w:tcPr>
                  <w:tcW w:w="197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color w:val="auto"/>
                      <w:sz w:val="21"/>
                      <w:szCs w:val="21"/>
                      <w:lang w:val="en-US" w:eastAsia="zh-CN"/>
                    </w:rPr>
                  </w:pPr>
                </w:p>
              </w:tc>
              <w:tc>
                <w:tcPr>
                  <w:tcW w:w="52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无组织</w:t>
                  </w:r>
                </w:p>
              </w:tc>
              <w:tc>
                <w:tcPr>
                  <w:tcW w:w="69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氨</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2"/>
                      <w:sz w:val="21"/>
                      <w:szCs w:val="21"/>
                      <w:lang w:val="en-US" w:eastAsia="zh-CN"/>
                    </w:rPr>
                  </w:pPr>
                  <w:r>
                    <w:rPr>
                      <w:rFonts w:hint="eastAsia" w:ascii="Times New Roman" w:hAnsi="Times New Roman" w:cs="Times New Roman"/>
                      <w:b w:val="0"/>
                      <w:bCs/>
                      <w:color w:val="auto"/>
                      <w:spacing w:val="-2"/>
                      <w:sz w:val="21"/>
                      <w:szCs w:val="21"/>
                      <w:lang w:val="en-US" w:eastAsia="zh-CN"/>
                    </w:rPr>
                    <w:t>1.5</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197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rPr>
                  </w:pPr>
                  <w:r>
                    <w:rPr>
                      <w:rFonts w:hint="eastAsia" w:ascii="Times New Roman" w:hAnsi="Times New Roman" w:cs="Times New Roman"/>
                      <w:b w:val="0"/>
                      <w:bCs/>
                      <w:color w:val="auto"/>
                      <w:sz w:val="21"/>
                      <w:szCs w:val="21"/>
                      <w:lang w:eastAsia="zh-CN"/>
                    </w:rPr>
                    <w:t>《恶臭污染物排放标准》（GB14554-93）</w:t>
                  </w:r>
                  <w:r>
                    <w:rPr>
                      <w:rFonts w:hint="eastAsia" w:ascii="Times New Roman" w:hAnsi="Times New Roman" w:cs="Times New Roman"/>
                      <w:b w:val="0"/>
                      <w:bCs/>
                      <w:color w:val="auto"/>
                      <w:sz w:val="21"/>
                      <w:szCs w:val="21"/>
                      <w:lang w:val="en-US" w:eastAsia="zh-CN"/>
                    </w:rPr>
                    <w:t>表1厂界标准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52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69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硫化氢</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2"/>
                      <w:sz w:val="21"/>
                      <w:szCs w:val="21"/>
                      <w:lang w:val="en-US" w:eastAsia="zh-CN"/>
                    </w:rPr>
                  </w:pPr>
                  <w:r>
                    <w:rPr>
                      <w:rFonts w:hint="eastAsia" w:ascii="Times New Roman" w:hAnsi="Times New Roman" w:cs="Times New Roman"/>
                      <w:b w:val="0"/>
                      <w:bCs/>
                      <w:color w:val="auto"/>
                      <w:spacing w:val="-2"/>
                      <w:sz w:val="21"/>
                      <w:szCs w:val="21"/>
                      <w:lang w:val="en-US" w:eastAsia="zh-CN"/>
                    </w:rPr>
                    <w:t>0.06</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197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52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69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臭气浓度</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pacing w:val="-2"/>
                      <w:sz w:val="21"/>
                      <w:szCs w:val="21"/>
                      <w:lang w:val="en-US" w:eastAsia="zh-CN"/>
                    </w:rPr>
                  </w:pPr>
                  <w:r>
                    <w:rPr>
                      <w:rFonts w:hint="eastAsia" w:ascii="Times New Roman" w:hAnsi="Times New Roman" w:cs="Times New Roman"/>
                      <w:b w:val="0"/>
                      <w:bCs/>
                      <w:color w:val="auto"/>
                      <w:spacing w:val="-2"/>
                      <w:sz w:val="21"/>
                      <w:szCs w:val="21"/>
                      <w:lang w:val="en-US" w:eastAsia="zh-CN"/>
                    </w:rPr>
                    <w:t>20</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无量纲</w:t>
                  </w:r>
                </w:p>
              </w:tc>
              <w:tc>
                <w:tcPr>
                  <w:tcW w:w="197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p>
              </w:tc>
              <w:tc>
                <w:tcPr>
                  <w:tcW w:w="122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无组织颗粒物</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sz w:val="21"/>
                      <w:szCs w:val="21"/>
                      <w:lang w:val="en-US" w:eastAsia="zh-CN"/>
                    </w:rPr>
                  </w:pPr>
                  <w:r>
                    <w:rPr>
                      <w:rFonts w:hint="default" w:ascii="Times New Roman" w:hAnsi="Times New Roman" w:cs="Times New Roman"/>
                      <w:b w:val="0"/>
                      <w:bCs/>
                      <w:color w:val="auto"/>
                      <w:spacing w:val="-2"/>
                      <w:sz w:val="21"/>
                      <w:szCs w:val="21"/>
                      <w:lang w:val="en-US" w:eastAsia="zh-CN"/>
                    </w:rPr>
                    <w:t>1.0</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19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《大气污染物综合排放标准》（GB16297-1996）表2中无组织排放监控浓度限值</w:t>
                  </w:r>
                </w:p>
              </w:tc>
            </w:tr>
          </w:tbl>
          <w:p>
            <w:pPr>
              <w:numPr>
                <w:ilvl w:val="0"/>
                <w:numId w:val="0"/>
              </w:numPr>
              <w:snapToGrid w:val="0"/>
              <w:spacing w:before="156" w:beforeLines="50" w:line="240" w:lineRule="auto"/>
              <w:outlineLvl w:val="0"/>
              <w:rPr>
                <w:rFonts w:hint="eastAsia" w:ascii="Times New Roman" w:hAnsi="Times New Roman" w:cs="Times New Roman"/>
                <w:b/>
                <w:color w:val="auto"/>
                <w:sz w:val="24"/>
                <w:lang w:val="en-US" w:eastAsia="zh-CN"/>
              </w:rPr>
            </w:pPr>
            <w:r>
              <w:rPr>
                <w:rFonts w:ascii="Times New Roman" w:hAnsi="Times New Roman" w:cs="Times New Roman"/>
                <w:b/>
                <w:color w:val="auto"/>
                <w:kern w:val="44"/>
                <w:sz w:val="20"/>
                <w:szCs w:val="21"/>
              </w:rPr>
              <w:t>备注：PM</w:t>
            </w:r>
            <w:r>
              <w:rPr>
                <w:rFonts w:ascii="Times New Roman" w:hAnsi="Times New Roman" w:cs="Times New Roman"/>
                <w:b/>
                <w:color w:val="auto"/>
                <w:kern w:val="44"/>
                <w:sz w:val="20"/>
                <w:szCs w:val="21"/>
                <w:vertAlign w:val="subscript"/>
              </w:rPr>
              <w:t>10</w:t>
            </w:r>
            <w:r>
              <w:rPr>
                <w:rFonts w:ascii="Times New Roman" w:hAnsi="Times New Roman" w:cs="Times New Roman"/>
                <w:b/>
                <w:color w:val="auto"/>
                <w:kern w:val="44"/>
                <w:sz w:val="20"/>
                <w:szCs w:val="21"/>
              </w:rPr>
              <w:t>排放</w:t>
            </w:r>
            <w:r>
              <w:rPr>
                <w:rFonts w:ascii="Times New Roman" w:hAnsi="Times New Roman" w:cs="Times New Roman"/>
                <w:b/>
                <w:color w:val="auto"/>
                <w:szCs w:val="21"/>
              </w:rPr>
              <w:t>标准为</w:t>
            </w:r>
            <w:r>
              <w:rPr>
                <w:rFonts w:ascii="Times New Roman" w:hAnsi="Times New Roman" w:cs="Times New Roman"/>
                <w:b/>
                <w:color w:val="auto"/>
                <w:kern w:val="44"/>
                <w:sz w:val="20"/>
                <w:szCs w:val="21"/>
              </w:rPr>
              <w:t>监测点浓度限值，指监测点PM</w:t>
            </w:r>
            <w:r>
              <w:rPr>
                <w:rFonts w:ascii="Times New Roman" w:hAnsi="Times New Roman" w:cs="Times New Roman"/>
                <w:b/>
                <w:color w:val="auto"/>
                <w:kern w:val="44"/>
                <w:sz w:val="20"/>
                <w:szCs w:val="21"/>
                <w:vertAlign w:val="subscript"/>
              </w:rPr>
              <w:t>10</w:t>
            </w:r>
            <w:r>
              <w:rPr>
                <w:rFonts w:ascii="Times New Roman" w:hAnsi="Times New Roman" w:cs="Times New Roman"/>
                <w:b/>
                <w:color w:val="auto"/>
                <w:kern w:val="44"/>
                <w:sz w:val="20"/>
                <w:szCs w:val="21"/>
              </w:rPr>
              <w:t>小时平均浓度实测值与同时段所属县（市、区）PM</w:t>
            </w:r>
            <w:r>
              <w:rPr>
                <w:rFonts w:ascii="Times New Roman" w:hAnsi="Times New Roman" w:cs="Times New Roman"/>
                <w:b/>
                <w:color w:val="auto"/>
                <w:kern w:val="44"/>
                <w:sz w:val="20"/>
                <w:szCs w:val="21"/>
                <w:vertAlign w:val="subscript"/>
              </w:rPr>
              <w:t>10</w:t>
            </w:r>
            <w:r>
              <w:rPr>
                <w:rFonts w:ascii="Times New Roman" w:hAnsi="Times New Roman" w:cs="Times New Roman"/>
                <w:b/>
                <w:color w:val="auto"/>
                <w:kern w:val="44"/>
                <w:sz w:val="20"/>
                <w:szCs w:val="21"/>
              </w:rPr>
              <w:t>小时平均浓度的差值。当县（市、区）PM</w:t>
            </w:r>
            <w:r>
              <w:rPr>
                <w:rFonts w:ascii="Times New Roman" w:hAnsi="Times New Roman" w:cs="Times New Roman"/>
                <w:b/>
                <w:color w:val="auto"/>
                <w:kern w:val="44"/>
                <w:sz w:val="20"/>
                <w:szCs w:val="21"/>
                <w:vertAlign w:val="subscript"/>
              </w:rPr>
              <w:t>10</w:t>
            </w:r>
            <w:r>
              <w:rPr>
                <w:rFonts w:ascii="Times New Roman" w:hAnsi="Times New Roman" w:cs="Times New Roman"/>
                <w:b/>
                <w:color w:val="auto"/>
                <w:kern w:val="44"/>
                <w:sz w:val="20"/>
                <w:szCs w:val="21"/>
              </w:rPr>
              <w:t>小时平均浓度值大于150μg/m³时，以150μg/m³计</w:t>
            </w:r>
            <w:r>
              <w:rPr>
                <w:rFonts w:hint="eastAsia" w:ascii="Times New Roman" w:hAnsi="Times New Roman" w:cs="Times New Roman"/>
                <w:b/>
                <w:color w:val="auto"/>
                <w:kern w:val="44"/>
                <w:sz w:val="20"/>
                <w:szCs w:val="21"/>
              </w:rPr>
              <w:t>；实验室废气排气筒高度不能满足高出周围2</w:t>
            </w:r>
            <w:r>
              <w:rPr>
                <w:rFonts w:ascii="Times New Roman" w:hAnsi="Times New Roman" w:cs="Times New Roman"/>
                <w:b/>
                <w:color w:val="auto"/>
                <w:kern w:val="44"/>
                <w:sz w:val="20"/>
                <w:szCs w:val="21"/>
              </w:rPr>
              <w:t>00</w:t>
            </w:r>
            <w:r>
              <w:rPr>
                <w:rFonts w:hint="eastAsia" w:ascii="Times New Roman" w:hAnsi="Times New Roman" w:cs="Times New Roman"/>
                <w:b/>
                <w:color w:val="auto"/>
                <w:kern w:val="44"/>
                <w:sz w:val="20"/>
                <w:szCs w:val="21"/>
              </w:rPr>
              <w:t>m半径范围的建筑5</w:t>
            </w:r>
            <w:r>
              <w:rPr>
                <w:rFonts w:ascii="Times New Roman" w:hAnsi="Times New Roman" w:cs="Times New Roman"/>
                <w:b/>
                <w:color w:val="auto"/>
                <w:kern w:val="44"/>
                <w:sz w:val="20"/>
                <w:szCs w:val="21"/>
              </w:rPr>
              <w:t>m</w:t>
            </w:r>
            <w:r>
              <w:rPr>
                <w:rFonts w:hint="eastAsia" w:ascii="Times New Roman" w:hAnsi="Times New Roman" w:cs="Times New Roman"/>
                <w:b/>
                <w:color w:val="auto"/>
                <w:kern w:val="44"/>
                <w:sz w:val="20"/>
                <w:szCs w:val="21"/>
              </w:rPr>
              <w:t>以上，所以排放速率减半执行。</w:t>
            </w:r>
          </w:p>
          <w:p>
            <w:pPr>
              <w:numPr>
                <w:ilvl w:val="0"/>
                <w:numId w:val="11"/>
              </w:numPr>
              <w:snapToGrid w:val="0"/>
              <w:spacing w:before="156" w:beforeLines="50" w:line="360" w:lineRule="auto"/>
              <w:ind w:left="0" w:leftChars="0" w:firstLine="482" w:firstLineChars="200"/>
              <w:outlineLvl w:val="0"/>
              <w:rPr>
                <w:rFonts w:hint="eastAsia" w:ascii="Times New Roman" w:hAnsi="Times New Roman" w:cs="Times New Roman"/>
                <w:b/>
                <w:color w:val="auto"/>
                <w:sz w:val="24"/>
                <w:lang w:val="en-US" w:eastAsia="zh-CN"/>
              </w:rPr>
            </w:pPr>
            <w:r>
              <w:rPr>
                <w:rFonts w:hint="eastAsia" w:ascii="Times New Roman" w:hAnsi="Times New Roman" w:cs="Times New Roman"/>
                <w:b/>
                <w:color w:val="auto"/>
                <w:sz w:val="24"/>
                <w:lang w:val="en-US" w:eastAsia="zh-CN"/>
              </w:rPr>
              <w:t>废水排放标准</w:t>
            </w:r>
          </w:p>
          <w:p>
            <w:pPr>
              <w:spacing w:line="360" w:lineRule="auto"/>
              <w:ind w:firstLine="480" w:firstLineChars="200"/>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废水执行</w:t>
            </w:r>
            <w:r>
              <w:rPr>
                <w:rFonts w:hint="default" w:ascii="Times New Roman" w:hAnsi="Times New Roman" w:cs="Times New Roman"/>
                <w:color w:val="auto"/>
                <w:kern w:val="0"/>
                <w:sz w:val="24"/>
              </w:rPr>
              <w:t>《污水综合排放标准》（GB2978-1996）表4中三级标准</w:t>
            </w:r>
            <w:r>
              <w:rPr>
                <w:rFonts w:hint="eastAsia" w:ascii="Times New Roman" w:hAnsi="Times New Roman" w:cs="Times New Roman"/>
                <w:color w:val="auto"/>
                <w:kern w:val="0"/>
                <w:sz w:val="24"/>
                <w:lang w:val="en-US" w:eastAsia="zh-CN"/>
              </w:rPr>
              <w:t>及</w:t>
            </w:r>
            <w:r>
              <w:rPr>
                <w:rFonts w:hint="eastAsia" w:ascii="Times New Roman" w:hAnsi="Times New Roman"/>
                <w:color w:val="auto"/>
                <w:sz w:val="24"/>
                <w:szCs w:val="24"/>
                <w:lang w:val="en-US" w:eastAsia="zh-CN"/>
              </w:rPr>
              <w:t>半截塔污水处理厂</w:t>
            </w:r>
            <w:r>
              <w:rPr>
                <w:rFonts w:hint="default" w:ascii="Times New Roman" w:hAnsi="Times New Roman" w:cs="Times New Roman"/>
                <w:color w:val="auto"/>
                <w:kern w:val="0"/>
                <w:sz w:val="24"/>
                <w:lang w:val="en-US" w:eastAsia="zh-CN"/>
              </w:rPr>
              <w:t>进水水质标准</w:t>
            </w:r>
            <w:r>
              <w:rPr>
                <w:rFonts w:hint="eastAsia" w:ascii="Times New Roman" w:hAnsi="Times New Roman" w:cs="Times New Roman"/>
                <w:color w:val="auto"/>
                <w:kern w:val="0"/>
                <w:sz w:val="24"/>
                <w:lang w:val="en-US" w:eastAsia="zh-CN"/>
              </w:rPr>
              <w:t>；</w:t>
            </w:r>
          </w:p>
          <w:p>
            <w:pPr>
              <w:pStyle w:val="62"/>
              <w:keepNext w:val="0"/>
              <w:keepLines w:val="0"/>
              <w:pageBreakBefore w:val="0"/>
              <w:widowControl w:val="0"/>
              <w:numPr>
                <w:ilvl w:val="0"/>
                <w:numId w:val="10"/>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6"/>
                <w:rFonts w:hint="default" w:ascii="Times New Roman" w:hAnsi="Times New Roman" w:eastAsia="宋体" w:cs="Times New Roman"/>
                <w:color w:val="auto"/>
                <w:lang w:val="en-US" w:eastAsia="zh-CN"/>
              </w:rPr>
            </w:pPr>
            <w:r>
              <w:rPr>
                <w:rStyle w:val="26"/>
                <w:rFonts w:hint="default" w:ascii="Times New Roman" w:hAnsi="Times New Roman" w:eastAsia="宋体" w:cs="Times New Roman"/>
                <w:color w:val="auto"/>
                <w:lang w:val="en-US" w:eastAsia="zh-CN"/>
              </w:rPr>
              <w:t>废水污染物排放标准</w:t>
            </w:r>
          </w:p>
          <w:tbl>
            <w:tblPr>
              <w:tblStyle w:val="23"/>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47"/>
              <w:gridCol w:w="2760"/>
              <w:gridCol w:w="27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keepNext w:val="0"/>
                    <w:keepLines w:val="0"/>
                    <w:pageBreakBefore w:val="0"/>
                    <w:widowControl w:val="0"/>
                    <w:kinsoku/>
                    <w:wordWrap/>
                    <w:overflowPunct/>
                    <w:topLinePunct/>
                    <w:autoSpaceDE/>
                    <w:autoSpaceDN/>
                    <w:bidi w:val="0"/>
                    <w:adjustRightInd w:val="0"/>
                    <w:snapToGrid/>
                    <w:spacing w:line="300" w:lineRule="exact"/>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控制项目</w:t>
                  </w:r>
                </w:p>
              </w:tc>
              <w:tc>
                <w:tcPr>
                  <w:tcW w:w="1618" w:type="pct"/>
                  <w:noWrap w:val="0"/>
                  <w:vAlign w:val="center"/>
                </w:tcPr>
                <w:p>
                  <w:pPr>
                    <w:keepNext w:val="0"/>
                    <w:keepLines w:val="0"/>
                    <w:pageBreakBefore w:val="0"/>
                    <w:widowControl w:val="0"/>
                    <w:kinsoku/>
                    <w:wordWrap/>
                    <w:overflowPunct/>
                    <w:topLinePunct/>
                    <w:autoSpaceDE/>
                    <w:autoSpaceDN/>
                    <w:bidi w:val="0"/>
                    <w:adjustRightInd w:val="0"/>
                    <w:snapToGrid/>
                    <w:spacing w:line="300" w:lineRule="exact"/>
                    <w:ind w:firstLine="0" w:firstLineChars="0"/>
                    <w:jc w:val="center"/>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《污水综合排放标准》（GB8978-1996）中三级标准</w:t>
                  </w:r>
                </w:p>
              </w:tc>
              <w:tc>
                <w:tcPr>
                  <w:tcW w:w="1594" w:type="pct"/>
                  <w:noWrap w:val="0"/>
                  <w:vAlign w:val="center"/>
                </w:tcPr>
                <w:p>
                  <w:pPr>
                    <w:keepNext w:val="0"/>
                    <w:keepLines w:val="0"/>
                    <w:pageBreakBefore w:val="0"/>
                    <w:widowControl w:val="0"/>
                    <w:kinsoku/>
                    <w:wordWrap/>
                    <w:overflowPunct/>
                    <w:topLinePunct/>
                    <w:autoSpaceDE/>
                    <w:autoSpaceDN/>
                    <w:bidi w:val="0"/>
                    <w:adjustRightInd w:val="0"/>
                    <w:snapToGrid/>
                    <w:spacing w:line="300" w:lineRule="exact"/>
                    <w:ind w:firstLine="0" w:firstLineChars="0"/>
                    <w:jc w:val="center"/>
                    <w:textAlignment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半截塔污水处理厂</w:t>
                  </w:r>
                  <w:r>
                    <w:rPr>
                      <w:rFonts w:hint="default" w:ascii="Times New Roman" w:hAnsi="Times New Roman" w:eastAsia="宋体" w:cs="Times New Roman"/>
                      <w:b/>
                      <w:color w:val="auto"/>
                      <w:sz w:val="21"/>
                      <w:szCs w:val="21"/>
                      <w:highlight w:val="none"/>
                      <w:lang w:val="en-US" w:eastAsia="zh-CN"/>
                    </w:rPr>
                    <w:t>进水水质标准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161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594" w:type="pct"/>
                  <w:noWrap w:val="0"/>
                  <w:vAlign w:val="center"/>
                </w:tcPr>
                <w:p>
                  <w:pPr>
                    <w:widowControl/>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w:t>
                  </w:r>
                  <w:r>
                    <w:rPr>
                      <w:rFonts w:hint="eastAsia" w:ascii="Times New Roman" w:hAnsi="Times New Roman" w:cs="Times New Roman"/>
                      <w:b w:val="0"/>
                      <w:bCs/>
                      <w:color w:val="auto"/>
                      <w:sz w:val="21"/>
                      <w:szCs w:val="21"/>
                      <w:highlight w:val="none"/>
                      <w:lang w:val="en-US" w:eastAsia="zh-CN"/>
                    </w:rPr>
                    <w:t>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618"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0mg/L</w:t>
                  </w:r>
                </w:p>
              </w:tc>
              <w:tc>
                <w:tcPr>
                  <w:tcW w:w="1594"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463</w:t>
                  </w:r>
                  <w:r>
                    <w:rPr>
                      <w:rFonts w:hint="default" w:ascii="Times New Roman" w:hAnsi="Times New Roman" w:eastAsia="宋体" w:cs="Times New Roman"/>
                      <w:color w:val="auto"/>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618"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0mg/L</w:t>
                  </w:r>
                </w:p>
              </w:tc>
              <w:tc>
                <w:tcPr>
                  <w:tcW w:w="1594"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345</w:t>
                  </w:r>
                  <w:r>
                    <w:rPr>
                      <w:rFonts w:hint="default" w:ascii="Times New Roman" w:hAnsi="Times New Roman" w:eastAsia="宋体" w:cs="Times New Roman"/>
                      <w:color w:val="auto"/>
                      <w:sz w:val="21"/>
                      <w:szCs w:val="21"/>
                    </w:rPr>
                    <w:t>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87"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618"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94"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w:t>
                  </w:r>
                  <w:r>
                    <w:rPr>
                      <w:rFonts w:hint="default" w:ascii="Times New Roman" w:hAnsi="Times New Roman" w:eastAsia="宋体" w:cs="Times New Roman"/>
                      <w:color w:val="auto"/>
                      <w:sz w:val="21"/>
                      <w:szCs w:val="21"/>
                    </w:rPr>
                    <w:t>mg/L</w:t>
                  </w:r>
                </w:p>
              </w:tc>
            </w:tr>
          </w:tbl>
          <w:p>
            <w:pPr>
              <w:snapToGrid w:val="0"/>
              <w:spacing w:before="156" w:beforeLines="50" w:line="360" w:lineRule="auto"/>
              <w:ind w:firstLine="482"/>
              <w:outlineLvl w:val="0"/>
              <w:rPr>
                <w:rFonts w:ascii="Times New Roman" w:hAnsi="Times New Roman" w:cs="Times New Roman"/>
                <w:b/>
                <w:color w:val="auto"/>
                <w:sz w:val="24"/>
              </w:rPr>
            </w:pPr>
            <w:r>
              <w:rPr>
                <w:rFonts w:hint="eastAsia" w:ascii="Times New Roman" w:hAnsi="Times New Roman" w:cs="Times New Roman"/>
                <w:b/>
                <w:color w:val="auto"/>
                <w:sz w:val="24"/>
                <w:lang w:val="en-US" w:eastAsia="zh-CN"/>
              </w:rPr>
              <w:t>3</w:t>
            </w:r>
            <w:r>
              <w:rPr>
                <w:rFonts w:ascii="Times New Roman" w:hAnsi="Times New Roman" w:cs="Times New Roman"/>
                <w:b/>
                <w:color w:val="auto"/>
                <w:sz w:val="24"/>
              </w:rPr>
              <w:t>、噪声排放标准</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施工噪声执行《建筑施工场界环境噪声排放标准》（GB12523-2011）标准；运营期噪声执行《工业企业厂界环境噪声排放标准》</w:t>
            </w:r>
            <w:r>
              <w:rPr>
                <w:rFonts w:hint="eastAsia" w:ascii="Times New Roman" w:hAnsi="Times New Roman" w:cs="Times New Roman"/>
                <w:color w:val="auto"/>
                <w:sz w:val="24"/>
                <w:lang w:eastAsia="zh-CN"/>
              </w:rPr>
              <w:t>（</w:t>
            </w:r>
            <w:r>
              <w:rPr>
                <w:rFonts w:ascii="Times New Roman" w:hAnsi="Times New Roman" w:cs="Times New Roman"/>
                <w:color w:val="auto"/>
                <w:sz w:val="24"/>
              </w:rPr>
              <w:t>GB12348-2008</w:t>
            </w:r>
            <w:r>
              <w:rPr>
                <w:rFonts w:hint="eastAsia" w:ascii="Times New Roman" w:hAnsi="Times New Roman" w:cs="Times New Roman"/>
                <w:color w:val="auto"/>
                <w:sz w:val="24"/>
                <w:lang w:eastAsia="zh-CN"/>
              </w:rPr>
              <w:t>）</w:t>
            </w:r>
            <w:r>
              <w:rPr>
                <w:rFonts w:ascii="Times New Roman" w:hAnsi="Times New Roman" w:cs="Times New Roman"/>
                <w:color w:val="auto"/>
                <w:sz w:val="24"/>
              </w:rPr>
              <w:t>中的</w:t>
            </w:r>
            <w:r>
              <w:rPr>
                <w:rFonts w:hint="eastAsia" w:ascii="Times New Roman" w:hAnsi="Times New Roman" w:cs="Times New Roman"/>
                <w:color w:val="auto"/>
                <w:sz w:val="24"/>
                <w:lang w:val="en-US" w:eastAsia="zh-CN"/>
              </w:rPr>
              <w:t>2</w:t>
            </w:r>
            <w:r>
              <w:rPr>
                <w:rFonts w:ascii="Times New Roman" w:hAnsi="Times New Roman" w:cs="Times New Roman"/>
                <w:color w:val="auto"/>
                <w:sz w:val="24"/>
              </w:rPr>
              <w:t>类标准。具体标准限值详见下表：</w:t>
            </w:r>
          </w:p>
          <w:p>
            <w:pPr>
              <w:pStyle w:val="62"/>
              <w:keepNext w:val="0"/>
              <w:keepLines w:val="0"/>
              <w:pageBreakBefore w:val="0"/>
              <w:widowControl w:val="0"/>
              <w:numPr>
                <w:ilvl w:val="0"/>
                <w:numId w:val="10"/>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6"/>
                <w:rFonts w:hint="default" w:ascii="Times New Roman" w:hAnsi="Times New Roman" w:eastAsia="宋体"/>
                <w:color w:val="auto"/>
                <w:lang w:val="en-US" w:eastAsia="zh-CN"/>
              </w:rPr>
            </w:pPr>
            <w:r>
              <w:rPr>
                <w:rStyle w:val="26"/>
                <w:rFonts w:hint="default" w:ascii="Times New Roman" w:hAnsi="Times New Roman" w:eastAsia="宋体"/>
                <w:color w:val="auto"/>
                <w:lang w:val="en-US" w:eastAsia="zh-CN"/>
              </w:rPr>
              <w:t>噪声排放标准</w:t>
            </w:r>
          </w:p>
          <w:tbl>
            <w:tblPr>
              <w:tblStyle w:val="23"/>
              <w:tblpPr w:leftFromText="180" w:rightFromText="180" w:vertAnchor="text" w:tblpX="1" w:tblpY="1"/>
              <w:tblOverlap w:val="never"/>
              <w:tblW w:w="4997" w:type="pct"/>
              <w:tblInd w:w="0" w:type="dxa"/>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04"/>
              <w:gridCol w:w="3473"/>
              <w:gridCol w:w="1311"/>
              <w:gridCol w:w="2233"/>
            </w:tblGrid>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883" w:type="pct"/>
                  <w:tcBorders>
                    <w:right w:val="single" w:color="auto" w:sz="4" w:space="0"/>
                  </w:tcBorders>
                  <w:vAlign w:val="center"/>
                </w:tcPr>
                <w:p>
                  <w:pPr>
                    <w:topLinePunct/>
                    <w:adjustRightInd w:val="0"/>
                    <w:jc w:val="center"/>
                    <w:textAlignment w:val="center"/>
                    <w:rPr>
                      <w:rFonts w:ascii="Times New Roman" w:hAnsi="Times New Roman" w:cs="Times New Roman"/>
                      <w:b/>
                      <w:color w:val="auto"/>
                      <w:szCs w:val="21"/>
                    </w:rPr>
                  </w:pPr>
                  <w:r>
                    <w:rPr>
                      <w:rFonts w:ascii="Times New Roman" w:hAnsi="Times New Roman" w:cs="Times New Roman"/>
                      <w:b/>
                      <w:color w:val="auto"/>
                      <w:szCs w:val="21"/>
                    </w:rPr>
                    <w:t>污染源类别</w:t>
                  </w:r>
                </w:p>
              </w:tc>
              <w:tc>
                <w:tcPr>
                  <w:tcW w:w="2038" w:type="pct"/>
                  <w:vAlign w:val="center"/>
                </w:tcPr>
                <w:p>
                  <w:pPr>
                    <w:topLinePunct/>
                    <w:adjustRightInd w:val="0"/>
                    <w:jc w:val="center"/>
                    <w:textAlignment w:val="center"/>
                    <w:rPr>
                      <w:rFonts w:ascii="Times New Roman" w:hAnsi="Times New Roman" w:cs="Times New Roman"/>
                      <w:color w:val="auto"/>
                    </w:rPr>
                  </w:pPr>
                  <w:r>
                    <w:rPr>
                      <w:rFonts w:ascii="Times New Roman" w:hAnsi="Times New Roman" w:cs="Times New Roman"/>
                      <w:b/>
                      <w:bCs/>
                      <w:color w:val="auto"/>
                      <w:szCs w:val="21"/>
                    </w:rPr>
                    <w:t>标准名称</w:t>
                  </w:r>
                </w:p>
              </w:tc>
              <w:tc>
                <w:tcPr>
                  <w:tcW w:w="769" w:type="pct"/>
                  <w:vAlign w:val="center"/>
                </w:tcPr>
                <w:p>
                  <w:pPr>
                    <w:topLinePunct/>
                    <w:adjustRightInd w:val="0"/>
                    <w:jc w:val="center"/>
                    <w:textAlignment w:val="center"/>
                    <w:rPr>
                      <w:rFonts w:ascii="Times New Roman" w:hAnsi="Times New Roman" w:cs="Times New Roman"/>
                      <w:b/>
                      <w:color w:val="auto"/>
                      <w:szCs w:val="21"/>
                    </w:rPr>
                  </w:pPr>
                  <w:r>
                    <w:rPr>
                      <w:rFonts w:ascii="Times New Roman" w:hAnsi="Times New Roman" w:cs="Times New Roman"/>
                      <w:b/>
                      <w:color w:val="auto"/>
                      <w:szCs w:val="21"/>
                    </w:rPr>
                    <w:t>污染物</w:t>
                  </w:r>
                </w:p>
              </w:tc>
              <w:tc>
                <w:tcPr>
                  <w:tcW w:w="1310" w:type="pct"/>
                  <w:vAlign w:val="center"/>
                </w:tcPr>
                <w:p>
                  <w:pPr>
                    <w:topLinePunct/>
                    <w:adjustRightInd w:val="0"/>
                    <w:jc w:val="center"/>
                    <w:textAlignment w:val="center"/>
                    <w:rPr>
                      <w:rFonts w:ascii="Times New Roman" w:hAnsi="Times New Roman" w:cs="Times New Roman"/>
                      <w:b/>
                      <w:color w:val="auto"/>
                      <w:szCs w:val="21"/>
                    </w:rPr>
                  </w:pPr>
                  <w:r>
                    <w:rPr>
                      <w:rFonts w:ascii="Times New Roman" w:hAnsi="Times New Roman" w:cs="Times New Roman"/>
                      <w:b/>
                      <w:color w:val="auto"/>
                      <w:szCs w:val="21"/>
                    </w:rPr>
                    <w:t>标准值</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4" w:hRule="exact"/>
              </w:trPr>
              <w:tc>
                <w:tcPr>
                  <w:tcW w:w="883" w:type="pct"/>
                  <w:vMerge w:val="restart"/>
                  <w:tcBorders>
                    <w:right w:val="single" w:color="auto" w:sz="4" w:space="0"/>
                  </w:tcBorders>
                  <w:vAlign w:val="center"/>
                </w:tcPr>
                <w:p>
                  <w:pPr>
                    <w:topLinePunct/>
                    <w:adjustRightInd w:val="0"/>
                    <w:spacing w:line="0" w:lineRule="atLeast"/>
                    <w:jc w:val="center"/>
                    <w:textAlignment w:val="center"/>
                    <w:rPr>
                      <w:rFonts w:ascii="Times New Roman" w:hAnsi="Times New Roman" w:cs="Times New Roman"/>
                      <w:b/>
                      <w:color w:val="auto"/>
                      <w:szCs w:val="21"/>
                    </w:rPr>
                  </w:pPr>
                  <w:r>
                    <w:rPr>
                      <w:rFonts w:ascii="Times New Roman" w:hAnsi="Times New Roman" w:cs="Times New Roman"/>
                      <w:color w:val="auto"/>
                      <w:kern w:val="24"/>
                      <w:szCs w:val="21"/>
                    </w:rPr>
                    <w:t>噪声</w:t>
                  </w:r>
                </w:p>
              </w:tc>
              <w:tc>
                <w:tcPr>
                  <w:tcW w:w="2038" w:type="pct"/>
                  <w:vAlign w:val="center"/>
                </w:tcPr>
                <w:p>
                  <w:pPr>
                    <w:topLinePunct/>
                    <w:adjustRightInd w:val="0"/>
                    <w:jc w:val="center"/>
                    <w:textAlignment w:val="center"/>
                    <w:rPr>
                      <w:rFonts w:ascii="Times New Roman" w:hAnsi="Times New Roman" w:cs="Times New Roman"/>
                      <w:b/>
                      <w:bCs/>
                      <w:color w:val="auto"/>
                      <w:szCs w:val="21"/>
                    </w:rPr>
                  </w:pPr>
                  <w:r>
                    <w:rPr>
                      <w:rFonts w:ascii="Times New Roman" w:hAnsi="Times New Roman" w:cs="Times New Roman"/>
                      <w:color w:val="auto"/>
                      <w:szCs w:val="21"/>
                    </w:rPr>
                    <w:t>《建筑施工场界环境噪声排放标准》（GB12523-2011）标准</w:t>
                  </w:r>
                </w:p>
              </w:tc>
              <w:tc>
                <w:tcPr>
                  <w:tcW w:w="769" w:type="pct"/>
                  <w:vAlign w:val="center"/>
                </w:tcPr>
                <w:p>
                  <w:pPr>
                    <w:topLinePunct/>
                    <w:adjustRightInd w:val="0"/>
                    <w:jc w:val="center"/>
                    <w:textAlignment w:val="center"/>
                    <w:rPr>
                      <w:rFonts w:ascii="Times New Roman" w:hAnsi="Times New Roman" w:cs="Times New Roman"/>
                      <w:b/>
                      <w:color w:val="auto"/>
                      <w:szCs w:val="21"/>
                    </w:rPr>
                  </w:pPr>
                  <w:r>
                    <w:rPr>
                      <w:rFonts w:ascii="Times New Roman" w:hAnsi="Times New Roman" w:cs="Times New Roman"/>
                      <w:color w:val="auto"/>
                      <w:szCs w:val="21"/>
                    </w:rPr>
                    <w:t>等效连续A声级</w:t>
                  </w:r>
                </w:p>
              </w:tc>
              <w:tc>
                <w:tcPr>
                  <w:tcW w:w="1310" w:type="pct"/>
                  <w:vAlign w:val="center"/>
                </w:tcPr>
                <w:p>
                  <w:pPr>
                    <w:topLinePunct/>
                    <w:adjustRightInd w:val="0"/>
                    <w:spacing w:line="240" w:lineRule="exact"/>
                    <w:jc w:val="center"/>
                    <w:textAlignment w:val="center"/>
                    <w:rPr>
                      <w:rFonts w:ascii="Times New Roman" w:hAnsi="Times New Roman" w:cs="Times New Roman"/>
                      <w:color w:val="auto"/>
                      <w:szCs w:val="21"/>
                    </w:rPr>
                  </w:pPr>
                  <w:r>
                    <w:rPr>
                      <w:rFonts w:ascii="Times New Roman" w:hAnsi="Times New Roman" w:cs="Times New Roman"/>
                      <w:color w:val="auto"/>
                      <w:szCs w:val="21"/>
                    </w:rPr>
                    <w:t>昼间≤70dB(A)</w:t>
                  </w:r>
                </w:p>
                <w:p>
                  <w:pPr>
                    <w:topLinePunct/>
                    <w:adjustRightInd w:val="0"/>
                    <w:jc w:val="center"/>
                    <w:textAlignment w:val="center"/>
                    <w:rPr>
                      <w:rFonts w:ascii="Times New Roman" w:hAnsi="Times New Roman" w:cs="Times New Roman"/>
                      <w:b/>
                      <w:color w:val="auto"/>
                      <w:szCs w:val="21"/>
                    </w:rPr>
                  </w:pPr>
                  <w:r>
                    <w:rPr>
                      <w:rFonts w:ascii="Times New Roman" w:hAnsi="Times New Roman" w:cs="Times New Roman"/>
                      <w:color w:val="auto"/>
                      <w:szCs w:val="21"/>
                    </w:rPr>
                    <w:t>夜间≤55dB(A)</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9" w:hRule="exact"/>
              </w:trPr>
              <w:tc>
                <w:tcPr>
                  <w:tcW w:w="883" w:type="pct"/>
                  <w:vMerge w:val="continue"/>
                  <w:tcBorders>
                    <w:right w:val="single" w:color="auto" w:sz="4" w:space="0"/>
                  </w:tcBorders>
                  <w:vAlign w:val="center"/>
                </w:tcPr>
                <w:p>
                  <w:pPr>
                    <w:topLinePunct/>
                    <w:adjustRightInd w:val="0"/>
                    <w:spacing w:line="0" w:lineRule="atLeast"/>
                    <w:jc w:val="center"/>
                    <w:textAlignment w:val="center"/>
                    <w:rPr>
                      <w:rFonts w:ascii="Times New Roman" w:hAnsi="Times New Roman" w:cs="Times New Roman"/>
                      <w:color w:val="auto"/>
                      <w:szCs w:val="21"/>
                    </w:rPr>
                  </w:pPr>
                </w:p>
              </w:tc>
              <w:tc>
                <w:tcPr>
                  <w:tcW w:w="2038" w:type="pct"/>
                  <w:vAlign w:val="center"/>
                </w:tcPr>
                <w:p>
                  <w:pPr>
                    <w:topLinePunct/>
                    <w:adjustRightInd w:val="0"/>
                    <w:spacing w:line="240" w:lineRule="exact"/>
                    <w:jc w:val="center"/>
                    <w:textAlignment w:val="center"/>
                    <w:rPr>
                      <w:rFonts w:ascii="Times New Roman" w:hAnsi="Times New Roman" w:cs="Times New Roman"/>
                      <w:color w:val="auto"/>
                      <w:szCs w:val="21"/>
                    </w:rPr>
                  </w:pPr>
                  <w:r>
                    <w:rPr>
                      <w:rFonts w:ascii="Times New Roman" w:hAnsi="Times New Roman" w:cs="Times New Roman"/>
                      <w:color w:val="auto"/>
                      <w:szCs w:val="21"/>
                    </w:rPr>
                    <w:t>《工业企业厂界环境噪声排放标准》(GB12348-2008)</w:t>
                  </w:r>
                  <w:r>
                    <w:rPr>
                      <w:rFonts w:hint="eastAsia" w:ascii="Times New Roman" w:hAnsi="Times New Roman" w:cs="Times New Roman"/>
                      <w:color w:val="auto"/>
                      <w:szCs w:val="21"/>
                      <w:lang w:val="en-US" w:eastAsia="zh-CN"/>
                    </w:rPr>
                    <w:t>2</w:t>
                  </w:r>
                  <w:r>
                    <w:rPr>
                      <w:rFonts w:ascii="Times New Roman" w:hAnsi="Times New Roman" w:cs="Times New Roman"/>
                      <w:color w:val="auto"/>
                      <w:szCs w:val="21"/>
                    </w:rPr>
                    <w:t>类标准</w:t>
                  </w:r>
                </w:p>
              </w:tc>
              <w:tc>
                <w:tcPr>
                  <w:tcW w:w="769" w:type="pct"/>
                  <w:vAlign w:val="center"/>
                </w:tcPr>
                <w:p>
                  <w:pPr>
                    <w:topLinePunct/>
                    <w:adjustRightInd w:val="0"/>
                    <w:spacing w:line="240" w:lineRule="exact"/>
                    <w:jc w:val="center"/>
                    <w:textAlignment w:val="center"/>
                    <w:rPr>
                      <w:rFonts w:ascii="Times New Roman" w:hAnsi="Times New Roman" w:cs="Times New Roman"/>
                      <w:color w:val="auto"/>
                      <w:szCs w:val="21"/>
                    </w:rPr>
                  </w:pPr>
                  <w:r>
                    <w:rPr>
                      <w:rFonts w:ascii="Times New Roman" w:hAnsi="Times New Roman" w:cs="Times New Roman"/>
                      <w:color w:val="auto"/>
                      <w:szCs w:val="21"/>
                    </w:rPr>
                    <w:t>等效连续A声级</w:t>
                  </w:r>
                </w:p>
              </w:tc>
              <w:tc>
                <w:tcPr>
                  <w:tcW w:w="1310" w:type="pct"/>
                  <w:vAlign w:val="center"/>
                </w:tcPr>
                <w:p>
                  <w:pPr>
                    <w:topLinePunct/>
                    <w:adjustRightInd w:val="0"/>
                    <w:spacing w:line="240" w:lineRule="exact"/>
                    <w:jc w:val="center"/>
                    <w:textAlignment w:val="center"/>
                    <w:rPr>
                      <w:rFonts w:ascii="Times New Roman" w:hAnsi="Times New Roman" w:cs="Times New Roman"/>
                      <w:color w:val="auto"/>
                      <w:szCs w:val="21"/>
                    </w:rPr>
                  </w:pPr>
                  <w:r>
                    <w:rPr>
                      <w:rFonts w:ascii="Times New Roman" w:hAnsi="Times New Roman" w:cs="Times New Roman"/>
                      <w:color w:val="auto"/>
                      <w:szCs w:val="21"/>
                    </w:rPr>
                    <w:t>昼间≤6</w:t>
                  </w:r>
                  <w:r>
                    <w:rPr>
                      <w:rFonts w:hint="eastAsia" w:ascii="Times New Roman" w:hAnsi="Times New Roman" w:cs="Times New Roman"/>
                      <w:color w:val="auto"/>
                      <w:szCs w:val="21"/>
                      <w:lang w:val="en-US" w:eastAsia="zh-CN"/>
                    </w:rPr>
                    <w:t>0</w:t>
                  </w:r>
                  <w:r>
                    <w:rPr>
                      <w:rFonts w:ascii="Times New Roman" w:hAnsi="Times New Roman" w:cs="Times New Roman"/>
                      <w:color w:val="auto"/>
                      <w:szCs w:val="21"/>
                    </w:rPr>
                    <w:t>dB(A)</w:t>
                  </w:r>
                </w:p>
                <w:p>
                  <w:pPr>
                    <w:topLinePunct/>
                    <w:adjustRightInd w:val="0"/>
                    <w:spacing w:line="240" w:lineRule="exact"/>
                    <w:jc w:val="center"/>
                    <w:textAlignment w:val="center"/>
                    <w:rPr>
                      <w:rFonts w:ascii="Times New Roman" w:hAnsi="Times New Roman" w:cs="Times New Roman"/>
                      <w:color w:val="auto"/>
                      <w:szCs w:val="21"/>
                    </w:rPr>
                  </w:pPr>
                  <w:r>
                    <w:rPr>
                      <w:rFonts w:ascii="Times New Roman" w:hAnsi="Times New Roman" w:cs="Times New Roman"/>
                      <w:color w:val="auto"/>
                      <w:szCs w:val="21"/>
                    </w:rPr>
                    <w:t>夜间≤5</w:t>
                  </w:r>
                  <w:r>
                    <w:rPr>
                      <w:rFonts w:hint="eastAsia" w:ascii="Times New Roman" w:hAnsi="Times New Roman" w:cs="Times New Roman"/>
                      <w:color w:val="auto"/>
                      <w:szCs w:val="21"/>
                      <w:lang w:val="en-US" w:eastAsia="zh-CN"/>
                    </w:rPr>
                    <w:t>0</w:t>
                  </w:r>
                  <w:r>
                    <w:rPr>
                      <w:rFonts w:ascii="Times New Roman" w:hAnsi="Times New Roman" w:cs="Times New Roman"/>
                      <w:color w:val="auto"/>
                      <w:szCs w:val="21"/>
                    </w:rPr>
                    <w:t>dB(A)</w:t>
                  </w:r>
                </w:p>
              </w:tc>
            </w:tr>
          </w:tbl>
          <w:p>
            <w:pPr>
              <w:snapToGrid w:val="0"/>
              <w:spacing w:before="156" w:beforeLines="50" w:line="360" w:lineRule="auto"/>
              <w:ind w:firstLine="482"/>
              <w:outlineLvl w:val="0"/>
              <w:rPr>
                <w:rFonts w:ascii="Times New Roman" w:hAnsi="Times New Roman" w:cs="Times New Roman"/>
                <w:b/>
                <w:color w:val="auto"/>
                <w:sz w:val="24"/>
              </w:rPr>
            </w:pPr>
            <w:r>
              <w:rPr>
                <w:rFonts w:hint="eastAsia" w:ascii="Times New Roman" w:hAnsi="Times New Roman" w:cs="Times New Roman"/>
                <w:b/>
                <w:color w:val="auto"/>
                <w:sz w:val="24"/>
                <w:lang w:val="en-US" w:eastAsia="zh-CN"/>
              </w:rPr>
              <w:t>4</w:t>
            </w:r>
            <w:r>
              <w:rPr>
                <w:rFonts w:ascii="Times New Roman" w:hAnsi="Times New Roman" w:cs="Times New Roman"/>
                <w:b/>
                <w:color w:val="auto"/>
                <w:sz w:val="24"/>
              </w:rPr>
              <w:t>、固体废物控制标准</w:t>
            </w:r>
          </w:p>
          <w:p>
            <w:pPr>
              <w:spacing w:line="360" w:lineRule="auto"/>
              <w:ind w:firstLine="480" w:firstLineChars="200"/>
              <w:rPr>
                <w:rFonts w:hint="default" w:ascii="Times New Roman" w:hAnsi="Times New Roman" w:cs="Times New Roman" w:eastAsiaTheme="minorEastAsia"/>
                <w:color w:val="auto"/>
                <w:lang w:val="en-US" w:eastAsia="zh-CN"/>
              </w:rPr>
            </w:pPr>
            <w:r>
              <w:rPr>
                <w:rFonts w:ascii="Times New Roman" w:hAnsi="Times New Roman" w:cs="Times New Roman"/>
                <w:color w:val="auto"/>
                <w:sz w:val="24"/>
              </w:rPr>
              <w:t>一般工业固体废物贮存和填埋污染控制标准（GB18599-2020）</w:t>
            </w:r>
            <w:r>
              <w:rPr>
                <w:rFonts w:hint="eastAsia" w:ascii="Times New Roman" w:hAnsi="Times New Roman" w:cs="Times New Roman"/>
                <w:color w:val="auto"/>
                <w:sz w:val="24"/>
                <w:lang w:eastAsia="zh-CN"/>
              </w:rPr>
              <w:t>，</w:t>
            </w:r>
            <w:r>
              <w:rPr>
                <w:rFonts w:ascii="Times New Roman" w:hAnsi="Times New Roman" w:cs="Times New Roman"/>
                <w:color w:val="auto"/>
                <w:sz w:val="24"/>
              </w:rPr>
              <w:t>危险废物执行</w:t>
            </w:r>
            <w:r>
              <w:rPr>
                <w:rFonts w:hint="eastAsia" w:ascii="Times New Roman" w:hAnsi="Times New Roman" w:cs="Times New Roman"/>
                <w:color w:val="auto"/>
                <w:sz w:val="24"/>
                <w:lang w:val="en-US" w:eastAsia="zh-CN"/>
              </w:rPr>
              <w:t>《</w:t>
            </w:r>
            <w:r>
              <w:rPr>
                <w:rFonts w:ascii="Times New Roman" w:hAnsi="Times New Roman" w:cs="Times New Roman"/>
                <w:color w:val="auto"/>
                <w:sz w:val="24"/>
              </w:rPr>
              <w:t>危险废物贮存污染控制标准</w:t>
            </w:r>
            <w:r>
              <w:rPr>
                <w:rFonts w:hint="eastAsia" w:ascii="Times New Roman" w:hAnsi="Times New Roman" w:cs="Times New Roman"/>
                <w:color w:val="auto"/>
                <w:sz w:val="24"/>
                <w:lang w:val="en-US" w:eastAsia="zh-CN"/>
              </w:rPr>
              <w:t>》（</w:t>
            </w:r>
            <w:r>
              <w:rPr>
                <w:rFonts w:ascii="Times New Roman" w:hAnsi="Times New Roman" w:cs="Times New Roman"/>
                <w:color w:val="auto"/>
                <w:sz w:val="24"/>
              </w:rPr>
              <w:t>GB18597-</w:t>
            </w:r>
            <w:r>
              <w:rPr>
                <w:rFonts w:hint="eastAsia" w:ascii="Times New Roman" w:hAnsi="Times New Roman" w:cs="Times New Roman"/>
                <w:color w:val="auto"/>
                <w:sz w:val="24"/>
                <w:lang w:val="en-US" w:eastAsia="zh-CN"/>
              </w:rPr>
              <w:t>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5" w:hRule="atLeast"/>
          <w:jc w:val="center"/>
        </w:trPr>
        <w:tc>
          <w:tcPr>
            <w:tcW w:w="456" w:type="dxa"/>
            <w:tcBorders>
              <w:top w:val="single" w:color="auto" w:sz="4"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总量</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控制</w:t>
            </w:r>
          </w:p>
          <w:p>
            <w:pPr>
              <w:adjustRightInd w:val="0"/>
              <w:snapToGrid w:val="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指标</w:t>
            </w:r>
          </w:p>
        </w:tc>
        <w:tc>
          <w:tcPr>
            <w:tcW w:w="8752"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color w:val="auto"/>
              </w:rPr>
            </w:pPr>
            <w:r>
              <w:rPr>
                <w:rFonts w:hint="default" w:ascii="Times New Roman" w:hAnsi="Times New Roman" w:eastAsia="宋体" w:cs="Times New Roman"/>
                <w:b/>
                <w:bCs/>
                <w:color w:val="auto"/>
                <w:kern w:val="0"/>
                <w:sz w:val="24"/>
                <w:szCs w:val="24"/>
                <w:lang w:val="en-US" w:eastAsia="zh-CN" w:bidi="ar"/>
              </w:rPr>
              <w:t>1</w:t>
            </w:r>
            <w:r>
              <w:rPr>
                <w:rFonts w:hint="eastAsia" w:ascii="宋体" w:hAnsi="宋体" w:eastAsia="宋体" w:cs="宋体"/>
                <w:b/>
                <w:bCs/>
                <w:color w:val="auto"/>
                <w:kern w:val="0"/>
                <w:sz w:val="24"/>
                <w:szCs w:val="24"/>
                <w:lang w:val="en-US" w:eastAsia="zh-CN" w:bidi="ar"/>
              </w:rPr>
              <w:t>、总量控制因子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根据环境保护“十四五”计划实施总量控制的污染物种类，结合当地环境质量现状及建设项目污染物排放特征，确定本项目的总量控制</w:t>
            </w:r>
            <w:r>
              <w:rPr>
                <w:rFonts w:hint="eastAsia" w:ascii="Times New Roman" w:hAnsi="Times New Roman" w:cs="Times New Roman"/>
                <w:color w:val="auto"/>
                <w:sz w:val="24"/>
                <w:szCs w:val="24"/>
              </w:rPr>
              <w:t>指标</w:t>
            </w:r>
            <w:r>
              <w:rPr>
                <w:rFonts w:hint="eastAsia" w:ascii="Times New Roman" w:hAnsi="Times New Roman"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rPr>
              <w:t>颗粒物、SO</w:t>
            </w:r>
            <w:r>
              <w:rPr>
                <w:rFonts w:hint="eastAsia" w:ascii="Times New Roman" w:hAnsi="Times New Roman" w:cs="Times New Roman"/>
                <w:color w:val="auto"/>
                <w:sz w:val="24"/>
                <w:szCs w:val="24"/>
                <w:vertAlign w:val="subscript"/>
              </w:rPr>
              <w:t>2</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NO</w:t>
            </w:r>
            <w:r>
              <w:rPr>
                <w:rFonts w:hint="eastAsia" w:ascii="Times New Roman" w:hAnsi="Times New Roman" w:cs="Times New Roman"/>
                <w:color w:val="auto"/>
                <w:sz w:val="24"/>
                <w:szCs w:val="24"/>
                <w:vertAlign w:val="subscript"/>
              </w:rPr>
              <w:t>x</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COD</w:t>
            </w:r>
            <w:r>
              <w:rPr>
                <w:rFonts w:ascii="Times New Roman" w:hAnsi="Times New Roman" w:cs="Times New Roman"/>
                <w:color w:val="auto"/>
                <w:sz w:val="24"/>
                <w:szCs w:val="24"/>
              </w:rPr>
              <w:t>、NH</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-N</w:t>
            </w:r>
            <w:r>
              <w:rPr>
                <w:rFonts w:hint="eastAsia" w:ascii="Times New Roman" w:hAnsi="Times New Roman" w:eastAsia="宋体" w:cs="Times New Roman"/>
                <w:color w:val="auto"/>
                <w:sz w:val="24"/>
                <w:szCs w:val="24"/>
                <w:lang w:val="en-US" w:eastAsia="zh-CN"/>
              </w:rPr>
              <w:t>。</w:t>
            </w:r>
          </w:p>
          <w:p>
            <w:pPr>
              <w:adjustRightInd w:val="0"/>
              <w:snapToGrid w:val="0"/>
              <w:spacing w:line="360" w:lineRule="auto"/>
              <w:ind w:firstLine="482" w:firstLineChars="200"/>
              <w:jc w:val="left"/>
              <w:rPr>
                <w:rFonts w:hint="eastAsia" w:ascii="Times New Roman" w:hAnsi="Times New Roman" w:cs="Times New Roman"/>
                <w:color w:val="auto"/>
                <w:sz w:val="24"/>
                <w:lang w:val="en-US" w:eastAsia="zh-CN"/>
              </w:rPr>
            </w:pPr>
            <w:r>
              <w:rPr>
                <w:rFonts w:hint="default" w:ascii="Times New Roman" w:hAnsi="Times New Roman" w:eastAsia="宋体" w:cs="Times New Roman"/>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、总量控制因子及污染物排放因子核算过程</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（1）废气</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项目废气主要为2台生物质锅炉产生，根据</w:t>
            </w:r>
            <w:r>
              <w:rPr>
                <w:rFonts w:ascii="Times New Roman" w:hAnsi="Times New Roman" w:eastAsia="宋体" w:cs="Times New Roman"/>
                <w:color w:val="auto"/>
                <w:kern w:val="0"/>
                <w:sz w:val="24"/>
                <w:lang w:bidi="ar"/>
              </w:rPr>
              <w:t>《污染源源强核算技术指南 锅炉》（HJ</w:t>
            </w:r>
            <w:r>
              <w:rPr>
                <w:rFonts w:hint="eastAsia" w:ascii="Times New Roman" w:hAnsi="Times New Roman" w:eastAsia="宋体" w:cs="Times New Roman"/>
                <w:color w:val="auto"/>
                <w:sz w:val="24"/>
                <w:szCs w:val="24"/>
                <w:lang w:val="en-US" w:eastAsia="zh-CN"/>
              </w:rPr>
              <w:t>991-2018）、《排污许可证申请与核发技术规范 锅炉》（HJ953-2018）、《排放源统计调查产排污核算方法和系数手册》中排污系数核算：</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锅</w:t>
            </w:r>
            <w:r>
              <w:rPr>
                <w:rFonts w:hint="default" w:ascii="Times New Roman" w:hAnsi="Times New Roman" w:eastAsia="宋体" w:cs="Times New Roman"/>
                <w:color w:val="auto"/>
                <w:sz w:val="24"/>
                <w:szCs w:val="24"/>
              </w:rPr>
              <w:t>炉烟气量</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6240</w:t>
            </w:r>
            <w:r>
              <w:rPr>
                <w:rFonts w:hint="default" w:ascii="Times New Roman" w:hAnsi="Times New Roman" w:cs="Times New Roman"/>
                <w:color w:val="auto"/>
                <w:sz w:val="24"/>
                <w:szCs w:val="24"/>
                <w:lang w:val="en-US" w:eastAsia="zh-CN"/>
              </w:rPr>
              <w:t>标立方米/吨-原料×</w:t>
            </w:r>
            <w:r>
              <w:rPr>
                <w:rFonts w:hint="eastAsia" w:ascii="Times New Roman" w:hAnsi="Times New Roman" w:cs="Times New Roman"/>
                <w:color w:val="auto"/>
                <w:sz w:val="24"/>
                <w:szCs w:val="24"/>
                <w:lang w:val="en-US" w:eastAsia="zh-CN"/>
              </w:rPr>
              <w:t>900t</w:t>
            </w:r>
            <w:r>
              <w:rPr>
                <w:rFonts w:hint="default" w:ascii="Times New Roman" w:hAnsi="Times New Roman" w:eastAsia="宋体" w:cs="Times New Roman"/>
                <w:color w:val="auto"/>
                <w:sz w:val="24"/>
                <w:szCs w:val="24"/>
              </w:rPr>
              <w:t>=</w:t>
            </w:r>
            <w:r>
              <w:rPr>
                <w:rFonts w:hint="eastAsia" w:ascii="Times New Roman" w:hAnsi="Times New Roman" w:cs="Times New Roman"/>
                <w:color w:val="auto"/>
                <w:kern w:val="0"/>
                <w:sz w:val="24"/>
                <w:lang w:val="en-US" w:eastAsia="zh-CN" w:bidi="ar"/>
              </w:rPr>
              <w:t>5.616</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本项目锅炉废气中颗粒物、NOx，SO</w:t>
            </w:r>
            <w:r>
              <w:rPr>
                <w:rFonts w:hint="default" w:ascii="Times New Roman" w:hAnsi="Times New Roman" w:eastAsia="宋体" w:cs="Times New Roman"/>
                <w:color w:val="auto"/>
                <w:kern w:val="0"/>
                <w:sz w:val="24"/>
                <w:szCs w:val="24"/>
                <w:vertAlign w:val="subscript"/>
                <w:lang w:val="en-US" w:eastAsia="zh-CN" w:bidi="ar"/>
              </w:rPr>
              <w:t>2</w:t>
            </w:r>
            <w:r>
              <w:rPr>
                <w:rFonts w:hint="eastAsia" w:ascii="Times New Roman" w:hAnsi="Times New Roman" w:cs="Times New Roman"/>
                <w:color w:val="auto"/>
                <w:kern w:val="0"/>
                <w:sz w:val="24"/>
                <w:szCs w:val="24"/>
                <w:vertAlign w:val="baseline"/>
                <w:lang w:val="en-US" w:eastAsia="zh-CN" w:bidi="ar"/>
              </w:rPr>
              <w:t>排放浓度执行</w:t>
            </w:r>
            <w:r>
              <w:rPr>
                <w:rFonts w:hint="default" w:ascii="Times New Roman" w:hAnsi="Times New Roman" w:cs="Times New Roman"/>
                <w:color w:val="auto"/>
                <w:kern w:val="0"/>
                <w:sz w:val="24"/>
                <w:szCs w:val="24"/>
              </w:rPr>
              <w:t>《锅炉大气污染物排放标准》（DB13</w:t>
            </w:r>
            <w:r>
              <w:rPr>
                <w:rFonts w:hint="eastAsia" w:ascii="Times New Roman" w:hAnsi="Times New Roman" w:cs="Times New Roman"/>
                <w:color w:val="auto"/>
                <w:kern w:val="0"/>
                <w:sz w:val="24"/>
                <w:szCs w:val="24"/>
                <w:lang w:val="en-US" w:eastAsia="zh-CN"/>
              </w:rPr>
              <w:t xml:space="preserve"> </w:t>
            </w:r>
            <w:r>
              <w:rPr>
                <w:rFonts w:hint="default" w:ascii="Times New Roman" w:hAnsi="Times New Roman" w:cs="Times New Roman"/>
                <w:color w:val="auto"/>
                <w:kern w:val="0"/>
                <w:sz w:val="24"/>
                <w:szCs w:val="24"/>
              </w:rPr>
              <w:t>5161-2020）</w:t>
            </w:r>
            <w:r>
              <w:rPr>
                <w:rFonts w:hint="default" w:ascii="Times New Roman" w:hAnsi="Times New Roman" w:eastAsia="宋体" w:cs="Times New Roman"/>
                <w:color w:val="auto"/>
                <w:kern w:val="0"/>
                <w:sz w:val="24"/>
                <w:szCs w:val="24"/>
                <w:lang w:val="en-US" w:eastAsia="zh-CN" w:bidi="ar"/>
              </w:rPr>
              <w:t>中相应标准，颗粒物</w:t>
            </w:r>
            <w:r>
              <w:rPr>
                <w:rFonts w:hint="eastAsia" w:ascii="Times New Roman" w:hAnsi="Times New Roman" w:cs="Times New Roman"/>
                <w:color w:val="auto"/>
                <w:kern w:val="0"/>
                <w:sz w:val="24"/>
                <w:szCs w:val="24"/>
                <w:lang w:val="en-US" w:eastAsia="zh-CN" w:bidi="ar"/>
              </w:rPr>
              <w:t>20</w:t>
            </w:r>
            <w:r>
              <w:rPr>
                <w:rFonts w:hint="default" w:ascii="Times New Roman" w:hAnsi="Times New Roman" w:cs="Times New Roman"/>
                <w:color w:val="auto"/>
                <w:sz w:val="24"/>
                <w:szCs w:val="24"/>
              </w:rPr>
              <w:t>mg/</w:t>
            </w:r>
            <w:r>
              <w:rPr>
                <w:rFonts w:hint="eastAsia" w:ascii="宋体" w:hAnsi="宋体" w:eastAsia="宋体" w:cs="宋体"/>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kern w:val="0"/>
                <w:sz w:val="24"/>
                <w:szCs w:val="24"/>
                <w:lang w:val="en-US" w:eastAsia="zh-CN" w:bidi="ar"/>
              </w:rPr>
              <w:t>，SO</w:t>
            </w:r>
            <w:r>
              <w:rPr>
                <w:rFonts w:hint="default" w:ascii="Times New Roman" w:hAnsi="Times New Roman" w:eastAsia="宋体" w:cs="Times New Roman"/>
                <w:color w:val="auto"/>
                <w:kern w:val="0"/>
                <w:sz w:val="24"/>
                <w:szCs w:val="24"/>
                <w:vertAlign w:val="subscript"/>
                <w:lang w:val="en-US" w:eastAsia="zh-CN" w:bidi="ar"/>
              </w:rPr>
              <w:t>2</w:t>
            </w:r>
            <w:r>
              <w:rPr>
                <w:rFonts w:hint="eastAsia" w:ascii="Times New Roman" w:hAnsi="Times New Roman" w:cs="Times New Roman"/>
                <w:color w:val="auto"/>
                <w:kern w:val="0"/>
                <w:sz w:val="24"/>
                <w:szCs w:val="24"/>
                <w:lang w:val="en-US" w:eastAsia="zh-CN" w:bidi="ar"/>
              </w:rPr>
              <w:t>30</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，NOx</w:t>
            </w:r>
            <w:r>
              <w:rPr>
                <w:rFonts w:hint="eastAsia" w:ascii="Times New Roman" w:hAnsi="Times New Roman" w:cs="Times New Roman"/>
                <w:color w:val="auto"/>
                <w:kern w:val="0"/>
                <w:sz w:val="24"/>
                <w:szCs w:val="24"/>
                <w:lang w:val="en-US" w:eastAsia="zh-CN" w:bidi="ar"/>
              </w:rPr>
              <w:t>150</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eastAsia="宋体" w:cs="Times New Roman"/>
                <w:color w:val="auto"/>
                <w:kern w:val="0"/>
                <w:sz w:val="24"/>
                <w:szCs w:val="24"/>
                <w:lang w:val="en-US" w:eastAsia="zh-CN" w:bidi="ar"/>
              </w:rPr>
              <w:t>标准核算量具体计算过程如下</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 xml:space="preserve">颗粒物排放总量：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eastAsia" w:ascii="Times New Roman" w:hAnsi="Times New Roman" w:cs="Times New Roman"/>
                <w:color w:val="auto"/>
                <w:kern w:val="0"/>
                <w:sz w:val="24"/>
                <w:lang w:val="en-US" w:eastAsia="zh-CN" w:bidi="ar"/>
              </w:rPr>
              <w:t>5.616</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6</w:t>
            </w:r>
            <w:r>
              <w:rPr>
                <w:rFonts w:hint="default" w:ascii="Times New Roman" w:hAnsi="Times New Roman" w:eastAsia="宋体" w:cs="Times New Roman"/>
                <w:color w:val="auto"/>
                <w:kern w:val="0"/>
                <w:sz w:val="24"/>
                <w:lang w:bidi="ar"/>
              </w:rPr>
              <w:t>m</w:t>
            </w:r>
            <w:r>
              <w:rPr>
                <w:rFonts w:hint="default" w:ascii="Times New Roman" w:hAnsi="Times New Roman" w:eastAsia="宋体" w:cs="Times New Roman"/>
                <w:color w:val="auto"/>
                <w:kern w:val="0"/>
                <w:sz w:val="24"/>
                <w:vertAlign w:val="superscript"/>
                <w:lang w:bidi="ar"/>
              </w:rPr>
              <w:t>3</w:t>
            </w:r>
            <w:r>
              <w:rPr>
                <w:rFonts w:hint="default" w:ascii="Times New Roman" w:hAnsi="Times New Roman" w:eastAsia="宋体" w:cs="Times New Roman"/>
                <w:color w:val="auto"/>
                <w:kern w:val="0"/>
                <w:sz w:val="24"/>
                <w:lang w:bidi="ar"/>
              </w:rPr>
              <w:t>/a</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20</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×10</w:t>
            </w:r>
            <w:r>
              <w:rPr>
                <w:rFonts w:hint="default" w:ascii="Times New Roman" w:hAnsi="Times New Roman" w:eastAsia="宋体" w:cs="Times New Roman"/>
                <w:color w:val="auto"/>
                <w:kern w:val="0"/>
                <w:sz w:val="24"/>
                <w:szCs w:val="24"/>
                <w:vertAlign w:val="superscript"/>
                <w:lang w:val="en-US" w:eastAsia="zh-CN" w:bidi="ar"/>
              </w:rPr>
              <w:t>-9</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0.112</w:t>
            </w:r>
            <w:r>
              <w:rPr>
                <w:rFonts w:hint="default" w:ascii="Times New Roman" w:hAnsi="Times New Roman" w:eastAsia="宋体" w:cs="Times New Roman"/>
                <w:color w:val="auto"/>
                <w:kern w:val="0"/>
                <w:sz w:val="24"/>
                <w:szCs w:val="24"/>
                <w:lang w:val="en-US" w:eastAsia="zh-CN" w:bidi="ar"/>
              </w:rPr>
              <w:t xml:space="preserve">t/a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SO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 xml:space="preserve">排放总量：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eastAsia" w:ascii="Times New Roman" w:hAnsi="Times New Roman" w:cs="Times New Roman"/>
                <w:color w:val="auto"/>
                <w:kern w:val="0"/>
                <w:sz w:val="24"/>
                <w:lang w:val="en-US" w:eastAsia="zh-CN" w:bidi="ar"/>
              </w:rPr>
              <w:t>5.616</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6</w:t>
            </w:r>
            <w:r>
              <w:rPr>
                <w:rFonts w:hint="default" w:ascii="Times New Roman" w:hAnsi="Times New Roman" w:eastAsia="宋体" w:cs="Times New Roman"/>
                <w:color w:val="auto"/>
                <w:kern w:val="0"/>
                <w:sz w:val="24"/>
                <w:lang w:bidi="ar"/>
              </w:rPr>
              <w:t>m</w:t>
            </w:r>
            <w:r>
              <w:rPr>
                <w:rFonts w:hint="default" w:ascii="Times New Roman" w:hAnsi="Times New Roman" w:eastAsia="宋体" w:cs="Times New Roman"/>
                <w:color w:val="auto"/>
                <w:kern w:val="0"/>
                <w:sz w:val="24"/>
                <w:vertAlign w:val="superscript"/>
                <w:lang w:bidi="ar"/>
              </w:rPr>
              <w:t>3</w:t>
            </w:r>
            <w:r>
              <w:rPr>
                <w:rFonts w:hint="default" w:ascii="Times New Roman" w:hAnsi="Times New Roman" w:eastAsia="宋体" w:cs="Times New Roman"/>
                <w:color w:val="auto"/>
                <w:kern w:val="0"/>
                <w:sz w:val="24"/>
                <w:lang w:bidi="ar"/>
              </w:rPr>
              <w:t>/a</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30</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×10</w:t>
            </w:r>
            <w:r>
              <w:rPr>
                <w:rFonts w:hint="default" w:ascii="Times New Roman" w:hAnsi="Times New Roman" w:eastAsia="宋体" w:cs="Times New Roman"/>
                <w:color w:val="auto"/>
                <w:kern w:val="0"/>
                <w:sz w:val="24"/>
                <w:szCs w:val="24"/>
                <w:vertAlign w:val="superscript"/>
                <w:lang w:val="en-US" w:eastAsia="zh-CN" w:bidi="ar"/>
              </w:rPr>
              <w:t>-9</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0.168</w:t>
            </w:r>
            <w:r>
              <w:rPr>
                <w:rFonts w:hint="default" w:ascii="Times New Roman" w:hAnsi="Times New Roman" w:eastAsia="宋体" w:cs="Times New Roman"/>
                <w:color w:val="auto"/>
                <w:kern w:val="0"/>
                <w:sz w:val="24"/>
                <w:szCs w:val="24"/>
                <w:lang w:val="en-US" w:eastAsia="zh-CN" w:bidi="ar"/>
              </w:rPr>
              <w:t xml:space="preserve">t/a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NOx排放总量： </w:t>
            </w:r>
          </w:p>
          <w:p>
            <w:pPr>
              <w:adjustRightInd w:val="0"/>
              <w:snapToGrid w:val="0"/>
              <w:spacing w:line="360" w:lineRule="auto"/>
              <w:ind w:firstLine="480" w:firstLineChars="200"/>
              <w:rPr>
                <w:rFonts w:ascii="Times New Roman" w:hAnsi="Times New Roman" w:eastAsia="宋体" w:cs="Times New Roman"/>
                <w:color w:val="auto"/>
                <w:kern w:val="0"/>
                <w:sz w:val="24"/>
                <w:lang w:bidi="ar"/>
              </w:rPr>
            </w:pPr>
            <w:r>
              <w:rPr>
                <w:rFonts w:hint="eastAsia" w:ascii="Times New Roman" w:hAnsi="Times New Roman" w:cs="Times New Roman"/>
                <w:color w:val="auto"/>
                <w:kern w:val="0"/>
                <w:sz w:val="24"/>
                <w:lang w:val="en-US" w:eastAsia="zh-CN" w:bidi="ar"/>
              </w:rPr>
              <w:t>5.616</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6</w:t>
            </w:r>
            <w:r>
              <w:rPr>
                <w:rFonts w:hint="default" w:ascii="Times New Roman" w:hAnsi="Times New Roman" w:eastAsia="宋体" w:cs="Times New Roman"/>
                <w:color w:val="auto"/>
                <w:kern w:val="0"/>
                <w:sz w:val="24"/>
                <w:lang w:bidi="ar"/>
              </w:rPr>
              <w:t>m</w:t>
            </w:r>
            <w:r>
              <w:rPr>
                <w:rFonts w:hint="default" w:ascii="Times New Roman" w:hAnsi="Times New Roman" w:eastAsia="宋体" w:cs="Times New Roman"/>
                <w:color w:val="auto"/>
                <w:kern w:val="0"/>
                <w:sz w:val="24"/>
                <w:vertAlign w:val="superscript"/>
                <w:lang w:bidi="ar"/>
              </w:rPr>
              <w:t>3</w:t>
            </w:r>
            <w:r>
              <w:rPr>
                <w:rFonts w:hint="default" w:ascii="Times New Roman" w:hAnsi="Times New Roman" w:eastAsia="宋体" w:cs="Times New Roman"/>
                <w:color w:val="auto"/>
                <w:kern w:val="0"/>
                <w:sz w:val="24"/>
                <w:lang w:bidi="ar"/>
              </w:rPr>
              <w:t>/a</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150</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×10</w:t>
            </w:r>
            <w:r>
              <w:rPr>
                <w:rFonts w:hint="default" w:ascii="Times New Roman" w:hAnsi="Times New Roman" w:eastAsia="宋体" w:cs="Times New Roman"/>
                <w:color w:val="auto"/>
                <w:kern w:val="0"/>
                <w:sz w:val="24"/>
                <w:szCs w:val="24"/>
                <w:vertAlign w:val="superscript"/>
                <w:lang w:val="en-US" w:eastAsia="zh-CN" w:bidi="ar"/>
              </w:rPr>
              <w:t>-9</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0.842</w:t>
            </w:r>
            <w:r>
              <w:rPr>
                <w:rFonts w:hint="default" w:ascii="Times New Roman" w:hAnsi="Times New Roman" w:eastAsia="宋体" w:cs="Times New Roman"/>
                <w:color w:val="auto"/>
                <w:kern w:val="0"/>
                <w:sz w:val="24"/>
                <w:szCs w:val="24"/>
                <w:lang w:val="en-US" w:eastAsia="zh-CN" w:bidi="ar"/>
              </w:rPr>
              <w:t xml:space="preserve">t/a </w:t>
            </w:r>
          </w:p>
          <w:p>
            <w:pPr>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综上所述，污染物排放量如下：</w:t>
            </w:r>
          </w:p>
          <w:p>
            <w:pPr>
              <w:snapToGrid w:val="0"/>
              <w:spacing w:line="360" w:lineRule="auto"/>
              <w:ind w:firstLine="480" w:firstLineChars="200"/>
              <w:rPr>
                <w:rFonts w:ascii="Times New Roman" w:hAnsi="Times New Roman"/>
                <w:color w:val="auto"/>
                <w:sz w:val="24"/>
                <w:szCs w:val="24"/>
              </w:rPr>
            </w:pPr>
            <w:bookmarkStart w:id="29" w:name="_Hlk121993793"/>
            <w:r>
              <w:rPr>
                <w:rFonts w:ascii="Times New Roman" w:hAnsi="Times New Roman"/>
                <w:color w:val="auto"/>
                <w:sz w:val="24"/>
                <w:szCs w:val="24"/>
              </w:rPr>
              <w:t>二氧化硫总量指标=</w:t>
            </w:r>
            <w:r>
              <w:rPr>
                <w:rFonts w:hint="eastAsia" w:ascii="Times New Roman" w:hAnsi="Times New Roman"/>
                <w:color w:val="auto"/>
                <w:sz w:val="24"/>
                <w:szCs w:val="24"/>
                <w:lang w:val="en-US" w:eastAsia="zh-CN"/>
              </w:rPr>
              <w:t>0.168</w:t>
            </w:r>
            <w:r>
              <w:rPr>
                <w:rFonts w:ascii="Times New Roman" w:hAnsi="Times New Roman"/>
                <w:color w:val="auto"/>
                <w:sz w:val="24"/>
                <w:szCs w:val="24"/>
              </w:rPr>
              <w:t>t/a；</w:t>
            </w:r>
            <w:bookmarkEnd w:id="29"/>
          </w:p>
          <w:p>
            <w:pPr>
              <w:adjustRightInd w:val="0"/>
              <w:snapToGrid w:val="0"/>
              <w:spacing w:line="360" w:lineRule="auto"/>
              <w:ind w:firstLine="480" w:firstLineChars="200"/>
              <w:jc w:val="left"/>
              <w:rPr>
                <w:rFonts w:hint="eastAsia" w:ascii="Times New Roman" w:hAnsi="Times New Roman" w:cs="Times New Roman"/>
                <w:color w:val="auto"/>
                <w:sz w:val="24"/>
                <w:lang w:val="en-US" w:eastAsia="zh-CN"/>
              </w:rPr>
            </w:pPr>
            <w:r>
              <w:rPr>
                <w:rFonts w:hint="eastAsia" w:ascii="Times New Roman" w:hAnsi="Times New Roman"/>
                <w:color w:val="auto"/>
                <w:sz w:val="24"/>
                <w:szCs w:val="24"/>
                <w:lang w:val="en-US" w:eastAsia="zh-CN"/>
              </w:rPr>
              <w:t>氮氧化物</w:t>
            </w:r>
            <w:r>
              <w:rPr>
                <w:rFonts w:ascii="Times New Roman" w:hAnsi="Times New Roman"/>
                <w:color w:val="auto"/>
                <w:sz w:val="24"/>
                <w:szCs w:val="24"/>
              </w:rPr>
              <w:t>总量指标=</w:t>
            </w:r>
            <w:r>
              <w:rPr>
                <w:rFonts w:hint="eastAsia" w:ascii="Times New Roman" w:hAnsi="Times New Roman"/>
                <w:color w:val="auto"/>
                <w:sz w:val="24"/>
                <w:szCs w:val="24"/>
                <w:lang w:val="en-US" w:eastAsia="zh-CN"/>
              </w:rPr>
              <w:t>0.842</w:t>
            </w:r>
            <w:r>
              <w:rPr>
                <w:rFonts w:ascii="Times New Roman" w:hAnsi="Times New Roman"/>
                <w:color w:val="auto"/>
                <w:sz w:val="24"/>
                <w:szCs w:val="24"/>
              </w:rPr>
              <w:t>t/a。</w:t>
            </w:r>
          </w:p>
          <w:p>
            <w:pPr>
              <w:adjustRightInd w:val="0"/>
              <w:snapToGrid w:val="0"/>
              <w:spacing w:line="360" w:lineRule="auto"/>
              <w:ind w:firstLine="480" w:firstLineChars="200"/>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（2）废水</w:t>
            </w:r>
          </w:p>
          <w:p>
            <w:pPr>
              <w:pStyle w:val="62"/>
              <w:keepNext w:val="0"/>
              <w:keepLines w:val="0"/>
              <w:pageBreakBefore w:val="0"/>
              <w:widowControl w:val="0"/>
              <w:numPr>
                <w:ilvl w:val="0"/>
                <w:numId w:val="10"/>
              </w:numPr>
              <w:kinsoku/>
              <w:wordWrap/>
              <w:overflowPunct/>
              <w:topLinePunct w:val="0"/>
              <w:autoSpaceDE w:val="0"/>
              <w:autoSpaceDN w:val="0"/>
              <w:bidi w:val="0"/>
              <w:adjustRightInd w:val="0"/>
              <w:snapToGrid w:val="0"/>
              <w:spacing w:line="240" w:lineRule="auto"/>
              <w:ind w:left="0" w:firstLine="0" w:firstLineChars="0"/>
              <w:jc w:val="center"/>
              <w:textAlignment w:val="auto"/>
              <w:rPr>
                <w:rStyle w:val="26"/>
                <w:rFonts w:hint="eastAsia" w:ascii="Times New Roman" w:hAnsi="Times New Roman" w:eastAsia="宋体" w:cs="Times New Roman"/>
                <w:color w:val="auto"/>
                <w:highlight w:val="none"/>
                <w:lang w:val="en-US" w:eastAsia="zh-CN"/>
              </w:rPr>
            </w:pPr>
            <w:r>
              <w:rPr>
                <w:rStyle w:val="26"/>
                <w:rFonts w:hint="eastAsia" w:ascii="Times New Roman" w:hAnsi="Times New Roman" w:eastAsia="宋体" w:cs="Times New Roman"/>
                <w:color w:val="auto"/>
                <w:highlight w:val="none"/>
                <w:lang w:val="en-US" w:eastAsia="zh-CN"/>
              </w:rPr>
              <w:t>本项目废水总量控制污染物排放量一览表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860"/>
              <w:gridCol w:w="1870"/>
              <w:gridCol w:w="1863"/>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类别</w:t>
                  </w:r>
                </w:p>
              </w:tc>
              <w:tc>
                <w:tcPr>
                  <w:tcW w:w="218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本项目核定排放量</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《污水综合排放标准》（GB2978-1996）及污水处理厂进水水质要求</w:t>
                  </w:r>
                </w:p>
              </w:tc>
              <w:tc>
                <w:tcPr>
                  <w:tcW w:w="218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本项目总量控制指标</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《城镇污水处理厂污染物排放标准》（GB/18918-2002）及修改单中一级A标准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c>
                <w:tcPr>
                  <w:tcW w:w="109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rPr>
                    <w:t>浓度 （</w:t>
                  </w:r>
                  <w:r>
                    <w:rPr>
                      <w:rFonts w:hint="default" w:ascii="Times New Roman" w:hAnsi="Times New Roman" w:eastAsia="宋体" w:cs="Times New Roman"/>
                      <w:b/>
                      <w:bCs/>
                      <w:color w:val="auto"/>
                      <w:sz w:val="21"/>
                      <w:szCs w:val="21"/>
                      <w:highlight w:val="none"/>
                      <w:vertAlign w:val="baseline"/>
                      <w:lang w:val="en-US" w:eastAsia="zh-CN"/>
                    </w:rPr>
                    <w:t>mg/L</w:t>
                  </w:r>
                  <w:r>
                    <w:rPr>
                      <w:rFonts w:hint="eastAsia" w:ascii="Times New Roman" w:hAnsi="Times New Roman" w:eastAsia="宋体" w:cs="Times New Roman"/>
                      <w:b/>
                      <w:bCs/>
                      <w:color w:val="auto"/>
                      <w:sz w:val="21"/>
                      <w:szCs w:val="21"/>
                      <w:highlight w:val="none"/>
                      <w:vertAlign w:val="baseline"/>
                      <w:lang w:val="en-US" w:eastAsia="zh-CN"/>
                    </w:rPr>
                    <w:t xml:space="preserve">） </w:t>
                  </w:r>
                </w:p>
              </w:tc>
              <w:tc>
                <w:tcPr>
                  <w:tcW w:w="109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rPr>
                    <w:t xml:space="preserve">排放量 </w:t>
                  </w:r>
                  <w:r>
                    <w:rPr>
                      <w:rFonts w:hint="default" w:ascii="Times New Roman" w:hAnsi="Times New Roman" w:eastAsia="宋体" w:cs="Times New Roman"/>
                      <w:b/>
                      <w:bCs/>
                      <w:color w:val="auto"/>
                      <w:sz w:val="21"/>
                      <w:szCs w:val="21"/>
                      <w:highlight w:val="none"/>
                      <w:vertAlign w:val="baseline"/>
                      <w:lang w:val="en-US" w:eastAsia="zh-CN"/>
                    </w:rPr>
                    <w:t xml:space="preserve">(t /a) </w:t>
                  </w:r>
                </w:p>
              </w:tc>
              <w:tc>
                <w:tcPr>
                  <w:tcW w:w="197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浓度 （</w:t>
                  </w:r>
                  <w:r>
                    <w:rPr>
                      <w:rFonts w:hint="default" w:ascii="Times New Roman" w:hAnsi="Times New Roman" w:eastAsia="宋体" w:cs="Times New Roman"/>
                      <w:b/>
                      <w:bCs/>
                      <w:color w:val="auto"/>
                      <w:sz w:val="21"/>
                      <w:szCs w:val="21"/>
                      <w:highlight w:val="none"/>
                      <w:vertAlign w:val="baseline"/>
                      <w:lang w:val="en-US" w:eastAsia="zh-CN"/>
                    </w:rPr>
                    <w:t>mg/L</w:t>
                  </w:r>
                  <w:r>
                    <w:rPr>
                      <w:rFonts w:hint="eastAsia" w:ascii="Times New Roman" w:hAnsi="Times New Roman" w:eastAsia="宋体" w:cs="Times New Roman"/>
                      <w:b/>
                      <w:bCs/>
                      <w:color w:val="auto"/>
                      <w:sz w:val="21"/>
                      <w:szCs w:val="21"/>
                      <w:highlight w:val="none"/>
                      <w:vertAlign w:val="baseline"/>
                      <w:lang w:val="en-US" w:eastAsia="zh-CN"/>
                    </w:rPr>
                    <w:t xml:space="preserve">） </w:t>
                  </w:r>
                </w:p>
              </w:tc>
              <w:tc>
                <w:tcPr>
                  <w:tcW w:w="198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 xml:space="preserve">排放量 </w:t>
                  </w:r>
                  <w:r>
                    <w:rPr>
                      <w:rFonts w:hint="default" w:ascii="Times New Roman" w:hAnsi="Times New Roman" w:eastAsia="宋体" w:cs="Times New Roman"/>
                      <w:b/>
                      <w:bCs/>
                      <w:color w:val="auto"/>
                      <w:sz w:val="21"/>
                      <w:szCs w:val="21"/>
                      <w:highlight w:val="none"/>
                      <w:vertAlign w:val="baseline"/>
                      <w:lang w:val="en-US" w:eastAsia="zh-CN"/>
                    </w:rPr>
                    <w:t xml:space="preserve">(t /a)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废水量</w:t>
                  </w:r>
                </w:p>
              </w:tc>
              <w:tc>
                <w:tcPr>
                  <w:tcW w:w="109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09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74608.6</w:t>
                  </w:r>
                </w:p>
              </w:tc>
              <w:tc>
                <w:tcPr>
                  <w:tcW w:w="197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98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74608.6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ascii="Times New Roman" w:hAnsi="Times New Roman" w:eastAsia="宋体" w:cs="Times New Roman"/>
                      <w:b w:val="0"/>
                      <w:bCs w:val="0"/>
                      <w:color w:val="auto"/>
                      <w:szCs w:val="21"/>
                      <w:highlight w:val="none"/>
                    </w:rPr>
                    <w:t>COD</w:t>
                  </w:r>
                </w:p>
              </w:tc>
              <w:tc>
                <w:tcPr>
                  <w:tcW w:w="109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463</w:t>
                  </w:r>
                </w:p>
              </w:tc>
              <w:tc>
                <w:tcPr>
                  <w:tcW w:w="109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34.544</w:t>
                  </w:r>
                </w:p>
              </w:tc>
              <w:tc>
                <w:tcPr>
                  <w:tcW w:w="1093"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50</w:t>
                  </w:r>
                </w:p>
              </w:tc>
              <w:tc>
                <w:tcPr>
                  <w:tcW w:w="1095"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ascii="Times New Roman" w:hAnsi="Times New Roman" w:eastAsia="宋体" w:cs="Times New Roman"/>
                      <w:b w:val="0"/>
                      <w:bCs w:val="0"/>
                      <w:color w:val="auto"/>
                      <w:szCs w:val="21"/>
                      <w:highlight w:val="none"/>
                    </w:rPr>
                    <w:t>NH</w:t>
                  </w:r>
                  <w:r>
                    <w:rPr>
                      <w:rFonts w:ascii="Times New Roman" w:hAnsi="Times New Roman" w:eastAsia="宋体" w:cs="Times New Roman"/>
                      <w:b w:val="0"/>
                      <w:bCs w:val="0"/>
                      <w:color w:val="auto"/>
                      <w:szCs w:val="21"/>
                      <w:highlight w:val="none"/>
                      <w:vertAlign w:val="subscript"/>
                    </w:rPr>
                    <w:t>3</w:t>
                  </w:r>
                  <w:r>
                    <w:rPr>
                      <w:rFonts w:ascii="Times New Roman" w:hAnsi="Times New Roman" w:eastAsia="宋体" w:cs="Times New Roman"/>
                      <w:b w:val="0"/>
                      <w:bCs w:val="0"/>
                      <w:color w:val="auto"/>
                      <w:szCs w:val="21"/>
                      <w:highlight w:val="none"/>
                    </w:rPr>
                    <w:t>-N</w:t>
                  </w:r>
                </w:p>
              </w:tc>
              <w:tc>
                <w:tcPr>
                  <w:tcW w:w="1091"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43</w:t>
                  </w:r>
                </w:p>
              </w:tc>
              <w:tc>
                <w:tcPr>
                  <w:tcW w:w="109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3.208</w:t>
                  </w:r>
                </w:p>
              </w:tc>
              <w:tc>
                <w:tcPr>
                  <w:tcW w:w="1093"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5（8）</w:t>
                  </w:r>
                </w:p>
              </w:tc>
              <w:tc>
                <w:tcPr>
                  <w:tcW w:w="1095"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0.464</w:t>
                  </w:r>
                </w:p>
              </w:tc>
            </w:tr>
          </w:tbl>
          <w:p>
            <w:pPr>
              <w:keepNext w:val="0"/>
              <w:keepLines w:val="0"/>
              <w:widowControl/>
              <w:suppressLineNumbers w:val="0"/>
              <w:spacing w:line="240" w:lineRule="auto"/>
              <w:ind w:firstLine="422" w:firstLineChars="20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t>注：各污染因子的排放量</w:t>
            </w:r>
            <w:r>
              <w:rPr>
                <w:rFonts w:hint="default" w:ascii="Times New Roman" w:hAnsi="Times New Roman" w:eastAsia="宋体" w:cs="Times New Roman"/>
                <w:b/>
                <w:bCs/>
                <w:color w:val="auto"/>
                <w:kern w:val="0"/>
                <w:sz w:val="21"/>
                <w:szCs w:val="21"/>
                <w:lang w:val="en-US" w:eastAsia="zh-CN" w:bidi="ar"/>
              </w:rPr>
              <w:t>t/a=</w:t>
            </w:r>
            <w:r>
              <w:rPr>
                <w:rFonts w:hint="eastAsia" w:ascii="宋体" w:hAnsi="宋体" w:eastAsia="宋体" w:cs="宋体"/>
                <w:b/>
                <w:bCs/>
                <w:color w:val="auto"/>
                <w:kern w:val="0"/>
                <w:sz w:val="21"/>
                <w:szCs w:val="21"/>
                <w:lang w:val="en-US" w:eastAsia="zh-CN" w:bidi="ar"/>
              </w:rPr>
              <w:t>废水排放量</w:t>
            </w:r>
            <w:r>
              <w:rPr>
                <w:rFonts w:hint="default" w:ascii="Times New Roman" w:hAnsi="Times New Roman" w:eastAsia="宋体" w:cs="Times New Roman"/>
                <w:b/>
                <w:bCs/>
                <w:color w:val="auto"/>
                <w:kern w:val="0"/>
                <w:sz w:val="21"/>
                <w:szCs w:val="21"/>
                <w:lang w:val="en-US" w:eastAsia="zh-CN" w:bidi="ar"/>
              </w:rPr>
              <w:t>t/a×</w:t>
            </w:r>
            <w:r>
              <w:rPr>
                <w:rFonts w:hint="eastAsia" w:ascii="宋体" w:hAnsi="宋体" w:eastAsia="宋体" w:cs="宋体"/>
                <w:b/>
                <w:bCs/>
                <w:color w:val="auto"/>
                <w:kern w:val="0"/>
                <w:sz w:val="21"/>
                <w:szCs w:val="21"/>
                <w:lang w:val="en-US" w:eastAsia="zh-CN" w:bidi="ar"/>
              </w:rPr>
              <w:t>浓度</w:t>
            </w:r>
            <w:r>
              <w:rPr>
                <w:rFonts w:hint="default" w:ascii="Times New Roman" w:hAnsi="Times New Roman" w:eastAsia="宋体" w:cs="Times New Roman"/>
                <w:b/>
                <w:bCs/>
                <w:color w:val="auto"/>
                <w:kern w:val="0"/>
                <w:sz w:val="21"/>
                <w:szCs w:val="21"/>
                <w:lang w:val="en-US" w:eastAsia="zh-CN" w:bidi="ar"/>
              </w:rPr>
              <w:t>mg/L×10</w:t>
            </w:r>
            <w:r>
              <w:rPr>
                <w:rFonts w:hint="eastAsia" w:ascii="Times New Roman" w:hAnsi="Times New Roman" w:eastAsia="宋体" w:cs="Times New Roman"/>
                <w:b/>
                <w:bCs/>
                <w:color w:val="auto"/>
                <w:kern w:val="0"/>
                <w:sz w:val="21"/>
                <w:szCs w:val="21"/>
                <w:vertAlign w:val="superscript"/>
                <w:lang w:val="en-US" w:eastAsia="zh-CN" w:bidi="ar"/>
              </w:rPr>
              <w:t>-6</w:t>
            </w:r>
            <w:r>
              <w:rPr>
                <w:rFonts w:hint="eastAsia"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1"/>
                <w:szCs w:val="21"/>
                <w:highlight w:val="none"/>
                <w:lang w:val="en-US" w:eastAsia="zh-CN"/>
              </w:rPr>
              <w:t>12月1日-3月31日（121天）执行括号内的排放限值。</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化学需氧量总量控制指标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auto"/>
                <w:sz w:val="24"/>
                <w:szCs w:val="24"/>
                <w:highlight w:val="none"/>
                <w:vertAlign w:val="baseline"/>
                <w:lang w:val="en-US" w:eastAsia="zh-CN"/>
              </w:rPr>
              <w:t>74608.6</w:t>
            </w:r>
            <w:r>
              <w:rPr>
                <w:rFonts w:hint="default" w:ascii="Times New Roman" w:hAnsi="Times New Roman" w:eastAsia="宋体" w:cs="Times New Roman"/>
                <w:color w:val="000000" w:themeColor="text1"/>
                <w:kern w:val="0"/>
                <w:sz w:val="24"/>
                <w:szCs w:val="24"/>
                <w:lang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bidi="ar"/>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50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3.730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t/a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氨氮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总量控制指标： </w:t>
            </w:r>
          </w:p>
          <w:p>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auto"/>
                <w:sz w:val="24"/>
                <w:szCs w:val="24"/>
                <w:highlight w:val="none"/>
                <w:vertAlign w:val="baseline"/>
                <w:lang w:val="en-US" w:eastAsia="zh-CN"/>
              </w:rPr>
              <w:t>74608.6</w:t>
            </w:r>
            <w:r>
              <w:rPr>
                <w:rFonts w:hint="default" w:ascii="Times New Roman" w:hAnsi="Times New Roman" w:eastAsia="宋体" w:cs="Times New Roman"/>
                <w:color w:val="000000" w:themeColor="text1"/>
                <w:kern w:val="0"/>
                <w:sz w:val="24"/>
                <w:szCs w:val="24"/>
                <w:lang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bidi="ar"/>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179）/300+（</w:t>
            </w:r>
            <w:r>
              <w:rPr>
                <w:rFonts w:hint="default" w:ascii="Times New Roman" w:hAnsi="Times New Roman" w:eastAsia="宋体" w:cs="Times New Roman"/>
                <w:b w:val="0"/>
                <w:bCs w:val="0"/>
                <w:color w:val="auto"/>
                <w:sz w:val="24"/>
                <w:szCs w:val="24"/>
                <w:highlight w:val="none"/>
                <w:vertAlign w:val="baseline"/>
                <w:lang w:val="en-US" w:eastAsia="zh-CN"/>
              </w:rPr>
              <w:t>74608.6</w:t>
            </w:r>
            <w:r>
              <w:rPr>
                <w:rFonts w:hint="default" w:ascii="Times New Roman" w:hAnsi="Times New Roman" w:eastAsia="宋体" w:cs="Times New Roman"/>
                <w:color w:val="000000" w:themeColor="text1"/>
                <w:kern w:val="0"/>
                <w:sz w:val="24"/>
                <w:szCs w:val="24"/>
                <w:lang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bidi="ar"/>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121）/300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0.464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p>
          <w:p>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根据河北省生</w:t>
            </w:r>
            <w:r>
              <w:rPr>
                <w:rFonts w:hint="eastAsia" w:ascii="Times New Roman" w:hAnsi="Times New Roman" w:eastAsia="宋体" w:cs="Times New Roman"/>
                <w:color w:val="auto"/>
                <w:sz w:val="24"/>
                <w:highlight w:val="none"/>
                <w:lang w:val="en-US" w:eastAsia="zh-CN"/>
              </w:rPr>
              <w:t>态环境厅办公室关于进一步做好建设项目新增水主要污染物排污权核定有关事宜的通知（冀环办字函[2023]283号），一、规范新增排放总量核算：间接排放的，按照建设项目排水量及所排入污水集中处理设施执行的水污染物排放标准核算，本项目废水总量控制指标为：</w:t>
            </w:r>
            <w:r>
              <w:rPr>
                <w:rFonts w:hint="eastAsia" w:ascii="Times New Roman" w:hAnsi="Times New Roman" w:eastAsia="宋体" w:cs="Times New Roman"/>
                <w:color w:val="auto"/>
                <w:sz w:val="24"/>
                <w:szCs w:val="24"/>
                <w:highlight w:val="none"/>
              </w:rPr>
              <w:t>COD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3.730</w:t>
            </w:r>
            <w:r>
              <w:rPr>
                <w:rFonts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NH</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-N</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0.464</w:t>
            </w:r>
            <w:r>
              <w:rPr>
                <w:rFonts w:ascii="Times New Roman" w:hAnsi="Times New Roman" w:cs="Times New Roman"/>
                <w:color w:val="auto"/>
                <w:sz w:val="24"/>
                <w:szCs w:val="24"/>
                <w:highlight w:val="none"/>
              </w:rPr>
              <w:t>t/a</w:t>
            </w:r>
            <w:r>
              <w:rPr>
                <w:rFonts w:ascii="Times New Roman" w:hAnsi="Times New Roman" w:eastAsia="宋体" w:cs="Times New Roman"/>
                <w:color w:val="auto"/>
                <w:sz w:val="24"/>
                <w:szCs w:val="24"/>
                <w:highlight w:val="none"/>
              </w:rPr>
              <w:t>。</w:t>
            </w:r>
          </w:p>
          <w:p>
            <w:pPr>
              <w:adjustRightInd w:val="0"/>
              <w:snapToGrid w:val="0"/>
              <w:spacing w:line="360" w:lineRule="auto"/>
              <w:ind w:firstLine="480" w:firstLineChars="200"/>
              <w:jc w:val="left"/>
              <w:rPr>
                <w:rFonts w:hint="eastAsia" w:ascii="Times New Roman" w:hAnsi="Times New Roman" w:cs="Times New Roman"/>
                <w:color w:val="auto"/>
                <w:sz w:val="24"/>
                <w:szCs w:val="24"/>
                <w:lang w:eastAsia="zh-CN"/>
              </w:rPr>
            </w:pPr>
            <w:r>
              <w:rPr>
                <w:rFonts w:hint="eastAsia" w:ascii="Times New Roman" w:hAnsi="Times New Roman" w:eastAsia="宋体" w:cs="Times New Roman"/>
                <w:color w:val="auto"/>
                <w:sz w:val="24"/>
                <w:lang w:val="en-US" w:eastAsia="zh-CN"/>
              </w:rPr>
              <w:t>综上所述，</w:t>
            </w:r>
            <w:r>
              <w:rPr>
                <w:rFonts w:hint="default" w:ascii="Times New Roman" w:hAnsi="Times New Roman" w:eastAsia="宋体" w:cs="Times New Roman"/>
                <w:color w:val="auto"/>
                <w:sz w:val="24"/>
              </w:rPr>
              <w:t>本项目</w:t>
            </w:r>
            <w:r>
              <w:rPr>
                <w:rFonts w:hint="eastAsia" w:ascii="Times New Roman" w:hAnsi="Times New Roman" w:cs="Times New Roman"/>
                <w:color w:val="auto"/>
                <w:sz w:val="24"/>
              </w:rPr>
              <w:t>特征污染因子总量控制指标</w:t>
            </w:r>
            <w:r>
              <w:rPr>
                <w:rFonts w:hint="default" w:ascii="Times New Roman" w:hAnsi="Times New Roman" w:cs="Times New Roman"/>
                <w:color w:val="auto"/>
                <w:sz w:val="24"/>
              </w:rPr>
              <w:t>为：</w:t>
            </w:r>
            <w:r>
              <w:rPr>
                <w:rFonts w:hint="eastAsia" w:ascii="Times New Roman" w:hAnsi="Times New Roman" w:cs="Times New Roman"/>
                <w:color w:val="auto"/>
                <w:sz w:val="24"/>
                <w:szCs w:val="24"/>
              </w:rPr>
              <w:t>颗粒物</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0.112</w:t>
            </w:r>
            <w:r>
              <w:rPr>
                <w:rFonts w:ascii="Times New Roman" w:hAnsi="Times New Roman" w:cs="Times New Roman"/>
                <w:color w:val="auto"/>
                <w:sz w:val="24"/>
                <w:szCs w:val="24"/>
              </w:rPr>
              <w:t>t/a</w:t>
            </w:r>
            <w:r>
              <w:rPr>
                <w:rFonts w:hint="eastAsia" w:ascii="Times New Roman" w:hAnsi="Times New Roman" w:eastAsia="宋体" w:cs="Times New Roman"/>
                <w:color w:val="auto"/>
                <w:sz w:val="24"/>
                <w:szCs w:val="24"/>
              </w:rPr>
              <w:t>，</w:t>
            </w:r>
            <w:r>
              <w:rPr>
                <w:rFonts w:hint="eastAsia" w:ascii="Times New Roman" w:hAnsi="Times New Roman" w:cs="Times New Roman"/>
                <w:color w:val="auto"/>
                <w:sz w:val="24"/>
                <w:szCs w:val="24"/>
              </w:rPr>
              <w:t>SO</w:t>
            </w:r>
            <w:r>
              <w:rPr>
                <w:rFonts w:hint="eastAsia" w:ascii="Times New Roman" w:hAnsi="Times New Roman" w:cs="Times New Roman"/>
                <w:color w:val="auto"/>
                <w:sz w:val="24"/>
                <w:szCs w:val="24"/>
                <w:vertAlign w:val="subscript"/>
              </w:rPr>
              <w:t>2</w:t>
            </w:r>
            <w:r>
              <w:rPr>
                <w:rFonts w:hint="eastAsia" w:ascii="Times New Roman" w:hAnsi="Times New Roman" w:cs="Times New Roman"/>
                <w:color w:val="auto"/>
                <w:sz w:val="24"/>
                <w:szCs w:val="24"/>
                <w:vertAlign w:val="baseline"/>
                <w:lang w:val="en-US" w:eastAsia="zh-CN"/>
              </w:rPr>
              <w:t>：</w:t>
            </w:r>
            <w:r>
              <w:rPr>
                <w:rFonts w:hint="eastAsia" w:ascii="Times New Roman" w:hAnsi="Times New Roman" w:cs="Times New Roman"/>
                <w:color w:val="auto"/>
                <w:sz w:val="24"/>
                <w:szCs w:val="24"/>
                <w:lang w:val="en-US" w:eastAsia="zh-CN"/>
              </w:rPr>
              <w:t>0.168</w:t>
            </w:r>
            <w:r>
              <w:rPr>
                <w:rFonts w:hint="eastAsia" w:ascii="Times New Roman" w:hAnsi="Times New Roman" w:cs="Times New Roman"/>
                <w:color w:val="auto"/>
                <w:sz w:val="24"/>
                <w:szCs w:val="24"/>
              </w:rPr>
              <w:t>t/a，NO</w:t>
            </w:r>
            <w:r>
              <w:rPr>
                <w:rFonts w:hint="eastAsia" w:ascii="Times New Roman" w:hAnsi="Times New Roman" w:cs="Times New Roman"/>
                <w:color w:val="auto"/>
                <w:sz w:val="24"/>
                <w:szCs w:val="24"/>
                <w:vertAlign w:val="subscript"/>
              </w:rPr>
              <w:t>x</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0.842</w:t>
            </w:r>
            <w:r>
              <w:rPr>
                <w:rFonts w:hint="eastAsia"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color w:val="auto"/>
                <w:sz w:val="24"/>
                <w:szCs w:val="24"/>
              </w:rPr>
              <w:t>COD</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3.730</w:t>
            </w:r>
            <w:r>
              <w:rPr>
                <w:rFonts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NH</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-N</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0.464</w:t>
            </w:r>
            <w:r>
              <w:rPr>
                <w:rFonts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p>
          <w:p>
            <w:pPr>
              <w:adjustRightInd w:val="0"/>
              <w:snapToGrid w:val="0"/>
              <w:spacing w:line="360" w:lineRule="auto"/>
              <w:ind w:firstLine="480" w:firstLineChars="200"/>
              <w:jc w:val="left"/>
              <w:rPr>
                <w:rFonts w:hint="eastAsia" w:ascii="Times New Roman" w:hAnsi="Times New Roman" w:cs="Times New Roman"/>
                <w:color w:val="auto"/>
                <w:sz w:val="24"/>
                <w:szCs w:val="24"/>
                <w:lang w:eastAsia="zh-CN"/>
              </w:rPr>
            </w:pPr>
          </w:p>
          <w:p>
            <w:pPr>
              <w:adjustRightInd w:val="0"/>
              <w:snapToGrid w:val="0"/>
              <w:spacing w:line="360" w:lineRule="auto"/>
              <w:ind w:firstLine="480" w:firstLineChars="200"/>
              <w:jc w:val="left"/>
              <w:rPr>
                <w:rFonts w:hint="eastAsia" w:ascii="Times New Roman" w:hAnsi="Times New Roman" w:cs="Times New Roman"/>
                <w:color w:val="auto"/>
                <w:sz w:val="24"/>
                <w:szCs w:val="24"/>
                <w:lang w:eastAsia="zh-CN"/>
              </w:rPr>
            </w:pPr>
          </w:p>
          <w:p>
            <w:pPr>
              <w:adjustRightInd w:val="0"/>
              <w:snapToGrid w:val="0"/>
              <w:spacing w:line="360" w:lineRule="auto"/>
              <w:jc w:val="left"/>
              <w:rPr>
                <w:rFonts w:hint="default" w:ascii="Times New Roman" w:hAnsi="Times New Roman" w:eastAsia="宋体" w:cs="Times New Roman"/>
                <w:color w:val="auto"/>
                <w:kern w:val="0"/>
                <w:sz w:val="24"/>
                <w:lang w:val="en-US"/>
              </w:rPr>
            </w:pPr>
          </w:p>
        </w:tc>
      </w:tr>
    </w:tbl>
    <w:p>
      <w:pPr>
        <w:pStyle w:val="19"/>
        <w:spacing w:beforeAutospacing="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23"/>
        <w:tblW w:w="90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1"/>
        <w:gridCol w:w="86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9" w:hRule="atLeast"/>
          <w:jc w:val="center"/>
        </w:trPr>
        <w:tc>
          <w:tcPr>
            <w:tcW w:w="411"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19"/>
              <w:adjustRightInd w:val="0"/>
              <w:snapToGrid w:val="0"/>
              <w:spacing w:beforeAutospacing="0" w:afterAutospacing="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施工</w:t>
            </w:r>
          </w:p>
          <w:p>
            <w:pPr>
              <w:pStyle w:val="19"/>
              <w:adjustRightInd w:val="0"/>
              <w:snapToGrid w:val="0"/>
              <w:spacing w:beforeAutospacing="0" w:afterAutospacing="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期环</w:t>
            </w:r>
          </w:p>
          <w:p>
            <w:pPr>
              <w:pStyle w:val="19"/>
              <w:adjustRightInd w:val="0"/>
              <w:snapToGrid w:val="0"/>
              <w:spacing w:beforeAutospacing="0" w:afterAutospacing="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境保</w:t>
            </w:r>
          </w:p>
          <w:p>
            <w:pPr>
              <w:pStyle w:val="19"/>
              <w:adjustRightInd w:val="0"/>
              <w:snapToGrid w:val="0"/>
              <w:spacing w:beforeAutospacing="0" w:afterAutospacing="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护措</w:t>
            </w:r>
          </w:p>
          <w:p>
            <w:pPr>
              <w:pStyle w:val="19"/>
              <w:adjustRightInd w:val="0"/>
              <w:snapToGrid w:val="0"/>
              <w:spacing w:beforeAutospacing="0" w:afterAutospacing="0"/>
              <w:jc w:val="center"/>
              <w:rPr>
                <w:rFonts w:hint="default" w:ascii="Times New Roman" w:hAnsi="Times New Roman"/>
                <w:bCs/>
                <w:color w:val="auto"/>
                <w:kern w:val="2"/>
                <w:sz w:val="21"/>
                <w:szCs w:val="21"/>
              </w:rPr>
            </w:pPr>
            <w:r>
              <w:rPr>
                <w:rFonts w:hint="default" w:ascii="Times New Roman" w:hAnsi="Times New Roman"/>
                <w:color w:val="auto"/>
                <w:kern w:val="2"/>
                <w:sz w:val="21"/>
                <w:szCs w:val="21"/>
              </w:rPr>
              <w:t>施</w:t>
            </w:r>
          </w:p>
        </w:tc>
        <w:tc>
          <w:tcPr>
            <w:tcW w:w="8683" w:type="dxa"/>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rPr>
                <w:rFonts w:ascii="Times New Roman" w:hAnsi="Times New Roman" w:eastAsia="宋体" w:cs="Times New Roman"/>
                <w:b/>
                <w:bCs/>
                <w:color w:val="auto"/>
                <w:sz w:val="24"/>
              </w:rPr>
            </w:pPr>
            <w:r>
              <w:rPr>
                <w:rFonts w:ascii="Times New Roman" w:hAnsi="Times New Roman" w:eastAsia="宋体" w:cs="Times New Roman"/>
                <w:b/>
                <w:bCs/>
                <w:color w:val="auto"/>
                <w:sz w:val="24"/>
              </w:rPr>
              <w:t>施工期环境保护措施：</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firstLineChars="200"/>
              <w:textAlignment w:val="auto"/>
              <w:rPr>
                <w:rFonts w:ascii="Times New Roman" w:hAnsi="Times New Roman" w:cs="Times New Roman"/>
                <w:b/>
                <w:color w:val="auto"/>
                <w:sz w:val="24"/>
              </w:rPr>
            </w:pPr>
            <w:r>
              <w:rPr>
                <w:rFonts w:ascii="Times New Roman" w:hAnsi="Times New Roman" w:cs="Times New Roman"/>
                <w:b/>
                <w:color w:val="auto"/>
                <w:sz w:val="24"/>
              </w:rPr>
              <w:t>1</w:t>
            </w:r>
            <w:r>
              <w:rPr>
                <w:rFonts w:hint="eastAsia" w:ascii="Times New Roman" w:hAnsi="Times New Roman" w:cs="Times New Roman"/>
                <w:b/>
                <w:color w:val="auto"/>
                <w:sz w:val="24"/>
                <w:lang w:eastAsia="zh-CN"/>
              </w:rPr>
              <w:t>、</w:t>
            </w:r>
            <w:r>
              <w:rPr>
                <w:rFonts w:ascii="Times New Roman" w:hAnsi="Times New Roman" w:cs="Times New Roman"/>
                <w:b/>
                <w:color w:val="auto"/>
                <w:sz w:val="24"/>
              </w:rPr>
              <w:t>大气环境影响防治措施</w:t>
            </w:r>
          </w:p>
          <w:p>
            <w:pPr>
              <w:spacing w:line="360" w:lineRule="auto"/>
              <w:ind w:firstLine="480" w:firstLineChars="200"/>
              <w:rPr>
                <w:rFonts w:ascii="Times New Roman" w:hAnsi="Times New Roman" w:eastAsia="宋体" w:cs="Times New Roman"/>
                <w:color w:val="auto"/>
                <w:sz w:val="24"/>
              </w:rPr>
            </w:pPr>
            <w:r>
              <w:rPr>
                <w:rFonts w:hint="default" w:ascii="Times New Roman" w:hAnsi="Times New Roman" w:cs="Times New Roman"/>
                <w:color w:val="auto"/>
                <w:sz w:val="24"/>
                <w:szCs w:val="24"/>
              </w:rPr>
              <w:t>施工期产生的废气包括施工扬尘和车辆运输扬尘</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对照</w:t>
            </w:r>
            <w:r>
              <w:rPr>
                <w:rFonts w:ascii="Times New Roman" w:hAnsi="Times New Roman" w:eastAsia="宋体" w:cs="Times New Roman"/>
                <w:color w:val="auto"/>
                <w:sz w:val="24"/>
              </w:rPr>
              <w:t>《河北省扬尘污染防治办法》（河北省人民政府令</w:t>
            </w:r>
            <w:r>
              <w:rPr>
                <w:rFonts w:hint="eastAsia" w:ascii="Times New Roman" w:hAnsi="Times New Roman" w:eastAsia="宋体" w:cs="Times New Roman"/>
                <w:color w:val="auto"/>
                <w:sz w:val="24"/>
                <w:lang w:val="en-US" w:eastAsia="zh-CN"/>
              </w:rPr>
              <w:t>[</w:t>
            </w:r>
            <w:r>
              <w:rPr>
                <w:rFonts w:ascii="Times New Roman" w:hAnsi="Times New Roman" w:eastAsia="宋体" w:cs="Times New Roman"/>
                <w:color w:val="auto"/>
                <w:sz w:val="24"/>
              </w:rPr>
              <w:t>2020</w:t>
            </w:r>
            <w:r>
              <w:rPr>
                <w:rFonts w:hint="eastAsia" w:ascii="Times New Roman" w:hAnsi="Times New Roman" w:eastAsia="宋体" w:cs="Times New Roman"/>
                <w:color w:val="auto"/>
                <w:sz w:val="24"/>
                <w:lang w:val="en-US" w:eastAsia="zh-CN"/>
              </w:rPr>
              <w:t>]</w:t>
            </w:r>
            <w:r>
              <w:rPr>
                <w:rFonts w:ascii="Times New Roman" w:hAnsi="Times New Roman" w:eastAsia="宋体" w:cs="Times New Roman"/>
                <w:color w:val="auto"/>
                <w:sz w:val="24"/>
              </w:rPr>
              <w:t>第1号）的规定，项目建设阶段采取以下扬尘污染防治措施：</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（1）建设施工过程中：</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建设工程施工应当采取有效措施防止、减少扬尘污染，保证施工场地扬尘污染物排放符合国家和河北省污染物排放标准。</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在施工现场出入口明显位置设置公示牌，公示施工现场负责人、环保监督员、防尘措施、扬尘监督管理部门、举报投诉电话等信息；</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在施工现场周边设置硬质封闭围挡或者围墙，位于主要路段的，高度不低于2.5米，位于一般路段的，高度不低于1.8米，并在围挡底端设置不低于0.2米的防溢座；</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对施工现场出入口、场内施工道路、材料加工堆放区、办公区、生活区进行硬化处理，并保持地面整洁；</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在施工现场出口处设置车辆清洗设施并配套设置排水、泥浆沉淀设施，车辆冲洗干净后方可驶出；</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在施工工地内堆放水泥、灰土、砂石、建筑土方等易产生扬尘的粉状、粒状建筑材料的，应当采取密闭或者遮盖等防尘措施，装卸、搬运时应当采取防尘措施；</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建筑垃圾应当及时清运，在场地内堆存的，应当集中堆放并采取密闭或者遮盖等防尘措施；</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在施工工地同步安装视频监控设备和扬尘污染物在线监测设备，分别与建设主管部门、生态环境主管部门的监控设备联网，并保证系统正常运行，发生故障应当在二十四小时内修复；</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（2）物料堆存过程中：</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划分物料区域和道路界限，及时清除散落的物料，保持物料堆放区域和道路整洁；</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场地进行硬化处理，并及时清扫、清洗；</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物料堆场周边设置高于堆存物料的围挡、防风网等设施，并采取遮盖、喷淋等防尘措施；</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露天装卸作业的，应当采取洒水等防尘措施，采用密闭输送设备作业的，在装料、卸料处配备吸尘、喷淋等防尘设施，并保持防尘设施正常使用；</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出口应硬化地面并设置车辆清洗保洁设施，车辆冲洗干净后方可驶出；</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防尘网应当保持完整无损，破损的应当及时修复或者更换。</w:t>
            </w:r>
          </w:p>
          <w:p>
            <w:pPr>
              <w:snapToGrid w:val="0"/>
              <w:spacing w:line="360" w:lineRule="auto"/>
              <w:ind w:firstLine="480" w:firstLineChars="200"/>
              <w:rPr>
                <w:rFonts w:hint="default" w:ascii="Times New Roman" w:hAnsi="Times New Roman" w:cs="Times New Roman"/>
                <w:color w:val="auto"/>
                <w:sz w:val="24"/>
                <w:szCs w:val="24"/>
              </w:rPr>
            </w:pPr>
            <w:r>
              <w:rPr>
                <w:rFonts w:ascii="Times New Roman" w:hAnsi="Times New Roman" w:eastAsia="宋体" w:cs="Times New Roman"/>
                <w:color w:val="auto"/>
                <w:sz w:val="24"/>
              </w:rPr>
              <w:t>采取上述措施后，建设阶段大气污染物能够满足《施工场地扬尘排放标准》（DB13/2934-2019）中表1施工场地扬尘排放浓度限值的要求。</w:t>
            </w:r>
          </w:p>
          <w:p>
            <w:pPr>
              <w:snapToGrid w:val="0"/>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2</w:t>
            </w:r>
            <w:r>
              <w:rPr>
                <w:rFonts w:hint="eastAsia" w:ascii="Times New Roman" w:hAnsi="Times New Roman" w:cs="Times New Roman"/>
                <w:b/>
                <w:color w:val="auto"/>
                <w:sz w:val="24"/>
                <w:lang w:eastAsia="zh-CN"/>
              </w:rPr>
              <w:t>、</w:t>
            </w:r>
            <w:r>
              <w:rPr>
                <w:rFonts w:ascii="Times New Roman" w:hAnsi="Times New Roman" w:cs="Times New Roman"/>
                <w:b/>
                <w:color w:val="auto"/>
                <w:sz w:val="24"/>
              </w:rPr>
              <w:t>水环境影响防治措施</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施工期产生的废水为生活污水</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依托厂区现有污水处理站处理后排入半截塔污水处理厂。</w:t>
            </w:r>
            <w:r>
              <w:rPr>
                <w:rFonts w:hint="default" w:ascii="Times New Roman" w:hAnsi="Times New Roman" w:cs="Times New Roman"/>
                <w:color w:val="auto"/>
                <w:sz w:val="24"/>
                <w:szCs w:val="24"/>
              </w:rPr>
              <w:t>项目施工期间对区域水环境影响较小。</w:t>
            </w:r>
          </w:p>
          <w:p>
            <w:pPr>
              <w:snapToGrid w:val="0"/>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3</w:t>
            </w:r>
            <w:r>
              <w:rPr>
                <w:rFonts w:hint="eastAsia" w:ascii="Times New Roman" w:hAnsi="Times New Roman" w:cs="Times New Roman"/>
                <w:b/>
                <w:color w:val="auto"/>
                <w:sz w:val="24"/>
                <w:lang w:eastAsia="zh-CN"/>
              </w:rPr>
              <w:t>、</w:t>
            </w:r>
            <w:r>
              <w:rPr>
                <w:rFonts w:ascii="Times New Roman" w:hAnsi="Times New Roman" w:cs="Times New Roman"/>
                <w:b/>
                <w:color w:val="auto"/>
                <w:sz w:val="24"/>
              </w:rPr>
              <w:t>声环境影响防治措施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施工期产生的噪声包括施工设备噪声和运输噪声。为减少噪声影响，建设单位拟采取的措施如下：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①施工期间选用产生噪声值较低的施工设备，从源头消减噪声；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②施工期间的运输路线优化选择，尽量避开村庄；</w:t>
            </w:r>
          </w:p>
          <w:p>
            <w:pPr>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合理安排施工计划、施工机械设备组合以及施工时间；</w:t>
            </w:r>
          </w:p>
          <w:p>
            <w:pPr>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加强施工期管理，施工单位设专人负责施工机械的保养和维护，保养和维护要有切实可行的规章制度，要定期对现场工作人员进行培训，每个工人都要严格按照规范使用各类机械，避免因故障产生突发噪声。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采用上述措施后，项目施工期产生的噪声可满足《建筑施工场界环境噪声排放标准》（GB12523-2011）的要求，对区域声环境影响较小。</w:t>
            </w:r>
          </w:p>
          <w:p>
            <w:pPr>
              <w:pStyle w:val="17"/>
              <w:widowControl w:val="0"/>
              <w:snapToGrid w:val="0"/>
              <w:spacing w:line="360" w:lineRule="auto"/>
              <w:ind w:left="479" w:leftChars="228"/>
              <w:rPr>
                <w:rFonts w:hint="default" w:ascii="Times New Roman" w:hAnsi="Times New Roman"/>
                <w:color w:val="auto"/>
              </w:rPr>
            </w:pPr>
            <w:r>
              <w:rPr>
                <w:rFonts w:hint="default" w:ascii="Times New Roman" w:hAnsi="Times New Roman"/>
                <w:b/>
                <w:color w:val="auto"/>
                <w:kern w:val="2"/>
              </w:rPr>
              <w:t>4</w:t>
            </w:r>
            <w:r>
              <w:rPr>
                <w:rFonts w:hint="eastAsia" w:ascii="Times New Roman" w:hAnsi="Times New Roman"/>
                <w:b/>
                <w:color w:val="auto"/>
                <w:kern w:val="2"/>
                <w:lang w:eastAsia="zh-CN"/>
              </w:rPr>
              <w:t>、</w:t>
            </w:r>
            <w:r>
              <w:rPr>
                <w:rFonts w:hint="default" w:ascii="Times New Roman" w:hAnsi="Times New Roman"/>
                <w:b/>
                <w:color w:val="auto"/>
                <w:kern w:val="2"/>
              </w:rPr>
              <w:t>固体废物影响防治措施</w:t>
            </w:r>
          </w:p>
          <w:p>
            <w:pPr>
              <w:pStyle w:val="17"/>
              <w:widowControl w:val="0"/>
              <w:spacing w:line="360" w:lineRule="auto"/>
              <w:ind w:left="0" w:leftChars="0" w:firstLine="480" w:firstLineChars="200"/>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施工期间固体废物为生活垃圾</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依托现有收集处置措施，定期交由环卫部门统一处理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采取上述措施后，施工期固体废物</w:t>
            </w:r>
            <w:r>
              <w:rPr>
                <w:rFonts w:hint="default" w:ascii="Times New Roman" w:hAnsi="Times New Roman" w:cs="Times New Roman"/>
                <w:color w:val="auto"/>
                <w:sz w:val="24"/>
                <w:szCs w:val="24"/>
              </w:rPr>
              <w:t>对周边环境影响较小</w:t>
            </w:r>
            <w:r>
              <w:rPr>
                <w:rFonts w:hint="eastAsia" w:ascii="Times New Roman" w:hAnsi="Times New Roman" w:cs="Times New Roman"/>
                <w:color w:val="auto"/>
                <w:sz w:val="24"/>
                <w:szCs w:val="24"/>
                <w:lang w:val="en-US" w:eastAsia="zh-CN"/>
              </w:rPr>
              <w:t>.</w:t>
            </w:r>
          </w:p>
          <w:p>
            <w:pPr>
              <w:pStyle w:val="17"/>
              <w:widowControl w:val="0"/>
              <w:spacing w:line="360" w:lineRule="auto"/>
              <w:ind w:left="0" w:leftChars="0" w:firstLine="440" w:firstLineChars="200"/>
              <w:rPr>
                <w:rFonts w:ascii="Times New Roman" w:hAnsi="Times New Roman" w:eastAsia="宋体" w:cs="Times New Roman"/>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1"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运营</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期环</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境影</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响和</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保护</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措施</w:t>
            </w:r>
          </w:p>
        </w:tc>
        <w:tc>
          <w:tcPr>
            <w:tcW w:w="8683"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7"/>
              <w:widowControl w:val="0"/>
              <w:snapToGrid w:val="0"/>
              <w:spacing w:before="156" w:beforeLines="50" w:line="360" w:lineRule="auto"/>
              <w:ind w:left="0" w:leftChars="0"/>
              <w:rPr>
                <w:rFonts w:hint="default" w:ascii="Times New Roman" w:hAnsi="Times New Roman"/>
                <w:b/>
                <w:color w:val="auto"/>
                <w:kern w:val="2"/>
              </w:rPr>
            </w:pPr>
            <w:r>
              <w:rPr>
                <w:rFonts w:hint="default" w:ascii="Times New Roman" w:hAnsi="Times New Roman"/>
                <w:b/>
                <w:color w:val="auto"/>
                <w:kern w:val="2"/>
              </w:rPr>
              <w:t>运营期环境影响和保护措施：</w:t>
            </w: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b/>
                <w:color w:val="auto"/>
                <w:kern w:val="2"/>
                <w:highlight w:val="none"/>
                <w:lang w:val="en-US" w:eastAsia="zh-CN"/>
              </w:rPr>
            </w:pPr>
            <w:r>
              <w:rPr>
                <w:rFonts w:hint="default" w:ascii="Times New Roman" w:hAnsi="Times New Roman"/>
                <w:b/>
                <w:color w:val="auto"/>
                <w:kern w:val="2"/>
                <w:highlight w:val="none"/>
              </w:rPr>
              <w:t>1、</w:t>
            </w:r>
            <w:r>
              <w:rPr>
                <w:rFonts w:hint="eastAsia" w:ascii="Times New Roman" w:hAnsi="Times New Roman"/>
                <w:b/>
                <w:color w:val="auto"/>
                <w:kern w:val="2"/>
                <w:highlight w:val="none"/>
                <w:lang w:val="en-US" w:eastAsia="zh-CN"/>
              </w:rPr>
              <w:t>大气环境影响和保护措施</w:t>
            </w:r>
          </w:p>
          <w:p>
            <w:pPr>
              <w:snapToGrid w:val="0"/>
              <w:spacing w:line="360" w:lineRule="auto"/>
              <w:ind w:firstLine="482" w:firstLineChars="200"/>
              <w:rPr>
                <w:rFonts w:hint="default" w:ascii="Times New Roman" w:hAnsi="Times New Roman" w:cs="Times New Roman"/>
                <w:color w:val="auto"/>
                <w:sz w:val="24"/>
                <w:szCs w:val="24"/>
                <w:highlight w:val="none"/>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1</w:t>
            </w: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废气污染源调查</w:t>
            </w:r>
          </w:p>
          <w:p>
            <w:pPr>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根据工程分析各污染源的基本分布状况及排放特征，</w:t>
            </w:r>
            <w:r>
              <w:rPr>
                <w:rFonts w:hint="default" w:ascii="Times New Roman" w:hAnsi="Times New Roman" w:eastAsia="宋体"/>
                <w:color w:val="auto"/>
                <w:sz w:val="24"/>
                <w:szCs w:val="24"/>
                <w:highlight w:val="none"/>
              </w:rPr>
              <w:t>本项目废气污染源主要为锅炉燃</w:t>
            </w:r>
            <w:r>
              <w:rPr>
                <w:rFonts w:hint="eastAsia" w:ascii="Times New Roman" w:hAnsi="Times New Roman" w:eastAsia="宋体"/>
                <w:color w:val="auto"/>
                <w:sz w:val="24"/>
                <w:szCs w:val="24"/>
                <w:highlight w:val="none"/>
                <w:lang w:val="en-US" w:eastAsia="zh-CN"/>
              </w:rPr>
              <w:t>生物质</w:t>
            </w:r>
            <w:r>
              <w:rPr>
                <w:rFonts w:hint="default" w:ascii="Times New Roman" w:hAnsi="Times New Roman" w:eastAsia="宋体"/>
                <w:color w:val="auto"/>
                <w:sz w:val="24"/>
                <w:szCs w:val="24"/>
                <w:highlight w:val="none"/>
              </w:rPr>
              <w:t>产生的废气，</w:t>
            </w:r>
            <w:r>
              <w:rPr>
                <w:rFonts w:hint="eastAsia" w:ascii="Times New Roman" w:hAnsi="Times New Roman" w:eastAsia="宋体"/>
                <w:color w:val="auto"/>
                <w:sz w:val="24"/>
                <w:szCs w:val="24"/>
                <w:highlight w:val="none"/>
                <w:lang w:val="en-US" w:eastAsia="zh-CN"/>
              </w:rPr>
              <w:t>生物质</w:t>
            </w:r>
            <w:r>
              <w:rPr>
                <w:rFonts w:hint="default" w:ascii="Times New Roman" w:hAnsi="Times New Roman" w:eastAsia="宋体"/>
                <w:color w:val="auto"/>
                <w:sz w:val="24"/>
                <w:szCs w:val="24"/>
                <w:highlight w:val="none"/>
              </w:rPr>
              <w:t>装卸、储存和输送过程产生的粉尘</w:t>
            </w:r>
            <w:r>
              <w:rPr>
                <w:rFonts w:hint="eastAsia" w:ascii="Times New Roman" w:hAnsi="Times New Roman" w:eastAsia="宋体"/>
                <w:color w:val="auto"/>
                <w:sz w:val="24"/>
                <w:szCs w:val="24"/>
                <w:highlight w:val="none"/>
                <w:lang w:val="en-US" w:eastAsia="zh-CN"/>
              </w:rPr>
              <w:t>以及卤煮过程及污水处理站产生的恶臭气体。锅炉</w:t>
            </w:r>
            <w:r>
              <w:rPr>
                <w:rFonts w:hint="default" w:ascii="Times New Roman" w:hAnsi="Times New Roman" w:eastAsia="宋体" w:cs="Times New Roman"/>
                <w:color w:val="auto"/>
                <w:sz w:val="24"/>
                <w:szCs w:val="24"/>
                <w:highlight w:val="none"/>
              </w:rPr>
              <w:t>污染物主要为烟尘、SO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、NOx</w:t>
            </w:r>
            <w:r>
              <w:rPr>
                <w:rFonts w:hint="default" w:ascii="Times New Roman" w:hAnsi="Times New Roman" w:eastAsia="宋体" w:cs="Times New Roman"/>
                <w:color w:val="auto"/>
                <w:sz w:val="24"/>
                <w:szCs w:val="24"/>
                <w:highlight w:val="none"/>
                <w:lang w:val="en-US" w:eastAsia="zh-CN"/>
              </w:rPr>
              <w:t>及烟气黑度</w:t>
            </w:r>
            <w:r>
              <w:rPr>
                <w:rFonts w:hint="default" w:ascii="Times New Roman" w:hAnsi="Times New Roman" w:eastAsia="宋体"/>
                <w:color w:val="auto"/>
                <w:sz w:val="24"/>
                <w:szCs w:val="24"/>
                <w:highlight w:val="none"/>
              </w:rPr>
              <w:t>。</w:t>
            </w:r>
            <w:r>
              <w:rPr>
                <w:rFonts w:hint="eastAsia"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lang w:val="en-US" w:eastAsia="zh-CN"/>
              </w:rPr>
              <w:t>废气污染源调查</w:t>
            </w:r>
            <w:r>
              <w:rPr>
                <w:rFonts w:hint="eastAsia" w:ascii="Times New Roman" w:hAnsi="Times New Roman" w:cs="Times New Roman"/>
                <w:color w:val="auto"/>
                <w:sz w:val="24"/>
                <w:szCs w:val="24"/>
                <w:highlight w:val="none"/>
                <w:lang w:val="en-US" w:eastAsia="zh-CN"/>
              </w:rPr>
              <w:t>情况见下表。</w:t>
            </w:r>
          </w:p>
          <w:p>
            <w:pPr>
              <w:pStyle w:val="6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center"/>
              <w:textAlignment w:val="auto"/>
              <w:rPr>
                <w:rStyle w:val="26"/>
                <w:rFonts w:hint="default" w:ascii="Times New Roman" w:hAnsi="Times New Roman" w:eastAsia="宋体" w:cs="Times New Roman"/>
                <w:color w:val="auto"/>
                <w:lang w:val="en-US" w:eastAsia="zh-CN"/>
              </w:rPr>
            </w:pPr>
            <w:r>
              <w:rPr>
                <w:rStyle w:val="26"/>
                <w:rFonts w:hint="eastAsia" w:ascii="Times New Roman" w:hAnsi="Times New Roman" w:eastAsia="宋体" w:cs="Times New Roman"/>
                <w:color w:val="auto"/>
                <w:lang w:val="en-US" w:eastAsia="zh-CN"/>
              </w:rPr>
              <w:t>表4-1  项目废气污染源调查情况一览表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441"/>
              <w:gridCol w:w="1979"/>
              <w:gridCol w:w="1697"/>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产</w:t>
                  </w:r>
                  <w:r>
                    <w:rPr>
                      <w:rFonts w:hint="default" w:ascii="Times New Roman" w:hAnsi="Times New Roman" w:cs="Times New Roman"/>
                      <w:b/>
                      <w:bCs/>
                      <w:color w:val="auto"/>
                      <w:sz w:val="21"/>
                      <w:szCs w:val="21"/>
                      <w:vertAlign w:val="baseline"/>
                      <w:lang w:val="en-US" w:eastAsia="zh-CN"/>
                    </w:rPr>
                    <w:t>污节点</w:t>
                  </w:r>
                </w:p>
              </w:tc>
              <w:tc>
                <w:tcPr>
                  <w:tcW w:w="11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污染物</w:t>
                  </w:r>
                  <w:r>
                    <w:rPr>
                      <w:rFonts w:hint="eastAsia" w:ascii="Times New Roman" w:hAnsi="Times New Roman" w:cs="Times New Roman"/>
                      <w:b/>
                      <w:bCs/>
                      <w:color w:val="auto"/>
                      <w:sz w:val="21"/>
                      <w:szCs w:val="21"/>
                      <w:vertAlign w:val="baseline"/>
                      <w:lang w:val="en-US" w:eastAsia="zh-CN"/>
                    </w:rPr>
                    <w:t>名称</w:t>
                  </w:r>
                </w:p>
              </w:tc>
              <w:tc>
                <w:tcPr>
                  <w:tcW w:w="10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排放方式</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G1</w:t>
                  </w: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生物质蒸汽锅炉</w:t>
                  </w:r>
                </w:p>
              </w:tc>
              <w:tc>
                <w:tcPr>
                  <w:tcW w:w="11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锅炉烟气</w:t>
                  </w:r>
                </w:p>
              </w:tc>
              <w:tc>
                <w:tcPr>
                  <w:tcW w:w="10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rPr>
                    <w:t>烟尘、SO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、NOx、</w:t>
                  </w:r>
                  <w:r>
                    <w:rPr>
                      <w:rFonts w:hint="default" w:ascii="Times New Roman" w:hAnsi="Times New Roman" w:eastAsia="宋体" w:cs="Times New Roman"/>
                      <w:color w:val="auto"/>
                      <w:sz w:val="21"/>
                      <w:szCs w:val="21"/>
                      <w:highlight w:val="none"/>
                      <w:lang w:val="en-US" w:eastAsia="zh-CN"/>
                    </w:rPr>
                    <w:t>烟气黑度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G2</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生物质热水锅炉</w:t>
                  </w:r>
                </w:p>
              </w:tc>
              <w:tc>
                <w:tcPr>
                  <w:tcW w:w="19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锅炉烟气</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烟尘、SO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、NOx、</w:t>
                  </w:r>
                  <w:r>
                    <w:rPr>
                      <w:rFonts w:hint="default" w:ascii="Times New Roman" w:hAnsi="Times New Roman" w:eastAsia="宋体" w:cs="Times New Roman"/>
                      <w:color w:val="auto"/>
                      <w:sz w:val="21"/>
                      <w:szCs w:val="21"/>
                      <w:highlight w:val="none"/>
                      <w:lang w:val="en-US" w:eastAsia="zh-CN"/>
                    </w:rPr>
                    <w:t>烟气黑度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852" w:type="pct"/>
                  <w:noWrap w:val="0"/>
                  <w:vAlign w:val="center"/>
                </w:tcPr>
                <w:p>
                  <w:pPr>
                    <w:spacing w:line="320" w:lineRule="exact"/>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生物质库</w:t>
                  </w:r>
                </w:p>
              </w:tc>
              <w:tc>
                <w:tcPr>
                  <w:tcW w:w="11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0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color w:val="auto"/>
                      <w:szCs w:val="21"/>
                      <w:lang w:val="en-US" w:eastAsia="zh-CN"/>
                    </w:rPr>
                  </w:pPr>
                  <w:r>
                    <w:rPr>
                      <w:rFonts w:hint="eastAsia"/>
                      <w:color w:val="auto"/>
                      <w:szCs w:val="21"/>
                      <w:lang w:val="en-US" w:eastAsia="zh-CN"/>
                    </w:rPr>
                    <w:t>无组织</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G3</w:t>
                  </w:r>
                </w:p>
              </w:tc>
              <w:tc>
                <w:tcPr>
                  <w:tcW w:w="852" w:type="pct"/>
                  <w:noWrap w:val="0"/>
                  <w:vAlign w:val="center"/>
                </w:tcPr>
                <w:p>
                  <w:pPr>
                    <w:spacing w:line="320" w:lineRule="exact"/>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污水处理站</w:t>
                  </w:r>
                </w:p>
              </w:tc>
              <w:tc>
                <w:tcPr>
                  <w:tcW w:w="11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恶臭</w:t>
                  </w:r>
                </w:p>
              </w:tc>
              <w:tc>
                <w:tcPr>
                  <w:tcW w:w="10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color w:val="auto"/>
                      <w:szCs w:val="21"/>
                      <w:lang w:val="en-US" w:eastAsia="zh-CN"/>
                    </w:rPr>
                  </w:pPr>
                  <w:r>
                    <w:rPr>
                      <w:rFonts w:hint="eastAsia"/>
                      <w:color w:val="auto"/>
                      <w:szCs w:val="21"/>
                      <w:lang w:val="en-US" w:eastAsia="zh-CN"/>
                    </w:rPr>
                    <w:t>有组织</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氨、硫化氢、臭气浓度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G4</w:t>
                  </w:r>
                </w:p>
              </w:tc>
              <w:tc>
                <w:tcPr>
                  <w:tcW w:w="852" w:type="pct"/>
                  <w:noWrap w:val="0"/>
                  <w:vAlign w:val="center"/>
                </w:tcPr>
                <w:p>
                  <w:pPr>
                    <w:spacing w:line="320" w:lineRule="exact"/>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卤煮工程</w:t>
                  </w:r>
                </w:p>
              </w:tc>
              <w:tc>
                <w:tcPr>
                  <w:tcW w:w="19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恶臭</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color w:val="auto"/>
                      <w:szCs w:val="21"/>
                      <w:lang w:val="en-US" w:eastAsia="zh-CN"/>
                    </w:rPr>
                  </w:pPr>
                  <w:r>
                    <w:rPr>
                      <w:rFonts w:hint="eastAsia"/>
                      <w:color w:val="auto"/>
                      <w:szCs w:val="21"/>
                      <w:lang w:val="en-US" w:eastAsia="zh-CN"/>
                    </w:rPr>
                    <w:t>有组织</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G5</w:t>
                  </w:r>
                </w:p>
              </w:tc>
              <w:tc>
                <w:tcPr>
                  <w:tcW w:w="852" w:type="pct"/>
                  <w:noWrap w:val="0"/>
                  <w:vAlign w:val="center"/>
                </w:tcPr>
                <w:p>
                  <w:pPr>
                    <w:spacing w:line="320" w:lineRule="exact"/>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卤煮工程</w:t>
                  </w:r>
                </w:p>
              </w:tc>
              <w:tc>
                <w:tcPr>
                  <w:tcW w:w="19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恶臭</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color w:val="auto"/>
                      <w:szCs w:val="21"/>
                      <w:lang w:val="en-US" w:eastAsia="zh-CN"/>
                    </w:rPr>
                  </w:pPr>
                  <w:r>
                    <w:rPr>
                      <w:rFonts w:hint="eastAsia"/>
                      <w:color w:val="auto"/>
                      <w:szCs w:val="21"/>
                      <w:lang w:val="en-US" w:eastAsia="zh-CN"/>
                    </w:rPr>
                    <w:t>有组织</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臭气浓度</w:t>
                  </w:r>
                </w:p>
              </w:tc>
            </w:tr>
          </w:tbl>
          <w:p>
            <w:pPr>
              <w:snapToGrid w:val="0"/>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（2）废气源强核算</w:t>
            </w:r>
          </w:p>
          <w:p>
            <w:pPr>
              <w:pStyle w:val="17"/>
              <w:widowControl w:val="0"/>
              <w:snapToGrid w:val="0"/>
              <w:spacing w:line="360" w:lineRule="auto"/>
              <w:ind w:left="0" w:leftChars="0" w:firstLine="480" w:firstLineChars="200"/>
              <w:rPr>
                <w:rFonts w:hint="default" w:ascii="Times New Roman" w:hAnsi="Times New Roman"/>
                <w:bCs/>
                <w:color w:val="auto"/>
                <w:kern w:val="2"/>
                <w:highlight w:val="none"/>
              </w:rPr>
            </w:pPr>
            <w:r>
              <w:rPr>
                <w:rFonts w:hint="default" w:ascii="Times New Roman" w:hAnsi="Times New Roman"/>
                <w:bCs/>
                <w:color w:val="auto"/>
                <w:kern w:val="2"/>
                <w:highlight w:val="none"/>
              </w:rPr>
              <w:t>本项目</w:t>
            </w:r>
            <w:r>
              <w:rPr>
                <w:rFonts w:hint="eastAsia" w:ascii="Times New Roman" w:hAnsi="Times New Roman"/>
                <w:bCs/>
                <w:color w:val="auto"/>
                <w:kern w:val="2"/>
                <w:highlight w:val="none"/>
                <w:lang w:val="en-US" w:eastAsia="zh-CN"/>
              </w:rPr>
              <w:t>废气源强核算</w:t>
            </w:r>
            <w:r>
              <w:rPr>
                <w:rFonts w:hint="default" w:ascii="Times New Roman" w:hAnsi="Times New Roman"/>
                <w:bCs/>
                <w:color w:val="auto"/>
                <w:kern w:val="2"/>
                <w:highlight w:val="none"/>
              </w:rPr>
              <w:t>情况详见下表</w:t>
            </w:r>
            <w:r>
              <w:rPr>
                <w:rFonts w:hint="eastAsia" w:ascii="Times New Roman" w:hAnsi="Times New Roman"/>
                <w:bCs/>
                <w:color w:val="auto"/>
                <w:kern w:val="2"/>
                <w:highlight w:val="none"/>
                <w:lang w:eastAsia="zh-CN"/>
              </w:rPr>
              <w:t>。</w:t>
            </w:r>
          </w:p>
          <w:p>
            <w:pPr>
              <w:pStyle w:val="6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center"/>
              <w:textAlignment w:val="auto"/>
              <w:rPr>
                <w:rStyle w:val="26"/>
                <w:rFonts w:hint="eastAsia" w:ascii="Times New Roman" w:hAnsi="Times New Roman" w:eastAsia="宋体" w:cs="Times New Roman"/>
                <w:color w:val="auto"/>
                <w:highlight w:val="none"/>
                <w:lang w:val="en-US" w:eastAsia="zh-CN"/>
              </w:rPr>
            </w:pPr>
            <w:r>
              <w:rPr>
                <w:rStyle w:val="26"/>
                <w:rFonts w:hint="eastAsia" w:ascii="Times New Roman" w:hAnsi="Times New Roman" w:eastAsia="宋体" w:cs="Times New Roman"/>
                <w:color w:val="auto"/>
                <w:highlight w:val="none"/>
                <w:lang w:val="en-US" w:eastAsia="zh-CN"/>
              </w:rPr>
              <w:t>表4-2  本项目污染物产生及排放情况表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999"/>
              <w:gridCol w:w="1049"/>
              <w:gridCol w:w="885"/>
              <w:gridCol w:w="755"/>
              <w:gridCol w:w="905"/>
              <w:gridCol w:w="752"/>
              <w:gridCol w:w="1049"/>
              <w:gridCol w:w="885"/>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restart"/>
                  <w:tcBorders>
                    <w:tl2br w:val="nil"/>
                    <w:tr2bl w:val="nil"/>
                  </w:tcBorders>
                  <w:vAlign w:val="center"/>
                </w:tcPr>
                <w:p>
                  <w:pPr>
                    <w:spacing w:line="0" w:lineRule="atLeast"/>
                    <w:jc w:val="center"/>
                    <w:rPr>
                      <w:rFonts w:ascii="Times New Roman" w:hAnsi="Times New Roman" w:eastAsia="宋体" w:cs="Times New Roman"/>
                      <w:b/>
                      <w:color w:val="auto"/>
                      <w:sz w:val="21"/>
                      <w:szCs w:val="21"/>
                      <w:highlight w:val="none"/>
                    </w:rPr>
                  </w:pPr>
                  <w:r>
                    <w:rPr>
                      <w:rFonts w:ascii="Times New Roman" w:hAnsi="Times New Roman" w:cs="Times New Roman"/>
                      <w:b/>
                      <w:bCs/>
                      <w:color w:val="auto"/>
                      <w:sz w:val="21"/>
                      <w:szCs w:val="21"/>
                      <w:highlight w:val="none"/>
                    </w:rPr>
                    <w:t>产污节点</w:t>
                  </w:r>
                </w:p>
              </w:tc>
              <w:tc>
                <w:tcPr>
                  <w:tcW w:w="590" w:type="pct"/>
                  <w:vMerge w:val="restart"/>
                  <w:tcBorders>
                    <w:tl2br w:val="nil"/>
                    <w:tr2bl w:val="nil"/>
                  </w:tcBorders>
                  <w:vAlign w:val="center"/>
                </w:tcPr>
                <w:p>
                  <w:pPr>
                    <w:spacing w:line="0" w:lineRule="atLeast"/>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污染因子</w:t>
                  </w:r>
                </w:p>
              </w:tc>
              <w:tc>
                <w:tcPr>
                  <w:tcW w:w="1589" w:type="pct"/>
                  <w:gridSpan w:val="3"/>
                  <w:tcBorders>
                    <w:tl2br w:val="nil"/>
                    <w:tr2bl w:val="nil"/>
                  </w:tcBorders>
                  <w:vAlign w:val="center"/>
                </w:tcPr>
                <w:p>
                  <w:pPr>
                    <w:spacing w:line="0" w:lineRule="atLeast"/>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产生情况</w:t>
                  </w:r>
                </w:p>
              </w:tc>
              <w:tc>
                <w:tcPr>
                  <w:tcW w:w="979" w:type="pct"/>
                  <w:gridSpan w:val="2"/>
                  <w:tcBorders>
                    <w:tl2br w:val="nil"/>
                    <w:tr2bl w:val="nil"/>
                  </w:tcBorders>
                  <w:vAlign w:val="center"/>
                </w:tcPr>
                <w:p>
                  <w:pPr>
                    <w:spacing w:line="0" w:lineRule="atLeast"/>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废气处理系统</w:t>
                  </w:r>
                </w:p>
              </w:tc>
              <w:tc>
                <w:tcPr>
                  <w:tcW w:w="1591" w:type="pct"/>
                  <w:gridSpan w:val="3"/>
                  <w:tcBorders>
                    <w:tl2br w:val="nil"/>
                    <w:tr2bl w:val="nil"/>
                  </w:tcBorders>
                  <w:vAlign w:val="center"/>
                </w:tcPr>
                <w:p>
                  <w:pPr>
                    <w:spacing w:line="0" w:lineRule="atLeast"/>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0" w:lineRule="atLeast"/>
                    <w:jc w:val="center"/>
                    <w:rPr>
                      <w:rFonts w:ascii="Times New Roman" w:hAnsi="Times New Roman" w:eastAsia="宋体" w:cs="Times New Roman"/>
                      <w:color w:val="auto"/>
                      <w:sz w:val="21"/>
                      <w:szCs w:val="21"/>
                      <w:highlight w:val="none"/>
                    </w:rPr>
                  </w:pPr>
                </w:p>
              </w:tc>
              <w:tc>
                <w:tcPr>
                  <w:tcW w:w="590" w:type="pct"/>
                  <w:vMerge w:val="continue"/>
                  <w:tcBorders>
                    <w:tl2br w:val="nil"/>
                    <w:tr2bl w:val="nil"/>
                  </w:tcBorders>
                  <w:vAlign w:val="center"/>
                </w:tcPr>
                <w:p>
                  <w:pPr>
                    <w:spacing w:line="0" w:lineRule="atLeast"/>
                    <w:jc w:val="center"/>
                    <w:rPr>
                      <w:rFonts w:ascii="Times New Roman" w:hAnsi="Times New Roman" w:eastAsia="宋体" w:cs="Times New Roman"/>
                      <w:color w:val="auto"/>
                      <w:sz w:val="21"/>
                      <w:szCs w:val="21"/>
                      <w:highlight w:val="none"/>
                    </w:rPr>
                  </w:pPr>
                </w:p>
              </w:tc>
              <w:tc>
                <w:tcPr>
                  <w:tcW w:w="620" w:type="pct"/>
                  <w:tcBorders>
                    <w:tl2br w:val="nil"/>
                    <w:tr2bl w:val="nil"/>
                  </w:tcBorders>
                  <w:vAlign w:val="center"/>
                </w:tcPr>
                <w:p>
                  <w:pPr>
                    <w:spacing w:line="0" w:lineRule="atLeast"/>
                    <w:jc w:val="center"/>
                    <w:rPr>
                      <w:rFonts w:ascii="Times New Roman" w:hAnsi="Times New Roman"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浓度</w:t>
                  </w:r>
                  <w:r>
                    <w:rPr>
                      <w:rFonts w:ascii="Times New Roman" w:hAnsi="Times New Roman" w:eastAsia="宋体" w:cs="Times New Roman"/>
                      <w:b/>
                      <w:bCs/>
                      <w:color w:val="auto"/>
                      <w:spacing w:val="-17"/>
                      <w:sz w:val="21"/>
                      <w:szCs w:val="21"/>
                      <w:highlight w:val="none"/>
                    </w:rPr>
                    <w:t>（</w:t>
                  </w:r>
                  <w:r>
                    <w:rPr>
                      <w:rFonts w:ascii="Times New Roman" w:hAnsi="Times New Roman" w:cs="Times New Roman"/>
                      <w:b/>
                      <w:bCs/>
                      <w:color w:val="auto"/>
                      <w:spacing w:val="-17"/>
                      <w:sz w:val="21"/>
                      <w:szCs w:val="21"/>
                      <w:highlight w:val="none"/>
                    </w:rPr>
                    <w:t>mg/m</w:t>
                  </w:r>
                  <w:r>
                    <w:rPr>
                      <w:rFonts w:ascii="Times New Roman" w:hAnsi="Times New Roman" w:cs="Times New Roman"/>
                      <w:b/>
                      <w:bCs/>
                      <w:color w:val="auto"/>
                      <w:spacing w:val="-17"/>
                      <w:sz w:val="21"/>
                      <w:szCs w:val="21"/>
                      <w:highlight w:val="none"/>
                      <w:vertAlign w:val="superscript"/>
                    </w:rPr>
                    <w:t>3</w:t>
                  </w:r>
                  <w:r>
                    <w:rPr>
                      <w:rFonts w:ascii="Times New Roman" w:hAnsi="Times New Roman" w:eastAsia="宋体" w:cs="Times New Roman"/>
                      <w:b/>
                      <w:bCs/>
                      <w:color w:val="auto"/>
                      <w:spacing w:val="-17"/>
                      <w:sz w:val="21"/>
                      <w:szCs w:val="21"/>
                      <w:highlight w:val="none"/>
                    </w:rPr>
                    <w:t>）</w:t>
                  </w:r>
                </w:p>
              </w:tc>
              <w:tc>
                <w:tcPr>
                  <w:tcW w:w="523" w:type="pct"/>
                  <w:tcBorders>
                    <w:tl2br w:val="nil"/>
                    <w:tr2bl w:val="nil"/>
                  </w:tcBorders>
                  <w:vAlign w:val="center"/>
                </w:tcPr>
                <w:p>
                  <w:pPr>
                    <w:spacing w:line="0" w:lineRule="atLeast"/>
                    <w:jc w:val="center"/>
                    <w:rPr>
                      <w:rFonts w:ascii="Times New Roman" w:hAnsi="Times New Roman"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速率</w:t>
                  </w:r>
                  <w:r>
                    <w:rPr>
                      <w:rFonts w:ascii="Times New Roman" w:hAnsi="Times New Roman" w:eastAsia="宋体" w:cs="Times New Roman"/>
                      <w:b/>
                      <w:bCs/>
                      <w:color w:val="auto"/>
                      <w:spacing w:val="-17"/>
                      <w:sz w:val="21"/>
                      <w:szCs w:val="21"/>
                      <w:highlight w:val="none"/>
                    </w:rPr>
                    <w:t>（kg/h）</w:t>
                  </w:r>
                </w:p>
              </w:tc>
              <w:tc>
                <w:tcPr>
                  <w:tcW w:w="446" w:type="pct"/>
                  <w:tcBorders>
                    <w:tl2br w:val="nil"/>
                    <w:tr2bl w:val="nil"/>
                  </w:tcBorders>
                  <w:vAlign w:val="center"/>
                </w:tcPr>
                <w:p>
                  <w:pPr>
                    <w:spacing w:line="0" w:lineRule="atLeast"/>
                    <w:jc w:val="center"/>
                    <w:rPr>
                      <w:rFonts w:ascii="Times New Roman" w:hAnsi="Times New Roman"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量</w:t>
                  </w:r>
                  <w:r>
                    <w:rPr>
                      <w:rFonts w:ascii="Times New Roman" w:hAnsi="Times New Roman" w:eastAsia="宋体" w:cs="Times New Roman"/>
                      <w:b/>
                      <w:bCs/>
                      <w:color w:val="auto"/>
                      <w:spacing w:val="-17"/>
                      <w:sz w:val="21"/>
                      <w:szCs w:val="21"/>
                      <w:highlight w:val="none"/>
                    </w:rPr>
                    <w:t>（t/a）</w:t>
                  </w:r>
                </w:p>
              </w:tc>
              <w:tc>
                <w:tcPr>
                  <w:tcW w:w="535" w:type="pct"/>
                  <w:tcBorders>
                    <w:tl2br w:val="nil"/>
                    <w:tr2bl w:val="nil"/>
                  </w:tcBorders>
                  <w:vAlign w:val="center"/>
                </w:tcPr>
                <w:p>
                  <w:pPr>
                    <w:spacing w:line="0" w:lineRule="atLeast"/>
                    <w:jc w:val="center"/>
                    <w:rPr>
                      <w:rFonts w:ascii="Times New Roman" w:hAnsi="Times New Roman" w:eastAsia="宋体" w:cs="Times New Roman"/>
                      <w:b/>
                      <w:bCs/>
                      <w:color w:val="auto"/>
                      <w:spacing w:val="-17"/>
                      <w:sz w:val="21"/>
                      <w:szCs w:val="21"/>
                      <w:highlight w:val="none"/>
                    </w:rPr>
                  </w:pPr>
                  <w:r>
                    <w:rPr>
                      <w:rFonts w:ascii="Times New Roman" w:hAnsi="Times New Roman" w:eastAsia="宋体" w:cs="Times New Roman"/>
                      <w:b/>
                      <w:bCs/>
                      <w:color w:val="auto"/>
                      <w:spacing w:val="-17"/>
                      <w:sz w:val="21"/>
                      <w:szCs w:val="21"/>
                      <w:highlight w:val="none"/>
                    </w:rPr>
                    <w:t>废气量（</w:t>
                  </w:r>
                  <w:r>
                    <w:rPr>
                      <w:rFonts w:ascii="Times New Roman" w:hAnsi="Times New Roman" w:cs="Times New Roman"/>
                      <w:b/>
                      <w:bCs/>
                      <w:color w:val="auto"/>
                      <w:spacing w:val="-17"/>
                      <w:sz w:val="21"/>
                      <w:szCs w:val="21"/>
                      <w:highlight w:val="none"/>
                    </w:rPr>
                    <w:t>m</w:t>
                  </w:r>
                  <w:r>
                    <w:rPr>
                      <w:rFonts w:ascii="Times New Roman" w:hAnsi="Times New Roman" w:cs="Times New Roman"/>
                      <w:b/>
                      <w:bCs/>
                      <w:color w:val="auto"/>
                      <w:spacing w:val="-17"/>
                      <w:sz w:val="21"/>
                      <w:szCs w:val="21"/>
                      <w:highlight w:val="none"/>
                      <w:vertAlign w:val="superscript"/>
                    </w:rPr>
                    <w:t>3</w:t>
                  </w:r>
                  <w:r>
                    <w:rPr>
                      <w:rFonts w:ascii="Times New Roman" w:hAnsi="Times New Roman" w:cs="Times New Roman"/>
                      <w:b/>
                      <w:bCs/>
                      <w:color w:val="auto"/>
                      <w:spacing w:val="-17"/>
                      <w:sz w:val="21"/>
                      <w:szCs w:val="21"/>
                      <w:highlight w:val="none"/>
                    </w:rPr>
                    <w:t>/</w:t>
                  </w:r>
                  <w:r>
                    <w:rPr>
                      <w:rFonts w:hint="eastAsia" w:ascii="Times New Roman" w:hAnsi="Times New Roman" w:cs="Times New Roman"/>
                      <w:b/>
                      <w:bCs/>
                      <w:color w:val="auto"/>
                      <w:spacing w:val="-17"/>
                      <w:sz w:val="21"/>
                      <w:szCs w:val="21"/>
                      <w:highlight w:val="none"/>
                      <w:lang w:val="en-US" w:eastAsia="zh-CN"/>
                    </w:rPr>
                    <w:t>h</w:t>
                  </w:r>
                  <w:r>
                    <w:rPr>
                      <w:rFonts w:ascii="Times New Roman" w:hAnsi="Times New Roman" w:eastAsia="宋体" w:cs="Times New Roman"/>
                      <w:b/>
                      <w:bCs/>
                      <w:color w:val="auto"/>
                      <w:spacing w:val="-17"/>
                      <w:sz w:val="21"/>
                      <w:szCs w:val="21"/>
                      <w:highlight w:val="none"/>
                    </w:rPr>
                    <w:t>）</w:t>
                  </w:r>
                </w:p>
              </w:tc>
              <w:tc>
                <w:tcPr>
                  <w:tcW w:w="444" w:type="pct"/>
                  <w:tcBorders>
                    <w:tl2br w:val="nil"/>
                    <w:tr2bl w:val="nil"/>
                  </w:tcBorders>
                  <w:vAlign w:val="center"/>
                </w:tcPr>
                <w:p>
                  <w:pPr>
                    <w:spacing w:line="0" w:lineRule="atLeast"/>
                    <w:jc w:val="center"/>
                    <w:rPr>
                      <w:rFonts w:ascii="Times New Roman" w:hAnsi="Times New Roman" w:eastAsia="宋体" w:cs="Times New Roman"/>
                      <w:b/>
                      <w:bCs/>
                      <w:color w:val="auto"/>
                      <w:spacing w:val="-17"/>
                      <w:sz w:val="21"/>
                      <w:szCs w:val="21"/>
                      <w:highlight w:val="none"/>
                    </w:rPr>
                  </w:pPr>
                  <w:r>
                    <w:rPr>
                      <w:rFonts w:ascii="Times New Roman" w:hAnsi="Times New Roman" w:eastAsia="宋体" w:cs="Times New Roman"/>
                      <w:b/>
                      <w:bCs/>
                      <w:color w:val="auto"/>
                      <w:spacing w:val="-17"/>
                      <w:sz w:val="21"/>
                      <w:szCs w:val="21"/>
                      <w:highlight w:val="none"/>
                    </w:rPr>
                    <w:t>效率（%）</w:t>
                  </w:r>
                </w:p>
              </w:tc>
              <w:tc>
                <w:tcPr>
                  <w:tcW w:w="620" w:type="pct"/>
                  <w:tcBorders>
                    <w:tl2br w:val="nil"/>
                    <w:tr2bl w:val="nil"/>
                  </w:tcBorders>
                  <w:vAlign w:val="center"/>
                </w:tcPr>
                <w:p>
                  <w:pPr>
                    <w:spacing w:line="0" w:lineRule="atLeast"/>
                    <w:jc w:val="center"/>
                    <w:rPr>
                      <w:rFonts w:ascii="Times New Roman" w:hAnsi="Times New Roman"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浓度</w:t>
                  </w:r>
                  <w:r>
                    <w:rPr>
                      <w:rFonts w:ascii="Times New Roman" w:hAnsi="Times New Roman" w:eastAsia="宋体" w:cs="Times New Roman"/>
                      <w:b/>
                      <w:bCs/>
                      <w:color w:val="auto"/>
                      <w:spacing w:val="-17"/>
                      <w:sz w:val="21"/>
                      <w:szCs w:val="21"/>
                      <w:highlight w:val="none"/>
                    </w:rPr>
                    <w:t>（</w:t>
                  </w:r>
                  <w:r>
                    <w:rPr>
                      <w:rFonts w:ascii="Times New Roman" w:hAnsi="Times New Roman" w:cs="Times New Roman"/>
                      <w:b/>
                      <w:bCs/>
                      <w:color w:val="auto"/>
                      <w:spacing w:val="-17"/>
                      <w:sz w:val="21"/>
                      <w:szCs w:val="21"/>
                      <w:highlight w:val="none"/>
                    </w:rPr>
                    <w:t>mg/m</w:t>
                  </w:r>
                  <w:r>
                    <w:rPr>
                      <w:rFonts w:ascii="Times New Roman" w:hAnsi="Times New Roman" w:cs="Times New Roman"/>
                      <w:b/>
                      <w:bCs/>
                      <w:color w:val="auto"/>
                      <w:spacing w:val="-17"/>
                      <w:sz w:val="21"/>
                      <w:szCs w:val="21"/>
                      <w:highlight w:val="none"/>
                      <w:vertAlign w:val="superscript"/>
                    </w:rPr>
                    <w:t>3</w:t>
                  </w:r>
                  <w:r>
                    <w:rPr>
                      <w:rFonts w:ascii="Times New Roman" w:hAnsi="Times New Roman" w:eastAsia="宋体" w:cs="Times New Roman"/>
                      <w:b/>
                      <w:bCs/>
                      <w:color w:val="auto"/>
                      <w:spacing w:val="-17"/>
                      <w:sz w:val="21"/>
                      <w:szCs w:val="21"/>
                      <w:highlight w:val="none"/>
                    </w:rPr>
                    <w:t>）</w:t>
                  </w:r>
                </w:p>
              </w:tc>
              <w:tc>
                <w:tcPr>
                  <w:tcW w:w="523" w:type="pct"/>
                  <w:tcBorders>
                    <w:tl2br w:val="nil"/>
                    <w:tr2bl w:val="nil"/>
                  </w:tcBorders>
                  <w:vAlign w:val="center"/>
                </w:tcPr>
                <w:p>
                  <w:pPr>
                    <w:spacing w:line="0" w:lineRule="atLeast"/>
                    <w:jc w:val="center"/>
                    <w:rPr>
                      <w:rFonts w:ascii="Times New Roman" w:hAnsi="Times New Roman" w:eastAsia="宋体"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速率</w:t>
                  </w:r>
                  <w:r>
                    <w:rPr>
                      <w:rFonts w:ascii="Times New Roman" w:hAnsi="Times New Roman" w:eastAsia="宋体" w:cs="Times New Roman"/>
                      <w:b/>
                      <w:bCs/>
                      <w:color w:val="auto"/>
                      <w:spacing w:val="-17"/>
                      <w:sz w:val="21"/>
                      <w:szCs w:val="21"/>
                      <w:highlight w:val="none"/>
                    </w:rPr>
                    <w:t>（kg/h）</w:t>
                  </w:r>
                </w:p>
              </w:tc>
              <w:tc>
                <w:tcPr>
                  <w:tcW w:w="447" w:type="pct"/>
                  <w:tcBorders>
                    <w:tl2br w:val="nil"/>
                    <w:tr2bl w:val="nil"/>
                  </w:tcBorders>
                  <w:vAlign w:val="center"/>
                </w:tcPr>
                <w:p>
                  <w:pPr>
                    <w:spacing w:line="0" w:lineRule="atLeast"/>
                    <w:jc w:val="center"/>
                    <w:rPr>
                      <w:rFonts w:ascii="Times New Roman" w:hAnsi="Times New Roman" w:eastAsia="宋体" w:cs="Times New Roman"/>
                      <w:b/>
                      <w:bCs/>
                      <w:color w:val="auto"/>
                      <w:spacing w:val="-17"/>
                      <w:sz w:val="21"/>
                      <w:szCs w:val="21"/>
                      <w:highlight w:val="none"/>
                    </w:rPr>
                  </w:pPr>
                  <w:r>
                    <w:rPr>
                      <w:rFonts w:ascii="Times New Roman" w:hAnsi="Times New Roman" w:cs="Times New Roman"/>
                      <w:b/>
                      <w:bCs/>
                      <w:color w:val="auto"/>
                      <w:spacing w:val="-17"/>
                      <w:sz w:val="21"/>
                      <w:szCs w:val="21"/>
                      <w:highlight w:val="none"/>
                    </w:rPr>
                    <w:t>量</w:t>
                  </w:r>
                  <w:r>
                    <w:rPr>
                      <w:rFonts w:ascii="Times New Roman" w:hAnsi="Times New Roman" w:eastAsia="宋体" w:cs="Times New Roman"/>
                      <w:b/>
                      <w:bCs/>
                      <w:color w:val="auto"/>
                      <w:spacing w:val="-17"/>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tcBorders>
                    <w:tl2br w:val="nil"/>
                    <w:tr2bl w:val="nil"/>
                  </w:tcBorders>
                  <w:vAlign w:val="center"/>
                </w:tcPr>
                <w:p>
                  <w:pPr>
                    <w:spacing w:line="320" w:lineRule="exact"/>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生物质库</w:t>
                  </w:r>
                </w:p>
              </w:tc>
              <w:tc>
                <w:tcPr>
                  <w:tcW w:w="590" w:type="pct"/>
                  <w:tcBorders>
                    <w:tl2br w:val="nil"/>
                    <w:tr2bl w:val="nil"/>
                  </w:tcBorders>
                  <w:vAlign w:val="center"/>
                </w:tcPr>
                <w:p>
                  <w:pPr>
                    <w:spacing w:line="0" w:lineRule="atLeast"/>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颗粒物</w:t>
                  </w:r>
                </w:p>
              </w:tc>
              <w:tc>
                <w:tcPr>
                  <w:tcW w:w="62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0.0019</w:t>
                  </w:r>
                </w:p>
              </w:tc>
              <w:tc>
                <w:tcPr>
                  <w:tcW w:w="44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0.0046</w:t>
                  </w:r>
                </w:p>
              </w:tc>
              <w:tc>
                <w:tcPr>
                  <w:tcW w:w="535"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4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80</w:t>
                  </w:r>
                </w:p>
              </w:tc>
              <w:tc>
                <w:tcPr>
                  <w:tcW w:w="62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0.0004</w:t>
                  </w:r>
                </w:p>
              </w:tc>
              <w:tc>
                <w:tcPr>
                  <w:tcW w:w="4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restart"/>
                  <w:tcBorders>
                    <w:tl2br w:val="nil"/>
                    <w:tr2bl w:val="nil"/>
                  </w:tcBorders>
                  <w:vAlign w:val="center"/>
                </w:tcPr>
                <w:p>
                  <w:pPr>
                    <w:spacing w:line="320" w:lineRule="exact"/>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生物质锅炉</w:t>
                  </w: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bCs/>
                      <w:color w:val="auto"/>
                      <w:kern w:val="2"/>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颗粒物</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2562.3</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6</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14.4</w:t>
                  </w:r>
                </w:p>
              </w:tc>
              <w:tc>
                <w:tcPr>
                  <w:tcW w:w="535" w:type="pct"/>
                  <w:vMerge w:val="restar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4494</w:t>
                  </w:r>
                </w:p>
              </w:tc>
              <w:tc>
                <w:tcPr>
                  <w:tcW w:w="4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99.5</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12.81</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0.03</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320" w:lineRule="exact"/>
                    <w:jc w:val="center"/>
                    <w:rPr>
                      <w:rFonts w:ascii="Times New Roman" w:hAnsi="Times New Roman" w:cs="Times New Roman"/>
                      <w:color w:val="auto"/>
                      <w:sz w:val="21"/>
                      <w:szCs w:val="21"/>
                      <w:highlight w:val="none"/>
                    </w:rPr>
                  </w:pP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bCs/>
                      <w:color w:val="auto"/>
                      <w:kern w:val="2"/>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SO</w:t>
                  </w:r>
                  <w:r>
                    <w:rPr>
                      <w:rFonts w:hint="default" w:ascii="Times New Roman" w:hAnsi="Times New Roman" w:cs="Times New Roman"/>
                      <w:b w:val="0"/>
                      <w:bCs/>
                      <w:color w:val="auto"/>
                      <w:sz w:val="21"/>
                      <w:szCs w:val="21"/>
                      <w:highlight w:val="none"/>
                      <w:vertAlign w:val="subscript"/>
                      <w:lang w:val="en-US" w:eastAsia="zh-CN"/>
                    </w:rPr>
                    <w:t>2</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24.91</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0.058</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0.14</w:t>
                  </w:r>
                </w:p>
              </w:tc>
              <w:tc>
                <w:tcPr>
                  <w:tcW w:w="535" w:type="pct"/>
                  <w:vMerge w:val="continue"/>
                  <w:tcBorders>
                    <w:tl2br w:val="nil"/>
                    <w:tr2bl w:val="nil"/>
                  </w:tcBorders>
                  <w:vAlign w:val="center"/>
                </w:tcPr>
                <w:p>
                  <w:pPr>
                    <w:jc w:val="center"/>
                    <w:rPr>
                      <w:rFonts w:ascii="Times New Roman" w:hAnsi="Times New Roman" w:eastAsia="宋体" w:cs="Times New Roman"/>
                      <w:color w:val="auto"/>
                      <w:kern w:val="0"/>
                      <w:sz w:val="21"/>
                      <w:szCs w:val="21"/>
                      <w:highlight w:val="none"/>
                      <w:lang w:bidi="ar"/>
                    </w:rPr>
                  </w:pPr>
                </w:p>
              </w:tc>
              <w:tc>
                <w:tcPr>
                  <w:tcW w:w="444"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24.91</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0.058</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320" w:lineRule="exact"/>
                    <w:jc w:val="center"/>
                    <w:rPr>
                      <w:rFonts w:ascii="Times New Roman" w:hAnsi="Times New Roman" w:cs="Times New Roman"/>
                      <w:color w:val="auto"/>
                      <w:sz w:val="21"/>
                      <w:szCs w:val="21"/>
                      <w:highlight w:val="none"/>
                    </w:rPr>
                  </w:pP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bCs/>
                      <w:color w:val="auto"/>
                      <w:kern w:val="2"/>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NOx</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163.7</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0.383</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0.92</w:t>
                  </w:r>
                </w:p>
              </w:tc>
              <w:tc>
                <w:tcPr>
                  <w:tcW w:w="535" w:type="pct"/>
                  <w:vMerge w:val="continue"/>
                  <w:tcBorders>
                    <w:tl2br w:val="nil"/>
                    <w:tr2bl w:val="nil"/>
                  </w:tcBorders>
                  <w:vAlign w:val="center"/>
                </w:tcPr>
                <w:p>
                  <w:pPr>
                    <w:jc w:val="center"/>
                    <w:rPr>
                      <w:rFonts w:ascii="Times New Roman" w:hAnsi="Times New Roman" w:eastAsia="宋体" w:cs="Times New Roman"/>
                      <w:color w:val="auto"/>
                      <w:kern w:val="0"/>
                      <w:sz w:val="21"/>
                      <w:szCs w:val="21"/>
                      <w:highlight w:val="none"/>
                      <w:lang w:bidi="ar"/>
                    </w:rPr>
                  </w:pPr>
                </w:p>
              </w:tc>
              <w:tc>
                <w:tcPr>
                  <w:tcW w:w="444" w:type="pc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30</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113.9</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0.267</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restart"/>
                  <w:tcBorders>
                    <w:tl2br w:val="nil"/>
                    <w:tr2bl w:val="nil"/>
                  </w:tcBorders>
                  <w:vAlign w:val="center"/>
                </w:tcPr>
                <w:p>
                  <w:pPr>
                    <w:spacing w:line="320" w:lineRule="exact"/>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污水处理站</w:t>
                  </w: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氨</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0.25</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0.003</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0.006</w:t>
                  </w:r>
                </w:p>
              </w:tc>
              <w:tc>
                <w:tcPr>
                  <w:tcW w:w="535" w:type="pct"/>
                  <w:vMerge w:val="restar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10000</w:t>
                  </w:r>
                </w:p>
              </w:tc>
              <w:tc>
                <w:tcPr>
                  <w:tcW w:w="444" w:type="pct"/>
                  <w:vMerge w:val="restart"/>
                  <w:tcBorders>
                    <w:tl2br w:val="nil"/>
                    <w:tr2bl w:val="nil"/>
                  </w:tcBorders>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70</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0.16</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0.002</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320" w:lineRule="exact"/>
                    <w:jc w:val="center"/>
                    <w:rPr>
                      <w:rFonts w:ascii="Times New Roman" w:hAnsi="Times New Roman" w:cs="Times New Roman"/>
                      <w:color w:val="auto"/>
                      <w:sz w:val="21"/>
                      <w:szCs w:val="21"/>
                      <w:highlight w:val="none"/>
                    </w:rPr>
                  </w:pP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硫化氢</w:t>
                  </w:r>
                </w:p>
              </w:tc>
              <w:tc>
                <w:tcPr>
                  <w:tcW w:w="620"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0.42</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0.004</w:t>
                  </w:r>
                </w:p>
              </w:tc>
              <w:tc>
                <w:tcPr>
                  <w:tcW w:w="446"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0.01</w:t>
                  </w:r>
                </w:p>
              </w:tc>
              <w:tc>
                <w:tcPr>
                  <w:tcW w:w="535" w:type="pct"/>
                  <w:vMerge w:val="continue"/>
                  <w:tcBorders>
                    <w:tl2br w:val="nil"/>
                    <w:tr2bl w:val="nil"/>
                  </w:tcBorders>
                  <w:vAlign w:val="center"/>
                </w:tcPr>
                <w:p>
                  <w:pPr>
                    <w:jc w:val="center"/>
                    <w:rPr>
                      <w:rFonts w:ascii="Times New Roman" w:hAnsi="Times New Roman" w:eastAsia="宋体" w:cs="Times New Roman"/>
                      <w:color w:val="auto"/>
                      <w:kern w:val="0"/>
                      <w:sz w:val="21"/>
                      <w:szCs w:val="21"/>
                      <w:highlight w:val="none"/>
                      <w:lang w:bidi="ar"/>
                    </w:rPr>
                  </w:pPr>
                </w:p>
              </w:tc>
              <w:tc>
                <w:tcPr>
                  <w:tcW w:w="444" w:type="pct"/>
                  <w:vMerge w:val="continue"/>
                  <w:tcBorders>
                    <w:tl2br w:val="nil"/>
                    <w:tr2bl w:val="nil"/>
                  </w:tcBorders>
                  <w:vAlign w:val="center"/>
                </w:tcPr>
                <w:p>
                  <w:pPr>
                    <w:jc w:val="center"/>
                    <w:rPr>
                      <w:rFonts w:hint="eastAsia" w:ascii="Times New Roman" w:hAnsi="Times New Roman" w:eastAsia="宋体" w:cs="Times New Roman"/>
                      <w:color w:val="auto"/>
                      <w:kern w:val="0"/>
                      <w:sz w:val="21"/>
                      <w:szCs w:val="21"/>
                      <w:highlight w:val="none"/>
                      <w:lang w:val="en-US" w:eastAsia="zh-CN" w:bidi="ar"/>
                    </w:rPr>
                  </w:pP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0.29</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0.003</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320" w:lineRule="exact"/>
                    <w:jc w:val="center"/>
                    <w:rPr>
                      <w:rFonts w:ascii="Times New Roman" w:hAnsi="Times New Roman" w:cs="Times New Roman"/>
                      <w:color w:val="auto"/>
                      <w:sz w:val="21"/>
                      <w:szCs w:val="21"/>
                      <w:highlight w:val="none"/>
                    </w:rPr>
                  </w:pP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氨</w:t>
                  </w:r>
                </w:p>
              </w:tc>
              <w:tc>
                <w:tcPr>
                  <w:tcW w:w="620"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0.0013</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0.003</w:t>
                  </w:r>
                </w:p>
              </w:tc>
              <w:tc>
                <w:tcPr>
                  <w:tcW w:w="535" w:type="pct"/>
                  <w:tcBorders>
                    <w:tl2br w:val="nil"/>
                    <w:tr2bl w:val="nil"/>
                  </w:tcBorders>
                  <w:vAlign w:val="center"/>
                </w:tcPr>
                <w:p>
                  <w:pPr>
                    <w:jc w:val="center"/>
                    <w:rPr>
                      <w:rFonts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w:t>
                  </w:r>
                </w:p>
              </w:tc>
              <w:tc>
                <w:tcPr>
                  <w:tcW w:w="444" w:type="pct"/>
                  <w:tcBorders>
                    <w:tl2br w:val="nil"/>
                    <w:tr2bl w:val="nil"/>
                  </w:tcBorders>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20"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0.0013</w:t>
                  </w:r>
                </w:p>
              </w:tc>
              <w:tc>
                <w:tcPr>
                  <w:tcW w:w="447"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320" w:lineRule="exact"/>
                    <w:jc w:val="center"/>
                    <w:rPr>
                      <w:rFonts w:ascii="Times New Roman" w:hAnsi="Times New Roman" w:cs="Times New Roman"/>
                      <w:color w:val="auto"/>
                      <w:sz w:val="21"/>
                      <w:szCs w:val="21"/>
                      <w:highlight w:val="none"/>
                    </w:rPr>
                  </w:pP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硫化氢</w:t>
                  </w:r>
                </w:p>
              </w:tc>
              <w:tc>
                <w:tcPr>
                  <w:tcW w:w="620"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523"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0.0008</w:t>
                  </w:r>
                </w:p>
              </w:tc>
              <w:tc>
                <w:tcPr>
                  <w:tcW w:w="44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0.002</w:t>
                  </w:r>
                </w:p>
              </w:tc>
              <w:tc>
                <w:tcPr>
                  <w:tcW w:w="535" w:type="pct"/>
                  <w:tcBorders>
                    <w:tl2br w:val="nil"/>
                    <w:tr2bl w:val="nil"/>
                  </w:tcBorders>
                  <w:vAlign w:val="center"/>
                </w:tcPr>
                <w:p>
                  <w:pPr>
                    <w:jc w:val="center"/>
                    <w:rPr>
                      <w:rFonts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w:t>
                  </w:r>
                </w:p>
              </w:tc>
              <w:tc>
                <w:tcPr>
                  <w:tcW w:w="444" w:type="pct"/>
                  <w:tcBorders>
                    <w:tl2br w:val="nil"/>
                    <w:tr2bl w:val="nil"/>
                  </w:tcBorders>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620"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523"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0.0008</w:t>
                  </w:r>
                </w:p>
              </w:tc>
              <w:tc>
                <w:tcPr>
                  <w:tcW w:w="447"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vMerge w:val="continue"/>
                  <w:tcBorders>
                    <w:tl2br w:val="nil"/>
                    <w:tr2bl w:val="nil"/>
                  </w:tcBorders>
                  <w:vAlign w:val="center"/>
                </w:tcPr>
                <w:p>
                  <w:pPr>
                    <w:spacing w:line="320" w:lineRule="exact"/>
                    <w:jc w:val="center"/>
                    <w:rPr>
                      <w:rFonts w:ascii="Times New Roman" w:hAnsi="Times New Roman" w:cs="Times New Roman"/>
                      <w:color w:val="auto"/>
                      <w:sz w:val="21"/>
                      <w:szCs w:val="21"/>
                      <w:highlight w:val="none"/>
                    </w:rPr>
                  </w:pP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臭气浓度</w:t>
                  </w:r>
                </w:p>
              </w:tc>
              <w:tc>
                <w:tcPr>
                  <w:tcW w:w="620"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＜20</w:t>
                  </w:r>
                </w:p>
              </w:tc>
              <w:tc>
                <w:tcPr>
                  <w:tcW w:w="523"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446"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535" w:type="pct"/>
                  <w:tcBorders>
                    <w:tl2br w:val="nil"/>
                    <w:tr2bl w:val="nil"/>
                  </w:tcBorders>
                  <w:vAlign w:val="center"/>
                </w:tcPr>
                <w:p>
                  <w:pPr>
                    <w:jc w:val="center"/>
                    <w:rPr>
                      <w:rFonts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highlight w:val="none"/>
                      <w:lang w:val="en-US" w:eastAsia="zh-CN"/>
                    </w:rPr>
                    <w:t>/</w:t>
                  </w:r>
                </w:p>
              </w:tc>
              <w:tc>
                <w:tcPr>
                  <w:tcW w:w="444" w:type="pct"/>
                  <w:tcBorders>
                    <w:tl2br w:val="nil"/>
                    <w:tr2bl w:val="nil"/>
                  </w:tcBorders>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highlight w:val="none"/>
                      <w:lang w:val="en-US" w:eastAsia="zh-CN"/>
                    </w:rPr>
                    <w:t>/</w:t>
                  </w:r>
                </w:p>
              </w:tc>
              <w:tc>
                <w:tcPr>
                  <w:tcW w:w="620"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＜20</w:t>
                  </w:r>
                </w:p>
              </w:tc>
              <w:tc>
                <w:tcPr>
                  <w:tcW w:w="523"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447" w:type="pct"/>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bl>
          <w:p>
            <w:pPr>
              <w:pStyle w:val="17"/>
              <w:snapToGrid w:val="0"/>
              <w:spacing w:line="360" w:lineRule="auto"/>
              <w:ind w:firstLine="240" w:firstLineChars="1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（1）卤煮过程</w:t>
            </w:r>
          </w:p>
          <w:p>
            <w:pPr>
              <w:pStyle w:val="17"/>
              <w:snapToGrid w:val="0"/>
              <w:spacing w:line="360" w:lineRule="auto"/>
              <w:ind w:left="0" w:leftChars="0" w:firstLine="480" w:firstLineChars="200"/>
              <w:rPr>
                <w:rFonts w:hint="default"/>
                <w:lang w:val="en-US" w:eastAsia="zh-CN"/>
              </w:rPr>
            </w:pPr>
            <w:r>
              <w:rPr>
                <w:rFonts w:hint="eastAsia" w:ascii="Times New Roman" w:hAnsi="Times New Roman" w:eastAsia="宋体" w:cs="Times New Roman"/>
                <w:color w:val="auto"/>
                <w:sz w:val="24"/>
                <w:szCs w:val="24"/>
                <w:highlight w:val="none"/>
                <w:lang w:val="en-US" w:eastAsia="zh-CN"/>
              </w:rPr>
              <w:t>肉类加工生产</w:t>
            </w:r>
            <w:r>
              <w:rPr>
                <w:rFonts w:hint="default" w:ascii="Times New Roman" w:hAnsi="Times New Roman" w:eastAsia="宋体" w:cs="Times New Roman"/>
                <w:color w:val="auto"/>
                <w:sz w:val="24"/>
                <w:szCs w:val="24"/>
                <w:highlight w:val="none"/>
                <w:lang w:val="en-US" w:eastAsia="zh-CN"/>
              </w:rPr>
              <w:t>过程中，各种原辅料由于热作用，受热挥发会产生异味气体，该类气体不含有毒有害物质，但浓度过高会使人产生不适感，项目异味气体部分随车间烟气、油烟净化系统有组织排放，部分无组织排放，通过车间强制通风排出车间外，排放量较小，对外环境的影响较小。</w:t>
            </w:r>
          </w:p>
          <w:p>
            <w:pPr>
              <w:pStyle w:val="17"/>
              <w:snapToGrid w:val="0"/>
              <w:spacing w:line="360" w:lineRule="auto"/>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生物质</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val="en-US" w:eastAsia="zh-CN"/>
              </w:rPr>
              <w:t>废</w:t>
            </w:r>
            <w:r>
              <w:rPr>
                <w:rFonts w:hint="default" w:ascii="Times New Roman" w:hAnsi="Times New Roman" w:eastAsia="宋体" w:cs="Times New Roman"/>
                <w:color w:val="auto"/>
                <w:sz w:val="24"/>
                <w:szCs w:val="24"/>
                <w:highlight w:val="none"/>
              </w:rPr>
              <w:t>气</w:t>
            </w:r>
          </w:p>
          <w:p>
            <w:pPr>
              <w:pStyle w:val="17"/>
              <w:snapToGrid w:val="0"/>
              <w:spacing w:line="360" w:lineRule="auto"/>
              <w:ind w:firstLine="240" w:firstLineChars="1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①污染物产生情况</w:t>
            </w:r>
          </w:p>
          <w:p>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生物质锅炉</w:t>
            </w:r>
            <w:r>
              <w:rPr>
                <w:rFonts w:hint="default" w:ascii="Times New Roman" w:hAnsi="Times New Roman" w:eastAsia="宋体" w:cs="Times New Roman"/>
                <w:color w:val="auto"/>
                <w:sz w:val="24"/>
                <w:szCs w:val="24"/>
                <w:highlight w:val="none"/>
              </w:rPr>
              <w:t>烟气中污染物主要为烟尘、SO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、NOx</w:t>
            </w:r>
            <w:r>
              <w:rPr>
                <w:rFonts w:hint="default" w:ascii="Times New Roman" w:hAnsi="Times New Roman" w:eastAsia="宋体" w:cs="Times New Roman"/>
                <w:color w:val="auto"/>
                <w:sz w:val="24"/>
                <w:szCs w:val="24"/>
                <w:highlight w:val="none"/>
                <w:lang w:val="en-US" w:eastAsia="zh-CN"/>
              </w:rPr>
              <w:t>以及烟气黑度</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年使用生物质900t，生物质蒸汽锅炉、生物质热水锅炉废气经</w:t>
            </w:r>
            <w:r>
              <w:rPr>
                <w:rFonts w:hint="default" w:ascii="Times New Roman" w:hAnsi="Times New Roman" w:eastAsia="宋体" w:cs="Times New Roman"/>
                <w:color w:val="auto"/>
                <w:sz w:val="24"/>
                <w:szCs w:val="24"/>
                <w:highlight w:val="none"/>
                <w:lang w:val="en-US" w:eastAsia="zh-CN"/>
              </w:rPr>
              <w:t>布袋除尘器</w:t>
            </w:r>
            <w:r>
              <w:rPr>
                <w:rFonts w:hint="eastAsia" w:ascii="Times New Roman" w:hAnsi="Times New Roman" w:eastAsia="宋体" w:cs="Times New Roman"/>
                <w:color w:val="auto"/>
                <w:sz w:val="24"/>
                <w:szCs w:val="24"/>
                <w:highlight w:val="none"/>
                <w:lang w:val="en-US" w:eastAsia="zh-CN"/>
              </w:rPr>
              <w:t>+SNCR烟气脱硝设施处理后通过同一个35m高排气筒排放（DA002）。蒸汽锅炉年运行2100h，热水锅炉年运行600h。</w:t>
            </w:r>
          </w:p>
          <w:p>
            <w:pPr>
              <w:snapToGri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根据生态环境部2021年6月11日印发的《排放源统计调查产排污核算方法和系数手册》，生物质燃料锅炉工业废气量产污系数为6240标立方米/吨-原料</w:t>
            </w:r>
            <w:r>
              <w:rPr>
                <w:rFonts w:hint="eastAsia" w:ascii="Times New Roman" w:hAnsi="Times New Roman" w:eastAsia="宋体" w:cs="Times New Roman"/>
                <w:color w:val="auto"/>
                <w:sz w:val="24"/>
                <w:szCs w:val="24"/>
                <w:highlight w:val="none"/>
                <w:lang w:eastAsia="zh-CN"/>
              </w:rPr>
              <w:t>；</w:t>
            </w:r>
          </w:p>
          <w:p>
            <w:pPr>
              <w:snapToGrid w:val="0"/>
              <w:spacing w:line="360" w:lineRule="auto"/>
              <w:ind w:firstLine="480" w:firstLineChars="200"/>
              <w:rPr>
                <w:rFonts w:ascii="Times New Roman" w:hAnsi="Times New Roman" w:cs="Times New Roman"/>
                <w:color w:val="auto"/>
                <w:sz w:val="24"/>
              </w:rPr>
            </w:pPr>
            <w:r>
              <w:rPr>
                <w:rFonts w:hint="eastAsia" w:ascii="Times New Roman" w:hAnsi="Times New Roman" w:eastAsia="宋体" w:cs="Times New Roman"/>
                <w:color w:val="auto"/>
                <w:sz w:val="24"/>
                <w:szCs w:val="24"/>
                <w:highlight w:val="none"/>
                <w:lang w:val="en-US" w:eastAsia="zh-CN"/>
              </w:rPr>
              <w:t>蒸汽锅炉：</w:t>
            </w:r>
            <w:r>
              <w:rPr>
                <w:rFonts w:hint="default" w:ascii="Times New Roman" w:hAnsi="Times New Roman" w:eastAsia="宋体" w:cs="Times New Roman"/>
                <w:color w:val="auto"/>
                <w:sz w:val="24"/>
                <w:szCs w:val="24"/>
                <w:highlight w:val="none"/>
              </w:rPr>
              <w:t>烟气量产生量为</w:t>
            </w:r>
            <w:r>
              <w:rPr>
                <w:rFonts w:hint="eastAsia" w:ascii="Times New Roman" w:hAnsi="Times New Roman" w:eastAsia="宋体" w:cs="Times New Roman"/>
                <w:color w:val="auto"/>
                <w:sz w:val="24"/>
                <w:szCs w:val="24"/>
                <w:highlight w:val="none"/>
                <w:lang w:val="en-US" w:eastAsia="zh-CN"/>
              </w:rPr>
              <w:t>4.087</w:t>
            </w: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1946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snapToGrid w:val="0"/>
              <w:spacing w:line="360" w:lineRule="auto"/>
              <w:ind w:firstLine="480" w:firstLineChars="200"/>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热水锅炉：</w:t>
            </w:r>
            <w:r>
              <w:rPr>
                <w:rFonts w:hint="default" w:ascii="Times New Roman" w:hAnsi="Times New Roman" w:eastAsia="宋体" w:cs="Times New Roman"/>
                <w:color w:val="auto"/>
                <w:sz w:val="24"/>
                <w:szCs w:val="24"/>
                <w:highlight w:val="none"/>
              </w:rPr>
              <w:t>烟气量产生量为</w:t>
            </w:r>
            <w:r>
              <w:rPr>
                <w:rFonts w:hint="eastAsia" w:ascii="Times New Roman" w:hAnsi="Times New Roman" w:eastAsia="宋体" w:cs="Times New Roman"/>
                <w:color w:val="auto"/>
                <w:sz w:val="24"/>
                <w:szCs w:val="24"/>
                <w:highlight w:val="none"/>
                <w:lang w:val="en-US" w:eastAsia="zh-CN"/>
              </w:rPr>
              <w:t>1.529</w:t>
            </w: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2548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snapToGri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ascii="Times New Roman" w:hAnsi="Times New Roman" w:cs="Times New Roman"/>
                <w:color w:val="auto"/>
                <w:sz w:val="24"/>
              </w:rPr>
              <w:t>根据生态环境部2018年12月25日印发的</w:t>
            </w:r>
            <w:r>
              <w:rPr>
                <w:rFonts w:ascii="Times New Roman" w:hAnsi="Times New Roman" w:eastAsia="宋体" w:cs="Times New Roman"/>
                <w:color w:val="auto"/>
                <w:sz w:val="24"/>
              </w:rPr>
              <w:t>《污染源源强核算技术指南 锅炉》中颗粒物排放量的计算方法</w:t>
            </w:r>
            <w:r>
              <w:rPr>
                <w:rFonts w:hint="eastAsia" w:ascii="Times New Roman" w:hAnsi="Times New Roman" w:eastAsia="宋体" w:cs="Times New Roman"/>
                <w:color w:val="auto"/>
                <w:sz w:val="24"/>
                <w:lang w:eastAsia="zh-CN"/>
              </w:rPr>
              <w:t>：</w:t>
            </w:r>
          </w:p>
          <w:p>
            <w:pPr>
              <w:bidi w:val="0"/>
              <w:spacing w:line="360" w:lineRule="auto"/>
              <w:ind w:firstLine="480" w:firstLineChars="200"/>
              <w:rPr>
                <w:rFonts w:ascii="Times New Roman" w:hAnsi="Times New Roman" w:cs="Times New Roman"/>
                <w:color w:val="auto"/>
                <w:sz w:val="24"/>
              </w:rPr>
            </w:pPr>
            <m:oMathPara>
              <m:oMath>
                <m:sSub>
                  <m:sSubPr>
                    <m:ctrlPr>
                      <w:rPr>
                        <w:rFonts w:hint="default" w:ascii="Cambria Math" w:hAnsi="Cambria Math" w:cs="Times New Roman"/>
                        <w:i/>
                        <w:color w:val="auto"/>
                        <w:sz w:val="24"/>
                        <w:lang w:val="en-US" w:eastAsia="zh-CN"/>
                      </w:rPr>
                    </m:ctrlPr>
                  </m:sSubPr>
                  <m:e>
                    <m:r>
                      <m:rPr/>
                      <w:rPr>
                        <w:rFonts w:hint="default" w:ascii="Cambria Math" w:hAnsi="Cambria Math" w:cs="Times New Roman"/>
                        <w:color w:val="auto"/>
                        <w:sz w:val="24"/>
                        <w:lang w:val="en-US" w:eastAsia="zh-CN"/>
                      </w:rPr>
                      <m:t>E</m:t>
                    </m:r>
                    <m:ctrlPr>
                      <w:rPr>
                        <w:rFonts w:hint="default" w:ascii="Cambria Math" w:hAnsi="Cambria Math" w:cs="Times New Roman"/>
                        <w:i/>
                        <w:color w:val="auto"/>
                        <w:sz w:val="24"/>
                        <w:lang w:val="en-US" w:eastAsia="zh-CN"/>
                      </w:rPr>
                    </m:ctrlPr>
                  </m:e>
                  <m:sub>
                    <m:r>
                      <m:rPr/>
                      <w:rPr>
                        <w:rFonts w:hint="default" w:ascii="Cambria Math" w:hAnsi="Cambria Math" w:cs="Times New Roman"/>
                        <w:color w:val="auto"/>
                        <w:sz w:val="24"/>
                        <w:lang w:val="en-US" w:eastAsia="zh-CN"/>
                      </w:rPr>
                      <m:t>A</m:t>
                    </m:r>
                    <m:ctrlPr>
                      <w:rPr>
                        <w:rFonts w:hint="default" w:ascii="Cambria Math" w:hAnsi="Cambria Math" w:cs="Times New Roman"/>
                        <w:i/>
                        <w:color w:val="auto"/>
                        <w:sz w:val="24"/>
                        <w:lang w:val="en-US" w:eastAsia="zh-CN"/>
                      </w:rPr>
                    </m:ctrlPr>
                  </m:sub>
                </m:sSub>
                <m:r>
                  <m:rPr/>
                  <w:rPr>
                    <w:rFonts w:ascii="Cambria Math" w:hAnsi="Cambria Math" w:cs="Times New Roman"/>
                    <w:color w:val="auto"/>
                    <w:sz w:val="24"/>
                  </w:rPr>
                  <m:t>=</m:t>
                </m:r>
                <m:f>
                  <m:fPr>
                    <m:ctrlPr>
                      <w:rPr>
                        <w:rFonts w:ascii="Cambria Math" w:hAnsi="Cambria Math" w:cs="Times New Roman"/>
                        <w:i/>
                        <w:color w:val="auto"/>
                        <w:sz w:val="24"/>
                      </w:rPr>
                    </m:ctrlPr>
                  </m:fPr>
                  <m:num>
                    <m:r>
                      <m:rPr/>
                      <w:rPr>
                        <w:rFonts w:hint="default" w:ascii="Cambria Math" w:hAnsi="Cambria Math" w:cs="Times New Roman"/>
                        <w:color w:val="auto"/>
                        <w:sz w:val="24"/>
                        <w:lang w:val="en-US" w:eastAsia="zh-CN"/>
                      </w:rPr>
                      <m:t>R</m:t>
                    </m:r>
                    <m:r>
                      <m:rPr/>
                      <w:rPr>
                        <w:rFonts w:ascii="Cambria Math" w:hAnsi="Cambria Math" w:cs="Times New Roman"/>
                        <w:color w:val="auto"/>
                        <w:sz w:val="24"/>
                        <w:lang w:val="en-US"/>
                      </w:rPr>
                      <m:t>×</m:t>
                    </m:r>
                    <m:f>
                      <m:fPr>
                        <m:ctrlPr>
                          <w:rPr>
                            <w:rFonts w:ascii="Cambria Math" w:hAnsi="Cambria Math" w:cs="Times New Roman"/>
                            <w:i/>
                            <w:color w:val="auto"/>
                            <w:sz w:val="24"/>
                            <w:lang w:val="en-US"/>
                          </w:rPr>
                        </m:ctrlPr>
                      </m:fPr>
                      <m:num>
                        <m:sSub>
                          <m:sSubPr>
                            <m:ctrlPr>
                              <w:rPr>
                                <w:rFonts w:ascii="Cambria Math" w:hAnsi="Cambria Math" w:cs="Times New Roman"/>
                                <w:i/>
                                <w:color w:val="auto"/>
                                <w:sz w:val="24"/>
                                <w:lang w:val="en-US"/>
                              </w:rPr>
                            </m:ctrlPr>
                          </m:sSubPr>
                          <m:e>
                            <m:r>
                              <m:rPr/>
                              <w:rPr>
                                <w:rFonts w:hint="default" w:ascii="Cambria Math" w:hAnsi="Cambria Math" w:cs="Times New Roman"/>
                                <w:color w:val="auto"/>
                                <w:sz w:val="24"/>
                                <w:lang w:val="en-US" w:eastAsia="zh-CN"/>
                              </w:rPr>
                              <m:t>A</m:t>
                            </m:r>
                            <m:ctrlPr>
                              <w:rPr>
                                <w:rFonts w:ascii="Cambria Math" w:hAnsi="Cambria Math" w:cs="Times New Roman"/>
                                <w:i/>
                                <w:color w:val="auto"/>
                                <w:sz w:val="24"/>
                                <w:lang w:val="en-US"/>
                              </w:rPr>
                            </m:ctrlPr>
                          </m:e>
                          <m:sub>
                            <m:r>
                              <m:rPr/>
                              <w:rPr>
                                <w:rFonts w:hint="default" w:ascii="Cambria Math" w:hAnsi="Cambria Math" w:cs="Times New Roman"/>
                                <w:color w:val="auto"/>
                                <w:sz w:val="24"/>
                                <w:lang w:val="en-US" w:eastAsia="zh-CN"/>
                              </w:rPr>
                              <m:t>ar</m:t>
                            </m:r>
                            <m:ctrlPr>
                              <w:rPr>
                                <w:rFonts w:ascii="Cambria Math" w:hAnsi="Cambria Math" w:cs="Times New Roman"/>
                                <w:i/>
                                <w:color w:val="auto"/>
                                <w:sz w:val="24"/>
                                <w:lang w:val="en-US"/>
                              </w:rPr>
                            </m:ctrlPr>
                          </m:sub>
                        </m:sSub>
                        <m:ctrlPr>
                          <w:rPr>
                            <w:rFonts w:ascii="Cambria Math" w:hAnsi="Cambria Math" w:cs="Times New Roman"/>
                            <w:i/>
                            <w:color w:val="auto"/>
                            <w:sz w:val="24"/>
                            <w:lang w:val="en-US"/>
                          </w:rPr>
                        </m:ctrlPr>
                      </m:num>
                      <m:den>
                        <m:r>
                          <m:rPr/>
                          <w:rPr>
                            <w:rFonts w:hint="default" w:ascii="Cambria Math" w:hAnsi="Cambria Math" w:cs="Times New Roman"/>
                            <w:color w:val="auto"/>
                            <w:sz w:val="24"/>
                            <w:lang w:val="en-US" w:eastAsia="zh-CN"/>
                          </w:rPr>
                          <m:t>100</m:t>
                        </m:r>
                        <m:ctrlPr>
                          <w:rPr>
                            <w:rFonts w:ascii="Cambria Math" w:hAnsi="Cambria Math" w:cs="Times New Roman"/>
                            <w:i/>
                            <w:color w:val="auto"/>
                            <w:sz w:val="24"/>
                            <w:lang w:val="en-US"/>
                          </w:rPr>
                        </m:ctrlPr>
                      </m:den>
                    </m:f>
                    <m:r>
                      <m:rPr/>
                      <w:rPr>
                        <w:rFonts w:ascii="Cambria Math" w:hAnsi="Cambria Math" w:cs="Times New Roman"/>
                        <w:color w:val="auto"/>
                        <w:sz w:val="24"/>
                        <w:lang w:val="en-US"/>
                      </w:rPr>
                      <m:t>×</m:t>
                    </m:r>
                    <m:f>
                      <m:fPr>
                        <m:ctrlPr>
                          <w:rPr>
                            <w:rFonts w:ascii="Cambria Math" w:hAnsi="Cambria Math" w:cs="Times New Roman"/>
                            <w:i/>
                            <w:color w:val="auto"/>
                            <w:sz w:val="24"/>
                            <w:lang w:val="en-US"/>
                          </w:rPr>
                        </m:ctrlPr>
                      </m:fPr>
                      <m:num>
                        <m:sSub>
                          <m:sSubPr>
                            <m:ctrlPr>
                              <w:rPr>
                                <w:rFonts w:ascii="Cambria Math" w:hAnsi="Cambria Math" w:cs="Times New Roman"/>
                                <w:i/>
                                <w:color w:val="auto"/>
                                <w:sz w:val="24"/>
                                <w:lang w:val="en-US"/>
                              </w:rPr>
                            </m:ctrlPr>
                          </m:sSubPr>
                          <m:e>
                            <m:r>
                              <m:rPr/>
                              <w:rPr>
                                <w:rFonts w:hint="default" w:ascii="Cambria Math" w:hAnsi="Cambria Math" w:cs="Times New Roman"/>
                                <w:color w:val="auto"/>
                                <w:sz w:val="24"/>
                                <w:lang w:val="en-US" w:eastAsia="zh-CN"/>
                              </w:rPr>
                              <m:t>d</m:t>
                            </m:r>
                            <m:ctrlPr>
                              <w:rPr>
                                <w:rFonts w:ascii="Cambria Math" w:hAnsi="Cambria Math" w:cs="Times New Roman"/>
                                <w:i/>
                                <w:color w:val="auto"/>
                                <w:sz w:val="24"/>
                                <w:lang w:val="en-US"/>
                              </w:rPr>
                            </m:ctrlPr>
                          </m:e>
                          <m:sub>
                            <m:r>
                              <m:rPr/>
                              <w:rPr>
                                <w:rFonts w:hint="default" w:ascii="Cambria Math" w:hAnsi="Cambria Math" w:cs="Times New Roman"/>
                                <w:color w:val="auto"/>
                                <w:sz w:val="24"/>
                                <w:lang w:val="en-US" w:eastAsia="zh-CN"/>
                              </w:rPr>
                              <m:t>fℎ</m:t>
                            </m:r>
                            <m:ctrlPr>
                              <w:rPr>
                                <w:rFonts w:ascii="Cambria Math" w:hAnsi="Cambria Math" w:cs="Times New Roman"/>
                                <w:i/>
                                <w:color w:val="auto"/>
                                <w:sz w:val="24"/>
                                <w:lang w:val="en-US"/>
                              </w:rPr>
                            </m:ctrlPr>
                          </m:sub>
                        </m:sSub>
                        <m:ctrlPr>
                          <w:rPr>
                            <w:rFonts w:ascii="Cambria Math" w:hAnsi="Cambria Math" w:cs="Times New Roman"/>
                            <w:i/>
                            <w:color w:val="auto"/>
                            <w:sz w:val="24"/>
                            <w:lang w:val="en-US"/>
                          </w:rPr>
                        </m:ctrlPr>
                      </m:num>
                      <m:den>
                        <m:r>
                          <m:rPr/>
                          <w:rPr>
                            <w:rFonts w:hint="default" w:ascii="Cambria Math" w:hAnsi="Cambria Math" w:cs="Times New Roman"/>
                            <w:color w:val="auto"/>
                            <w:sz w:val="24"/>
                            <w:lang w:val="en-US" w:eastAsia="zh-CN"/>
                          </w:rPr>
                          <m:t>100</m:t>
                        </m:r>
                        <m:ctrlPr>
                          <w:rPr>
                            <w:rFonts w:ascii="Cambria Math" w:hAnsi="Cambria Math" w:cs="Times New Roman"/>
                            <w:i/>
                            <w:color w:val="auto"/>
                            <w:sz w:val="24"/>
                            <w:lang w:val="en-US"/>
                          </w:rPr>
                        </m:ctrlPr>
                      </m:den>
                    </m:f>
                    <m:r>
                      <m:rPr/>
                      <w:rPr>
                        <w:rFonts w:ascii="Cambria Math" w:hAnsi="Cambria Math" w:cs="Times New Roman"/>
                        <w:color w:val="auto"/>
                        <w:sz w:val="24"/>
                        <w:lang w:val="en-US"/>
                      </w:rPr>
                      <m:t>×</m:t>
                    </m:r>
                    <m:r>
                      <m:rPr/>
                      <w:rPr>
                        <w:rFonts w:hint="eastAsia" w:ascii="Cambria Math" w:hAnsi="Cambria Math" w:cs="Times New Roman"/>
                        <w:color w:val="auto"/>
                        <w:sz w:val="24"/>
                        <w:lang w:val="en-US" w:eastAsia="zh-CN"/>
                      </w:rPr>
                      <m:t>（</m:t>
                    </m:r>
                    <m:r>
                      <m:rPr/>
                      <w:rPr>
                        <w:rFonts w:hint="default" w:ascii="Cambria Math" w:hAnsi="Cambria Math" w:cs="Times New Roman"/>
                        <w:color w:val="auto"/>
                        <w:sz w:val="24"/>
                        <w:lang w:val="en-US" w:eastAsia="zh-CN"/>
                      </w:rPr>
                      <m:t>1−</m:t>
                    </m:r>
                    <m:f>
                      <m:fPr>
                        <m:ctrlPr>
                          <w:rPr>
                            <w:rFonts w:hint="default" w:ascii="Cambria Math" w:hAnsi="Cambria Math" w:cs="Times New Roman"/>
                            <w:i/>
                            <w:color w:val="auto"/>
                            <w:sz w:val="24"/>
                            <w:lang w:val="en-US" w:eastAsia="zh-CN"/>
                          </w:rPr>
                        </m:ctrlPr>
                      </m:fPr>
                      <m:num>
                        <m:sSub>
                          <m:sSubPr>
                            <m:ctrlPr>
                              <w:rPr>
                                <w:rFonts w:hint="default" w:ascii="Cambria Math" w:hAnsi="Cambria Math" w:cs="Times New Roman"/>
                                <w:i/>
                                <w:color w:val="auto"/>
                                <w:sz w:val="24"/>
                                <w:lang w:val="en-US" w:eastAsia="zh-CN"/>
                              </w:rPr>
                            </m:ctrlPr>
                          </m:sSubPr>
                          <m:e>
                            <m:r>
                              <m:rPr/>
                              <w:rPr>
                                <w:rFonts w:ascii="Cambria Math" w:hAnsi="Cambria Math" w:cs="Times New Roman"/>
                                <w:color w:val="auto"/>
                                <w:sz w:val="24"/>
                                <w:lang w:val="en-US"/>
                              </w:rPr>
                              <m:t>η</m:t>
                            </m:r>
                            <m:ctrlPr>
                              <w:rPr>
                                <w:rFonts w:hint="default" w:ascii="Cambria Math" w:hAnsi="Cambria Math" w:cs="Times New Roman"/>
                                <w:i/>
                                <w:color w:val="auto"/>
                                <w:sz w:val="24"/>
                                <w:lang w:val="en-US" w:eastAsia="zh-CN"/>
                              </w:rPr>
                            </m:ctrlPr>
                          </m:e>
                          <m:sub>
                            <m:r>
                              <m:rPr/>
                              <w:rPr>
                                <w:rFonts w:hint="default" w:ascii="Cambria Math" w:hAnsi="Cambria Math" w:cs="Times New Roman"/>
                                <w:color w:val="auto"/>
                                <w:sz w:val="24"/>
                                <w:lang w:val="en-US" w:eastAsia="zh-CN"/>
                              </w:rPr>
                              <m:t>c</m:t>
                            </m:r>
                            <m:ctrlPr>
                              <w:rPr>
                                <w:rFonts w:hint="default" w:ascii="Cambria Math" w:hAnsi="Cambria Math" w:cs="Times New Roman"/>
                                <w:i/>
                                <w:color w:val="auto"/>
                                <w:sz w:val="24"/>
                                <w:lang w:val="en-US" w:eastAsia="zh-CN"/>
                              </w:rPr>
                            </m:ctrlPr>
                          </m:sub>
                        </m:sSub>
                        <m:ctrlPr>
                          <w:rPr>
                            <w:rFonts w:hint="default" w:ascii="Cambria Math" w:hAnsi="Cambria Math" w:cs="Times New Roman"/>
                            <w:i/>
                            <w:color w:val="auto"/>
                            <w:sz w:val="24"/>
                            <w:lang w:val="en-US" w:eastAsia="zh-CN"/>
                          </w:rPr>
                        </m:ctrlPr>
                      </m:num>
                      <m:den>
                        <m:r>
                          <m:rPr/>
                          <w:rPr>
                            <w:rFonts w:hint="default" w:ascii="Cambria Math" w:hAnsi="Cambria Math" w:cs="Times New Roman"/>
                            <w:color w:val="auto"/>
                            <w:sz w:val="24"/>
                            <w:lang w:val="en-US" w:eastAsia="zh-CN"/>
                          </w:rPr>
                          <m:t>100</m:t>
                        </m:r>
                        <m:ctrlPr>
                          <w:rPr>
                            <w:rFonts w:hint="default" w:ascii="Cambria Math" w:hAnsi="Cambria Math" w:cs="Times New Roman"/>
                            <w:i/>
                            <w:color w:val="auto"/>
                            <w:sz w:val="24"/>
                            <w:lang w:val="en-US" w:eastAsia="zh-CN"/>
                          </w:rPr>
                        </m:ctrlPr>
                      </m:den>
                    </m:f>
                    <m:r>
                      <m:rPr/>
                      <w:rPr>
                        <w:rFonts w:hint="eastAsia" w:ascii="Cambria Math" w:hAnsi="Cambria Math" w:cs="Times New Roman"/>
                        <w:color w:val="auto"/>
                        <w:sz w:val="24"/>
                        <w:lang w:val="en-US" w:eastAsia="zh-CN"/>
                      </w:rPr>
                      <m:t>）</m:t>
                    </m:r>
                    <m:ctrlPr>
                      <w:rPr>
                        <w:rFonts w:ascii="Cambria Math" w:hAnsi="Cambria Math" w:cs="Times New Roman"/>
                        <w:i/>
                        <w:color w:val="auto"/>
                        <w:sz w:val="24"/>
                      </w:rPr>
                    </m:ctrlPr>
                  </m:num>
                  <m:den>
                    <m:r>
                      <m:rPr/>
                      <w:rPr>
                        <w:rFonts w:hint="default" w:ascii="Cambria Math" w:hAnsi="Cambria Math" w:cs="Times New Roman"/>
                        <w:color w:val="auto"/>
                        <w:sz w:val="24"/>
                        <w:lang w:val="en-US" w:eastAsia="zh-CN"/>
                      </w:rPr>
                      <m:t>1−</m:t>
                    </m:r>
                    <m:f>
                      <m:fPr>
                        <m:ctrlPr>
                          <w:rPr>
                            <w:rFonts w:hint="default" w:ascii="Cambria Math" w:hAnsi="Cambria Math" w:cs="Times New Roman"/>
                            <w:i/>
                            <w:color w:val="auto"/>
                            <w:sz w:val="24"/>
                            <w:lang w:val="en-US" w:eastAsia="zh-CN"/>
                          </w:rPr>
                        </m:ctrlPr>
                      </m:fPr>
                      <m:num>
                        <m:sSub>
                          <m:sSubPr>
                            <m:ctrlPr>
                              <w:rPr>
                                <w:rFonts w:hint="default" w:ascii="Cambria Math" w:hAnsi="Cambria Math" w:cs="Times New Roman"/>
                                <w:i/>
                                <w:color w:val="auto"/>
                                <w:sz w:val="24"/>
                                <w:lang w:val="en-US" w:eastAsia="zh-CN"/>
                              </w:rPr>
                            </m:ctrlPr>
                          </m:sSubPr>
                          <m:e>
                            <m:r>
                              <m:rPr/>
                              <w:rPr>
                                <w:rFonts w:hint="default" w:ascii="Cambria Math" w:hAnsi="Cambria Math" w:cs="Times New Roman"/>
                                <w:color w:val="auto"/>
                                <w:sz w:val="24"/>
                                <w:lang w:val="en-US" w:eastAsia="zh-CN"/>
                              </w:rPr>
                              <m:t>C</m:t>
                            </m:r>
                            <m:ctrlPr>
                              <w:rPr>
                                <w:rFonts w:hint="default" w:ascii="Cambria Math" w:hAnsi="Cambria Math" w:cs="Times New Roman"/>
                                <w:i/>
                                <w:color w:val="auto"/>
                                <w:sz w:val="24"/>
                                <w:lang w:val="en-US" w:eastAsia="zh-CN"/>
                              </w:rPr>
                            </m:ctrlPr>
                          </m:e>
                          <m:sub>
                            <m:r>
                              <m:rPr/>
                              <w:rPr>
                                <w:rFonts w:hint="default" w:ascii="Cambria Math" w:hAnsi="Cambria Math" w:cs="Times New Roman"/>
                                <w:color w:val="auto"/>
                                <w:sz w:val="24"/>
                                <w:lang w:val="en-US" w:eastAsia="zh-CN"/>
                              </w:rPr>
                              <m:t>fℎ</m:t>
                            </m:r>
                            <m:ctrlPr>
                              <w:rPr>
                                <w:rFonts w:hint="default" w:ascii="Cambria Math" w:hAnsi="Cambria Math" w:cs="Times New Roman"/>
                                <w:i/>
                                <w:color w:val="auto"/>
                                <w:sz w:val="24"/>
                                <w:lang w:val="en-US" w:eastAsia="zh-CN"/>
                              </w:rPr>
                            </m:ctrlPr>
                          </m:sub>
                        </m:sSub>
                        <m:ctrlPr>
                          <w:rPr>
                            <w:rFonts w:hint="default" w:ascii="Cambria Math" w:hAnsi="Cambria Math" w:cs="Times New Roman"/>
                            <w:i/>
                            <w:color w:val="auto"/>
                            <w:sz w:val="24"/>
                            <w:lang w:val="en-US" w:eastAsia="zh-CN"/>
                          </w:rPr>
                        </m:ctrlPr>
                      </m:num>
                      <m:den>
                        <m:r>
                          <m:rPr/>
                          <w:rPr>
                            <w:rFonts w:hint="default" w:ascii="Cambria Math" w:hAnsi="Cambria Math" w:cs="Times New Roman"/>
                            <w:color w:val="auto"/>
                            <w:sz w:val="24"/>
                            <w:lang w:val="en-US" w:eastAsia="zh-CN"/>
                          </w:rPr>
                          <m:t>100</m:t>
                        </m:r>
                        <m:ctrlPr>
                          <w:rPr>
                            <w:rFonts w:hint="default" w:ascii="Cambria Math" w:hAnsi="Cambria Math" w:cs="Times New Roman"/>
                            <w:i/>
                            <w:color w:val="auto"/>
                            <w:sz w:val="24"/>
                            <w:lang w:val="en-US" w:eastAsia="zh-CN"/>
                          </w:rPr>
                        </m:ctrlPr>
                      </m:den>
                    </m:f>
                    <m:ctrlPr>
                      <w:rPr>
                        <w:rFonts w:ascii="Cambria Math" w:hAnsi="Cambria Math" w:cs="Times New Roman"/>
                        <w:i/>
                        <w:color w:val="auto"/>
                        <w:sz w:val="24"/>
                      </w:rPr>
                    </m:ctrlPr>
                  </m:den>
                </m:f>
              </m:oMath>
            </m:oMathPara>
          </w:p>
          <w:p>
            <w:pPr>
              <w:bidi w:val="0"/>
              <w:spacing w:line="360" w:lineRule="auto"/>
              <w:ind w:firstLine="480" w:firstLineChars="200"/>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rPr>
              <w:t>式中</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E</w:t>
            </w:r>
            <w:r>
              <w:rPr>
                <w:rFonts w:hint="eastAsia" w:ascii="Times New Roman" w:hAnsi="Times New Roman" w:cs="Times New Roman"/>
                <w:color w:val="auto"/>
                <w:sz w:val="24"/>
                <w:vertAlign w:val="subscript"/>
                <w:lang w:val="en-US" w:eastAsia="zh-CN"/>
              </w:rPr>
              <w:t>A</w:t>
            </w:r>
            <w:r>
              <w:rPr>
                <w:rFonts w:hint="eastAsia" w:ascii="Times New Roman" w:hAnsi="Times New Roman" w:cs="Times New Roman"/>
                <w:color w:val="auto"/>
                <w:sz w:val="24"/>
                <w:lang w:val="en-US" w:eastAsia="zh-CN"/>
              </w:rPr>
              <w:t>—核算时段内颗粒物（烟尘）排放量，t；</w:t>
            </w:r>
          </w:p>
          <w:p>
            <w:pPr>
              <w:bidi w:val="0"/>
              <w:spacing w:line="360" w:lineRule="auto"/>
              <w:ind w:firstLine="1200" w:firstLineChars="500"/>
              <w:rPr>
                <w:rFonts w:hint="eastAsia" w:ascii="Times New Roman" w:hAnsi="Times New Roman" w:cs="Times New Roman" w:eastAsiaTheme="minorEastAsia"/>
                <w:color w:val="auto"/>
                <w:sz w:val="24"/>
                <w:lang w:eastAsia="zh-CN"/>
              </w:rPr>
            </w:pPr>
            <w:r>
              <w:rPr>
                <w:rFonts w:hint="eastAsia" w:ascii="Times New Roman" w:hAnsi="Times New Roman" w:cs="Times New Roman"/>
                <w:color w:val="auto"/>
                <w:sz w:val="24"/>
              </w:rPr>
              <w:t>R</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rPr>
              <w:t>核算时段内锅炉燃料耗量，t</w:t>
            </w:r>
            <w:r>
              <w:rPr>
                <w:rFonts w:hint="eastAsia" w:ascii="Times New Roman" w:hAnsi="Times New Roman" w:cs="Times New Roman"/>
                <w:color w:val="auto"/>
                <w:sz w:val="24"/>
                <w:lang w:eastAsia="zh-CN"/>
              </w:rPr>
              <w:t>；</w:t>
            </w:r>
          </w:p>
          <w:p>
            <w:pPr>
              <w:bidi w:val="0"/>
              <w:spacing w:line="360" w:lineRule="auto"/>
              <w:ind w:firstLine="1200" w:firstLineChars="500"/>
              <w:rPr>
                <w:rFonts w:hint="eastAsia" w:ascii="Times New Roman" w:hAnsi="Times New Roman" w:cs="Times New Roman" w:eastAsiaTheme="minorEastAsia"/>
                <w:color w:val="auto"/>
                <w:sz w:val="24"/>
                <w:lang w:eastAsia="zh-CN"/>
              </w:rPr>
            </w:pPr>
            <w:r>
              <w:rPr>
                <w:rFonts w:hint="eastAsia" w:ascii="Times New Roman" w:hAnsi="Times New Roman" w:cs="Times New Roman"/>
                <w:color w:val="auto"/>
                <w:sz w:val="24"/>
              </w:rPr>
              <w:t>Aar</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收到基灰分的质量分数，%</w:t>
            </w:r>
            <w:r>
              <w:rPr>
                <w:rFonts w:hint="eastAsia" w:ascii="Times New Roman" w:hAnsi="Times New Roman" w:cs="Times New Roman"/>
                <w:color w:val="auto"/>
                <w:sz w:val="24"/>
                <w:lang w:eastAsia="zh-CN"/>
              </w:rPr>
              <w:t>；</w:t>
            </w:r>
          </w:p>
          <w:p>
            <w:pPr>
              <w:bidi w:val="0"/>
              <w:spacing w:line="360" w:lineRule="auto"/>
              <w:ind w:firstLine="1200" w:firstLineChars="500"/>
              <w:rPr>
                <w:rFonts w:hint="eastAsia" w:ascii="Times New Roman" w:hAnsi="Times New Roman" w:cs="Times New Roman" w:eastAsiaTheme="minorEastAsia"/>
                <w:color w:val="auto"/>
                <w:sz w:val="24"/>
                <w:lang w:eastAsia="zh-CN"/>
              </w:rPr>
            </w:pPr>
            <w:r>
              <w:rPr>
                <w:rFonts w:hint="eastAsia" w:ascii="Times New Roman" w:hAnsi="Times New Roman" w:cs="Times New Roman"/>
                <w:color w:val="auto"/>
                <w:sz w:val="24"/>
              </w:rPr>
              <w:t>dnr</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锅炉烟气带出的飞灰份额，%</w:t>
            </w:r>
            <w:r>
              <w:rPr>
                <w:rFonts w:hint="eastAsia" w:ascii="Times New Roman" w:hAnsi="Times New Roman" w:cs="Times New Roman"/>
                <w:color w:val="auto"/>
                <w:sz w:val="24"/>
                <w:lang w:eastAsia="zh-CN"/>
              </w:rPr>
              <w:t>；</w:t>
            </w:r>
          </w:p>
          <w:p>
            <w:pPr>
              <w:bidi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      ηc</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综合除尘效率，%</w:t>
            </w:r>
            <w:r>
              <w:rPr>
                <w:rFonts w:hint="eastAsia" w:ascii="Times New Roman" w:hAnsi="Times New Roman" w:cs="Times New Roman"/>
                <w:color w:val="auto"/>
                <w:sz w:val="24"/>
                <w:lang w:eastAsia="zh-CN"/>
              </w:rPr>
              <w:t>；</w:t>
            </w:r>
          </w:p>
          <w:p>
            <w:pPr>
              <w:bidi w:val="0"/>
              <w:spacing w:line="360" w:lineRule="auto"/>
              <w:ind w:firstLine="1200" w:firstLineChars="500"/>
              <w:rPr>
                <w:rFonts w:hint="eastAsia" w:ascii="Times New Roman" w:hAnsi="Times New Roman" w:cs="Times New Roman"/>
                <w:color w:val="auto"/>
                <w:sz w:val="24"/>
              </w:rPr>
            </w:pPr>
            <w:r>
              <w:rPr>
                <w:rFonts w:hint="eastAsia" w:ascii="Times New Roman" w:hAnsi="Times New Roman" w:cs="Times New Roman"/>
                <w:color w:val="auto"/>
                <w:sz w:val="24"/>
              </w:rPr>
              <w:t>C</w:t>
            </w:r>
            <w:r>
              <w:rPr>
                <w:rFonts w:hint="eastAsia" w:ascii="Times New Roman" w:hAnsi="Times New Roman" w:cs="Times New Roman"/>
                <w:color w:val="auto"/>
                <w:sz w:val="24"/>
                <w:vertAlign w:val="subscript"/>
                <w:lang w:val="en-US" w:eastAsia="zh-CN"/>
              </w:rPr>
              <w:t>fh</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飞灰中的可燃物含量，%。</w:t>
            </w:r>
          </w:p>
          <w:p>
            <w:pPr>
              <w:bidi w:val="0"/>
              <w:spacing w:line="360" w:lineRule="auto"/>
              <w:ind w:firstLine="480" w:firstLineChars="200"/>
              <w:rPr>
                <w:rFonts w:ascii="Times New Roman" w:hAnsi="Times New Roman" w:cs="Times New Roman"/>
                <w:color w:val="auto"/>
                <w:sz w:val="24"/>
              </w:rPr>
            </w:pPr>
            <w:r>
              <w:rPr>
                <w:rFonts w:ascii="Times New Roman" w:hAnsi="Times New Roman" w:eastAsia="宋体" w:cs="Times New Roman"/>
                <w:color w:val="auto"/>
                <w:sz w:val="24"/>
              </w:rPr>
              <w:t>生物质燃料锅炉烟气带出的飞灰份额为90%，飞灰中的可燃物含量为10%，企业外购的生物质燃料基灰分为</w:t>
            </w:r>
            <w:r>
              <w:rPr>
                <w:rFonts w:hint="eastAsia" w:ascii="Times New Roman" w:hAnsi="Times New Roman" w:eastAsia="宋体" w:cs="Times New Roman"/>
                <w:color w:val="auto"/>
                <w:sz w:val="24"/>
                <w:lang w:val="en-US" w:eastAsia="zh-CN"/>
              </w:rPr>
              <w:t>1.6</w:t>
            </w:r>
            <w:r>
              <w:rPr>
                <w:rFonts w:ascii="Times New Roman" w:hAnsi="Times New Roman" w:eastAsia="宋体" w:cs="Times New Roman"/>
                <w:color w:val="auto"/>
                <w:sz w:val="24"/>
              </w:rPr>
              <w:t>%，袋式除尘器的除尘效率为</w:t>
            </w:r>
            <w:r>
              <w:rPr>
                <w:rFonts w:hint="eastAsia" w:ascii="Times New Roman" w:hAnsi="Times New Roman" w:eastAsia="宋体" w:cs="Times New Roman"/>
                <w:color w:val="auto"/>
                <w:sz w:val="24"/>
                <w:lang w:val="en-US" w:eastAsia="zh-CN"/>
              </w:rPr>
              <w:t>99.5</w:t>
            </w:r>
            <w:r>
              <w:rPr>
                <w:rFonts w:ascii="Times New Roman" w:hAnsi="Times New Roman" w:eastAsia="宋体" w:cs="Times New Roman"/>
                <w:color w:val="auto"/>
                <w:sz w:val="24"/>
              </w:rPr>
              <w:t>%。</w:t>
            </w:r>
            <w:r>
              <w:rPr>
                <w:rFonts w:ascii="Times New Roman" w:hAnsi="Times New Roman" w:cs="Times New Roman"/>
                <w:color w:val="auto"/>
                <w:sz w:val="24"/>
              </w:rPr>
              <w:t>据此核算，</w:t>
            </w:r>
            <w:r>
              <w:rPr>
                <w:rFonts w:ascii="Times New Roman" w:hAnsi="Times New Roman" w:eastAsia="宋体" w:cs="Times New Roman"/>
                <w:color w:val="auto"/>
                <w:sz w:val="24"/>
              </w:rPr>
              <w:t>锅炉颗粒物</w:t>
            </w:r>
            <w:r>
              <w:rPr>
                <w:rFonts w:ascii="Times New Roman" w:hAnsi="Times New Roman" w:cs="Times New Roman"/>
                <w:color w:val="auto"/>
                <w:sz w:val="24"/>
              </w:rPr>
              <w:t>排放量为</w:t>
            </w:r>
            <w:r>
              <w:rPr>
                <w:rFonts w:hint="eastAsia" w:ascii="Times New Roman" w:hAnsi="Times New Roman" w:cs="Times New Roman"/>
                <w:color w:val="auto"/>
                <w:sz w:val="24"/>
                <w:lang w:val="en-US" w:eastAsia="zh-CN"/>
              </w:rPr>
              <w:t>0.072</w:t>
            </w:r>
            <w:r>
              <w:rPr>
                <w:rFonts w:ascii="Times New Roman" w:hAnsi="Times New Roman" w:cs="Times New Roman"/>
                <w:color w:val="auto"/>
                <w:sz w:val="24"/>
              </w:rPr>
              <w:t>t/a，排放速率为</w:t>
            </w:r>
            <w:r>
              <w:rPr>
                <w:rFonts w:hint="eastAsia" w:ascii="Times New Roman" w:hAnsi="Times New Roman" w:cs="Times New Roman"/>
                <w:color w:val="auto"/>
                <w:sz w:val="24"/>
                <w:lang w:val="en-US" w:eastAsia="zh-CN"/>
              </w:rPr>
              <w:t>0.03</w:t>
            </w:r>
            <w:r>
              <w:rPr>
                <w:rFonts w:ascii="Times New Roman" w:hAnsi="Times New Roman" w:cs="Times New Roman"/>
                <w:color w:val="auto"/>
                <w:sz w:val="24"/>
              </w:rPr>
              <w:t>kg/h，排放浓度为12.8</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mg/m³。</w:t>
            </w:r>
          </w:p>
          <w:p>
            <w:pPr>
              <w:bidi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二氧化硫</w:t>
            </w:r>
            <w:r>
              <w:rPr>
                <w:rFonts w:ascii="Times New Roman" w:hAnsi="Times New Roman" w:eastAsia="宋体" w:cs="Times New Roman"/>
                <w:color w:val="auto"/>
                <w:sz w:val="24"/>
                <w:highlight w:val="none"/>
              </w:rPr>
              <w:t>排放量的计算方法</w:t>
            </w:r>
            <w:r>
              <w:rPr>
                <w:rFonts w:hint="eastAsia" w:ascii="Times New Roman" w:hAnsi="Times New Roman" w:eastAsia="宋体" w:cs="Times New Roman"/>
                <w:color w:val="auto"/>
                <w:sz w:val="24"/>
                <w:highlight w:val="none"/>
                <w:lang w:eastAsia="zh-CN"/>
              </w:rPr>
              <w:t>：</w:t>
            </w:r>
          </w:p>
          <w:p>
            <w:pPr>
              <w:bidi w:val="0"/>
              <w:spacing w:line="360" w:lineRule="auto"/>
              <w:ind w:firstLine="480" w:firstLineChars="200"/>
              <w:rPr>
                <w:rFonts w:hint="eastAsia" w:ascii="Times New Roman" w:hAnsi="Times New Roman" w:cs="Times New Roman" w:eastAsiaTheme="minorEastAsia"/>
                <w:color w:val="auto"/>
                <w:sz w:val="24"/>
                <w:highlight w:val="none"/>
                <w:lang w:val="en-US" w:eastAsia="zh-CN"/>
              </w:rPr>
            </w:pPr>
            <m:oMathPara>
              <m:oMath>
                <m:sSub>
                  <m:sSubPr>
                    <m:ctrlPr>
                      <w:rPr>
                        <w:rFonts w:ascii="Cambria Math" w:hAnsi="Cambria Math" w:cs="Times New Roman"/>
                        <w:i/>
                        <w:color w:val="auto"/>
                        <w:sz w:val="24"/>
                        <w:highlight w:val="none"/>
                      </w:rPr>
                    </m:ctrlPr>
                  </m:sSubPr>
                  <m:e>
                    <m:r>
                      <m:rPr/>
                      <w:rPr>
                        <w:rFonts w:hint="default" w:ascii="Cambria Math" w:hAnsi="Cambria Math" w:cs="Times New Roman"/>
                        <w:color w:val="auto"/>
                        <w:sz w:val="24"/>
                        <w:highlight w:val="none"/>
                        <w:lang w:val="en-US" w:eastAsia="zh-CN"/>
                      </w:rPr>
                      <m:t>E</m:t>
                    </m:r>
                    <m:ctrlPr>
                      <w:rPr>
                        <w:rFonts w:ascii="Cambria Math" w:hAnsi="Cambria Math" w:cs="Times New Roman"/>
                        <w:i/>
                        <w:color w:val="auto"/>
                        <w:sz w:val="24"/>
                        <w:highlight w:val="none"/>
                      </w:rPr>
                    </m:ctrlPr>
                  </m:e>
                  <m:sub>
                    <m:r>
                      <m:rPr/>
                      <w:rPr>
                        <w:rFonts w:hint="default" w:ascii="Cambria Math" w:hAnsi="Cambria Math" w:cs="Times New Roman"/>
                        <w:color w:val="auto"/>
                        <w:sz w:val="24"/>
                        <w:highlight w:val="none"/>
                        <w:lang w:val="en-US" w:eastAsia="zh-CN"/>
                      </w:rPr>
                      <m:t>SO2</m:t>
                    </m:r>
                    <m:ctrlPr>
                      <w:rPr>
                        <w:rFonts w:ascii="Cambria Math" w:hAnsi="Cambria Math" w:cs="Times New Roman"/>
                        <w:i/>
                        <w:color w:val="auto"/>
                        <w:sz w:val="24"/>
                        <w:highlight w:val="none"/>
                      </w:rPr>
                    </m:ctrlPr>
                  </m:sub>
                </m:sSub>
                <m:r>
                  <m:rPr/>
                  <w:rPr>
                    <w:rFonts w:ascii="Cambria Math" w:hAnsi="Cambria Math" w:cs="Times New Roman"/>
                    <w:color w:val="auto"/>
                    <w:sz w:val="24"/>
                    <w:highlight w:val="none"/>
                  </w:rPr>
                  <m:t>=</m:t>
                </m:r>
                <m:r>
                  <m:rPr/>
                  <w:rPr>
                    <w:rFonts w:hint="default" w:ascii="Cambria Math" w:hAnsi="Cambria Math" w:cs="Times New Roman"/>
                    <w:color w:val="auto"/>
                    <w:sz w:val="24"/>
                    <w:highlight w:val="none"/>
                    <w:lang w:val="en-US" w:eastAsia="zh-CN"/>
                  </w:rPr>
                  <m:t>2R</m:t>
                </m:r>
                <m:r>
                  <m:rPr/>
                  <w:rPr>
                    <w:rFonts w:ascii="Cambria Math" w:hAnsi="Cambria Math" w:cs="Times New Roman"/>
                    <w:color w:val="auto"/>
                    <w:sz w:val="24"/>
                    <w:highlight w:val="none"/>
                    <w:lang w:val="en-US"/>
                  </w:rPr>
                  <m:t>×</m:t>
                </m:r>
                <m:f>
                  <m:fPr>
                    <m:ctrlPr>
                      <w:rPr>
                        <w:rFonts w:ascii="Cambria Math" w:hAnsi="Cambria Math" w:cs="Times New Roman"/>
                        <w:i/>
                        <w:color w:val="auto"/>
                        <w:sz w:val="24"/>
                        <w:highlight w:val="none"/>
                        <w:lang w:val="en-US"/>
                      </w:rPr>
                    </m:ctrlPr>
                  </m:fPr>
                  <m:num>
                    <m:sSub>
                      <m:sSubPr>
                        <m:ctrlPr>
                          <w:rPr>
                            <w:rFonts w:ascii="Cambria Math" w:hAnsi="Cambria Math" w:cs="Times New Roman"/>
                            <w:i/>
                            <w:color w:val="auto"/>
                            <w:sz w:val="24"/>
                            <w:highlight w:val="none"/>
                            <w:lang w:val="en-US"/>
                          </w:rPr>
                        </m:ctrlPr>
                      </m:sSubPr>
                      <m:e>
                        <m:r>
                          <m:rPr/>
                          <w:rPr>
                            <w:rFonts w:hint="default" w:ascii="Cambria Math" w:hAnsi="Cambria Math" w:cs="Times New Roman"/>
                            <w:color w:val="auto"/>
                            <w:sz w:val="24"/>
                            <w:highlight w:val="none"/>
                            <w:lang w:val="en-US" w:eastAsia="zh-CN"/>
                          </w:rPr>
                          <m:t>S</m:t>
                        </m:r>
                        <m:ctrlPr>
                          <w:rPr>
                            <w:rFonts w:ascii="Cambria Math" w:hAnsi="Cambria Math" w:cs="Times New Roman"/>
                            <w:i/>
                            <w:color w:val="auto"/>
                            <w:sz w:val="24"/>
                            <w:highlight w:val="none"/>
                            <w:lang w:val="en-US"/>
                          </w:rPr>
                        </m:ctrlPr>
                      </m:e>
                      <m:sub>
                        <m:r>
                          <m:rPr/>
                          <w:rPr>
                            <w:rFonts w:hint="default" w:ascii="Cambria Math" w:hAnsi="Cambria Math" w:cs="Times New Roman"/>
                            <w:color w:val="auto"/>
                            <w:sz w:val="24"/>
                            <w:highlight w:val="none"/>
                            <w:lang w:val="en-US" w:eastAsia="zh-CN"/>
                          </w:rPr>
                          <m:t>ar</m:t>
                        </m:r>
                        <m:ctrlPr>
                          <w:rPr>
                            <w:rFonts w:ascii="Cambria Math" w:hAnsi="Cambria Math" w:cs="Times New Roman"/>
                            <w:i/>
                            <w:color w:val="auto"/>
                            <w:sz w:val="24"/>
                            <w:highlight w:val="none"/>
                            <w:lang w:val="en-US"/>
                          </w:rPr>
                        </m:ctrlPr>
                      </m:sub>
                    </m:sSub>
                    <m:ctrlPr>
                      <w:rPr>
                        <w:rFonts w:ascii="Cambria Math" w:hAnsi="Cambria Math" w:cs="Times New Roman"/>
                        <w:i/>
                        <w:color w:val="auto"/>
                        <w:sz w:val="24"/>
                        <w:highlight w:val="none"/>
                        <w:lang w:val="en-US"/>
                      </w:rPr>
                    </m:ctrlPr>
                  </m:num>
                  <m:den>
                    <m:r>
                      <m:rPr/>
                      <w:rPr>
                        <w:rFonts w:hint="default" w:ascii="Cambria Math" w:hAnsi="Cambria Math" w:cs="Times New Roman"/>
                        <w:color w:val="auto"/>
                        <w:sz w:val="24"/>
                        <w:highlight w:val="none"/>
                        <w:lang w:val="en-US" w:eastAsia="zh-CN"/>
                      </w:rPr>
                      <m:t>100</m:t>
                    </m:r>
                    <m:ctrlPr>
                      <w:rPr>
                        <w:rFonts w:ascii="Cambria Math" w:hAnsi="Cambria Math" w:cs="Times New Roman"/>
                        <w:i/>
                        <w:color w:val="auto"/>
                        <w:sz w:val="24"/>
                        <w:highlight w:val="none"/>
                        <w:lang w:val="en-US"/>
                      </w:rPr>
                    </m:ctrlPr>
                  </m:den>
                </m:f>
                <m:r>
                  <m:rPr/>
                  <w:rPr>
                    <w:rFonts w:ascii="Cambria Math" w:hAnsi="Cambria Math" w:cs="Times New Roman"/>
                    <w:color w:val="auto"/>
                    <w:sz w:val="24"/>
                    <w:highlight w:val="none"/>
                    <w:lang w:val="en-US"/>
                  </w:rPr>
                  <m:t>×</m:t>
                </m:r>
                <m:r>
                  <m:rPr/>
                  <w:rPr>
                    <w:rFonts w:hint="eastAsia" w:ascii="Cambria Math" w:hAnsi="Cambria Math" w:cs="Times New Roman"/>
                    <w:color w:val="auto"/>
                    <w:sz w:val="24"/>
                    <w:highlight w:val="none"/>
                    <w:lang w:val="en-US" w:eastAsia="zh-CN"/>
                  </w:rPr>
                  <m:t>（</m:t>
                </m:r>
                <m:r>
                  <m:rPr/>
                  <w:rPr>
                    <w:rFonts w:hint="default" w:ascii="Cambria Math" w:hAnsi="Cambria Math" w:cs="Times New Roman"/>
                    <w:color w:val="auto"/>
                    <w:sz w:val="24"/>
                    <w:highlight w:val="none"/>
                    <w:lang w:val="en-US" w:eastAsia="zh-CN"/>
                  </w:rPr>
                  <m:t>1−</m:t>
                </m:r>
                <m:f>
                  <m:fPr>
                    <m:ctrlPr>
                      <w:rPr>
                        <w:rFonts w:hint="default" w:ascii="Cambria Math" w:hAnsi="Cambria Math" w:cs="Times New Roman"/>
                        <w:i/>
                        <w:color w:val="auto"/>
                        <w:sz w:val="24"/>
                        <w:highlight w:val="none"/>
                        <w:lang w:val="en-US" w:eastAsia="zh-CN"/>
                      </w:rPr>
                    </m:ctrlPr>
                  </m:fPr>
                  <m:num>
                    <m:sSub>
                      <m:sSubPr>
                        <m:ctrlPr>
                          <w:rPr>
                            <w:rFonts w:hint="default" w:ascii="Cambria Math" w:hAnsi="Cambria Math" w:cs="Times New Roman"/>
                            <w:i/>
                            <w:color w:val="auto"/>
                            <w:sz w:val="24"/>
                            <w:highlight w:val="none"/>
                            <w:lang w:val="en-US" w:eastAsia="zh-CN"/>
                          </w:rPr>
                        </m:ctrlPr>
                      </m:sSubPr>
                      <m:e>
                        <m:r>
                          <m:rPr/>
                          <w:rPr>
                            <w:rFonts w:hint="default" w:ascii="Cambria Math" w:hAnsi="Cambria Math" w:cs="Times New Roman"/>
                            <w:color w:val="auto"/>
                            <w:sz w:val="24"/>
                            <w:highlight w:val="none"/>
                            <w:lang w:val="en-US" w:eastAsia="zh-CN"/>
                          </w:rPr>
                          <m:t>q</m:t>
                        </m:r>
                        <m:ctrlPr>
                          <w:rPr>
                            <w:rFonts w:hint="default" w:ascii="Cambria Math" w:hAnsi="Cambria Math" w:cs="Times New Roman"/>
                            <w:i/>
                            <w:color w:val="auto"/>
                            <w:sz w:val="24"/>
                            <w:highlight w:val="none"/>
                            <w:lang w:val="en-US" w:eastAsia="zh-CN"/>
                          </w:rPr>
                        </m:ctrlPr>
                      </m:e>
                      <m:sub>
                        <m:r>
                          <m:rPr/>
                          <w:rPr>
                            <w:rFonts w:hint="default" w:ascii="Cambria Math" w:hAnsi="Cambria Math" w:cs="Times New Roman"/>
                            <w:color w:val="auto"/>
                            <w:sz w:val="24"/>
                            <w:highlight w:val="none"/>
                            <w:lang w:val="en-US" w:eastAsia="zh-CN"/>
                          </w:rPr>
                          <m:t>4</m:t>
                        </m:r>
                        <m:ctrlPr>
                          <w:rPr>
                            <w:rFonts w:hint="default" w:ascii="Cambria Math" w:hAnsi="Cambria Math" w:cs="Times New Roman"/>
                            <w:i/>
                            <w:color w:val="auto"/>
                            <w:sz w:val="24"/>
                            <w:highlight w:val="none"/>
                            <w:lang w:val="en-US" w:eastAsia="zh-CN"/>
                          </w:rPr>
                        </m:ctrlPr>
                      </m:sub>
                    </m:sSub>
                    <m:ctrlPr>
                      <w:rPr>
                        <w:rFonts w:hint="default" w:ascii="Cambria Math" w:hAnsi="Cambria Math" w:cs="Times New Roman"/>
                        <w:i/>
                        <w:color w:val="auto"/>
                        <w:sz w:val="24"/>
                        <w:highlight w:val="none"/>
                        <w:lang w:val="en-US" w:eastAsia="zh-CN"/>
                      </w:rPr>
                    </m:ctrlPr>
                  </m:num>
                  <m:den>
                    <m:r>
                      <m:rPr/>
                      <w:rPr>
                        <w:rFonts w:hint="default" w:ascii="Cambria Math" w:hAnsi="Cambria Math" w:cs="Times New Roman"/>
                        <w:color w:val="auto"/>
                        <w:sz w:val="24"/>
                        <w:highlight w:val="none"/>
                        <w:lang w:val="en-US" w:eastAsia="zh-CN"/>
                      </w:rPr>
                      <m:t>100</m:t>
                    </m:r>
                    <m:ctrlPr>
                      <w:rPr>
                        <w:rFonts w:hint="default" w:ascii="Cambria Math" w:hAnsi="Cambria Math" w:cs="Times New Roman"/>
                        <w:i/>
                        <w:color w:val="auto"/>
                        <w:sz w:val="24"/>
                        <w:highlight w:val="none"/>
                        <w:lang w:val="en-US" w:eastAsia="zh-CN"/>
                      </w:rPr>
                    </m:ctrlPr>
                  </m:den>
                </m:f>
                <m:r>
                  <m:rPr/>
                  <w:rPr>
                    <w:rFonts w:hint="eastAsia" w:ascii="Cambria Math" w:hAnsi="Cambria Math" w:cs="Times New Roman"/>
                    <w:color w:val="auto"/>
                    <w:sz w:val="24"/>
                    <w:highlight w:val="none"/>
                    <w:lang w:val="en-US" w:eastAsia="zh-CN"/>
                  </w:rPr>
                  <m:t>）</m:t>
                </m:r>
                <m:r>
                  <m:rPr/>
                  <w:rPr>
                    <w:rFonts w:ascii="Cambria Math" w:hAnsi="Cambria Math" w:cs="Times New Roman"/>
                    <w:color w:val="auto"/>
                    <w:sz w:val="24"/>
                    <w:highlight w:val="none"/>
                    <w:lang w:val="en-US"/>
                  </w:rPr>
                  <m:t>×</m:t>
                </m:r>
                <m:r>
                  <m:rPr/>
                  <w:rPr>
                    <w:rFonts w:hint="eastAsia" w:ascii="Cambria Math" w:hAnsi="Cambria Math" w:cs="Times New Roman"/>
                    <w:color w:val="auto"/>
                    <w:sz w:val="24"/>
                    <w:highlight w:val="none"/>
                    <w:lang w:val="en-US" w:eastAsia="zh-CN"/>
                  </w:rPr>
                  <m:t>（</m:t>
                </m:r>
                <m:r>
                  <m:rPr/>
                  <w:rPr>
                    <w:rFonts w:hint="default" w:ascii="Cambria Math" w:hAnsi="Cambria Math" w:cs="Times New Roman"/>
                    <w:color w:val="auto"/>
                    <w:sz w:val="24"/>
                    <w:highlight w:val="none"/>
                    <w:lang w:val="en-US" w:eastAsia="zh-CN"/>
                  </w:rPr>
                  <m:t>1−</m:t>
                </m:r>
                <m:f>
                  <m:fPr>
                    <m:ctrlPr>
                      <w:rPr>
                        <w:rFonts w:hint="default" w:ascii="Cambria Math" w:hAnsi="Cambria Math" w:cs="Times New Roman"/>
                        <w:i/>
                        <w:color w:val="auto"/>
                        <w:sz w:val="24"/>
                        <w:highlight w:val="none"/>
                        <w:lang w:val="en-US" w:eastAsia="zh-CN"/>
                      </w:rPr>
                    </m:ctrlPr>
                  </m:fPr>
                  <m:num>
                    <m:sSub>
                      <m:sSubPr>
                        <m:ctrlPr>
                          <w:rPr>
                            <w:rFonts w:hint="default" w:ascii="Cambria Math" w:hAnsi="Cambria Math" w:cs="Times New Roman"/>
                            <w:i/>
                            <w:color w:val="auto"/>
                            <w:sz w:val="24"/>
                            <w:highlight w:val="none"/>
                            <w:lang w:val="en-US" w:eastAsia="zh-CN"/>
                          </w:rPr>
                        </m:ctrlPr>
                      </m:sSubPr>
                      <m:e>
                        <m:r>
                          <m:rPr/>
                          <w:rPr>
                            <w:rFonts w:ascii="Cambria Math" w:hAnsi="Cambria Math" w:cs="Times New Roman"/>
                            <w:color w:val="auto"/>
                            <w:sz w:val="24"/>
                            <w:highlight w:val="none"/>
                            <w:lang w:val="en-US"/>
                          </w:rPr>
                          <m:t>η</m:t>
                        </m:r>
                        <m:ctrlPr>
                          <w:rPr>
                            <w:rFonts w:hint="default" w:ascii="Cambria Math" w:hAnsi="Cambria Math" w:cs="Times New Roman"/>
                            <w:i/>
                            <w:color w:val="auto"/>
                            <w:sz w:val="24"/>
                            <w:highlight w:val="none"/>
                            <w:lang w:val="en-US" w:eastAsia="zh-CN"/>
                          </w:rPr>
                        </m:ctrlPr>
                      </m:e>
                      <m:sub>
                        <m:r>
                          <m:rPr/>
                          <w:rPr>
                            <w:rFonts w:hint="default" w:ascii="Cambria Math" w:hAnsi="Cambria Math" w:cs="Times New Roman"/>
                            <w:color w:val="auto"/>
                            <w:sz w:val="24"/>
                            <w:highlight w:val="none"/>
                            <w:lang w:val="en-US" w:eastAsia="zh-CN"/>
                          </w:rPr>
                          <m:t>s</m:t>
                        </m:r>
                        <m:ctrlPr>
                          <w:rPr>
                            <w:rFonts w:hint="default" w:ascii="Cambria Math" w:hAnsi="Cambria Math" w:cs="Times New Roman"/>
                            <w:i/>
                            <w:color w:val="auto"/>
                            <w:sz w:val="24"/>
                            <w:highlight w:val="none"/>
                            <w:lang w:val="en-US" w:eastAsia="zh-CN"/>
                          </w:rPr>
                        </m:ctrlPr>
                      </m:sub>
                    </m:sSub>
                    <m:ctrlPr>
                      <w:rPr>
                        <w:rFonts w:hint="default" w:ascii="Cambria Math" w:hAnsi="Cambria Math" w:cs="Times New Roman"/>
                        <w:i/>
                        <w:color w:val="auto"/>
                        <w:sz w:val="24"/>
                        <w:highlight w:val="none"/>
                        <w:lang w:val="en-US" w:eastAsia="zh-CN"/>
                      </w:rPr>
                    </m:ctrlPr>
                  </m:num>
                  <m:den>
                    <m:r>
                      <m:rPr/>
                      <w:rPr>
                        <w:rFonts w:hint="default" w:ascii="Cambria Math" w:hAnsi="Cambria Math" w:cs="Times New Roman"/>
                        <w:color w:val="auto"/>
                        <w:sz w:val="24"/>
                        <w:highlight w:val="none"/>
                        <w:lang w:val="en-US" w:eastAsia="zh-CN"/>
                      </w:rPr>
                      <m:t>100</m:t>
                    </m:r>
                    <m:ctrlPr>
                      <w:rPr>
                        <w:rFonts w:hint="default" w:ascii="Cambria Math" w:hAnsi="Cambria Math" w:cs="Times New Roman"/>
                        <w:i/>
                        <w:color w:val="auto"/>
                        <w:sz w:val="24"/>
                        <w:highlight w:val="none"/>
                        <w:lang w:val="en-US" w:eastAsia="zh-CN"/>
                      </w:rPr>
                    </m:ctrlPr>
                  </m:den>
                </m:f>
                <m:r>
                  <m:rPr/>
                  <w:rPr>
                    <w:rFonts w:hint="eastAsia" w:ascii="Cambria Math" w:hAnsi="Cambria Math" w:cs="Times New Roman"/>
                    <w:color w:val="auto"/>
                    <w:sz w:val="24"/>
                    <w:highlight w:val="none"/>
                    <w:lang w:val="en-US" w:eastAsia="zh-CN"/>
                  </w:rPr>
                  <m:t>）</m:t>
                </m:r>
                <m:r>
                  <m:rPr/>
                  <w:rPr>
                    <w:rFonts w:ascii="Cambria Math" w:hAnsi="Cambria Math" w:cs="Times New Roman"/>
                    <w:color w:val="auto"/>
                    <w:sz w:val="24"/>
                    <w:highlight w:val="none"/>
                    <w:lang w:val="en-US"/>
                  </w:rPr>
                  <m:t>×</m:t>
                </m:r>
                <m:r>
                  <m:rPr/>
                  <w:rPr>
                    <w:rFonts w:hint="default" w:ascii="Cambria Math" w:hAnsi="Cambria Math" w:cs="Times New Roman"/>
                    <w:color w:val="auto"/>
                    <w:sz w:val="24"/>
                    <w:highlight w:val="none"/>
                    <w:lang w:val="en-US" w:eastAsia="zh-CN"/>
                  </w:rPr>
                  <m:t>K</m:t>
                </m:r>
              </m:oMath>
            </m:oMathPara>
          </w:p>
          <w:p>
            <w:pPr>
              <w:bidi w:val="0"/>
              <w:spacing w:line="360" w:lineRule="auto"/>
              <w:ind w:firstLine="480" w:firstLineChars="200"/>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rPr>
              <w:t>式中</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E</w:t>
            </w:r>
            <w:r>
              <w:rPr>
                <w:rFonts w:hint="eastAsia" w:ascii="Times New Roman" w:hAnsi="Times New Roman" w:cs="Times New Roman"/>
                <w:color w:val="auto"/>
                <w:sz w:val="24"/>
                <w:highlight w:val="none"/>
                <w:vertAlign w:val="subscript"/>
                <w:lang w:val="en-US" w:eastAsia="zh-CN"/>
              </w:rPr>
              <w:t>SO2</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rPr>
              <w:t>核算时段内二氧化硫排放量，t</w:t>
            </w:r>
            <w:r>
              <w:rPr>
                <w:rFonts w:hint="eastAsia" w:ascii="Times New Roman" w:hAnsi="Times New Roman" w:cs="Times New Roman"/>
                <w:color w:val="auto"/>
                <w:sz w:val="24"/>
                <w:highlight w:val="none"/>
                <w:lang w:eastAsia="zh-CN"/>
              </w:rPr>
              <w:t>；</w:t>
            </w:r>
          </w:p>
          <w:p>
            <w:pPr>
              <w:bidi w:val="0"/>
              <w:spacing w:line="360" w:lineRule="auto"/>
              <w:ind w:firstLine="1200" w:firstLineChars="500"/>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val="en-US" w:eastAsia="zh-CN"/>
              </w:rPr>
              <w:t>R—</w:t>
            </w:r>
            <w:r>
              <w:rPr>
                <w:rFonts w:hint="eastAsia" w:ascii="Times New Roman" w:hAnsi="Times New Roman" w:cs="Times New Roman"/>
                <w:color w:val="auto"/>
                <w:sz w:val="24"/>
                <w:highlight w:val="none"/>
              </w:rPr>
              <w:t>核算时段内锅炉燃料耗量，t</w:t>
            </w:r>
            <w:r>
              <w:rPr>
                <w:rFonts w:hint="eastAsia" w:ascii="Times New Roman" w:hAnsi="Times New Roman" w:cs="Times New Roman"/>
                <w:color w:val="auto"/>
                <w:sz w:val="24"/>
                <w:highlight w:val="none"/>
                <w:lang w:eastAsia="zh-CN"/>
              </w:rPr>
              <w:t>；</w:t>
            </w:r>
          </w:p>
          <w:p>
            <w:pPr>
              <w:bidi w:val="0"/>
              <w:spacing w:line="360" w:lineRule="auto"/>
              <w:ind w:firstLine="1200" w:firstLineChars="500"/>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rPr>
              <w:t>Sar</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rPr>
              <w:t>收到基硫的质量分数，%</w:t>
            </w:r>
            <w:r>
              <w:rPr>
                <w:rFonts w:hint="eastAsia" w:ascii="Times New Roman" w:hAnsi="Times New Roman" w:cs="Times New Roman"/>
                <w:color w:val="auto"/>
                <w:sz w:val="24"/>
                <w:highlight w:val="none"/>
                <w:lang w:eastAsia="zh-CN"/>
              </w:rPr>
              <w:t>；</w:t>
            </w:r>
          </w:p>
          <w:p>
            <w:pPr>
              <w:bidi w:val="0"/>
              <w:spacing w:line="360" w:lineRule="auto"/>
              <w:ind w:firstLine="1200" w:firstLineChars="500"/>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val="en-US" w:eastAsia="zh-CN"/>
              </w:rPr>
              <w:t>q</w:t>
            </w:r>
            <w:r>
              <w:rPr>
                <w:rFonts w:hint="eastAsia" w:ascii="Times New Roman" w:hAnsi="Times New Roman" w:cs="Times New Roman"/>
                <w:color w:val="auto"/>
                <w:sz w:val="24"/>
                <w:highlight w:val="none"/>
                <w:vertAlign w:val="subscript"/>
                <w:lang w:val="en-US" w:eastAsia="zh-CN"/>
              </w:rPr>
              <w:t>4</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rPr>
              <w:t>锅炉机械不完全燃烧热损失，%</w:t>
            </w:r>
            <w:r>
              <w:rPr>
                <w:rFonts w:hint="eastAsia" w:ascii="Times New Roman" w:hAnsi="Times New Roman" w:cs="Times New Roman"/>
                <w:color w:val="auto"/>
                <w:sz w:val="24"/>
                <w:highlight w:val="none"/>
                <w:lang w:eastAsia="zh-CN"/>
              </w:rPr>
              <w:t>；</w:t>
            </w:r>
          </w:p>
          <w:p>
            <w:pPr>
              <w:bidi w:val="0"/>
              <w:spacing w:line="360" w:lineRule="auto"/>
              <w:ind w:firstLine="1200" w:firstLineChars="500"/>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val="en-US" w:eastAsia="zh-CN"/>
              </w:rPr>
              <w:t>ηs—</w:t>
            </w:r>
            <w:r>
              <w:rPr>
                <w:rFonts w:hint="eastAsia" w:ascii="Times New Roman" w:hAnsi="Times New Roman" w:cs="Times New Roman"/>
                <w:color w:val="auto"/>
                <w:sz w:val="24"/>
                <w:highlight w:val="none"/>
              </w:rPr>
              <w:t>脱硫效率，%</w:t>
            </w:r>
            <w:r>
              <w:rPr>
                <w:rFonts w:hint="eastAsia" w:ascii="Times New Roman" w:hAnsi="Times New Roman" w:cs="Times New Roman"/>
                <w:color w:val="auto"/>
                <w:sz w:val="24"/>
                <w:highlight w:val="none"/>
                <w:lang w:eastAsia="zh-CN"/>
              </w:rPr>
              <w:t>；</w:t>
            </w:r>
          </w:p>
          <w:p>
            <w:pPr>
              <w:bidi w:val="0"/>
              <w:spacing w:line="360" w:lineRule="auto"/>
              <w:ind w:firstLine="1200" w:firstLineChars="5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K</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rPr>
              <w:t>燃料中的硫燃烧后氧化成二氧化硫的份额，量纲一的量。</w:t>
            </w:r>
          </w:p>
          <w:p>
            <w:pPr>
              <w:bidi w:val="0"/>
              <w:spacing w:line="360" w:lineRule="auto"/>
              <w:ind w:firstLine="480" w:firstLineChars="200"/>
              <w:rPr>
                <w:rFonts w:ascii="Times New Roman" w:hAnsi="Times New Roman" w:cs="Times New Roman"/>
                <w:color w:val="auto"/>
                <w:sz w:val="24"/>
                <w:highlight w:val="none"/>
              </w:rPr>
            </w:pPr>
            <w:r>
              <w:rPr>
                <w:rFonts w:ascii="Times New Roman" w:hAnsi="Times New Roman" w:eastAsia="宋体" w:cs="Times New Roman"/>
                <w:color w:val="auto"/>
                <w:sz w:val="24"/>
                <w:highlight w:val="none"/>
              </w:rPr>
              <w:t>生物质燃料锅炉机械不完全燃烧损失为4%，K值为0.8，企业外购的生物质燃料</w:t>
            </w:r>
            <w:r>
              <w:rPr>
                <w:rFonts w:hint="eastAsia" w:ascii="Times New Roman" w:hAnsi="Times New Roman" w:eastAsia="宋体" w:cs="Times New Roman"/>
                <w:color w:val="auto"/>
                <w:sz w:val="24"/>
                <w:highlight w:val="none"/>
                <w:lang w:val="en-US" w:eastAsia="zh-CN"/>
              </w:rPr>
              <w:t>全硫0.01%</w:t>
            </w:r>
            <w:r>
              <w:rPr>
                <w:rFonts w:ascii="Times New Roman" w:hAnsi="Times New Roman" w:eastAsia="宋体" w:cs="Times New Roman"/>
                <w:color w:val="auto"/>
                <w:sz w:val="24"/>
                <w:highlight w:val="none"/>
              </w:rPr>
              <w:t>。</w:t>
            </w:r>
            <w:r>
              <w:rPr>
                <w:rFonts w:ascii="Times New Roman" w:hAnsi="Times New Roman" w:cs="Times New Roman"/>
                <w:color w:val="auto"/>
                <w:sz w:val="24"/>
                <w:highlight w:val="none"/>
              </w:rPr>
              <w:t>据此核算，</w:t>
            </w:r>
            <w:r>
              <w:rPr>
                <w:rFonts w:ascii="Times New Roman" w:hAnsi="Times New Roman" w:eastAsia="宋体" w:cs="Times New Roman"/>
                <w:color w:val="auto"/>
                <w:sz w:val="24"/>
                <w:highlight w:val="none"/>
              </w:rPr>
              <w:t>锅炉二氧化硫</w:t>
            </w:r>
            <w:r>
              <w:rPr>
                <w:rFonts w:ascii="Times New Roman" w:hAnsi="Times New Roman" w:cs="Times New Roman"/>
                <w:color w:val="auto"/>
                <w:sz w:val="24"/>
                <w:highlight w:val="none"/>
              </w:rPr>
              <w:t>排放量为</w:t>
            </w:r>
            <w:r>
              <w:rPr>
                <w:rFonts w:hint="eastAsia" w:ascii="Times New Roman" w:hAnsi="Times New Roman" w:cs="Times New Roman"/>
                <w:color w:val="auto"/>
                <w:sz w:val="24"/>
                <w:highlight w:val="none"/>
                <w:lang w:val="en-US" w:eastAsia="zh-CN"/>
              </w:rPr>
              <w:t>0.14</w:t>
            </w:r>
            <w:r>
              <w:rPr>
                <w:rFonts w:ascii="Times New Roman" w:hAnsi="Times New Roman" w:cs="Times New Roman"/>
                <w:color w:val="auto"/>
                <w:sz w:val="24"/>
                <w:highlight w:val="none"/>
              </w:rPr>
              <w:t>t/a，排放速率为</w:t>
            </w:r>
            <w:r>
              <w:rPr>
                <w:rFonts w:hint="eastAsia" w:ascii="Times New Roman" w:hAnsi="Times New Roman" w:cs="Times New Roman"/>
                <w:color w:val="auto"/>
                <w:sz w:val="24"/>
                <w:highlight w:val="none"/>
                <w:lang w:val="en-US" w:eastAsia="zh-CN"/>
              </w:rPr>
              <w:t>0.058</w:t>
            </w:r>
            <w:r>
              <w:rPr>
                <w:rFonts w:ascii="Times New Roman" w:hAnsi="Times New Roman" w:cs="Times New Roman"/>
                <w:color w:val="auto"/>
                <w:sz w:val="24"/>
                <w:highlight w:val="none"/>
              </w:rPr>
              <w:t>kg/h，排放浓度为</w:t>
            </w:r>
            <w:r>
              <w:rPr>
                <w:rFonts w:hint="eastAsia" w:ascii="Times New Roman" w:hAnsi="Times New Roman" w:cs="Times New Roman"/>
                <w:color w:val="auto"/>
                <w:sz w:val="24"/>
                <w:highlight w:val="none"/>
                <w:lang w:val="en-US" w:eastAsia="zh-CN"/>
              </w:rPr>
              <w:t>24.91</w:t>
            </w:r>
            <w:r>
              <w:rPr>
                <w:rFonts w:ascii="Times New Roman" w:hAnsi="Times New Roman" w:cs="Times New Roman"/>
                <w:color w:val="auto"/>
                <w:sz w:val="24"/>
                <w:highlight w:val="none"/>
              </w:rPr>
              <w:t>mg/m³。</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ascii="Times New Roman" w:hAnsi="Times New Roman" w:cs="Times New Roman"/>
                <w:color w:val="auto"/>
                <w:sz w:val="24"/>
              </w:rPr>
              <w:t>根据生态环境部2021年6月11日印发的</w:t>
            </w:r>
            <w:r>
              <w:rPr>
                <w:rFonts w:ascii="Times New Roman" w:hAnsi="Times New Roman" w:eastAsia="宋体" w:cs="Times New Roman"/>
                <w:color w:val="auto"/>
                <w:sz w:val="24"/>
              </w:rPr>
              <w:t>《排放源统计调查产排污核算方法和系数手册》</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氮氧化物排放量计算如下：</w:t>
            </w:r>
          </w:p>
          <w:p>
            <w:pPr>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rPr>
              <w:t>本项目污染物产生情况见表</w:t>
            </w:r>
            <w:r>
              <w:rPr>
                <w:rFonts w:hint="eastAsia" w:ascii="Times New Roman" w:hAnsi="Times New Roman" w:eastAsia="宋体" w:cs="Times New Roman"/>
                <w:color w:val="auto"/>
                <w:sz w:val="24"/>
                <w:szCs w:val="24"/>
                <w:highlight w:val="none"/>
                <w:lang w:val="en-US" w:eastAsia="zh-CN"/>
              </w:rPr>
              <w:t>4-3</w:t>
            </w:r>
            <w:r>
              <w:rPr>
                <w:rFonts w:hint="default" w:ascii="Times New Roman" w:hAnsi="Times New Roman" w:eastAsia="宋体" w:cs="Times New Roman"/>
                <w:color w:val="auto"/>
                <w:sz w:val="24"/>
                <w:szCs w:val="24"/>
                <w:highlight w:val="none"/>
              </w:rPr>
              <w:t>。</w:t>
            </w:r>
          </w:p>
          <w:p>
            <w:pPr>
              <w:snapToGrid w:val="0"/>
              <w:spacing w:line="240" w:lineRule="auto"/>
              <w:ind w:firstLine="422" w:firstLineChars="20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4-3</w:t>
            </w:r>
            <w:r>
              <w:rPr>
                <w:rFonts w:hint="default" w:ascii="Times New Roman" w:hAnsi="Times New Roman" w:cs="Times New Roman"/>
                <w:b/>
                <w:bCs/>
                <w:color w:val="auto"/>
                <w:sz w:val="21"/>
                <w:szCs w:val="21"/>
                <w:highlight w:val="none"/>
                <w:lang w:val="en-US" w:eastAsia="zh-CN"/>
              </w:rPr>
              <w:t xml:space="preserve">  锅炉污染物产生情况</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943"/>
              <w:gridCol w:w="1762"/>
              <w:gridCol w:w="1414"/>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941" w:type="pct"/>
                  <w:vMerge w:val="restar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污染物指标</w:t>
                  </w:r>
                </w:p>
              </w:tc>
              <w:tc>
                <w:tcPr>
                  <w:tcW w:w="1149" w:type="pct"/>
                  <w:vMerge w:val="restar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1042" w:type="pct"/>
                  <w:vMerge w:val="restar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产污系数</w:t>
                  </w:r>
                </w:p>
              </w:tc>
              <w:tc>
                <w:tcPr>
                  <w:tcW w:w="1867" w:type="pct"/>
                  <w:gridSpan w:val="2"/>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941" w:type="pct"/>
                  <w:vMerge w:val="continue"/>
                  <w:vAlign w:val="center"/>
                </w:tcPr>
                <w:p>
                  <w:pPr>
                    <w:pStyle w:val="47"/>
                    <w:bidi w:val="0"/>
                    <w:rPr>
                      <w:rFonts w:hint="default" w:ascii="Times New Roman" w:hAnsi="Times New Roman" w:cs="Times New Roman"/>
                      <w:color w:val="auto"/>
                      <w:highlight w:val="none"/>
                    </w:rPr>
                  </w:pPr>
                </w:p>
              </w:tc>
              <w:tc>
                <w:tcPr>
                  <w:tcW w:w="1149" w:type="pct"/>
                  <w:vMerge w:val="continue"/>
                  <w:vAlign w:val="center"/>
                </w:tcPr>
                <w:p>
                  <w:pPr>
                    <w:pStyle w:val="47"/>
                    <w:bidi w:val="0"/>
                    <w:rPr>
                      <w:rFonts w:hint="default" w:ascii="Times New Roman" w:hAnsi="Times New Roman" w:cs="Times New Roman"/>
                      <w:color w:val="auto"/>
                      <w:highlight w:val="none"/>
                    </w:rPr>
                  </w:pPr>
                </w:p>
              </w:tc>
              <w:tc>
                <w:tcPr>
                  <w:tcW w:w="1042" w:type="pct"/>
                  <w:vMerge w:val="continue"/>
                  <w:vAlign w:val="center"/>
                </w:tcPr>
                <w:p>
                  <w:pPr>
                    <w:pStyle w:val="47"/>
                    <w:bidi w:val="0"/>
                    <w:rPr>
                      <w:rFonts w:hint="default" w:ascii="Times New Roman" w:hAnsi="Times New Roman" w:cs="Times New Roman"/>
                      <w:color w:val="auto"/>
                      <w:highlight w:val="none"/>
                    </w:rPr>
                  </w:pPr>
                </w:p>
              </w:tc>
              <w:tc>
                <w:tcPr>
                  <w:tcW w:w="836"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产生量</w:t>
                  </w:r>
                </w:p>
              </w:tc>
              <w:tc>
                <w:tcPr>
                  <w:tcW w:w="1030"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exact"/>
                <w:jc w:val="center"/>
              </w:trPr>
              <w:tc>
                <w:tcPr>
                  <w:tcW w:w="941"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工业废气量</w:t>
                  </w:r>
                </w:p>
              </w:tc>
              <w:tc>
                <w:tcPr>
                  <w:tcW w:w="1149"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标立方米/吨-原料</w:t>
                  </w:r>
                </w:p>
              </w:tc>
              <w:tc>
                <w:tcPr>
                  <w:tcW w:w="1042" w:type="pct"/>
                  <w:vAlign w:val="center"/>
                </w:tcPr>
                <w:p>
                  <w:pPr>
                    <w:pStyle w:val="47"/>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6240</w:t>
                  </w:r>
                </w:p>
              </w:tc>
              <w:tc>
                <w:tcPr>
                  <w:tcW w:w="1867" w:type="pct"/>
                  <w:gridSpan w:val="2"/>
                  <w:vAlign w:val="center"/>
                </w:tcPr>
                <w:p>
                  <w:pPr>
                    <w:pStyle w:val="47"/>
                    <w:bidi w:val="0"/>
                    <w:rPr>
                      <w:rFonts w:hint="default" w:ascii="Times New Roman" w:hAnsi="Times New Roman" w:cs="Times New Roman"/>
                      <w:color w:val="auto"/>
                      <w:highlight w:val="none"/>
                    </w:rPr>
                  </w:pPr>
                  <w:r>
                    <w:rPr>
                      <w:rFonts w:hint="eastAsia" w:cs="Times New Roman"/>
                      <w:color w:val="auto"/>
                      <w:highlight w:val="none"/>
                      <w:lang w:val="en-US" w:eastAsia="zh-CN"/>
                    </w:rPr>
                    <w:t>5.616</w:t>
                  </w:r>
                  <w:r>
                    <w:rPr>
                      <w:rFonts w:hint="default" w:ascii="Times New Roman" w:hAnsi="Times New Roman" w:cs="Times New Roman"/>
                      <w:color w:val="auto"/>
                      <w:highlight w:val="none"/>
                      <w:lang w:val="en-US" w:eastAsia="zh-CN"/>
                    </w:rPr>
                    <w:t>×10</w:t>
                  </w:r>
                  <w:r>
                    <w:rPr>
                      <w:rFonts w:hint="eastAsia" w:cs="Times New Roman"/>
                      <w:color w:val="auto"/>
                      <w:highlight w:val="none"/>
                      <w:vertAlign w:val="superscript"/>
                      <w:lang w:val="en-US" w:eastAsia="zh-CN"/>
                    </w:rPr>
                    <w:t>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41"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氮氧化物</w:t>
                  </w:r>
                </w:p>
              </w:tc>
              <w:tc>
                <w:tcPr>
                  <w:tcW w:w="1149"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千克/吨-原料</w:t>
                  </w:r>
                </w:p>
              </w:tc>
              <w:tc>
                <w:tcPr>
                  <w:tcW w:w="1042" w:type="pct"/>
                  <w:vAlign w:val="center"/>
                </w:tcPr>
                <w:p>
                  <w:pPr>
                    <w:pStyle w:val="47"/>
                    <w:bidi w:val="0"/>
                    <w:rPr>
                      <w:rFonts w:hint="default" w:ascii="Times New Roman" w:hAnsi="Times New Roman" w:cs="Times New Roman" w:eastAsiaTheme="minorEastAsia"/>
                      <w:color w:val="auto"/>
                      <w:highlight w:val="none"/>
                      <w:lang w:val="en-US" w:eastAsia="zh-CN"/>
                    </w:rPr>
                  </w:pPr>
                  <w:r>
                    <w:rPr>
                      <w:rFonts w:hint="eastAsia" w:cs="Times New Roman"/>
                      <w:color w:val="auto"/>
                      <w:highlight w:val="none"/>
                      <w:lang w:val="en-US" w:eastAsia="zh-CN"/>
                    </w:rPr>
                    <w:t>1.02</w:t>
                  </w:r>
                </w:p>
              </w:tc>
              <w:tc>
                <w:tcPr>
                  <w:tcW w:w="836" w:type="pct"/>
                  <w:vAlign w:val="center"/>
                </w:tcPr>
                <w:p>
                  <w:pPr>
                    <w:pStyle w:val="47"/>
                    <w:bidi w:val="0"/>
                    <w:rPr>
                      <w:rFonts w:hint="default" w:ascii="Times New Roman" w:hAnsi="Times New Roman" w:cs="Times New Roman"/>
                      <w:color w:val="auto"/>
                      <w:highlight w:val="none"/>
                    </w:rPr>
                  </w:pPr>
                  <w:r>
                    <w:rPr>
                      <w:rFonts w:hint="eastAsia" w:cs="Times New Roman"/>
                      <w:color w:val="auto"/>
                      <w:highlight w:val="none"/>
                      <w:lang w:val="en-US" w:eastAsia="zh-CN"/>
                    </w:rPr>
                    <w:t>0.92</w:t>
                  </w:r>
                  <w:r>
                    <w:rPr>
                      <w:rFonts w:hint="default" w:ascii="Times New Roman" w:hAnsi="Times New Roman" w:cs="Times New Roman"/>
                      <w:color w:val="auto"/>
                      <w:highlight w:val="none"/>
                    </w:rPr>
                    <w:t>t/a</w:t>
                  </w:r>
                </w:p>
              </w:tc>
              <w:tc>
                <w:tcPr>
                  <w:tcW w:w="1030" w:type="pct"/>
                  <w:vAlign w:val="center"/>
                </w:tcPr>
                <w:p>
                  <w:pPr>
                    <w:pStyle w:val="47"/>
                    <w:bidi w:val="0"/>
                    <w:rPr>
                      <w:rFonts w:hint="default" w:ascii="Times New Roman" w:hAnsi="Times New Roman" w:cs="Times New Roman"/>
                      <w:color w:val="auto"/>
                      <w:highlight w:val="none"/>
                    </w:rPr>
                  </w:pPr>
                  <w:r>
                    <w:rPr>
                      <w:rFonts w:hint="eastAsia" w:cs="Times New Roman"/>
                      <w:color w:val="auto"/>
                      <w:highlight w:val="none"/>
                      <w:lang w:val="en-US" w:eastAsia="zh-CN"/>
                    </w:rPr>
                    <w:t>163.7</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p>
              </w:tc>
            </w:tr>
          </w:tbl>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rPr>
              <w:t>烟气黑度小于1级</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均满足《锅炉大气污染物排放标准》（DB13 5161-2020）。</w:t>
            </w:r>
          </w:p>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布袋除尘器除尘效率</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99.5</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SNCR烟气脱硝设施处理效率为30%</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采取上述措施后污染物排放情况见表</w:t>
            </w:r>
            <w:r>
              <w:rPr>
                <w:rFonts w:hint="eastAsia" w:ascii="Times New Roman" w:hAnsi="Times New Roman" w:cs="Times New Roman"/>
                <w:color w:val="auto"/>
                <w:sz w:val="24"/>
                <w:highlight w:val="none"/>
                <w:lang w:val="en-US" w:eastAsia="zh-CN"/>
              </w:rPr>
              <w:t>4-4</w:t>
            </w:r>
            <w:r>
              <w:rPr>
                <w:rFonts w:hint="default" w:ascii="Times New Roman" w:hAnsi="Times New Roman" w:cs="Times New Roman"/>
                <w:color w:val="auto"/>
                <w:sz w:val="24"/>
                <w:highlight w:val="none"/>
              </w:rPr>
              <w:t>。</w:t>
            </w:r>
          </w:p>
          <w:p>
            <w:pPr>
              <w:snapToGrid w:val="0"/>
              <w:spacing w:line="240" w:lineRule="auto"/>
              <w:ind w:firstLine="422" w:firstLineChars="20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4-4</w:t>
            </w:r>
            <w:r>
              <w:rPr>
                <w:rFonts w:hint="default" w:ascii="Times New Roman" w:hAnsi="Times New Roman" w:cs="Times New Roman"/>
                <w:b/>
                <w:bCs/>
                <w:color w:val="auto"/>
                <w:sz w:val="21"/>
                <w:szCs w:val="21"/>
                <w:highlight w:val="none"/>
                <w:lang w:val="en-US" w:eastAsia="zh-CN"/>
              </w:rPr>
              <w:t xml:space="preserve">  外排烟气中各污染物排放情况一览表</w:t>
            </w:r>
          </w:p>
          <w:tbl>
            <w:tblPr>
              <w:tblStyle w:val="24"/>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436"/>
              <w:gridCol w:w="1902"/>
              <w:gridCol w:w="1838"/>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48"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污染物名称</w:t>
                  </w:r>
                </w:p>
              </w:tc>
              <w:tc>
                <w:tcPr>
                  <w:tcW w:w="1131"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烟尘</w:t>
                  </w:r>
                </w:p>
              </w:tc>
              <w:tc>
                <w:tcPr>
                  <w:tcW w:w="1093"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SO</w:t>
                  </w:r>
                  <w:r>
                    <w:rPr>
                      <w:rFonts w:hint="default" w:ascii="Times New Roman" w:hAnsi="Times New Roman" w:cs="Times New Roman"/>
                      <w:color w:val="auto"/>
                      <w:highlight w:val="none"/>
                      <w:vertAlign w:val="subscript"/>
                      <w:lang w:val="zh-CN"/>
                    </w:rPr>
                    <w:t>2</w:t>
                  </w:r>
                </w:p>
              </w:tc>
              <w:tc>
                <w:tcPr>
                  <w:tcW w:w="1327" w:type="pct"/>
                  <w:vAlign w:val="center"/>
                </w:tcPr>
                <w:p>
                  <w:pPr>
                    <w:pStyle w:val="47"/>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48" w:type="pct"/>
                  <w:vAlign w:val="center"/>
                </w:tcPr>
                <w:p>
                  <w:pPr>
                    <w:pStyle w:val="47"/>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废气量（m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w:t>
                  </w:r>
                </w:p>
              </w:tc>
              <w:tc>
                <w:tcPr>
                  <w:tcW w:w="3551" w:type="pct"/>
                  <w:gridSpan w:val="3"/>
                  <w:vAlign w:val="center"/>
                </w:tcPr>
                <w:p>
                  <w:pPr>
                    <w:pStyle w:val="47"/>
                    <w:bidi w:val="0"/>
                    <w:rPr>
                      <w:rFonts w:hint="default" w:cs="Times New Roman"/>
                      <w:color w:val="auto"/>
                      <w:highlight w:val="none"/>
                      <w:lang w:val="en-US" w:eastAsia="zh-CN"/>
                    </w:rPr>
                  </w:pPr>
                  <w:r>
                    <w:rPr>
                      <w:rFonts w:hint="eastAsia" w:cs="Times New Roman"/>
                      <w:color w:val="auto"/>
                      <w:highlight w:val="none"/>
                      <w:lang w:val="en-US" w:eastAsia="zh-CN"/>
                    </w:rPr>
                    <w:t>4494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1448"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排放量(t/a)</w:t>
                  </w:r>
                </w:p>
              </w:tc>
              <w:tc>
                <w:tcPr>
                  <w:tcW w:w="1131" w:type="pct"/>
                  <w:vAlign w:val="center"/>
                </w:tcPr>
                <w:p>
                  <w:pPr>
                    <w:pStyle w:val="47"/>
                    <w:bidi w:val="0"/>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0.072</w:t>
                  </w:r>
                </w:p>
              </w:tc>
              <w:tc>
                <w:tcPr>
                  <w:tcW w:w="1093" w:type="pct"/>
                  <w:vAlign w:val="center"/>
                </w:tcPr>
                <w:p>
                  <w:pPr>
                    <w:pStyle w:val="47"/>
                    <w:bidi w:val="0"/>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0.14</w:t>
                  </w:r>
                </w:p>
              </w:tc>
              <w:tc>
                <w:tcPr>
                  <w:tcW w:w="1327" w:type="pct"/>
                  <w:vAlign w:val="center"/>
                </w:tcPr>
                <w:p>
                  <w:pPr>
                    <w:pStyle w:val="47"/>
                    <w:bidi w:val="0"/>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1448" w:type="pct"/>
                  <w:vAlign w:val="center"/>
                </w:tcPr>
                <w:p>
                  <w:pPr>
                    <w:pStyle w:val="4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w:t>
                  </w:r>
                  <w:r>
                    <w:rPr>
                      <w:rFonts w:hint="eastAsia" w:cs="Times New Roman"/>
                      <w:color w:val="auto"/>
                      <w:highlight w:val="none"/>
                      <w:lang w:val="en-US" w:eastAsia="zh-CN"/>
                    </w:rPr>
                    <w:t>速率</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kg/h</w:t>
                  </w:r>
                  <w:r>
                    <w:rPr>
                      <w:rFonts w:hint="default" w:ascii="Times New Roman" w:hAnsi="Times New Roman" w:cs="Times New Roman"/>
                      <w:color w:val="auto"/>
                      <w:highlight w:val="none"/>
                    </w:rPr>
                    <w:t>)</w:t>
                  </w:r>
                </w:p>
              </w:tc>
              <w:tc>
                <w:tcPr>
                  <w:tcW w:w="1131" w:type="pct"/>
                  <w:vAlign w:val="center"/>
                </w:tcPr>
                <w:p>
                  <w:pPr>
                    <w:pStyle w:val="47"/>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0.03</w:t>
                  </w:r>
                </w:p>
              </w:tc>
              <w:tc>
                <w:tcPr>
                  <w:tcW w:w="1093" w:type="pct"/>
                  <w:vAlign w:val="center"/>
                </w:tcPr>
                <w:p>
                  <w:pPr>
                    <w:pStyle w:val="47"/>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0.058</w:t>
                  </w:r>
                </w:p>
              </w:tc>
              <w:tc>
                <w:tcPr>
                  <w:tcW w:w="1327" w:type="pct"/>
                  <w:vAlign w:val="center"/>
                </w:tcPr>
                <w:p>
                  <w:pPr>
                    <w:pStyle w:val="47"/>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1448" w:type="pct"/>
                  <w:vAlign w:val="center"/>
                </w:tcPr>
                <w:p>
                  <w:pPr>
                    <w:pStyle w:val="47"/>
                    <w:bidi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排放浓度(mg/m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1131" w:type="pct"/>
                  <w:vAlign w:val="center"/>
                </w:tcPr>
                <w:p>
                  <w:pPr>
                    <w:pStyle w:val="47"/>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12.81</w:t>
                  </w:r>
                </w:p>
              </w:tc>
              <w:tc>
                <w:tcPr>
                  <w:tcW w:w="1093" w:type="pct"/>
                  <w:vAlign w:val="center"/>
                </w:tcPr>
                <w:p>
                  <w:pPr>
                    <w:pStyle w:val="47"/>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24.91</w:t>
                  </w:r>
                </w:p>
              </w:tc>
              <w:tc>
                <w:tcPr>
                  <w:tcW w:w="1327" w:type="pct"/>
                  <w:vAlign w:val="center"/>
                </w:tcPr>
                <w:p>
                  <w:pPr>
                    <w:pStyle w:val="47"/>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113.9</w:t>
                  </w:r>
                </w:p>
              </w:tc>
            </w:tr>
          </w:tbl>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（3）污水处理站恶臭气体</w:t>
            </w:r>
          </w:p>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根据《城市污水处理厂主要恶臭源的排放规律研究》文中</w:t>
            </w:r>
            <w:r>
              <w:rPr>
                <w:rFonts w:hint="default" w:ascii="Times New Roman" w:hAnsi="Times New Roman" w:eastAsia="宋体" w:cs="Times New Roman"/>
                <w:color w:val="auto"/>
                <w:sz w:val="24"/>
                <w:szCs w:val="24"/>
                <w:highlight w:val="none"/>
              </w:rPr>
              <w:t>研究数据</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S产生</w:t>
            </w:r>
            <w:r>
              <w:rPr>
                <w:rFonts w:hint="eastAsia"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rPr>
              <w:t>0.0055</w:t>
            </w:r>
            <w:r>
              <w:rPr>
                <w:rFonts w:hint="default" w:ascii="Times New Roman" w:hAnsi="Times New Roman" w:eastAsia="宋体" w:cs="Times New Roman"/>
                <w:color w:val="auto"/>
                <w:sz w:val="24"/>
                <w:szCs w:val="24"/>
                <w:highlight w:val="none"/>
              </w:rPr>
              <w:t>kg/h，NH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产生</w:t>
            </w:r>
            <w:r>
              <w:rPr>
                <w:rFonts w:hint="eastAsia"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rPr>
              <w:t>0.00</w:t>
            </w:r>
            <w:r>
              <w:rPr>
                <w:rFonts w:hint="default" w:ascii="Times New Roman" w:hAnsi="Times New Roman" w:eastAsia="宋体" w:cs="Times New Roman"/>
                <w:color w:val="auto"/>
                <w:sz w:val="24"/>
                <w:szCs w:val="24"/>
                <w:highlight w:val="none"/>
              </w:rPr>
              <w:t>33kg/h，</w:t>
            </w:r>
            <w:r>
              <w:rPr>
                <w:rFonts w:hint="eastAsia" w:ascii="Times New Roman" w:hAnsi="Times New Roman" w:eastAsia="宋体" w:cs="Times New Roman"/>
                <w:color w:val="auto"/>
                <w:sz w:val="24"/>
                <w:szCs w:val="24"/>
                <w:highlight w:val="none"/>
                <w:lang w:val="en-US" w:eastAsia="zh-CN"/>
              </w:rPr>
              <w:t>恶臭气体经负压收集后进入除臭系统，废气收集效率为80%，处理效率为70%，处理后的恶臭提起经20m高排气筒排放（DA003）。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S产生</w:t>
            </w:r>
            <w:r>
              <w:rPr>
                <w:rFonts w:hint="eastAsia"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0.013t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产生</w:t>
            </w:r>
            <w:r>
              <w:rPr>
                <w:rFonts w:hint="eastAsia"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0.008t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a，其中有组织</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S产生</w:t>
            </w:r>
            <w:r>
              <w:rPr>
                <w:rFonts w:hint="eastAsia"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0.01t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产生</w:t>
            </w:r>
            <w:r>
              <w:rPr>
                <w:rFonts w:hint="eastAsia"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0.006t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a；无组织</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S产生</w:t>
            </w:r>
            <w:r>
              <w:rPr>
                <w:rFonts w:hint="eastAsia"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0.003t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a，产生速率为0.0013kg/h，</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产生</w:t>
            </w:r>
            <w:r>
              <w:rPr>
                <w:rFonts w:hint="eastAsia"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0.002t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a，产生速率为0.0008kg/h。</w:t>
            </w:r>
          </w:p>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风量为1</w:t>
            </w:r>
            <w:r>
              <w:rPr>
                <w:rFonts w:hint="eastAsia" w:ascii="Times New Roman" w:hAnsi="Times New Roman" w:eastAsia="宋体" w:cs="Times New Roman"/>
                <w:color w:val="auto"/>
                <w:sz w:val="24"/>
                <w:szCs w:val="24"/>
                <w:highlight w:val="none"/>
                <w:lang w:val="en-US" w:eastAsia="zh-CN"/>
              </w:rPr>
              <w:t>0000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处理后H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S排放浓度为</w:t>
            </w:r>
            <w:r>
              <w:rPr>
                <w:rFonts w:hint="eastAsia" w:ascii="Times New Roman" w:hAnsi="Times New Roman" w:eastAsia="宋体" w:cs="Times New Roman"/>
                <w:color w:val="auto"/>
                <w:sz w:val="24"/>
                <w:szCs w:val="24"/>
                <w:highlight w:val="none"/>
                <w:lang w:val="en-US" w:eastAsia="zh-CN"/>
              </w:rPr>
              <w:t>0.29</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，排放</w:t>
            </w:r>
            <w:r>
              <w:rPr>
                <w:rFonts w:hint="eastAsia" w:ascii="Times New Roman" w:hAnsi="Times New Roman" w:eastAsia="宋体" w:cs="Times New Roman"/>
                <w:color w:val="auto"/>
                <w:sz w:val="24"/>
                <w:szCs w:val="24"/>
                <w:highlight w:val="none"/>
                <w:lang w:val="en-US" w:eastAsia="zh-CN"/>
              </w:rPr>
              <w:t>速率为</w:t>
            </w:r>
            <w:r>
              <w:rPr>
                <w:rFonts w:hint="default" w:ascii="Times New Roman" w:hAnsi="Times New Roman" w:eastAsia="宋体" w:cs="Times New Roman"/>
                <w:color w:val="auto"/>
                <w:sz w:val="24"/>
                <w:szCs w:val="24"/>
                <w:highlight w:val="none"/>
              </w:rPr>
              <w:t>0.00</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kg/h，NH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排放浓度为</w:t>
            </w:r>
            <w:r>
              <w:rPr>
                <w:rFonts w:hint="eastAsia" w:ascii="Times New Roman" w:hAnsi="Times New Roman" w:eastAsia="宋体" w:cs="Times New Roman"/>
                <w:color w:val="auto"/>
                <w:sz w:val="24"/>
                <w:szCs w:val="24"/>
                <w:highlight w:val="none"/>
                <w:lang w:val="en-US" w:eastAsia="zh-CN"/>
              </w:rPr>
              <w:t>0.16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，排放</w:t>
            </w:r>
            <w:r>
              <w:rPr>
                <w:rFonts w:hint="eastAsia" w:ascii="Times New Roman" w:hAnsi="Times New Roman" w:eastAsia="宋体" w:cs="Times New Roman"/>
                <w:color w:val="auto"/>
                <w:sz w:val="24"/>
                <w:szCs w:val="24"/>
                <w:highlight w:val="none"/>
                <w:lang w:val="en-US" w:eastAsia="zh-CN"/>
              </w:rPr>
              <w:t>速率为0.002k</w:t>
            </w:r>
            <w:r>
              <w:rPr>
                <w:rFonts w:hint="default" w:ascii="Times New Roman" w:hAnsi="Times New Roman" w:eastAsia="宋体" w:cs="Times New Roman"/>
                <w:color w:val="auto"/>
                <w:sz w:val="24"/>
                <w:szCs w:val="24"/>
                <w:highlight w:val="none"/>
              </w:rPr>
              <w:t>g/h，臭气浓度小于</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，能够满足《恶臭污染物排放标准》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GB14554-93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相关要求</w:t>
            </w:r>
            <w:r>
              <w:rPr>
                <w:rFonts w:hint="default" w:ascii="Times New Roman" w:hAnsi="Times New Roman" w:eastAsia="宋体" w:cs="Times New Roman"/>
                <w:color w:val="auto"/>
                <w:sz w:val="24"/>
                <w:szCs w:val="24"/>
                <w:highlight w:val="none"/>
              </w:rPr>
              <w:t>。</w:t>
            </w:r>
          </w:p>
          <w:p>
            <w:pPr>
              <w:keepNext w:val="0"/>
              <w:keepLines w:val="0"/>
              <w:pageBreakBefore w:val="0"/>
              <w:widowControl w:val="0"/>
              <w:tabs>
                <w:tab w:val="left" w:pos="1158"/>
                <w:tab w:val="left" w:pos="247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②无组织废气</w:t>
            </w:r>
          </w:p>
          <w:p>
            <w:pPr>
              <w:adjustRightInd w:val="0"/>
              <w:snapToGrid w:val="0"/>
              <w:spacing w:line="360" w:lineRule="auto"/>
              <w:ind w:firstLine="480" w:firstLineChars="200"/>
              <w:rPr>
                <w:rFonts w:hint="default" w:ascii="Times New Roman" w:hAnsi="Times New Roman" w:eastAsia="宋体" w:cs="Times New Roman"/>
                <w:color w:val="auto"/>
                <w:kern w:val="44"/>
                <w:sz w:val="24"/>
                <w:szCs w:val="24"/>
                <w:lang w:val="en-US" w:eastAsia="zh-CN"/>
              </w:rPr>
            </w:pPr>
            <w:r>
              <w:rPr>
                <w:rFonts w:hint="default" w:ascii="Times New Roman" w:hAnsi="Times New Roman" w:cs="Times New Roman"/>
                <w:color w:val="auto"/>
                <w:kern w:val="44"/>
                <w:sz w:val="24"/>
                <w:szCs w:val="24"/>
                <w:lang w:val="en-US" w:eastAsia="zh-CN"/>
              </w:rPr>
              <w:t>本项目生产所用</w:t>
            </w:r>
            <w:r>
              <w:rPr>
                <w:rFonts w:hint="eastAsia" w:ascii="Times New Roman" w:hAnsi="Times New Roman" w:cs="Times New Roman"/>
                <w:color w:val="auto"/>
                <w:kern w:val="44"/>
                <w:sz w:val="24"/>
                <w:szCs w:val="24"/>
                <w:lang w:val="en-US" w:eastAsia="zh-CN"/>
              </w:rPr>
              <w:t>生物质</w:t>
            </w:r>
            <w:r>
              <w:rPr>
                <w:rFonts w:hint="default" w:ascii="Times New Roman" w:hAnsi="Times New Roman" w:cs="Times New Roman"/>
                <w:color w:val="auto"/>
                <w:kern w:val="44"/>
                <w:sz w:val="24"/>
                <w:szCs w:val="24"/>
                <w:lang w:val="en-US" w:eastAsia="zh-CN"/>
              </w:rPr>
              <w:t>，原料装卸、物料输送等过程会产生粉尘</w:t>
            </w:r>
            <w:r>
              <w:rPr>
                <w:rFonts w:hint="default" w:ascii="Times New Roman" w:hAnsi="Times New Roman" w:cs="Times New Roman"/>
                <w:color w:val="auto"/>
                <w:kern w:val="44"/>
                <w:sz w:val="24"/>
                <w:szCs w:val="24"/>
                <w:lang w:eastAsia="zh-CN"/>
              </w:rPr>
              <w:t>。</w:t>
            </w:r>
            <w:r>
              <w:rPr>
                <w:rFonts w:hint="default" w:ascii="Times New Roman" w:hAnsi="Times New Roman" w:eastAsia="宋体" w:cs="Times New Roman"/>
                <w:color w:val="auto"/>
                <w:kern w:val="44"/>
                <w:sz w:val="24"/>
                <w:szCs w:val="24"/>
                <w:lang w:val="en-US" w:eastAsia="zh-CN"/>
              </w:rPr>
              <w:t>参照《扬尘源颗粒物排放清单编制技术指南》（试行），装卸、运输物料过程扬尘排放系数：</w:t>
            </w:r>
          </w:p>
          <w:p>
            <w:pPr>
              <w:adjustRightInd w:val="0"/>
              <w:snapToGrid w:val="0"/>
              <w:spacing w:line="360" w:lineRule="auto"/>
              <w:ind w:firstLine="480" w:firstLineChars="200"/>
              <w:rPr>
                <w:rFonts w:hint="default" w:ascii="Times New Roman" w:hAnsi="Times New Roman" w:eastAsia="宋体" w:cs="Times New Roman"/>
                <w:color w:val="auto"/>
                <w:kern w:val="44"/>
                <w:sz w:val="24"/>
                <w:szCs w:val="24"/>
                <w:lang w:val="en-US" w:eastAsia="zh-CN"/>
              </w:rPr>
            </w:pPr>
            <w:r>
              <w:rPr>
                <w:rFonts w:hint="default" w:ascii="Times New Roman" w:hAnsi="Times New Roman" w:eastAsia="宋体" w:cs="Times New Roman"/>
                <w:color w:val="auto"/>
                <w:kern w:val="44"/>
                <w:sz w:val="24"/>
                <w:szCs w:val="24"/>
                <w:lang w:val="en-US" w:eastAsia="zh-CN"/>
              </w:rPr>
              <w:object>
                <v:shape id="_x0000_i1025" o:spt="75" type="#_x0000_t75" style="height:60pt;width:167pt;" o:ole="t" filled="f" o:preferrelative="t" stroked="f" coordsize="21600,21600">
                  <v:path/>
                  <v:fill on="f" focussize="0,0"/>
                  <v:stroke on="f"/>
                  <v:imagedata r:id="rId17" o:title=""/>
                  <o:lock v:ext="edit" aspectratio="t"/>
                  <w10:wrap type="none"/>
                  <w10:anchorlock/>
                </v:shape>
                <o:OLEObject Type="Embed" ProgID="Equation.KSEE3" ShapeID="_x0000_i1025" DrawAspect="Content" ObjectID="_1468075725" r:id="rId16">
                  <o:LockedField>false</o:LockedField>
                </o:OLEObject>
              </w:object>
            </w:r>
          </w:p>
          <w:p>
            <w:pPr>
              <w:adjustRightInd w:val="0"/>
              <w:snapToGrid w:val="0"/>
              <w:spacing w:line="360" w:lineRule="auto"/>
              <w:ind w:firstLine="480" w:firstLineChars="200"/>
              <w:rPr>
                <w:rFonts w:hint="default" w:ascii="Times New Roman" w:hAnsi="Times New Roman" w:eastAsia="宋体" w:cs="Times New Roman"/>
                <w:color w:val="auto"/>
                <w:kern w:val="44"/>
                <w:sz w:val="24"/>
                <w:szCs w:val="24"/>
                <w:vertAlign w:val="baseline"/>
                <w:lang w:val="en-US" w:eastAsia="zh-CN"/>
              </w:rPr>
            </w:pPr>
            <w:r>
              <w:rPr>
                <w:rFonts w:hint="default" w:ascii="Times New Roman" w:hAnsi="Times New Roman" w:eastAsia="宋体" w:cs="Times New Roman"/>
                <w:color w:val="auto"/>
                <w:kern w:val="44"/>
                <w:sz w:val="24"/>
                <w:szCs w:val="24"/>
                <w:lang w:val="en-US" w:eastAsia="zh-CN"/>
              </w:rPr>
              <w:t>其中：E</w:t>
            </w:r>
            <w:r>
              <w:rPr>
                <w:rFonts w:hint="default" w:ascii="Times New Roman" w:hAnsi="Times New Roman" w:eastAsia="宋体" w:cs="Times New Roman"/>
                <w:color w:val="auto"/>
                <w:kern w:val="44"/>
                <w:sz w:val="24"/>
                <w:szCs w:val="24"/>
                <w:vertAlign w:val="subscript"/>
                <w:lang w:val="en-US" w:eastAsia="zh-CN"/>
              </w:rPr>
              <w:t>h</w:t>
            </w:r>
            <w:r>
              <w:rPr>
                <w:rFonts w:hint="default" w:ascii="Times New Roman" w:hAnsi="Times New Roman" w:eastAsia="宋体" w:cs="Times New Roman"/>
                <w:color w:val="auto"/>
                <w:kern w:val="44"/>
                <w:sz w:val="24"/>
                <w:szCs w:val="24"/>
                <w:vertAlign w:val="baseline"/>
                <w:lang w:val="en-US" w:eastAsia="zh-CN"/>
              </w:rPr>
              <w:t>为堆场装卸扬尘的排放系数，kg/t。</w:t>
            </w:r>
          </w:p>
          <w:p>
            <w:pPr>
              <w:adjustRightInd w:val="0"/>
              <w:snapToGrid w:val="0"/>
              <w:spacing w:line="360" w:lineRule="auto"/>
              <w:ind w:firstLine="480" w:firstLineChars="200"/>
              <w:rPr>
                <w:rFonts w:hint="default" w:ascii="Times New Roman" w:hAnsi="Times New Roman" w:eastAsia="宋体" w:cs="Times New Roman"/>
                <w:color w:val="auto"/>
                <w:kern w:val="44"/>
                <w:sz w:val="24"/>
                <w:szCs w:val="24"/>
                <w:lang w:val="en-US" w:eastAsia="zh-CN"/>
              </w:rPr>
            </w:pPr>
            <w:r>
              <w:rPr>
                <w:rFonts w:hint="default" w:ascii="Times New Roman" w:hAnsi="Times New Roman" w:eastAsia="宋体" w:cs="Times New Roman"/>
                <w:color w:val="auto"/>
                <w:kern w:val="44"/>
                <w:sz w:val="24"/>
                <w:szCs w:val="24"/>
                <w:lang w:val="en-US" w:eastAsia="zh-CN"/>
              </w:rPr>
              <w:t>ki为物料的粒度乘数，本项目取0.74（无量纲）。</w:t>
            </w:r>
          </w:p>
          <w:p>
            <w:pPr>
              <w:adjustRightInd w:val="0"/>
              <w:snapToGrid w:val="0"/>
              <w:spacing w:line="360" w:lineRule="auto"/>
              <w:ind w:firstLine="480" w:firstLineChars="200"/>
              <w:rPr>
                <w:rFonts w:hint="default" w:ascii="Times New Roman" w:hAnsi="Times New Roman" w:eastAsia="宋体" w:cs="Times New Roman"/>
                <w:color w:val="auto"/>
                <w:kern w:val="44"/>
                <w:sz w:val="24"/>
                <w:szCs w:val="24"/>
                <w:lang w:val="en-US" w:eastAsia="zh-CN"/>
              </w:rPr>
            </w:pPr>
            <w:r>
              <w:rPr>
                <w:rFonts w:hint="default" w:ascii="Times New Roman" w:hAnsi="Times New Roman" w:eastAsia="宋体" w:cs="Times New Roman"/>
                <w:color w:val="auto"/>
                <w:kern w:val="44"/>
                <w:sz w:val="24"/>
                <w:szCs w:val="24"/>
                <w:lang w:val="en-US" w:eastAsia="zh-CN"/>
              </w:rPr>
              <w:t>u为地面平均风速</w:t>
            </w:r>
            <w:r>
              <w:rPr>
                <w:rFonts w:hint="eastAsia" w:ascii="Times New Roman" w:hAnsi="Times New Roman" w:eastAsia="宋体" w:cs="Times New Roman"/>
                <w:color w:val="auto"/>
                <w:kern w:val="44"/>
                <w:sz w:val="24"/>
                <w:szCs w:val="24"/>
                <w:lang w:val="en-US" w:eastAsia="zh-CN"/>
              </w:rPr>
              <w:t>（</w:t>
            </w:r>
            <w:r>
              <w:rPr>
                <w:rFonts w:hint="default" w:ascii="Times New Roman" w:hAnsi="Times New Roman" w:cs="Times New Roman"/>
                <w:bCs/>
                <w:snapToGrid w:val="0"/>
                <w:color w:val="auto"/>
                <w:kern w:val="0"/>
                <w:sz w:val="24"/>
              </w:rPr>
              <w:t>建有全封闭</w:t>
            </w:r>
            <w:r>
              <w:rPr>
                <w:rFonts w:hint="eastAsia" w:ascii="Times New Roman" w:hAnsi="Times New Roman" w:cs="Times New Roman"/>
                <w:bCs/>
                <w:snapToGrid w:val="0"/>
                <w:color w:val="auto"/>
                <w:kern w:val="0"/>
                <w:sz w:val="24"/>
                <w:lang w:val="en-US" w:eastAsia="zh-CN"/>
              </w:rPr>
              <w:t>储</w:t>
            </w:r>
            <w:r>
              <w:rPr>
                <w:rFonts w:hint="default" w:ascii="Times New Roman" w:hAnsi="Times New Roman" w:cs="Times New Roman"/>
                <w:bCs/>
                <w:snapToGrid w:val="0"/>
                <w:color w:val="auto"/>
                <w:kern w:val="0"/>
                <w:sz w:val="24"/>
              </w:rPr>
              <w:t>库，此处取静风风速0.5m/s</w:t>
            </w:r>
            <w:r>
              <w:rPr>
                <w:rFonts w:hint="eastAsia" w:ascii="Times New Roman" w:hAnsi="Times New Roman" w:eastAsia="宋体" w:cs="Times New Roman"/>
                <w:color w:val="auto"/>
                <w:kern w:val="44"/>
                <w:sz w:val="24"/>
                <w:szCs w:val="24"/>
                <w:lang w:val="en-US" w:eastAsia="zh-CN"/>
              </w:rPr>
              <w:t>）</w:t>
            </w:r>
            <w:r>
              <w:rPr>
                <w:rFonts w:hint="default" w:ascii="Times New Roman" w:hAnsi="Times New Roman" w:eastAsia="宋体" w:cs="Times New Roman"/>
                <w:color w:val="auto"/>
                <w:kern w:val="44"/>
                <w:sz w:val="24"/>
                <w:szCs w:val="24"/>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kern w:val="44"/>
                <w:sz w:val="24"/>
                <w:szCs w:val="24"/>
                <w:lang w:val="en-US" w:eastAsia="zh-CN"/>
              </w:rPr>
            </w:pPr>
            <w:r>
              <w:rPr>
                <w:rFonts w:hint="default" w:ascii="Times New Roman" w:hAnsi="Times New Roman" w:eastAsia="宋体" w:cs="Times New Roman"/>
                <w:color w:val="auto"/>
                <w:kern w:val="44"/>
                <w:sz w:val="24"/>
                <w:szCs w:val="24"/>
                <w:lang w:val="en-US" w:eastAsia="zh-CN"/>
              </w:rPr>
              <w:t>M为物料含水率，%，本项目取4.8%</w:t>
            </w:r>
            <w:r>
              <w:rPr>
                <w:rFonts w:hint="eastAsia" w:ascii="Times New Roman" w:hAnsi="Times New Roman" w:eastAsia="宋体" w:cs="Times New Roman"/>
                <w:color w:val="auto"/>
                <w:kern w:val="44"/>
                <w:sz w:val="24"/>
                <w:szCs w:val="24"/>
                <w:lang w:val="en-US" w:eastAsia="zh-CN"/>
              </w:rPr>
              <w:t>。</w:t>
            </w:r>
          </w:p>
          <w:p>
            <w:pPr>
              <w:adjustRightInd w:val="0"/>
              <w:snapToGrid w:val="0"/>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44"/>
                <w:sz w:val="24"/>
                <w:szCs w:val="24"/>
                <w:lang w:val="en-US" w:eastAsia="zh-CN"/>
              </w:rPr>
              <w:t>η为污染控制技术对扬尘的去除效率，%，本项目取90%</w:t>
            </w:r>
            <w:r>
              <w:rPr>
                <w:rFonts w:hint="eastAsia" w:ascii="Times New Roman" w:hAnsi="Times New Roman" w:eastAsia="宋体" w:cs="Times New Roman"/>
                <w:color w:val="auto"/>
                <w:kern w:val="44"/>
                <w:sz w:val="24"/>
                <w:szCs w:val="24"/>
                <w:lang w:val="en-US" w:eastAsia="zh-CN"/>
              </w:rPr>
              <w:t>。</w:t>
            </w:r>
          </w:p>
          <w:p>
            <w:pPr>
              <w:adjustRightInd w:val="0"/>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堆场装卸扬尘的排放系数为5.06</w:t>
            </w:r>
            <w:r>
              <w:rPr>
                <w:rFonts w:hint="eastAsia" w:ascii="Times New Roman" w:hAnsi="Times New Roman"/>
                <w:color w:val="auto"/>
                <w:sz w:val="24"/>
                <w:szCs w:val="24"/>
                <w:highlight w:val="none"/>
                <w:lang w:val="en-US" w:eastAsia="zh-CN"/>
              </w:rPr>
              <w:t>×10</w:t>
            </w:r>
            <w:r>
              <w:rPr>
                <w:rFonts w:hint="eastAsia" w:ascii="Times New Roman" w:hAnsi="Times New Roman"/>
                <w:color w:val="auto"/>
                <w:sz w:val="24"/>
                <w:szCs w:val="24"/>
                <w:highlight w:val="none"/>
                <w:vertAlign w:val="superscript"/>
                <w:lang w:val="en-US" w:eastAsia="zh-CN"/>
              </w:rPr>
              <w:t>-6</w:t>
            </w:r>
            <w:r>
              <w:rPr>
                <w:rFonts w:hint="eastAsia" w:ascii="Times New Roman" w:hAnsi="Times New Roman" w:cs="Times New Roman"/>
                <w:color w:val="auto"/>
                <w:sz w:val="24"/>
                <w:highlight w:val="none"/>
                <w:lang w:val="en-US" w:eastAsia="zh-CN"/>
              </w:rPr>
              <w:t>kg/t。</w:t>
            </w:r>
          </w:p>
          <w:p>
            <w:pPr>
              <w:adjustRightInd w:val="0"/>
              <w:snapToGrid w:val="0"/>
              <w:spacing w:line="360" w:lineRule="auto"/>
              <w:ind w:firstLine="480" w:firstLineChars="200"/>
              <w:rPr>
                <w:rFonts w:hint="default" w:ascii="Times New Roman" w:hAnsi="Times New Roman" w:cs="Times New Roman"/>
                <w:color w:val="auto"/>
                <w:w w:val="100"/>
                <w:sz w:val="24"/>
                <w:szCs w:val="24"/>
                <w:highlight w:val="yellow"/>
                <w:lang w:val="en-US" w:eastAsia="zh-CN"/>
              </w:rPr>
            </w:pPr>
            <w:r>
              <w:rPr>
                <w:rFonts w:hint="eastAsia" w:ascii="Times New Roman" w:hAnsi="Times New Roman" w:cs="Times New Roman"/>
                <w:color w:val="auto"/>
                <w:sz w:val="24"/>
                <w:lang w:val="en-US" w:eastAsia="zh-CN"/>
              </w:rPr>
              <w:t>生物质</w:t>
            </w:r>
            <w:r>
              <w:rPr>
                <w:rFonts w:hint="default" w:ascii="Times New Roman" w:hAnsi="Times New Roman" w:cs="Times New Roman"/>
                <w:color w:val="auto"/>
                <w:sz w:val="24"/>
                <w:lang w:val="en-US" w:eastAsia="zh-CN"/>
              </w:rPr>
              <w:t>用量为</w:t>
            </w:r>
            <w:r>
              <w:rPr>
                <w:rFonts w:hint="eastAsia" w:ascii="Times New Roman" w:hAnsi="Times New Roman" w:cs="Times New Roman"/>
                <w:color w:val="auto"/>
                <w:sz w:val="24"/>
                <w:szCs w:val="24"/>
                <w:lang w:val="en-US" w:eastAsia="zh-CN"/>
              </w:rPr>
              <w:t>900</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val="en-US" w:eastAsia="zh-CN"/>
              </w:rPr>
              <w:t>，则</w:t>
            </w:r>
            <w:r>
              <w:rPr>
                <w:rFonts w:hint="default" w:ascii="Times New Roman" w:hAnsi="Times New Roman" w:cs="Times New Roman"/>
                <w:color w:val="auto"/>
                <w:kern w:val="44"/>
                <w:sz w:val="24"/>
                <w:szCs w:val="24"/>
              </w:rPr>
              <w:t>粉尘</w:t>
            </w:r>
            <w:r>
              <w:rPr>
                <w:rFonts w:hint="default" w:ascii="Times New Roman" w:hAnsi="Times New Roman" w:cs="Times New Roman"/>
                <w:color w:val="auto"/>
                <w:sz w:val="24"/>
                <w:szCs w:val="24"/>
              </w:rPr>
              <w:t>产生量</w:t>
            </w:r>
            <w:r>
              <w:rPr>
                <w:rFonts w:hint="default" w:ascii="Times New Roman" w:hAnsi="Times New Roman" w:cs="Times New Roman"/>
                <w:color w:val="auto"/>
                <w:sz w:val="24"/>
                <w:szCs w:val="24"/>
                <w:lang w:eastAsia="zh-CN"/>
              </w:rPr>
              <w:t>为</w:t>
            </w:r>
            <w:r>
              <w:rPr>
                <w:rFonts w:hint="eastAsia" w:ascii="Times New Roman" w:hAnsi="Times New Roman" w:cs="Times New Roman"/>
                <w:color w:val="auto"/>
                <w:sz w:val="24"/>
                <w:szCs w:val="24"/>
                <w:lang w:val="en-US" w:eastAsia="zh-CN"/>
              </w:rPr>
              <w:t>0.0046</w:t>
            </w:r>
            <w:r>
              <w:rPr>
                <w:rFonts w:hint="default" w:ascii="Times New Roman" w:hAnsi="Times New Roman" w:cs="Times New Roman"/>
                <w:color w:val="auto"/>
                <w:sz w:val="24"/>
                <w:szCs w:val="24"/>
              </w:rPr>
              <w:t>t/a。</w:t>
            </w:r>
            <w:r>
              <w:rPr>
                <w:rFonts w:hint="default" w:ascii="Times New Roman" w:hAnsi="Times New Roman" w:cs="Times New Roman"/>
                <w:color w:val="auto"/>
                <w:kern w:val="44"/>
                <w:sz w:val="24"/>
                <w:szCs w:val="24"/>
                <w:lang w:val="en-US" w:eastAsia="zh-CN"/>
              </w:rPr>
              <w:t>原料库</w:t>
            </w:r>
            <w:r>
              <w:rPr>
                <w:rFonts w:hint="eastAsia" w:ascii="Times New Roman" w:hAnsi="Times New Roman" w:cs="Times New Roman"/>
                <w:color w:val="auto"/>
                <w:kern w:val="44"/>
                <w:sz w:val="24"/>
                <w:szCs w:val="24"/>
                <w:lang w:val="en-US" w:eastAsia="zh-CN"/>
              </w:rPr>
              <w:t>封闭，</w:t>
            </w:r>
            <w:r>
              <w:rPr>
                <w:rFonts w:hint="default" w:ascii="Times New Roman" w:hAnsi="Times New Roman" w:cs="Times New Roman"/>
                <w:color w:val="auto"/>
                <w:sz w:val="24"/>
                <w:szCs w:val="24"/>
              </w:rPr>
              <w:t>采取以上措施治理后，抑尘效果可达</w:t>
            </w:r>
            <w:r>
              <w:rPr>
                <w:rFonts w:hint="eastAsia" w:ascii="Times New Roman" w:hAnsi="Times New Roman" w:cs="Times New Roman"/>
                <w:color w:val="auto"/>
                <w:sz w:val="24"/>
                <w:szCs w:val="24"/>
                <w:lang w:val="en-US" w:eastAsia="zh-CN"/>
              </w:rPr>
              <w:t>80</w:t>
            </w:r>
            <w:r>
              <w:rPr>
                <w:rFonts w:hint="default" w:ascii="Times New Roman" w:hAnsi="Times New Roman" w:cs="Times New Roman"/>
                <w:color w:val="auto"/>
                <w:sz w:val="24"/>
                <w:szCs w:val="24"/>
              </w:rPr>
              <w:t>%，则该</w:t>
            </w:r>
            <w:r>
              <w:rPr>
                <w:rFonts w:hint="default" w:ascii="Times New Roman" w:hAnsi="Times New Roman" w:cs="Times New Roman"/>
                <w:color w:val="auto"/>
                <w:sz w:val="24"/>
                <w:szCs w:val="24"/>
                <w:lang w:val="en-US" w:eastAsia="zh-CN"/>
              </w:rPr>
              <w:t>原料库</w:t>
            </w:r>
            <w:r>
              <w:rPr>
                <w:rFonts w:hint="default" w:ascii="Times New Roman" w:hAnsi="Times New Roman" w:cs="Times New Roman"/>
                <w:color w:val="auto"/>
                <w:sz w:val="24"/>
                <w:szCs w:val="24"/>
              </w:rPr>
              <w:t>粉尘排放量约为</w:t>
            </w:r>
            <w:r>
              <w:rPr>
                <w:rFonts w:hint="eastAsia" w:ascii="Times New Roman" w:hAnsi="Times New Roman" w:cs="Times New Roman"/>
                <w:color w:val="auto"/>
                <w:sz w:val="24"/>
                <w:szCs w:val="24"/>
                <w:lang w:val="en-US" w:eastAsia="zh-CN"/>
              </w:rPr>
              <w:t>0.0009</w:t>
            </w:r>
            <w:r>
              <w:rPr>
                <w:rFonts w:hint="default" w:ascii="Times New Roman" w:hAnsi="Times New Roman" w:cs="Times New Roman"/>
                <w:color w:val="auto"/>
                <w:sz w:val="24"/>
                <w:szCs w:val="24"/>
              </w:rPr>
              <w:t>t/a，年</w:t>
            </w:r>
            <w:r>
              <w:rPr>
                <w:rFonts w:hint="default" w:ascii="Times New Roman" w:hAnsi="Times New Roman" w:cs="Times New Roman"/>
                <w:color w:val="auto"/>
                <w:sz w:val="24"/>
                <w:szCs w:val="24"/>
                <w:lang w:val="en-US" w:eastAsia="zh-CN"/>
              </w:rPr>
              <w:t>运行时间为</w:t>
            </w:r>
            <w:r>
              <w:rPr>
                <w:rFonts w:hint="eastAsia" w:ascii="Times New Roman" w:hAnsi="Times New Roman" w:cs="Times New Roman"/>
                <w:color w:val="auto"/>
                <w:sz w:val="24"/>
                <w:szCs w:val="24"/>
                <w:lang w:val="en-US" w:eastAsia="zh-CN"/>
              </w:rPr>
              <w:t>2400</w:t>
            </w:r>
            <w:r>
              <w:rPr>
                <w:rFonts w:hint="default" w:ascii="Times New Roman" w:hAnsi="Times New Roman" w:cs="Times New Roman"/>
                <w:color w:val="auto"/>
                <w:sz w:val="24"/>
                <w:szCs w:val="24"/>
              </w:rPr>
              <w:t>h，则粉尘排放速率约为</w:t>
            </w:r>
            <w:r>
              <w:rPr>
                <w:rFonts w:hint="eastAsia" w:ascii="Times New Roman" w:hAnsi="Times New Roman" w:cs="Times New Roman"/>
                <w:color w:val="auto"/>
                <w:sz w:val="24"/>
                <w:szCs w:val="24"/>
                <w:lang w:val="en-US" w:eastAsia="zh-CN"/>
              </w:rPr>
              <w:t>0.0004</w:t>
            </w:r>
            <w:r>
              <w:rPr>
                <w:rFonts w:hint="default" w:ascii="Times New Roman" w:hAnsi="Times New Roman" w:cs="Times New Roman"/>
                <w:color w:val="auto"/>
                <w:sz w:val="24"/>
                <w:szCs w:val="24"/>
              </w:rPr>
              <w:t>kg/h。</w:t>
            </w:r>
          </w:p>
          <w:p>
            <w:pPr>
              <w:snapToGrid w:val="0"/>
              <w:spacing w:line="360" w:lineRule="auto"/>
              <w:ind w:firstLine="482" w:firstLineChars="200"/>
              <w:jc w:val="left"/>
              <w:rPr>
                <w:rFonts w:hint="eastAsia" w:ascii="Times New Roman" w:hAnsi="Times New Roman" w:cs="Times New Roman" w:eastAsiaTheme="minorEastAsia"/>
                <w:b/>
                <w:bCs/>
                <w:color w:val="auto"/>
                <w:sz w:val="24"/>
                <w:lang w:eastAsia="zh-CN"/>
              </w:rPr>
            </w:pPr>
            <w:r>
              <w:rPr>
                <w:rFonts w:ascii="Times New Roman" w:hAnsi="Times New Roman" w:cs="Times New Roman"/>
                <w:b/>
                <w:bCs/>
                <w:color w:val="auto"/>
                <w:sz w:val="24"/>
              </w:rPr>
              <w:t>（</w:t>
            </w:r>
            <w:r>
              <w:rPr>
                <w:rFonts w:hint="eastAsia" w:ascii="Times New Roman" w:hAnsi="Times New Roman" w:cs="Times New Roman"/>
                <w:b/>
                <w:bCs/>
                <w:color w:val="auto"/>
                <w:sz w:val="24"/>
                <w:lang w:val="en-US" w:eastAsia="zh-CN"/>
              </w:rPr>
              <w:t>3</w:t>
            </w:r>
            <w:r>
              <w:rPr>
                <w:rFonts w:ascii="Times New Roman" w:hAnsi="Times New Roman" w:cs="Times New Roman"/>
                <w:b/>
                <w:bCs/>
                <w:color w:val="auto"/>
                <w:sz w:val="24"/>
              </w:rPr>
              <w:t>）污染治理设施</w:t>
            </w:r>
            <w:r>
              <w:rPr>
                <w:rFonts w:hint="eastAsia" w:ascii="Times New Roman" w:hAnsi="Times New Roman" w:cs="Times New Roman"/>
                <w:b/>
                <w:bCs/>
                <w:color w:val="auto"/>
                <w:sz w:val="24"/>
                <w:lang w:val="en-US" w:eastAsia="zh-CN"/>
              </w:rPr>
              <w:t>可行性</w:t>
            </w:r>
          </w:p>
          <w:p>
            <w:pPr>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本项目设置</w:t>
            </w:r>
            <w:r>
              <w:rPr>
                <w:rFonts w:hint="eastAsia" w:ascii="Times New Roman" w:hAnsi="Times New Roman" w:cs="Times New Roman"/>
                <w:color w:val="auto"/>
                <w:sz w:val="24"/>
                <w:highlight w:val="none"/>
                <w:lang w:val="en-US" w:eastAsia="zh-CN"/>
              </w:rPr>
              <w:t>1套高效油烟净化器，1套</w:t>
            </w:r>
            <w:r>
              <w:rPr>
                <w:rFonts w:ascii="Times New Roman" w:hAnsi="Times New Roman" w:cs="Times New Roman"/>
                <w:color w:val="auto"/>
                <w:sz w:val="24"/>
                <w:highlight w:val="none"/>
              </w:rPr>
              <w:t>布袋除尘器</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1套SNCR烟气脱硝设施，1套除臭系统，</w:t>
            </w:r>
            <w:r>
              <w:rPr>
                <w:rFonts w:ascii="Times New Roman" w:hAnsi="Times New Roman" w:cs="Times New Roman"/>
                <w:color w:val="auto"/>
                <w:sz w:val="24"/>
                <w:highlight w:val="none"/>
              </w:rPr>
              <w:t>详细情况详见下表：</w:t>
            </w:r>
          </w:p>
          <w:p>
            <w:pPr>
              <w:snapToGrid w:val="0"/>
              <w:spacing w:line="240" w:lineRule="auto"/>
              <w:ind w:firstLine="422" w:firstLineChars="20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 xml:space="preserve">  </w:t>
            </w:r>
          </w:p>
          <w:p>
            <w:pPr>
              <w:snapToGrid w:val="0"/>
              <w:spacing w:line="240" w:lineRule="auto"/>
              <w:ind w:firstLine="422" w:firstLineChars="20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表4-5  项目大气污染物治理设施一览表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201"/>
              <w:gridCol w:w="1140"/>
              <w:gridCol w:w="1225"/>
              <w:gridCol w:w="1026"/>
              <w:gridCol w:w="1301"/>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77" w:type="pct"/>
                  <w:vAlign w:val="center"/>
                </w:tcPr>
                <w:p>
                  <w:pPr>
                    <w:snapToGrid w:val="0"/>
                    <w:jc w:val="center"/>
                    <w:rPr>
                      <w:rFonts w:hint="default" w:ascii="Times New Roman" w:hAnsi="Times New Roman" w:cs="Times New Roman" w:eastAsiaTheme="minorEastAsia"/>
                      <w:b/>
                      <w:bCs/>
                      <w:color w:val="auto"/>
                      <w:szCs w:val="21"/>
                      <w:lang w:val="en-US" w:eastAsia="zh-CN"/>
                    </w:rPr>
                  </w:pPr>
                  <w:r>
                    <w:rPr>
                      <w:rFonts w:hint="eastAsia" w:ascii="Times New Roman" w:hAnsi="Times New Roman" w:cs="Times New Roman"/>
                      <w:b/>
                      <w:bCs/>
                      <w:color w:val="auto"/>
                      <w:szCs w:val="21"/>
                      <w:lang w:val="en-US" w:eastAsia="zh-CN"/>
                    </w:rPr>
                    <w:t>产污节点</w:t>
                  </w:r>
                </w:p>
              </w:tc>
              <w:tc>
                <w:tcPr>
                  <w:tcW w:w="710" w:type="pct"/>
                  <w:vAlign w:val="center"/>
                </w:tcPr>
                <w:p>
                  <w:pPr>
                    <w:snapToGrid w:val="0"/>
                    <w:jc w:val="center"/>
                    <w:rPr>
                      <w:rFonts w:ascii="Times New Roman" w:hAnsi="Times New Roman" w:cs="Times New Roman"/>
                      <w:b/>
                      <w:bCs/>
                      <w:color w:val="auto"/>
                      <w:szCs w:val="21"/>
                    </w:rPr>
                  </w:pPr>
                  <w:r>
                    <w:rPr>
                      <w:rFonts w:hint="eastAsia" w:ascii="Times New Roman" w:hAnsi="Times New Roman" w:cs="Times New Roman"/>
                      <w:b/>
                      <w:bCs/>
                      <w:color w:val="auto"/>
                      <w:szCs w:val="21"/>
                    </w:rPr>
                    <w:t>污染治理设施</w:t>
                  </w:r>
                </w:p>
              </w:tc>
              <w:tc>
                <w:tcPr>
                  <w:tcW w:w="674" w:type="pct"/>
                  <w:vAlign w:val="center"/>
                </w:tcPr>
                <w:p>
                  <w:pPr>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治理设施编号</w:t>
                  </w:r>
                </w:p>
              </w:tc>
              <w:tc>
                <w:tcPr>
                  <w:tcW w:w="724" w:type="pct"/>
                  <w:vAlign w:val="center"/>
                </w:tcPr>
                <w:p>
                  <w:pPr>
                    <w:snapToGrid w:val="0"/>
                    <w:jc w:val="center"/>
                    <w:rPr>
                      <w:rFonts w:hint="eastAsia" w:ascii="Times New Roman" w:hAnsi="Times New Roman" w:cs="Times New Roman" w:eastAsiaTheme="minorEastAsia"/>
                      <w:b/>
                      <w:bCs/>
                      <w:color w:val="auto"/>
                      <w:szCs w:val="21"/>
                      <w:lang w:eastAsia="zh-CN"/>
                    </w:rPr>
                  </w:pPr>
                  <w:r>
                    <w:rPr>
                      <w:rFonts w:ascii="Times New Roman" w:hAnsi="Times New Roman" w:cs="Times New Roman"/>
                      <w:b/>
                      <w:bCs/>
                      <w:color w:val="auto"/>
                      <w:szCs w:val="21"/>
                    </w:rPr>
                    <w:t>处理能力</w:t>
                  </w:r>
                  <w:r>
                    <w:rPr>
                      <w:rFonts w:hint="eastAsia" w:ascii="Times New Roman" w:hAnsi="Times New Roman" w:cs="Times New Roman"/>
                      <w:b/>
                      <w:bCs/>
                      <w:color w:val="auto"/>
                      <w:szCs w:val="21"/>
                      <w:lang w:eastAsia="zh-CN"/>
                    </w:rPr>
                    <w:t>（</w:t>
                  </w:r>
                  <w:r>
                    <w:rPr>
                      <w:rFonts w:ascii="Times New Roman" w:hAnsi="Times New Roman" w:cs="Times New Roman"/>
                      <w:b/>
                      <w:bCs/>
                      <w:color w:val="auto"/>
                      <w:szCs w:val="21"/>
                    </w:rPr>
                    <w:t>m³/h</w:t>
                  </w:r>
                  <w:r>
                    <w:rPr>
                      <w:rFonts w:hint="eastAsia" w:ascii="Times New Roman" w:hAnsi="Times New Roman" w:cs="Times New Roman"/>
                      <w:b/>
                      <w:bCs/>
                      <w:color w:val="auto"/>
                      <w:szCs w:val="21"/>
                      <w:lang w:eastAsia="zh-CN"/>
                    </w:rPr>
                    <w:t>）</w:t>
                  </w:r>
                </w:p>
              </w:tc>
              <w:tc>
                <w:tcPr>
                  <w:tcW w:w="606" w:type="pct"/>
                  <w:vAlign w:val="center"/>
                </w:tcPr>
                <w:p>
                  <w:pPr>
                    <w:snapToGrid w:val="0"/>
                    <w:jc w:val="center"/>
                    <w:rPr>
                      <w:rFonts w:hint="eastAsia" w:ascii="Times New Roman" w:hAnsi="Times New Roman" w:cs="Times New Roman" w:eastAsiaTheme="minorEastAsia"/>
                      <w:b/>
                      <w:bCs/>
                      <w:color w:val="auto"/>
                      <w:szCs w:val="21"/>
                      <w:lang w:eastAsia="zh-CN"/>
                    </w:rPr>
                  </w:pPr>
                  <w:r>
                    <w:rPr>
                      <w:rFonts w:ascii="Times New Roman" w:hAnsi="Times New Roman" w:cs="Times New Roman"/>
                      <w:b/>
                      <w:bCs/>
                      <w:color w:val="auto"/>
                      <w:szCs w:val="21"/>
                    </w:rPr>
                    <w:t>收集效率</w:t>
                  </w:r>
                  <w:r>
                    <w:rPr>
                      <w:rFonts w:hint="eastAsia" w:ascii="Times New Roman" w:hAnsi="Times New Roman" w:cs="Times New Roman"/>
                      <w:b/>
                      <w:bCs/>
                      <w:color w:val="auto"/>
                      <w:szCs w:val="21"/>
                      <w:lang w:eastAsia="zh-CN"/>
                    </w:rPr>
                    <w:t>（</w:t>
                  </w:r>
                  <w:r>
                    <w:rPr>
                      <w:rFonts w:ascii="Times New Roman" w:hAnsi="Times New Roman" w:cs="Times New Roman"/>
                      <w:b/>
                      <w:bCs/>
                      <w:color w:val="auto"/>
                      <w:szCs w:val="21"/>
                    </w:rPr>
                    <w:t>%</w:t>
                  </w:r>
                  <w:r>
                    <w:rPr>
                      <w:rFonts w:hint="eastAsia" w:ascii="Times New Roman" w:hAnsi="Times New Roman" w:cs="Times New Roman"/>
                      <w:b/>
                      <w:bCs/>
                      <w:color w:val="auto"/>
                      <w:szCs w:val="21"/>
                      <w:lang w:eastAsia="zh-CN"/>
                    </w:rPr>
                    <w:t>）</w:t>
                  </w:r>
                </w:p>
              </w:tc>
              <w:tc>
                <w:tcPr>
                  <w:tcW w:w="769" w:type="pct"/>
                  <w:vAlign w:val="center"/>
                </w:tcPr>
                <w:p>
                  <w:pPr>
                    <w:snapToGrid w:val="0"/>
                    <w:jc w:val="center"/>
                    <w:rPr>
                      <w:rFonts w:hint="eastAsia" w:ascii="Times New Roman" w:hAnsi="Times New Roman" w:cs="Times New Roman" w:eastAsiaTheme="minorEastAsia"/>
                      <w:b/>
                      <w:bCs/>
                      <w:color w:val="auto"/>
                      <w:szCs w:val="21"/>
                      <w:lang w:eastAsia="zh-CN"/>
                    </w:rPr>
                  </w:pPr>
                  <w:r>
                    <w:rPr>
                      <w:rFonts w:ascii="Times New Roman" w:hAnsi="Times New Roman" w:cs="Times New Roman"/>
                      <w:b/>
                      <w:bCs/>
                      <w:color w:val="auto"/>
                      <w:szCs w:val="21"/>
                    </w:rPr>
                    <w:t>治理工艺去除率</w:t>
                  </w:r>
                  <w:r>
                    <w:rPr>
                      <w:rFonts w:hint="eastAsia" w:ascii="Times New Roman" w:hAnsi="Times New Roman" w:cs="Times New Roman"/>
                      <w:b/>
                      <w:bCs/>
                      <w:color w:val="auto"/>
                      <w:szCs w:val="21"/>
                      <w:lang w:eastAsia="zh-CN"/>
                    </w:rPr>
                    <w:t>（</w:t>
                  </w:r>
                  <w:r>
                    <w:rPr>
                      <w:rFonts w:ascii="Times New Roman" w:hAnsi="Times New Roman" w:cs="Times New Roman"/>
                      <w:b/>
                      <w:bCs/>
                      <w:color w:val="auto"/>
                      <w:szCs w:val="21"/>
                    </w:rPr>
                    <w:t>%</w:t>
                  </w:r>
                  <w:r>
                    <w:rPr>
                      <w:rFonts w:hint="eastAsia" w:ascii="Times New Roman" w:hAnsi="Times New Roman" w:cs="Times New Roman"/>
                      <w:b/>
                      <w:bCs/>
                      <w:color w:val="auto"/>
                      <w:szCs w:val="21"/>
                      <w:lang w:eastAsia="zh-CN"/>
                    </w:rPr>
                    <w:t>）</w:t>
                  </w:r>
                </w:p>
              </w:tc>
              <w:tc>
                <w:tcPr>
                  <w:tcW w:w="737" w:type="pct"/>
                  <w:vAlign w:val="center"/>
                </w:tcPr>
                <w:p>
                  <w:pPr>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7" w:type="pct"/>
                  <w:vMerge w:val="restart"/>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生物质锅炉</w:t>
                  </w:r>
                </w:p>
              </w:tc>
              <w:tc>
                <w:tcPr>
                  <w:tcW w:w="710"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布袋除尘器</w:t>
                  </w:r>
                </w:p>
              </w:tc>
              <w:tc>
                <w:tcPr>
                  <w:tcW w:w="674" w:type="pct"/>
                  <w:vAlign w:val="center"/>
                </w:tcPr>
                <w:p>
                  <w:pPr>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TA001</w:t>
                  </w:r>
                </w:p>
              </w:tc>
              <w:tc>
                <w:tcPr>
                  <w:tcW w:w="724"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4494</w:t>
                  </w:r>
                </w:p>
              </w:tc>
              <w:tc>
                <w:tcPr>
                  <w:tcW w:w="606"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100</w:t>
                  </w:r>
                </w:p>
              </w:tc>
              <w:tc>
                <w:tcPr>
                  <w:tcW w:w="769"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99.5</w:t>
                  </w:r>
                </w:p>
              </w:tc>
              <w:tc>
                <w:tcPr>
                  <w:tcW w:w="737" w:type="pct"/>
                  <w:vAlign w:val="center"/>
                </w:tcPr>
                <w:p>
                  <w:pPr>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7" w:type="pct"/>
                  <w:vMerge w:val="continue"/>
                  <w:vAlign w:val="center"/>
                </w:tcPr>
                <w:p>
                  <w:pPr>
                    <w:spacing w:line="320" w:lineRule="exact"/>
                    <w:jc w:val="center"/>
                    <w:rPr>
                      <w:rFonts w:hint="eastAsia" w:ascii="Times New Roman" w:hAnsi="Times New Roman" w:cs="Times New Roman"/>
                      <w:color w:val="auto"/>
                      <w:kern w:val="2"/>
                      <w:sz w:val="21"/>
                      <w:szCs w:val="21"/>
                      <w:vertAlign w:val="baseline"/>
                      <w:lang w:val="en-US" w:eastAsia="zh-CN" w:bidi="ar-SA"/>
                    </w:rPr>
                  </w:pPr>
                </w:p>
              </w:tc>
              <w:tc>
                <w:tcPr>
                  <w:tcW w:w="710" w:type="pct"/>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b w:val="0"/>
                      <w:bCs/>
                      <w:color w:val="auto"/>
                      <w:sz w:val="21"/>
                      <w:szCs w:val="21"/>
                      <w:highlight w:val="none"/>
                      <w:lang w:val="en-US" w:eastAsia="zh-CN"/>
                    </w:rPr>
                    <w:t>SNCR烟气脱硝设施</w:t>
                  </w:r>
                </w:p>
              </w:tc>
              <w:tc>
                <w:tcPr>
                  <w:tcW w:w="674" w:type="pct"/>
                  <w:vAlign w:val="center"/>
                </w:tcPr>
                <w:p>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TA002</w:t>
                  </w:r>
                </w:p>
              </w:tc>
              <w:tc>
                <w:tcPr>
                  <w:tcW w:w="724"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4494</w:t>
                  </w:r>
                </w:p>
              </w:tc>
              <w:tc>
                <w:tcPr>
                  <w:tcW w:w="606" w:type="pct"/>
                  <w:vAlign w:val="center"/>
                </w:tcPr>
                <w:p>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100</w:t>
                  </w:r>
                </w:p>
              </w:tc>
              <w:tc>
                <w:tcPr>
                  <w:tcW w:w="769" w:type="pct"/>
                  <w:vAlign w:val="center"/>
                </w:tcPr>
                <w:p>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w:t>
                  </w:r>
                </w:p>
              </w:tc>
              <w:tc>
                <w:tcPr>
                  <w:tcW w:w="737" w:type="pct"/>
                  <w:vAlign w:val="center"/>
                </w:tcPr>
                <w:p>
                  <w:pPr>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7" w:type="pct"/>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污水处理站</w:t>
                  </w:r>
                </w:p>
              </w:tc>
              <w:tc>
                <w:tcPr>
                  <w:tcW w:w="710"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除臭系统</w:t>
                  </w:r>
                </w:p>
              </w:tc>
              <w:tc>
                <w:tcPr>
                  <w:tcW w:w="674"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TA003</w:t>
                  </w:r>
                </w:p>
              </w:tc>
              <w:tc>
                <w:tcPr>
                  <w:tcW w:w="724"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10000</w:t>
                  </w:r>
                </w:p>
              </w:tc>
              <w:tc>
                <w:tcPr>
                  <w:tcW w:w="606"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80</w:t>
                  </w:r>
                </w:p>
              </w:tc>
              <w:tc>
                <w:tcPr>
                  <w:tcW w:w="769"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70</w:t>
                  </w:r>
                </w:p>
              </w:tc>
              <w:tc>
                <w:tcPr>
                  <w:tcW w:w="737"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7" w:type="pct"/>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卤煮过程</w:t>
                  </w:r>
                </w:p>
              </w:tc>
              <w:tc>
                <w:tcPr>
                  <w:tcW w:w="710"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高效油烟净化器</w:t>
                  </w:r>
                </w:p>
              </w:tc>
              <w:tc>
                <w:tcPr>
                  <w:tcW w:w="674"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TA004</w:t>
                  </w:r>
                </w:p>
              </w:tc>
              <w:tc>
                <w:tcPr>
                  <w:tcW w:w="724"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20000</w:t>
                  </w:r>
                </w:p>
              </w:tc>
              <w:tc>
                <w:tcPr>
                  <w:tcW w:w="606"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90</w:t>
                  </w:r>
                </w:p>
              </w:tc>
              <w:tc>
                <w:tcPr>
                  <w:tcW w:w="769" w:type="pct"/>
                  <w:vAlign w:val="center"/>
                </w:tcPr>
                <w:p>
                  <w:pPr>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85</w:t>
                  </w:r>
                </w:p>
              </w:tc>
              <w:tc>
                <w:tcPr>
                  <w:tcW w:w="737" w:type="pct"/>
                  <w:vAlign w:val="center"/>
                </w:tcPr>
                <w:p>
                  <w:pPr>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是</w:t>
                  </w:r>
                </w:p>
              </w:tc>
            </w:tr>
          </w:tbl>
          <w:p>
            <w:pPr>
              <w:pStyle w:val="39"/>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根据设计资料，</w:t>
            </w:r>
            <w:r>
              <w:rPr>
                <w:rFonts w:hint="default" w:ascii="Times New Roman" w:hAnsi="Times New Roman" w:eastAsia="宋体" w:cs="Times New Roman"/>
                <w:color w:val="auto"/>
                <w:sz w:val="24"/>
                <w:szCs w:val="24"/>
                <w:highlight w:val="none"/>
              </w:rPr>
              <w:t>布袋除尘器除尘效率</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99.5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锅炉采用SNCR烟气脱硝设施，处理效率为30%；除臭系统处理效率为70%</w:t>
            </w:r>
            <w:r>
              <w:rPr>
                <w:rFonts w:hint="default" w:ascii="Times New Roman" w:hAnsi="Times New Roman" w:cs="Times New Roman"/>
                <w:color w:val="auto"/>
                <w:sz w:val="24"/>
                <w:szCs w:val="24"/>
                <w:lang w:eastAsia="zh-CN"/>
              </w:rPr>
              <w:t>。</w:t>
            </w:r>
          </w:p>
          <w:p>
            <w:pPr>
              <w:pStyle w:val="39"/>
              <w:ind w:firstLine="480"/>
              <w:rPr>
                <w:rFonts w:hint="default" w:ascii="Times New Roman" w:hAnsi="Times New Roman" w:cs="Times New Roman"/>
                <w:color w:val="auto"/>
                <w:sz w:val="24"/>
                <w:szCs w:val="24"/>
                <w:lang w:val="en-US" w:eastAsia="zh-CN"/>
              </w:rPr>
            </w:pPr>
            <w:r>
              <w:rPr>
                <w:rFonts w:hint="eastAsia" w:ascii="Times New Roman" w:hAnsi="Times New Roman" w:cs="Times New Roman"/>
                <w:b w:val="0"/>
                <w:bCs/>
                <w:color w:val="auto"/>
                <w:sz w:val="21"/>
                <w:szCs w:val="21"/>
                <w:highlight w:val="none"/>
                <w:lang w:val="en-US" w:eastAsia="zh-CN"/>
              </w:rPr>
              <w:t>SNCR</w:t>
            </w:r>
            <w:r>
              <w:rPr>
                <w:rFonts w:hint="eastAsia" w:ascii="Times New Roman" w:hAnsi="Times New Roman" w:cs="Times New Roman"/>
                <w:color w:val="auto"/>
                <w:sz w:val="24"/>
                <w:szCs w:val="24"/>
                <w:lang w:val="en-US" w:eastAsia="zh-CN"/>
              </w:rPr>
              <w:t>烟气脱硝设施：SNCR脱硝技术是将尿素等还原剂喷入锅炉内与NO</w:t>
            </w:r>
            <w:r>
              <w:rPr>
                <w:rFonts w:hint="eastAsia" w:ascii="Times New Roman" w:hAnsi="Times New Roman" w:cs="Times New Roman"/>
                <w:color w:val="auto"/>
                <w:sz w:val="24"/>
                <w:szCs w:val="24"/>
                <w:vertAlign w:val="subscript"/>
                <w:lang w:val="en-US" w:eastAsia="zh-CN"/>
              </w:rPr>
              <w:t>X</w:t>
            </w:r>
            <w:r>
              <w:rPr>
                <w:rFonts w:hint="eastAsia" w:ascii="Times New Roman" w:hAnsi="Times New Roman" w:cs="Times New Roman"/>
                <w:color w:val="auto"/>
                <w:sz w:val="24"/>
                <w:szCs w:val="24"/>
                <w:vertAlign w:val="baseline"/>
                <w:lang w:val="en-US" w:eastAsia="zh-CN"/>
              </w:rPr>
              <w:t>进行选择性反应，炉膛温度为850℃~1100℃，迅速热分解成NH</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vertAlign w:val="baseline"/>
                <w:lang w:val="en-US" w:eastAsia="zh-CN"/>
              </w:rPr>
              <w:t>，与烟气中的</w:t>
            </w:r>
            <w:r>
              <w:rPr>
                <w:rFonts w:hint="eastAsia" w:ascii="Times New Roman" w:hAnsi="Times New Roman" w:cs="Times New Roman"/>
                <w:color w:val="auto"/>
                <w:sz w:val="24"/>
                <w:szCs w:val="24"/>
                <w:lang w:val="en-US" w:eastAsia="zh-CN"/>
              </w:rPr>
              <w:t>NO</w:t>
            </w:r>
            <w:r>
              <w:rPr>
                <w:rFonts w:hint="eastAsia" w:ascii="Times New Roman" w:hAnsi="Times New Roman" w:cs="Times New Roman"/>
                <w:color w:val="auto"/>
                <w:sz w:val="24"/>
                <w:szCs w:val="24"/>
                <w:vertAlign w:val="subscript"/>
                <w:lang w:val="en-US" w:eastAsia="zh-CN"/>
              </w:rPr>
              <w:t>X</w:t>
            </w:r>
            <w:r>
              <w:rPr>
                <w:rFonts w:hint="eastAsia" w:ascii="Times New Roman" w:hAnsi="Times New Roman" w:cs="Times New Roman"/>
                <w:color w:val="auto"/>
                <w:sz w:val="24"/>
                <w:szCs w:val="24"/>
                <w:vertAlign w:val="baseline"/>
                <w:lang w:val="en-US" w:eastAsia="zh-CN"/>
              </w:rPr>
              <w:t>反应生成生成N2和水，</w:t>
            </w:r>
            <w:r>
              <w:rPr>
                <w:rFonts w:hint="eastAsia" w:ascii="Times New Roman" w:hAnsi="Times New Roman" w:cs="Times New Roman"/>
                <w:b w:val="0"/>
                <w:bCs/>
                <w:color w:val="auto"/>
                <w:sz w:val="21"/>
                <w:szCs w:val="21"/>
                <w:highlight w:val="none"/>
                <w:lang w:val="en-US" w:eastAsia="zh-CN"/>
              </w:rPr>
              <w:t>SNCR</w:t>
            </w:r>
            <w:r>
              <w:rPr>
                <w:rFonts w:hint="eastAsia" w:ascii="Times New Roman" w:hAnsi="Times New Roman" w:cs="Times New Roman"/>
                <w:color w:val="auto"/>
                <w:sz w:val="24"/>
                <w:szCs w:val="24"/>
                <w:lang w:val="en-US" w:eastAsia="zh-CN"/>
              </w:rPr>
              <w:t>烟气脱硝技术的脱硝效率一般为30%~80%。</w:t>
            </w:r>
          </w:p>
          <w:p>
            <w:pPr>
              <w:pStyle w:val="39"/>
              <w:ind w:firstLine="48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高能离子除臭原理：空气通过离子发生装置时，氧分子受到具有一定能量的电子的碰撞，而形成分别带有正电或负电的正负氧离子，这些正负氧离子具有较强的活动性，他们在与臭气分子相接触后，能打开臭气分子的化学链，经过一系列的反应后最终生成二氧化碳和水，对硫化氢和氨气同样具有分解作用。正负氧离子能有效地破坏空气中细菌的生存环境，降低室内细菌浓度。离子与空气中微小的可吸入固体颗粒成为可捕捉颗粒，或因形成较大颗粒靠自身重力沉降下来，同时达到净化空气的目的。</w:t>
            </w:r>
          </w:p>
          <w:p>
            <w:pPr>
              <w:pStyle w:val="39"/>
              <w:ind w:firstLine="48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综上所述，项目采用的大气污染防治措施实用性强，效果明显，项目采用的大气污染防治措施可行。</w:t>
            </w:r>
          </w:p>
          <w:p>
            <w:pPr>
              <w:snapToGrid w:val="0"/>
              <w:spacing w:line="360" w:lineRule="auto"/>
              <w:ind w:firstLine="482" w:firstLineChars="200"/>
              <w:jc w:val="left"/>
              <w:rPr>
                <w:rFonts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4</w:t>
            </w:r>
            <w:r>
              <w:rPr>
                <w:rFonts w:hint="eastAsia" w:ascii="Times New Roman" w:hAnsi="Times New Roman" w:cs="Times New Roman"/>
                <w:b/>
                <w:bCs/>
                <w:color w:val="auto"/>
                <w:sz w:val="24"/>
                <w:highlight w:val="none"/>
                <w:lang w:eastAsia="zh-CN"/>
              </w:rPr>
              <w:t>）</w:t>
            </w:r>
            <w:r>
              <w:rPr>
                <w:rFonts w:ascii="Times New Roman" w:hAnsi="Times New Roman" w:cs="Times New Roman"/>
                <w:b/>
                <w:bCs/>
                <w:color w:val="auto"/>
                <w:sz w:val="24"/>
                <w:highlight w:val="none"/>
              </w:rPr>
              <w:t>排放口基本情况</w:t>
            </w:r>
          </w:p>
          <w:p>
            <w:pPr>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项目</w:t>
            </w:r>
            <w:r>
              <w:rPr>
                <w:rFonts w:hint="eastAsia" w:ascii="Times New Roman" w:hAnsi="Times New Roman" w:cs="Times New Roman"/>
                <w:color w:val="auto"/>
                <w:sz w:val="24"/>
                <w:highlight w:val="none"/>
                <w:lang w:val="en-US" w:eastAsia="zh-CN"/>
              </w:rPr>
              <w:t>新增大气污染物排放口3个，均为一般废气排放口，</w:t>
            </w:r>
            <w:r>
              <w:rPr>
                <w:rFonts w:ascii="Times New Roman" w:hAnsi="Times New Roman" w:cs="Times New Roman"/>
                <w:color w:val="auto"/>
                <w:sz w:val="24"/>
                <w:highlight w:val="none"/>
              </w:rPr>
              <w:t>排放口基本情况详见下表：</w:t>
            </w:r>
          </w:p>
          <w:p>
            <w:pPr>
              <w:snapToGrid w:val="0"/>
              <w:spacing w:line="360" w:lineRule="auto"/>
              <w:ind w:firstLine="480" w:firstLineChars="200"/>
              <w:jc w:val="left"/>
              <w:rPr>
                <w:rFonts w:ascii="Times New Roman" w:hAnsi="Times New Roman" w:cs="Times New Roman"/>
                <w:color w:val="auto"/>
                <w:sz w:val="24"/>
                <w:highlight w:val="none"/>
              </w:rPr>
            </w:pPr>
          </w:p>
          <w:p>
            <w:pPr>
              <w:snapToGrid w:val="0"/>
              <w:spacing w:line="360" w:lineRule="auto"/>
              <w:ind w:firstLine="480" w:firstLineChars="200"/>
              <w:jc w:val="left"/>
              <w:rPr>
                <w:rFonts w:ascii="Times New Roman" w:hAnsi="Times New Roman" w:cs="Times New Roman"/>
                <w:color w:val="auto"/>
                <w:sz w:val="24"/>
                <w:highlight w:val="none"/>
              </w:rPr>
            </w:pPr>
          </w:p>
          <w:p>
            <w:pPr>
              <w:snapToGrid w:val="0"/>
              <w:spacing w:line="360" w:lineRule="auto"/>
              <w:ind w:firstLine="480" w:firstLineChars="200"/>
              <w:jc w:val="left"/>
              <w:rPr>
                <w:rFonts w:ascii="Times New Roman" w:hAnsi="Times New Roman" w:cs="Times New Roman"/>
                <w:color w:val="auto"/>
                <w:sz w:val="24"/>
                <w:highlight w:val="none"/>
              </w:rPr>
            </w:pPr>
          </w:p>
          <w:p>
            <w:pPr>
              <w:snapToGrid w:val="0"/>
              <w:spacing w:line="360" w:lineRule="auto"/>
              <w:ind w:firstLine="480" w:firstLineChars="200"/>
              <w:jc w:val="left"/>
              <w:rPr>
                <w:rFonts w:ascii="Times New Roman" w:hAnsi="Times New Roman" w:cs="Times New Roman"/>
                <w:color w:val="auto"/>
                <w:sz w:val="24"/>
                <w:highlight w:val="none"/>
              </w:rPr>
            </w:pPr>
          </w:p>
          <w:p>
            <w:pPr>
              <w:snapToGrid w:val="0"/>
              <w:spacing w:line="240" w:lineRule="auto"/>
              <w:ind w:firstLine="422" w:firstLineChars="200"/>
              <w:jc w:val="center"/>
              <w:rPr>
                <w:rFonts w:hint="eastAsia" w:ascii="Times New Roman" w:hAnsi="Times New Roman" w:cs="Times New Roman"/>
                <w:b/>
                <w:bCs/>
                <w:color w:val="auto"/>
                <w:sz w:val="21"/>
                <w:szCs w:val="21"/>
                <w:highlight w:val="none"/>
                <w:lang w:val="en-US" w:eastAsia="zh-CN"/>
              </w:rPr>
            </w:pPr>
          </w:p>
          <w:p>
            <w:pPr>
              <w:snapToGrid w:val="0"/>
              <w:spacing w:line="240" w:lineRule="auto"/>
              <w:ind w:firstLine="422" w:firstLineChars="20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表4-6  大气污染物排放口基本情况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15"/>
              <w:gridCol w:w="742"/>
              <w:gridCol w:w="742"/>
              <w:gridCol w:w="521"/>
              <w:gridCol w:w="442"/>
              <w:gridCol w:w="471"/>
              <w:gridCol w:w="493"/>
              <w:gridCol w:w="625"/>
              <w:gridCol w:w="420"/>
              <w:gridCol w:w="556"/>
              <w:gridCol w:w="620"/>
              <w:gridCol w:w="420"/>
              <w:gridCol w:w="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restart"/>
                  <w:vAlign w:val="center"/>
                </w:tcPr>
                <w:p>
                  <w:pPr>
                    <w:pStyle w:val="29"/>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编号</w:t>
                  </w:r>
                </w:p>
              </w:tc>
              <w:tc>
                <w:tcPr>
                  <w:tcW w:w="718" w:type="pct"/>
                  <w:vMerge w:val="restart"/>
                  <w:vAlign w:val="center"/>
                </w:tcPr>
                <w:p>
                  <w:pPr>
                    <w:pStyle w:val="29"/>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名称</w:t>
                  </w:r>
                </w:p>
              </w:tc>
              <w:tc>
                <w:tcPr>
                  <w:tcW w:w="877" w:type="pct"/>
                  <w:gridSpan w:val="2"/>
                  <w:vAlign w:val="center"/>
                </w:tcPr>
                <w:p>
                  <w:pPr>
                    <w:pStyle w:val="29"/>
                    <w:snapToGrid w:val="0"/>
                    <w:ind w:left="0" w:leftChars="0"/>
                    <w:rPr>
                      <w:rFonts w:ascii="Times New Roman" w:hAnsi="Times New Roman" w:cs="Times New Roman"/>
                      <w:b/>
                      <w:color w:val="auto"/>
                      <w:w w:val="100"/>
                      <w:sz w:val="21"/>
                      <w:szCs w:val="21"/>
                    </w:rPr>
                  </w:pPr>
                  <w:r>
                    <w:rPr>
                      <w:rFonts w:ascii="Times New Roman" w:hAnsi="Times New Roman" w:cs="Times New Roman"/>
                      <w:b/>
                      <w:color w:val="auto"/>
                      <w:w w:val="100"/>
                      <w:sz w:val="21"/>
                      <w:szCs w:val="21"/>
                    </w:rPr>
                    <w:t>排气筒底部中心坐标</w:t>
                  </w:r>
                </w:p>
              </w:tc>
              <w:tc>
                <w:tcPr>
                  <w:tcW w:w="308" w:type="pct"/>
                  <w:vMerge w:val="restart"/>
                  <w:vAlign w:val="center"/>
                </w:tcPr>
                <w:p>
                  <w:pPr>
                    <w:pStyle w:val="29"/>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排气筒底部海拔高度/m</w:t>
                  </w:r>
                </w:p>
              </w:tc>
              <w:tc>
                <w:tcPr>
                  <w:tcW w:w="261" w:type="pct"/>
                  <w:vMerge w:val="restart"/>
                  <w:vAlign w:val="center"/>
                </w:tcPr>
                <w:p>
                  <w:pPr>
                    <w:pStyle w:val="29"/>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排气筒高度/m</w:t>
                  </w:r>
                </w:p>
              </w:tc>
              <w:tc>
                <w:tcPr>
                  <w:tcW w:w="278" w:type="pct"/>
                  <w:vMerge w:val="restart"/>
                  <w:vAlign w:val="center"/>
                </w:tcPr>
                <w:p>
                  <w:pPr>
                    <w:pStyle w:val="29"/>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排气筒出口内径/m</w:t>
                  </w:r>
                </w:p>
              </w:tc>
              <w:tc>
                <w:tcPr>
                  <w:tcW w:w="291" w:type="pct"/>
                  <w:vMerge w:val="restart"/>
                  <w:vAlign w:val="center"/>
                </w:tcPr>
                <w:p>
                  <w:pPr>
                    <w:pStyle w:val="29"/>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烟气温度/℃</w:t>
                  </w:r>
                </w:p>
              </w:tc>
              <w:tc>
                <w:tcPr>
                  <w:tcW w:w="369" w:type="pct"/>
                  <w:vMerge w:val="restart"/>
                  <w:vAlign w:val="center"/>
                </w:tcPr>
                <w:p>
                  <w:pPr>
                    <w:pStyle w:val="29"/>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年排放小时数/h</w:t>
                  </w:r>
                </w:p>
              </w:tc>
              <w:tc>
                <w:tcPr>
                  <w:tcW w:w="1442" w:type="pct"/>
                  <w:gridSpan w:val="5"/>
                  <w:vMerge w:val="restart"/>
                  <w:vAlign w:val="center"/>
                </w:tcPr>
                <w:p>
                  <w:pPr>
                    <w:pStyle w:val="29"/>
                    <w:snapToGrid w:val="0"/>
                    <w:ind w:left="0" w:leftChars="0"/>
                    <w:rPr>
                      <w:rFonts w:ascii="Times New Roman" w:hAnsi="Times New Roman" w:cs="Times New Roman"/>
                      <w:b/>
                      <w:color w:val="auto"/>
                      <w:w w:val="100"/>
                      <w:sz w:val="21"/>
                      <w:szCs w:val="21"/>
                    </w:rPr>
                  </w:pPr>
                  <w:r>
                    <w:rPr>
                      <w:rFonts w:ascii="Times New Roman" w:hAnsi="Times New Roman" w:cs="Times New Roman"/>
                      <w:b/>
                      <w:color w:val="auto"/>
                      <w:w w:val="100"/>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53"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718"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438" w:type="pct"/>
                  <w:vMerge w:val="restart"/>
                  <w:vAlign w:val="center"/>
                </w:tcPr>
                <w:p>
                  <w:pPr>
                    <w:pStyle w:val="29"/>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E</w:t>
                  </w:r>
                </w:p>
              </w:tc>
              <w:tc>
                <w:tcPr>
                  <w:tcW w:w="438" w:type="pct"/>
                  <w:vMerge w:val="restart"/>
                  <w:vAlign w:val="center"/>
                </w:tcPr>
                <w:p>
                  <w:pPr>
                    <w:pStyle w:val="29"/>
                    <w:snapToGrid w:val="0"/>
                    <w:ind w:left="0" w:leftChars="0"/>
                    <w:rPr>
                      <w:rFonts w:ascii="Times New Roman" w:hAnsi="Times New Roman" w:eastAsia="宋体" w:cs="Times New Roman"/>
                      <w:b/>
                      <w:color w:val="auto"/>
                      <w:w w:val="100"/>
                      <w:sz w:val="21"/>
                      <w:szCs w:val="21"/>
                    </w:rPr>
                  </w:pPr>
                  <w:r>
                    <w:rPr>
                      <w:rFonts w:ascii="Times New Roman" w:hAnsi="Times New Roman" w:cs="Times New Roman"/>
                      <w:b/>
                      <w:color w:val="auto"/>
                      <w:w w:val="100"/>
                      <w:sz w:val="21"/>
                      <w:szCs w:val="21"/>
                    </w:rPr>
                    <w:t>N</w:t>
                  </w:r>
                </w:p>
              </w:tc>
              <w:tc>
                <w:tcPr>
                  <w:tcW w:w="308"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261"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278"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291"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369"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1442" w:type="pct"/>
                  <w:gridSpan w:val="5"/>
                  <w:vMerge w:val="continue"/>
                  <w:vAlign w:val="center"/>
                </w:tcPr>
                <w:p>
                  <w:pPr>
                    <w:pStyle w:val="29"/>
                    <w:snapToGrid w:val="0"/>
                    <w:ind w:left="0" w:leftChars="0"/>
                    <w:rPr>
                      <w:rFonts w:ascii="Times New Roman" w:hAnsi="Times New Roman" w:eastAsia="宋体" w:cs="Times New Roman"/>
                      <w:b/>
                      <w:color w:val="auto"/>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53"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718"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438"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438"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308"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261"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278"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291"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369" w:type="pct"/>
                  <w:vMerge w:val="continue"/>
                  <w:vAlign w:val="center"/>
                </w:tcPr>
                <w:p>
                  <w:pPr>
                    <w:pStyle w:val="29"/>
                    <w:snapToGrid w:val="0"/>
                    <w:ind w:left="0" w:leftChars="0"/>
                    <w:rPr>
                      <w:rFonts w:ascii="Times New Roman" w:hAnsi="Times New Roman" w:cs="Times New Roman"/>
                      <w:b/>
                      <w:color w:val="auto"/>
                      <w:w w:val="100"/>
                      <w:sz w:val="21"/>
                      <w:szCs w:val="21"/>
                    </w:rPr>
                  </w:pPr>
                </w:p>
              </w:tc>
              <w:tc>
                <w:tcPr>
                  <w:tcW w:w="248" w:type="pct"/>
                  <w:vAlign w:val="center"/>
                </w:tcPr>
                <w:p>
                  <w:pPr>
                    <w:pStyle w:val="29"/>
                    <w:snapToGrid w:val="0"/>
                    <w:ind w:left="0" w:leftChars="0"/>
                    <w:jc w:val="center"/>
                    <w:rPr>
                      <w:rFonts w:hint="default" w:ascii="Times New Roman" w:hAnsi="Times New Roman" w:eastAsia="宋体" w:cs="Times New Roman"/>
                      <w:b/>
                      <w:bCs/>
                      <w:color w:val="auto"/>
                      <w:w w:val="100"/>
                      <w:sz w:val="21"/>
                      <w:szCs w:val="21"/>
                    </w:rPr>
                  </w:pPr>
                  <w:r>
                    <w:rPr>
                      <w:rFonts w:hint="default" w:ascii="Times New Roman" w:hAnsi="Times New Roman" w:eastAsia="宋体" w:cs="Times New Roman"/>
                      <w:b/>
                      <w:bCs/>
                      <w:color w:val="auto"/>
                      <w:w w:val="100"/>
                      <w:sz w:val="21"/>
                      <w:szCs w:val="21"/>
                      <w:lang w:val="en-US" w:eastAsia="zh-CN"/>
                    </w:rPr>
                    <w:t>颗粒物</w:t>
                  </w:r>
                </w:p>
              </w:tc>
              <w:tc>
                <w:tcPr>
                  <w:tcW w:w="328" w:type="pct"/>
                  <w:vAlign w:val="center"/>
                </w:tcPr>
                <w:p>
                  <w:pPr>
                    <w:pStyle w:val="29"/>
                    <w:snapToGrid w:val="0"/>
                    <w:ind w:left="0" w:leftChars="0"/>
                    <w:jc w:val="center"/>
                    <w:rPr>
                      <w:rFonts w:hint="default" w:ascii="Times New Roman" w:hAnsi="Times New Roman" w:eastAsia="宋体" w:cs="Times New Roman"/>
                      <w:b/>
                      <w:bCs/>
                      <w:color w:val="auto"/>
                      <w:w w:val="100"/>
                      <w:sz w:val="21"/>
                      <w:szCs w:val="21"/>
                      <w:lang w:val="en-US"/>
                    </w:rPr>
                  </w:pPr>
                  <w:r>
                    <w:rPr>
                      <w:rFonts w:hint="eastAsia" w:ascii="Times New Roman" w:hAnsi="Times New Roman" w:eastAsia="宋体" w:cs="Times New Roman"/>
                      <w:b/>
                      <w:bCs/>
                      <w:color w:val="auto"/>
                      <w:w w:val="100"/>
                      <w:sz w:val="21"/>
                      <w:szCs w:val="21"/>
                      <w:lang w:val="en-US" w:eastAsia="zh-CN"/>
                    </w:rPr>
                    <w:t>SO</w:t>
                  </w:r>
                  <w:r>
                    <w:rPr>
                      <w:rFonts w:hint="eastAsia" w:ascii="Times New Roman" w:hAnsi="Times New Roman" w:eastAsia="宋体" w:cs="Times New Roman"/>
                      <w:b/>
                      <w:bCs/>
                      <w:color w:val="auto"/>
                      <w:w w:val="100"/>
                      <w:sz w:val="21"/>
                      <w:szCs w:val="21"/>
                      <w:vertAlign w:val="subscript"/>
                      <w:lang w:val="en-US" w:eastAsia="zh-CN"/>
                    </w:rPr>
                    <w:t>2</w:t>
                  </w:r>
                </w:p>
              </w:tc>
              <w:tc>
                <w:tcPr>
                  <w:tcW w:w="366" w:type="pct"/>
                  <w:vAlign w:val="center"/>
                </w:tcPr>
                <w:p>
                  <w:pPr>
                    <w:pStyle w:val="29"/>
                    <w:snapToGrid w:val="0"/>
                    <w:ind w:left="0" w:leftChars="0"/>
                    <w:jc w:val="center"/>
                    <w:rPr>
                      <w:rFonts w:hint="default" w:ascii="Times New Roman" w:hAnsi="Times New Roman" w:eastAsia="宋体" w:cs="Times New Roman"/>
                      <w:b/>
                      <w:bCs/>
                      <w:color w:val="auto"/>
                      <w:w w:val="100"/>
                      <w:sz w:val="21"/>
                      <w:szCs w:val="21"/>
                      <w:lang w:val="en-US" w:eastAsia="zh-CN"/>
                    </w:rPr>
                  </w:pPr>
                  <w:r>
                    <w:rPr>
                      <w:rFonts w:hint="eastAsia" w:ascii="Times New Roman" w:hAnsi="Times New Roman" w:eastAsia="宋体" w:cs="Times New Roman"/>
                      <w:b/>
                      <w:bCs/>
                      <w:color w:val="auto"/>
                      <w:w w:val="100"/>
                      <w:sz w:val="21"/>
                      <w:szCs w:val="21"/>
                      <w:lang w:val="en-US" w:eastAsia="zh-CN"/>
                    </w:rPr>
                    <w:t>NO</w:t>
                  </w:r>
                  <w:r>
                    <w:rPr>
                      <w:rFonts w:hint="eastAsia" w:ascii="Times New Roman" w:hAnsi="Times New Roman" w:eastAsia="宋体" w:cs="Times New Roman"/>
                      <w:b/>
                      <w:bCs/>
                      <w:color w:val="auto"/>
                      <w:w w:val="100"/>
                      <w:sz w:val="21"/>
                      <w:szCs w:val="21"/>
                      <w:vertAlign w:val="subscript"/>
                      <w:lang w:val="en-US" w:eastAsia="zh-CN"/>
                    </w:rPr>
                    <w:t>X</w:t>
                  </w:r>
                </w:p>
              </w:tc>
              <w:tc>
                <w:tcPr>
                  <w:tcW w:w="248" w:type="pct"/>
                  <w:vAlign w:val="center"/>
                </w:tcPr>
                <w:p>
                  <w:pPr>
                    <w:pStyle w:val="29"/>
                    <w:snapToGrid w:val="0"/>
                    <w:ind w:left="0" w:leftChars="0"/>
                    <w:jc w:val="center"/>
                    <w:rPr>
                      <w:rFonts w:hint="default" w:ascii="Times New Roman" w:hAnsi="Times New Roman" w:eastAsia="宋体" w:cs="Times New Roman"/>
                      <w:b/>
                      <w:bCs/>
                      <w:color w:val="auto"/>
                      <w:w w:val="100"/>
                      <w:sz w:val="21"/>
                      <w:szCs w:val="21"/>
                      <w:lang w:val="en-US" w:eastAsia="zh-CN"/>
                    </w:rPr>
                  </w:pPr>
                  <w:r>
                    <w:rPr>
                      <w:rFonts w:hint="eastAsia" w:ascii="Times New Roman" w:hAnsi="Times New Roman" w:cs="Times New Roman"/>
                      <w:b/>
                      <w:bCs/>
                      <w:color w:val="auto"/>
                      <w:sz w:val="21"/>
                      <w:szCs w:val="21"/>
                      <w:lang w:val="en-US" w:eastAsia="zh-CN"/>
                    </w:rPr>
                    <w:t>汞及其化合物</w:t>
                  </w:r>
                </w:p>
              </w:tc>
              <w:tc>
                <w:tcPr>
                  <w:tcW w:w="250" w:type="pct"/>
                  <w:vAlign w:val="center"/>
                </w:tcPr>
                <w:p>
                  <w:pPr>
                    <w:pStyle w:val="29"/>
                    <w:snapToGrid w:val="0"/>
                    <w:ind w:left="0" w:leftChars="0"/>
                    <w:jc w:val="center"/>
                    <w:rPr>
                      <w:rFonts w:hint="default" w:ascii="Times New Roman" w:hAnsi="Times New Roman" w:eastAsia="宋体" w:cs="Times New Roman"/>
                      <w:b/>
                      <w:bCs/>
                      <w:color w:val="auto"/>
                      <w:w w:val="100"/>
                      <w:sz w:val="21"/>
                      <w:szCs w:val="21"/>
                      <w:lang w:val="en-US" w:eastAsia="zh-CN"/>
                    </w:rPr>
                  </w:pPr>
                  <w:r>
                    <w:rPr>
                      <w:rFonts w:hint="eastAsia" w:ascii="Times New Roman" w:hAnsi="Times New Roman" w:eastAsia="宋体" w:cs="Times New Roman"/>
                      <w:b/>
                      <w:bCs/>
                      <w:color w:val="auto"/>
                      <w:w w:val="100"/>
                      <w:sz w:val="21"/>
                      <w:szCs w:val="21"/>
                      <w:lang w:val="en-US" w:eastAsia="zh-CN"/>
                    </w:rPr>
                    <w:t>烟气黑度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Align w:val="center"/>
                </w:tcPr>
                <w:p>
                  <w:pPr>
                    <w:pStyle w:val="29"/>
                    <w:snapToGrid w:val="0"/>
                    <w:ind w:left="0" w:leftChars="0"/>
                    <w:rPr>
                      <w:rFonts w:hint="eastAsia" w:ascii="Times New Roman" w:hAnsi="Times New Roman" w:cs="Times New Roman" w:eastAsiaTheme="minorEastAsia"/>
                      <w:bCs/>
                      <w:color w:val="auto"/>
                      <w:spacing w:val="-11"/>
                      <w:w w:val="100"/>
                      <w:sz w:val="21"/>
                      <w:szCs w:val="21"/>
                      <w:lang w:eastAsia="zh-CN"/>
                    </w:rPr>
                  </w:pPr>
                  <w:r>
                    <w:rPr>
                      <w:rFonts w:ascii="Times New Roman" w:hAnsi="Times New Roman" w:cs="Times New Roman"/>
                      <w:bCs/>
                      <w:color w:val="auto"/>
                      <w:spacing w:val="-11"/>
                      <w:w w:val="100"/>
                      <w:sz w:val="21"/>
                      <w:szCs w:val="21"/>
                    </w:rPr>
                    <w:t>DA00</w:t>
                  </w:r>
                  <w:r>
                    <w:rPr>
                      <w:rFonts w:hint="eastAsia" w:ascii="Times New Roman" w:hAnsi="Times New Roman" w:cs="Times New Roman"/>
                      <w:bCs/>
                      <w:color w:val="auto"/>
                      <w:spacing w:val="-11"/>
                      <w:w w:val="100"/>
                      <w:sz w:val="21"/>
                      <w:szCs w:val="21"/>
                      <w:lang w:val="en-US" w:eastAsia="zh-CN"/>
                    </w:rPr>
                    <w:t>2</w:t>
                  </w:r>
                </w:p>
              </w:tc>
              <w:tc>
                <w:tcPr>
                  <w:tcW w:w="718" w:type="pct"/>
                  <w:vAlign w:val="center"/>
                </w:tcPr>
                <w:p>
                  <w:pPr>
                    <w:spacing w:line="320" w:lineRule="exact"/>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生物质锅炉废气排放口</w:t>
                  </w:r>
                </w:p>
              </w:tc>
              <w:tc>
                <w:tcPr>
                  <w:tcW w:w="438" w:type="pct"/>
                  <w:vAlign w:val="center"/>
                </w:tcPr>
                <w:p>
                  <w:pPr>
                    <w:pStyle w:val="5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117.423012944</w:t>
                  </w:r>
                </w:p>
              </w:tc>
              <w:tc>
                <w:tcPr>
                  <w:tcW w:w="438" w:type="pct"/>
                  <w:vAlign w:val="center"/>
                </w:tcPr>
                <w:p>
                  <w:pPr>
                    <w:pStyle w:val="5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41.943570769</w:t>
                  </w:r>
                </w:p>
              </w:tc>
              <w:tc>
                <w:tcPr>
                  <w:tcW w:w="308" w:type="pct"/>
                  <w:vAlign w:val="center"/>
                </w:tcPr>
                <w:p>
                  <w:pPr>
                    <w:pStyle w:val="5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lang w:val="en-US" w:eastAsia="zh-CN"/>
                    </w:rPr>
                    <w:t>923</w:t>
                  </w:r>
                </w:p>
              </w:tc>
              <w:tc>
                <w:tcPr>
                  <w:tcW w:w="261" w:type="pct"/>
                  <w:vAlign w:val="center"/>
                </w:tcPr>
                <w:p>
                  <w:pPr>
                    <w:pStyle w:val="5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78" w:type="pct"/>
                  <w:vAlign w:val="center"/>
                </w:tcPr>
                <w:p>
                  <w:pPr>
                    <w:pStyle w:val="5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0.8</w:t>
                  </w:r>
                </w:p>
              </w:tc>
              <w:tc>
                <w:tcPr>
                  <w:tcW w:w="291" w:type="pct"/>
                  <w:vAlign w:val="center"/>
                </w:tcPr>
                <w:p>
                  <w:pPr>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369" w:type="pct"/>
                  <w:vAlign w:val="center"/>
                </w:tcPr>
                <w:p>
                  <w:pPr>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2100</w:t>
                  </w:r>
                </w:p>
              </w:tc>
              <w:tc>
                <w:tcPr>
                  <w:tcW w:w="248" w:type="pct"/>
                  <w:vAlign w:val="center"/>
                </w:tcPr>
                <w:p>
                  <w:pPr>
                    <w:pStyle w:val="50"/>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0.03</w:t>
                  </w:r>
                </w:p>
              </w:tc>
              <w:tc>
                <w:tcPr>
                  <w:tcW w:w="328" w:type="pct"/>
                  <w:vAlign w:val="center"/>
                </w:tcPr>
                <w:p>
                  <w:pPr>
                    <w:pStyle w:val="50"/>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0.058</w:t>
                  </w:r>
                </w:p>
              </w:tc>
              <w:tc>
                <w:tcPr>
                  <w:tcW w:w="366" w:type="pct"/>
                  <w:vAlign w:val="center"/>
                </w:tcPr>
                <w:p>
                  <w:pPr>
                    <w:pStyle w:val="50"/>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0.267</w:t>
                  </w:r>
                </w:p>
              </w:tc>
              <w:tc>
                <w:tcPr>
                  <w:tcW w:w="248" w:type="pct"/>
                  <w:vAlign w:val="center"/>
                </w:tcPr>
                <w:p>
                  <w:pPr>
                    <w:pStyle w:val="50"/>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bCs/>
                      <w:color w:val="auto"/>
                      <w:szCs w:val="21"/>
                      <w:lang w:val="en-US" w:eastAsia="zh-CN"/>
                    </w:rPr>
                    <w:t>5.83</w:t>
                  </w:r>
                  <w:r>
                    <w:rPr>
                      <w:rFonts w:ascii="Times New Roman" w:hAnsi="Times New Roman" w:eastAsia="宋体" w:cs="Times New Roman"/>
                      <w:bCs/>
                      <w:color w:val="auto"/>
                      <w:szCs w:val="21"/>
                    </w:rPr>
                    <w:t>×10</w:t>
                  </w:r>
                  <w:r>
                    <w:rPr>
                      <w:rFonts w:ascii="Times New Roman" w:hAnsi="Times New Roman" w:eastAsia="宋体" w:cs="Times New Roman"/>
                      <w:bCs/>
                      <w:color w:val="auto"/>
                      <w:szCs w:val="21"/>
                      <w:vertAlign w:val="superscript"/>
                    </w:rPr>
                    <w:t>-6</w:t>
                  </w:r>
                </w:p>
              </w:tc>
              <w:tc>
                <w:tcPr>
                  <w:tcW w:w="250"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restart"/>
                  <w:vAlign w:val="center"/>
                </w:tcPr>
                <w:p>
                  <w:pPr>
                    <w:pStyle w:val="29"/>
                    <w:snapToGrid w:val="0"/>
                    <w:ind w:left="0" w:leftChars="0"/>
                    <w:rPr>
                      <w:rFonts w:ascii="Times New Roman" w:hAnsi="Times New Roman" w:cs="Times New Roman"/>
                      <w:bCs/>
                      <w:color w:val="auto"/>
                      <w:spacing w:val="-11"/>
                      <w:w w:val="100"/>
                      <w:sz w:val="21"/>
                      <w:szCs w:val="21"/>
                    </w:rPr>
                  </w:pPr>
                  <w:r>
                    <w:rPr>
                      <w:rFonts w:ascii="Times New Roman" w:hAnsi="Times New Roman" w:cs="Times New Roman"/>
                      <w:b/>
                      <w:color w:val="auto"/>
                      <w:w w:val="100"/>
                      <w:sz w:val="21"/>
                      <w:szCs w:val="21"/>
                    </w:rPr>
                    <w:t>编号</w:t>
                  </w:r>
                </w:p>
              </w:tc>
              <w:tc>
                <w:tcPr>
                  <w:tcW w:w="718" w:type="pct"/>
                  <w:vMerge w:val="restart"/>
                  <w:vAlign w:val="center"/>
                </w:tcPr>
                <w:p>
                  <w:pPr>
                    <w:pStyle w:val="29"/>
                    <w:snapToGrid w:val="0"/>
                    <w:ind w:left="0" w:leftChars="0"/>
                    <w:rPr>
                      <w:rFonts w:hint="eastAsia" w:ascii="Times New Roman" w:hAnsi="Times New Roman" w:cs="Times New Roman"/>
                      <w:color w:val="auto"/>
                      <w:kern w:val="2"/>
                      <w:sz w:val="21"/>
                      <w:szCs w:val="21"/>
                      <w:vertAlign w:val="baseline"/>
                      <w:lang w:val="en-US" w:eastAsia="zh-CN" w:bidi="ar-SA"/>
                    </w:rPr>
                  </w:pPr>
                  <w:r>
                    <w:rPr>
                      <w:rFonts w:ascii="Times New Roman" w:hAnsi="Times New Roman" w:cs="Times New Roman"/>
                      <w:b/>
                      <w:color w:val="auto"/>
                      <w:w w:val="100"/>
                      <w:sz w:val="21"/>
                      <w:szCs w:val="21"/>
                    </w:rPr>
                    <w:t>名称</w:t>
                  </w:r>
                </w:p>
              </w:tc>
              <w:tc>
                <w:tcPr>
                  <w:tcW w:w="877" w:type="pct"/>
                  <w:gridSpan w:val="2"/>
                  <w:vAlign w:val="center"/>
                </w:tcPr>
                <w:p>
                  <w:pPr>
                    <w:pStyle w:val="29"/>
                    <w:snapToGrid w:val="0"/>
                    <w:ind w:left="0" w:leftChars="0"/>
                    <w:rPr>
                      <w:rFonts w:hint="default" w:ascii="Times New Roman" w:hAnsi="Times New Roman" w:cs="Times New Roman"/>
                      <w:color w:val="auto"/>
                      <w:sz w:val="21"/>
                      <w:szCs w:val="21"/>
                    </w:rPr>
                  </w:pPr>
                  <w:r>
                    <w:rPr>
                      <w:rFonts w:ascii="Times New Roman" w:hAnsi="Times New Roman" w:cs="Times New Roman"/>
                      <w:b/>
                      <w:color w:val="auto"/>
                      <w:w w:val="100"/>
                      <w:sz w:val="21"/>
                      <w:szCs w:val="21"/>
                    </w:rPr>
                    <w:t>排气筒底部中心坐标</w:t>
                  </w:r>
                </w:p>
              </w:tc>
              <w:tc>
                <w:tcPr>
                  <w:tcW w:w="308" w:type="pct"/>
                  <w:vMerge w:val="restart"/>
                  <w:vAlign w:val="center"/>
                </w:tcPr>
                <w:p>
                  <w:pPr>
                    <w:pStyle w:val="29"/>
                    <w:snapToGrid w:val="0"/>
                    <w:ind w:left="0" w:leftChars="0"/>
                    <w:rPr>
                      <w:rFonts w:hint="eastAsia" w:ascii="Times New Roman" w:hAnsi="Times New Roman" w:cs="Times New Roman"/>
                      <w:color w:val="auto"/>
                      <w:sz w:val="21"/>
                      <w:szCs w:val="21"/>
                      <w:lang w:val="en-US" w:eastAsia="zh-CN"/>
                    </w:rPr>
                  </w:pPr>
                  <w:r>
                    <w:rPr>
                      <w:rFonts w:ascii="Times New Roman" w:hAnsi="Times New Roman" w:cs="Times New Roman"/>
                      <w:b/>
                      <w:color w:val="auto"/>
                      <w:w w:val="100"/>
                      <w:sz w:val="21"/>
                      <w:szCs w:val="21"/>
                    </w:rPr>
                    <w:t>排气筒底部海拔高度/m</w:t>
                  </w:r>
                </w:p>
              </w:tc>
              <w:tc>
                <w:tcPr>
                  <w:tcW w:w="261" w:type="pct"/>
                  <w:vMerge w:val="restart"/>
                  <w:vAlign w:val="center"/>
                </w:tcPr>
                <w:p>
                  <w:pPr>
                    <w:pStyle w:val="29"/>
                    <w:snapToGrid w:val="0"/>
                    <w:ind w:left="0" w:leftChars="0"/>
                    <w:rPr>
                      <w:rFonts w:hint="eastAsia" w:ascii="Times New Roman" w:hAnsi="Times New Roman" w:cs="Times New Roman"/>
                      <w:color w:val="auto"/>
                      <w:sz w:val="21"/>
                      <w:szCs w:val="21"/>
                      <w:lang w:val="en-US" w:eastAsia="zh-CN"/>
                    </w:rPr>
                  </w:pPr>
                  <w:r>
                    <w:rPr>
                      <w:rFonts w:ascii="Times New Roman" w:hAnsi="Times New Roman" w:cs="Times New Roman"/>
                      <w:b/>
                      <w:color w:val="auto"/>
                      <w:w w:val="100"/>
                      <w:sz w:val="21"/>
                      <w:szCs w:val="21"/>
                    </w:rPr>
                    <w:t>排气筒高度/m</w:t>
                  </w:r>
                </w:p>
              </w:tc>
              <w:tc>
                <w:tcPr>
                  <w:tcW w:w="278" w:type="pct"/>
                  <w:vMerge w:val="restart"/>
                  <w:vAlign w:val="center"/>
                </w:tcPr>
                <w:p>
                  <w:pPr>
                    <w:pStyle w:val="29"/>
                    <w:snapToGrid w:val="0"/>
                    <w:ind w:left="0" w:leftChars="0"/>
                    <w:rPr>
                      <w:rFonts w:hint="eastAsia" w:ascii="Times New Roman" w:hAnsi="Times New Roman" w:cs="Times New Roman"/>
                      <w:color w:val="auto"/>
                      <w:sz w:val="21"/>
                      <w:szCs w:val="21"/>
                      <w:lang w:val="en-US" w:eastAsia="zh-CN"/>
                    </w:rPr>
                  </w:pPr>
                  <w:r>
                    <w:rPr>
                      <w:rFonts w:ascii="Times New Roman" w:hAnsi="Times New Roman" w:cs="Times New Roman"/>
                      <w:b/>
                      <w:color w:val="auto"/>
                      <w:w w:val="100"/>
                      <w:sz w:val="21"/>
                      <w:szCs w:val="21"/>
                    </w:rPr>
                    <w:t>排气筒出口内径/m</w:t>
                  </w:r>
                </w:p>
              </w:tc>
              <w:tc>
                <w:tcPr>
                  <w:tcW w:w="291" w:type="pct"/>
                  <w:vMerge w:val="restart"/>
                  <w:vAlign w:val="center"/>
                </w:tcPr>
                <w:p>
                  <w:pPr>
                    <w:pStyle w:val="29"/>
                    <w:snapToGrid w:val="0"/>
                    <w:ind w:left="0" w:leftChars="0"/>
                    <w:rPr>
                      <w:rFonts w:hint="eastAsia" w:ascii="Times New Roman" w:hAnsi="Times New Roman" w:cs="Times New Roman"/>
                      <w:color w:val="auto"/>
                      <w:sz w:val="21"/>
                      <w:szCs w:val="21"/>
                      <w:lang w:val="en-US" w:eastAsia="zh-CN"/>
                    </w:rPr>
                  </w:pPr>
                  <w:r>
                    <w:rPr>
                      <w:rFonts w:ascii="Times New Roman" w:hAnsi="Times New Roman" w:cs="Times New Roman"/>
                      <w:b/>
                      <w:color w:val="auto"/>
                      <w:w w:val="100"/>
                      <w:sz w:val="21"/>
                      <w:szCs w:val="21"/>
                    </w:rPr>
                    <w:t>烟气温度/℃</w:t>
                  </w:r>
                </w:p>
              </w:tc>
              <w:tc>
                <w:tcPr>
                  <w:tcW w:w="369" w:type="pct"/>
                  <w:vMerge w:val="restart"/>
                  <w:vAlign w:val="center"/>
                </w:tcPr>
                <w:p>
                  <w:pPr>
                    <w:pStyle w:val="29"/>
                    <w:snapToGrid w:val="0"/>
                    <w:ind w:left="0" w:leftChars="0"/>
                    <w:rPr>
                      <w:rFonts w:hint="eastAsia" w:ascii="Times New Roman" w:hAnsi="Times New Roman" w:cs="Times New Roman"/>
                      <w:color w:val="auto"/>
                      <w:sz w:val="21"/>
                      <w:szCs w:val="21"/>
                      <w:lang w:val="en-US" w:eastAsia="zh-CN"/>
                    </w:rPr>
                  </w:pPr>
                  <w:r>
                    <w:rPr>
                      <w:rFonts w:ascii="Times New Roman" w:hAnsi="Times New Roman" w:cs="Times New Roman"/>
                      <w:b/>
                      <w:color w:val="auto"/>
                      <w:w w:val="100"/>
                      <w:sz w:val="21"/>
                      <w:szCs w:val="21"/>
                    </w:rPr>
                    <w:t>年排放小时数/h</w:t>
                  </w:r>
                </w:p>
              </w:tc>
              <w:tc>
                <w:tcPr>
                  <w:tcW w:w="1442" w:type="pct"/>
                  <w:gridSpan w:val="5"/>
                  <w:vAlign w:val="center"/>
                </w:tcPr>
                <w:p>
                  <w:pPr>
                    <w:pStyle w:val="29"/>
                    <w:snapToGrid w:val="0"/>
                    <w:ind w:left="0" w:leftChars="0"/>
                    <w:rPr>
                      <w:rFonts w:hint="eastAsia" w:ascii="Times New Roman" w:hAnsi="Times New Roman" w:eastAsia="宋体" w:cs="Times New Roman"/>
                      <w:i w:val="0"/>
                      <w:color w:val="auto"/>
                      <w:kern w:val="0"/>
                      <w:sz w:val="21"/>
                      <w:szCs w:val="21"/>
                      <w:u w:val="none"/>
                      <w:lang w:val="en-US" w:eastAsia="zh-CN" w:bidi="ar"/>
                    </w:rPr>
                  </w:pPr>
                  <w:r>
                    <w:rPr>
                      <w:rFonts w:ascii="Times New Roman" w:hAnsi="Times New Roman" w:cs="Times New Roman"/>
                      <w:b/>
                      <w:color w:val="auto"/>
                      <w:w w:val="100"/>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Merge w:val="continue"/>
                  <w:vAlign w:val="center"/>
                </w:tcPr>
                <w:p>
                  <w:pPr>
                    <w:pStyle w:val="29"/>
                    <w:snapToGrid w:val="0"/>
                    <w:ind w:left="0" w:leftChars="0"/>
                    <w:rPr>
                      <w:rFonts w:ascii="Times New Roman" w:hAnsi="Times New Roman" w:cs="Times New Roman"/>
                      <w:bCs/>
                      <w:color w:val="auto"/>
                      <w:spacing w:val="-11"/>
                      <w:w w:val="100"/>
                      <w:sz w:val="21"/>
                      <w:szCs w:val="21"/>
                    </w:rPr>
                  </w:pPr>
                </w:p>
              </w:tc>
              <w:tc>
                <w:tcPr>
                  <w:tcW w:w="718" w:type="pct"/>
                  <w:vMerge w:val="continue"/>
                  <w:vAlign w:val="center"/>
                </w:tcPr>
                <w:p>
                  <w:pPr>
                    <w:pStyle w:val="29"/>
                    <w:snapToGrid w:val="0"/>
                    <w:ind w:left="0" w:leftChars="0"/>
                    <w:rPr>
                      <w:rFonts w:hint="eastAsia" w:ascii="Times New Roman" w:hAnsi="Times New Roman" w:cs="Times New Roman"/>
                      <w:color w:val="auto"/>
                      <w:kern w:val="2"/>
                      <w:sz w:val="21"/>
                      <w:szCs w:val="21"/>
                      <w:vertAlign w:val="baseline"/>
                      <w:lang w:val="en-US" w:eastAsia="zh-CN" w:bidi="ar-SA"/>
                    </w:rPr>
                  </w:pPr>
                </w:p>
              </w:tc>
              <w:tc>
                <w:tcPr>
                  <w:tcW w:w="438" w:type="pct"/>
                  <w:vAlign w:val="center"/>
                </w:tcPr>
                <w:p>
                  <w:pPr>
                    <w:pStyle w:val="29"/>
                    <w:snapToGrid w:val="0"/>
                    <w:ind w:left="0" w:leftChars="0"/>
                    <w:rPr>
                      <w:color w:val="auto"/>
                    </w:rPr>
                  </w:pPr>
                  <w:r>
                    <w:rPr>
                      <w:rFonts w:ascii="Times New Roman" w:hAnsi="Times New Roman" w:cs="Times New Roman"/>
                      <w:b/>
                      <w:color w:val="auto"/>
                      <w:w w:val="100"/>
                      <w:sz w:val="21"/>
                      <w:szCs w:val="21"/>
                    </w:rPr>
                    <w:t>E</w:t>
                  </w:r>
                </w:p>
              </w:tc>
              <w:tc>
                <w:tcPr>
                  <w:tcW w:w="438" w:type="pct"/>
                  <w:vAlign w:val="center"/>
                </w:tcPr>
                <w:p>
                  <w:pPr>
                    <w:pStyle w:val="29"/>
                    <w:snapToGrid w:val="0"/>
                    <w:ind w:left="0" w:left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b/>
                      <w:bCs/>
                      <w:color w:val="auto"/>
                      <w:sz w:val="21"/>
                      <w:szCs w:val="21"/>
                      <w:lang w:val="en-US" w:eastAsia="zh-CN"/>
                    </w:rPr>
                    <w:t>N</w:t>
                  </w:r>
                </w:p>
              </w:tc>
              <w:tc>
                <w:tcPr>
                  <w:tcW w:w="308" w:type="pct"/>
                  <w:vMerge w:val="continue"/>
                  <w:vAlign w:val="center"/>
                </w:tcPr>
                <w:p>
                  <w:pPr>
                    <w:pStyle w:val="29"/>
                    <w:snapToGrid w:val="0"/>
                    <w:ind w:left="0" w:leftChars="0"/>
                    <w:rPr>
                      <w:rFonts w:hint="eastAsia" w:ascii="Times New Roman" w:hAnsi="Times New Roman" w:cs="Times New Roman"/>
                      <w:color w:val="auto"/>
                      <w:sz w:val="21"/>
                      <w:szCs w:val="21"/>
                      <w:lang w:val="en-US" w:eastAsia="zh-CN"/>
                    </w:rPr>
                  </w:pPr>
                </w:p>
              </w:tc>
              <w:tc>
                <w:tcPr>
                  <w:tcW w:w="261" w:type="pct"/>
                  <w:vMerge w:val="continue"/>
                  <w:vAlign w:val="center"/>
                </w:tcPr>
                <w:p>
                  <w:pPr>
                    <w:pStyle w:val="29"/>
                    <w:snapToGrid w:val="0"/>
                    <w:ind w:left="0" w:leftChars="0"/>
                    <w:rPr>
                      <w:rFonts w:hint="eastAsia" w:ascii="Times New Roman" w:hAnsi="Times New Roman" w:cs="Times New Roman"/>
                      <w:color w:val="auto"/>
                      <w:sz w:val="21"/>
                      <w:szCs w:val="21"/>
                      <w:lang w:val="en-US" w:eastAsia="zh-CN"/>
                    </w:rPr>
                  </w:pPr>
                </w:p>
              </w:tc>
              <w:tc>
                <w:tcPr>
                  <w:tcW w:w="278" w:type="pct"/>
                  <w:vMerge w:val="continue"/>
                  <w:vAlign w:val="center"/>
                </w:tcPr>
                <w:p>
                  <w:pPr>
                    <w:pStyle w:val="29"/>
                    <w:snapToGrid w:val="0"/>
                    <w:ind w:left="0" w:leftChars="0"/>
                    <w:rPr>
                      <w:rFonts w:hint="eastAsia" w:ascii="Times New Roman" w:hAnsi="Times New Roman" w:cs="Times New Roman"/>
                      <w:color w:val="auto"/>
                      <w:sz w:val="21"/>
                      <w:szCs w:val="21"/>
                      <w:lang w:val="en-US" w:eastAsia="zh-CN"/>
                    </w:rPr>
                  </w:pPr>
                </w:p>
              </w:tc>
              <w:tc>
                <w:tcPr>
                  <w:tcW w:w="291" w:type="pct"/>
                  <w:vMerge w:val="continue"/>
                  <w:vAlign w:val="center"/>
                </w:tcPr>
                <w:p>
                  <w:pPr>
                    <w:pStyle w:val="29"/>
                    <w:snapToGrid w:val="0"/>
                    <w:ind w:left="0" w:leftChars="0"/>
                    <w:rPr>
                      <w:rFonts w:hint="eastAsia" w:ascii="Times New Roman" w:hAnsi="Times New Roman" w:cs="Times New Roman"/>
                      <w:color w:val="auto"/>
                      <w:sz w:val="21"/>
                      <w:szCs w:val="21"/>
                      <w:lang w:val="en-US" w:eastAsia="zh-CN"/>
                    </w:rPr>
                  </w:pPr>
                </w:p>
              </w:tc>
              <w:tc>
                <w:tcPr>
                  <w:tcW w:w="369" w:type="pct"/>
                  <w:vMerge w:val="continue"/>
                  <w:vAlign w:val="center"/>
                </w:tcPr>
                <w:p>
                  <w:pPr>
                    <w:pStyle w:val="29"/>
                    <w:snapToGrid w:val="0"/>
                    <w:ind w:left="0" w:leftChars="0"/>
                    <w:rPr>
                      <w:rFonts w:hint="eastAsia" w:ascii="Times New Roman" w:hAnsi="Times New Roman" w:cs="Times New Roman"/>
                      <w:color w:val="auto"/>
                      <w:sz w:val="21"/>
                      <w:szCs w:val="21"/>
                      <w:lang w:val="en-US" w:eastAsia="zh-CN"/>
                    </w:rPr>
                  </w:pPr>
                </w:p>
              </w:tc>
              <w:tc>
                <w:tcPr>
                  <w:tcW w:w="577" w:type="pct"/>
                  <w:gridSpan w:val="2"/>
                  <w:vAlign w:val="center"/>
                </w:tcPr>
                <w:p>
                  <w:pPr>
                    <w:pStyle w:val="29"/>
                    <w:snapToGrid w:val="0"/>
                    <w:ind w:left="0" w:leftChars="0"/>
                    <w:rPr>
                      <w:rFonts w:hint="default" w:ascii="Times New Roman" w:hAnsi="Times New Roman" w:cs="Times New Roman"/>
                      <w:b/>
                      <w:color w:val="auto"/>
                      <w:w w:val="100"/>
                      <w:sz w:val="21"/>
                      <w:szCs w:val="21"/>
                      <w:lang w:val="en-US" w:eastAsia="zh-CN"/>
                    </w:rPr>
                  </w:pPr>
                  <w:r>
                    <w:rPr>
                      <w:rFonts w:hint="eastAsia" w:ascii="Times New Roman" w:hAnsi="Times New Roman" w:cs="Times New Roman"/>
                      <w:b/>
                      <w:color w:val="auto"/>
                      <w:w w:val="100"/>
                      <w:sz w:val="21"/>
                      <w:szCs w:val="21"/>
                      <w:lang w:val="en-US" w:eastAsia="zh-CN"/>
                    </w:rPr>
                    <w:t>氨</w:t>
                  </w:r>
                </w:p>
              </w:tc>
              <w:tc>
                <w:tcPr>
                  <w:tcW w:w="614" w:type="pct"/>
                  <w:gridSpan w:val="2"/>
                  <w:vAlign w:val="center"/>
                </w:tcPr>
                <w:p>
                  <w:pPr>
                    <w:pStyle w:val="29"/>
                    <w:snapToGrid w:val="0"/>
                    <w:ind w:left="0" w:leftChars="0"/>
                    <w:rPr>
                      <w:rFonts w:hint="default" w:ascii="Times New Roman" w:hAnsi="Times New Roman" w:cs="Times New Roman"/>
                      <w:b/>
                      <w:color w:val="auto"/>
                      <w:w w:val="100"/>
                      <w:sz w:val="21"/>
                      <w:szCs w:val="21"/>
                      <w:lang w:val="en-US" w:eastAsia="zh-CN"/>
                    </w:rPr>
                  </w:pPr>
                  <w:r>
                    <w:rPr>
                      <w:rFonts w:hint="eastAsia" w:ascii="Times New Roman" w:hAnsi="Times New Roman" w:cs="Times New Roman"/>
                      <w:b/>
                      <w:color w:val="auto"/>
                      <w:w w:val="100"/>
                      <w:sz w:val="21"/>
                      <w:szCs w:val="21"/>
                      <w:lang w:val="en-US" w:eastAsia="zh-CN"/>
                    </w:rPr>
                    <w:t>硫化氢</w:t>
                  </w:r>
                </w:p>
              </w:tc>
              <w:tc>
                <w:tcPr>
                  <w:tcW w:w="250" w:type="pct"/>
                  <w:vAlign w:val="center"/>
                </w:tcPr>
                <w:p>
                  <w:pPr>
                    <w:pStyle w:val="29"/>
                    <w:snapToGrid w:val="0"/>
                    <w:ind w:left="0" w:leftChars="0"/>
                    <w:rPr>
                      <w:rFonts w:hint="default" w:ascii="Times New Roman" w:hAnsi="Times New Roman" w:cs="Times New Roman"/>
                      <w:b/>
                      <w:color w:val="auto"/>
                      <w:w w:val="100"/>
                      <w:sz w:val="21"/>
                      <w:szCs w:val="21"/>
                      <w:lang w:val="en-US" w:eastAsia="zh-CN"/>
                    </w:rPr>
                  </w:pPr>
                  <w:r>
                    <w:rPr>
                      <w:rFonts w:hint="eastAsia" w:ascii="Times New Roman" w:hAnsi="Times New Roman" w:cs="Times New Roman"/>
                      <w:b/>
                      <w:color w:val="auto"/>
                      <w:w w:val="100"/>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Align w:val="center"/>
                </w:tcPr>
                <w:p>
                  <w:pPr>
                    <w:pStyle w:val="29"/>
                    <w:snapToGrid w:val="0"/>
                    <w:ind w:left="0" w:leftChars="0"/>
                    <w:rPr>
                      <w:rFonts w:hint="default" w:ascii="Times New Roman" w:hAnsi="Times New Roman" w:cs="Times New Roman"/>
                      <w:bCs/>
                      <w:color w:val="auto"/>
                      <w:spacing w:val="-11"/>
                      <w:w w:val="100"/>
                      <w:sz w:val="21"/>
                      <w:szCs w:val="21"/>
                      <w:lang w:val="en-US" w:eastAsia="zh-CN"/>
                    </w:rPr>
                  </w:pPr>
                  <w:r>
                    <w:rPr>
                      <w:rFonts w:hint="eastAsia" w:ascii="Times New Roman" w:hAnsi="Times New Roman" w:cs="Times New Roman"/>
                      <w:bCs/>
                      <w:color w:val="auto"/>
                      <w:spacing w:val="-11"/>
                      <w:w w:val="100"/>
                      <w:sz w:val="21"/>
                      <w:szCs w:val="21"/>
                      <w:lang w:val="en-US" w:eastAsia="zh-CN"/>
                    </w:rPr>
                    <w:t>DA001</w:t>
                  </w:r>
                </w:p>
              </w:tc>
              <w:tc>
                <w:tcPr>
                  <w:tcW w:w="718" w:type="pct"/>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生产废气排放口</w:t>
                  </w:r>
                </w:p>
              </w:tc>
              <w:tc>
                <w:tcPr>
                  <w:tcW w:w="438" w:type="pct"/>
                  <w:vAlign w:val="center"/>
                </w:tcPr>
                <w:p>
                  <w:pPr>
                    <w:pStyle w:val="5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117.423408361</w:t>
                  </w:r>
                </w:p>
              </w:tc>
              <w:tc>
                <w:tcPr>
                  <w:tcW w:w="438" w:type="pct"/>
                  <w:vAlign w:val="center"/>
                </w:tcPr>
                <w:p>
                  <w:pPr>
                    <w:pStyle w:val="5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41.942771922</w:t>
                  </w:r>
                </w:p>
              </w:tc>
              <w:tc>
                <w:tcPr>
                  <w:tcW w:w="308" w:type="pct"/>
                  <w:vAlign w:val="center"/>
                </w:tcPr>
                <w:p>
                  <w:pPr>
                    <w:pStyle w:val="5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921</w:t>
                  </w:r>
                </w:p>
              </w:tc>
              <w:tc>
                <w:tcPr>
                  <w:tcW w:w="261" w:type="pct"/>
                  <w:vAlign w:val="center"/>
                </w:tcPr>
                <w:p>
                  <w:pPr>
                    <w:pStyle w:val="5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278" w:type="pct"/>
                  <w:vAlign w:val="center"/>
                </w:tcPr>
                <w:p>
                  <w:pPr>
                    <w:pStyle w:val="5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c>
                <w:tcPr>
                  <w:tcW w:w="291" w:type="pct"/>
                  <w:vAlign w:val="center"/>
                </w:tcPr>
                <w:p>
                  <w:pPr>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常温</w:t>
                  </w:r>
                </w:p>
              </w:tc>
              <w:tc>
                <w:tcPr>
                  <w:tcW w:w="369" w:type="pct"/>
                  <w:vAlign w:val="center"/>
                </w:tcPr>
                <w:p>
                  <w:pPr>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2400</w:t>
                  </w:r>
                </w:p>
              </w:tc>
              <w:tc>
                <w:tcPr>
                  <w:tcW w:w="577" w:type="pct"/>
                  <w:gridSpan w:val="2"/>
                  <w:vAlign w:val="center"/>
                </w:tcPr>
                <w:p>
                  <w:pPr>
                    <w:pStyle w:val="50"/>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14" w:type="pct"/>
                  <w:gridSpan w:val="2"/>
                  <w:vAlign w:val="center"/>
                </w:tcPr>
                <w:p>
                  <w:pPr>
                    <w:pStyle w:val="50"/>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250"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pct"/>
                  <w:vAlign w:val="center"/>
                </w:tcPr>
                <w:p>
                  <w:pPr>
                    <w:pStyle w:val="29"/>
                    <w:snapToGrid w:val="0"/>
                    <w:ind w:left="0" w:leftChars="0"/>
                    <w:rPr>
                      <w:rFonts w:hint="eastAsia" w:ascii="Times New Roman" w:hAnsi="Times New Roman" w:cs="Times New Roman" w:eastAsiaTheme="minorEastAsia"/>
                      <w:bCs/>
                      <w:color w:val="auto"/>
                      <w:spacing w:val="-11"/>
                      <w:w w:val="100"/>
                      <w:sz w:val="21"/>
                      <w:szCs w:val="21"/>
                      <w:lang w:val="en-US" w:eastAsia="zh-CN"/>
                    </w:rPr>
                  </w:pPr>
                  <w:r>
                    <w:rPr>
                      <w:rFonts w:hint="eastAsia" w:ascii="Times New Roman" w:hAnsi="Times New Roman" w:cs="Times New Roman"/>
                      <w:bCs/>
                      <w:color w:val="auto"/>
                      <w:spacing w:val="-11"/>
                      <w:w w:val="100"/>
                      <w:sz w:val="21"/>
                      <w:szCs w:val="21"/>
                      <w:lang w:val="en-US" w:eastAsia="zh-CN"/>
                    </w:rPr>
                    <w:t>DA003</w:t>
                  </w:r>
                </w:p>
              </w:tc>
              <w:tc>
                <w:tcPr>
                  <w:tcW w:w="718" w:type="pct"/>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污水处理站废气排放口</w:t>
                  </w:r>
                </w:p>
              </w:tc>
              <w:tc>
                <w:tcPr>
                  <w:tcW w:w="438" w:type="pct"/>
                  <w:vAlign w:val="center"/>
                </w:tcPr>
                <w:p>
                  <w:pPr>
                    <w:pStyle w:val="5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117.422897608</w:t>
                  </w:r>
                </w:p>
              </w:tc>
              <w:tc>
                <w:tcPr>
                  <w:tcW w:w="438" w:type="pct"/>
                  <w:vAlign w:val="center"/>
                </w:tcPr>
                <w:p>
                  <w:pPr>
                    <w:pStyle w:val="5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41.942436488</w:t>
                  </w:r>
                </w:p>
              </w:tc>
              <w:tc>
                <w:tcPr>
                  <w:tcW w:w="308" w:type="pct"/>
                  <w:vAlign w:val="center"/>
                </w:tcPr>
                <w:p>
                  <w:pPr>
                    <w:pStyle w:val="5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921</w:t>
                  </w:r>
                </w:p>
              </w:tc>
              <w:tc>
                <w:tcPr>
                  <w:tcW w:w="261" w:type="pct"/>
                  <w:vAlign w:val="center"/>
                </w:tcPr>
                <w:p>
                  <w:pPr>
                    <w:pStyle w:val="5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278" w:type="pct"/>
                  <w:vAlign w:val="center"/>
                </w:tcPr>
                <w:p>
                  <w:pPr>
                    <w:pStyle w:val="5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c>
                <w:tcPr>
                  <w:tcW w:w="291" w:type="pct"/>
                  <w:vAlign w:val="center"/>
                </w:tcPr>
                <w:p>
                  <w:pPr>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常温</w:t>
                  </w:r>
                </w:p>
              </w:tc>
              <w:tc>
                <w:tcPr>
                  <w:tcW w:w="369" w:type="pct"/>
                  <w:vAlign w:val="center"/>
                </w:tcPr>
                <w:p>
                  <w:pPr>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2400</w:t>
                  </w:r>
                </w:p>
              </w:tc>
              <w:tc>
                <w:tcPr>
                  <w:tcW w:w="577" w:type="pct"/>
                  <w:gridSpan w:val="2"/>
                  <w:vAlign w:val="center"/>
                </w:tcPr>
                <w:p>
                  <w:pPr>
                    <w:pStyle w:val="50"/>
                    <w:spacing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0.002</w:t>
                  </w:r>
                </w:p>
              </w:tc>
              <w:tc>
                <w:tcPr>
                  <w:tcW w:w="614" w:type="pct"/>
                  <w:gridSpan w:val="2"/>
                  <w:vAlign w:val="center"/>
                </w:tcPr>
                <w:p>
                  <w:pPr>
                    <w:pStyle w:val="50"/>
                    <w:spacing w:line="240" w:lineRule="auto"/>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i w:val="0"/>
                      <w:color w:val="auto"/>
                      <w:kern w:val="0"/>
                      <w:sz w:val="21"/>
                      <w:szCs w:val="21"/>
                      <w:u w:val="none"/>
                      <w:lang w:val="en-US" w:eastAsia="zh-CN" w:bidi="ar"/>
                    </w:rPr>
                    <w:t>0.003</w:t>
                  </w:r>
                </w:p>
              </w:tc>
              <w:tc>
                <w:tcPr>
                  <w:tcW w:w="250"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r>
          </w:tbl>
          <w:p>
            <w:pPr>
              <w:snapToGrid w:val="0"/>
              <w:spacing w:before="156" w:beforeLines="50" w:line="360" w:lineRule="auto"/>
              <w:ind w:firstLine="482" w:firstLineChars="200"/>
              <w:jc w:val="left"/>
              <w:rPr>
                <w:rFonts w:ascii="Times New Roman" w:hAnsi="Times New Roman" w:cs="Times New Roman"/>
                <w:b/>
                <w:bCs/>
                <w:color w:val="auto"/>
                <w:sz w:val="24"/>
              </w:rPr>
            </w:pPr>
            <w:r>
              <w:rPr>
                <w:rFonts w:ascii="Times New Roman" w:hAnsi="Times New Roman" w:cs="Times New Roman"/>
                <w:b/>
                <w:bCs/>
                <w:color w:val="auto"/>
                <w:sz w:val="24"/>
              </w:rPr>
              <w:t>（</w:t>
            </w:r>
            <w:r>
              <w:rPr>
                <w:rFonts w:hint="eastAsia" w:ascii="Times New Roman" w:hAnsi="Times New Roman" w:cs="Times New Roman"/>
                <w:b/>
                <w:bCs/>
                <w:color w:val="auto"/>
                <w:sz w:val="24"/>
                <w:lang w:val="en-US" w:eastAsia="zh-CN"/>
              </w:rPr>
              <w:t>5</w:t>
            </w:r>
            <w:r>
              <w:rPr>
                <w:rFonts w:ascii="Times New Roman" w:hAnsi="Times New Roman" w:cs="Times New Roman"/>
                <w:b/>
                <w:bCs/>
                <w:color w:val="auto"/>
                <w:sz w:val="24"/>
              </w:rPr>
              <w:t>）监测要求</w:t>
            </w:r>
          </w:p>
          <w:p>
            <w:pPr>
              <w:snapToGrid w:val="0"/>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根据《排污单位自行监测技术指南 火力发电及锅炉》（HJ 820-2017）</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排污许可证申请与核发技术规范 农副食品加工工业—屠宰及肉类加工工业</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szCs w:val="24"/>
                <w:lang w:val="en-US" w:eastAsia="zh-CN"/>
              </w:rPr>
              <w:t>。</w:t>
            </w:r>
            <w:r>
              <w:rPr>
                <w:rFonts w:ascii="Times New Roman" w:hAnsi="Times New Roman" w:cs="Times New Roman"/>
                <w:color w:val="auto"/>
                <w:sz w:val="24"/>
              </w:rPr>
              <w:t>项目大气污染源监测要求详见下表：</w:t>
            </w:r>
          </w:p>
          <w:p>
            <w:pPr>
              <w:snapToGrid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表4-7  大气污染源监测计划</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50"/>
              <w:gridCol w:w="1258"/>
              <w:gridCol w:w="1641"/>
              <w:gridCol w:w="1392"/>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gridSpan w:val="2"/>
                  <w:vAlign w:val="center"/>
                </w:tcPr>
                <w:p>
                  <w:pPr>
                    <w:pStyle w:val="4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环境要素</w:t>
                  </w:r>
                </w:p>
              </w:tc>
              <w:tc>
                <w:tcPr>
                  <w:tcW w:w="744" w:type="pct"/>
                  <w:vAlign w:val="center"/>
                </w:tcPr>
                <w:p>
                  <w:pPr>
                    <w:pStyle w:val="4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监测位置</w:t>
                  </w:r>
                </w:p>
              </w:tc>
              <w:tc>
                <w:tcPr>
                  <w:tcW w:w="970" w:type="pct"/>
                  <w:vAlign w:val="center"/>
                </w:tcPr>
                <w:p>
                  <w:pPr>
                    <w:pStyle w:val="4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监测项目</w:t>
                  </w:r>
                </w:p>
              </w:tc>
              <w:tc>
                <w:tcPr>
                  <w:tcW w:w="823" w:type="pct"/>
                  <w:vAlign w:val="center"/>
                </w:tcPr>
                <w:p>
                  <w:pPr>
                    <w:pStyle w:val="4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频次</w:t>
                  </w:r>
                </w:p>
              </w:tc>
              <w:tc>
                <w:tcPr>
                  <w:tcW w:w="1641" w:type="pct"/>
                  <w:vAlign w:val="center"/>
                </w:tcPr>
                <w:p>
                  <w:pPr>
                    <w:pStyle w:val="4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restart"/>
                  <w:vAlign w:val="center"/>
                </w:tcPr>
                <w:p>
                  <w:pPr>
                    <w:pStyle w:val="47"/>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502" w:type="pct"/>
                  <w:vAlign w:val="center"/>
                </w:tcPr>
                <w:p>
                  <w:pPr>
                    <w:pStyle w:val="47"/>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有组织</w:t>
                  </w:r>
                </w:p>
              </w:tc>
              <w:tc>
                <w:tcPr>
                  <w:tcW w:w="744" w:type="pct"/>
                  <w:vAlign w:val="center"/>
                </w:tcPr>
                <w:p>
                  <w:pPr>
                    <w:pStyle w:val="47"/>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DA001</w:t>
                  </w:r>
                </w:p>
              </w:tc>
              <w:tc>
                <w:tcPr>
                  <w:tcW w:w="970" w:type="pct"/>
                  <w:vAlign w:val="center"/>
                </w:tcPr>
                <w:p>
                  <w:pPr>
                    <w:pStyle w:val="47"/>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臭气浓度</w:t>
                  </w:r>
                </w:p>
              </w:tc>
              <w:tc>
                <w:tcPr>
                  <w:tcW w:w="1392" w:type="dxa"/>
                  <w:vAlign w:val="center"/>
                </w:tcPr>
                <w:p>
                  <w:pPr>
                    <w:pStyle w:val="47"/>
                    <w:rPr>
                      <w:rFonts w:hint="eastAsia" w:ascii="Times New Roman" w:hAnsi="Times New Roman" w:eastAsia="宋体" w:cs="Times New Roman"/>
                      <w:color w:val="auto"/>
                      <w:highlight w:val="none"/>
                      <w:lang w:val="en-US" w:eastAsia="zh-CN"/>
                    </w:rPr>
                  </w:pPr>
                  <w:r>
                    <w:rPr>
                      <w:rFonts w:hint="eastAsia" w:eastAsia="宋体" w:cs="Times New Roman"/>
                      <w:color w:val="auto"/>
                      <w:lang w:val="en-US" w:eastAsia="zh-CN"/>
                    </w:rPr>
                    <w:t>1次/半年</w:t>
                  </w:r>
                </w:p>
              </w:tc>
              <w:tc>
                <w:tcPr>
                  <w:tcW w:w="2775" w:type="dxa"/>
                  <w:vAlign w:val="center"/>
                </w:tcPr>
                <w:p>
                  <w:pPr>
                    <w:pStyle w:val="4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continue"/>
                  <w:vAlign w:val="center"/>
                </w:tcPr>
                <w:p>
                  <w:pPr>
                    <w:pStyle w:val="47"/>
                    <w:rPr>
                      <w:rFonts w:hint="default" w:ascii="Times New Roman" w:hAnsi="Times New Roman" w:eastAsia="宋体" w:cs="Times New Roman"/>
                      <w:color w:val="auto"/>
                    </w:rPr>
                  </w:pPr>
                </w:p>
              </w:tc>
              <w:tc>
                <w:tcPr>
                  <w:tcW w:w="502" w:type="pct"/>
                  <w:vAlign w:val="center"/>
                </w:tcPr>
                <w:p>
                  <w:pPr>
                    <w:pStyle w:val="4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有组织</w:t>
                  </w:r>
                </w:p>
              </w:tc>
              <w:tc>
                <w:tcPr>
                  <w:tcW w:w="744" w:type="pct"/>
                  <w:vAlign w:val="center"/>
                </w:tcPr>
                <w:p>
                  <w:pPr>
                    <w:pStyle w:val="4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DA00</w:t>
                  </w:r>
                  <w:r>
                    <w:rPr>
                      <w:rFonts w:hint="eastAsia" w:eastAsia="宋体" w:cs="Times New Roman"/>
                      <w:color w:val="auto"/>
                      <w:highlight w:val="none"/>
                      <w:lang w:val="en-US" w:eastAsia="zh-CN"/>
                    </w:rPr>
                    <w:t>2</w:t>
                  </w:r>
                </w:p>
              </w:tc>
              <w:tc>
                <w:tcPr>
                  <w:tcW w:w="970" w:type="pct"/>
                  <w:vAlign w:val="center"/>
                </w:tcPr>
                <w:p>
                  <w:pPr>
                    <w:pStyle w:val="4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颗粒物、二氧化硫、氮氧化物</w:t>
                  </w:r>
                  <w:r>
                    <w:rPr>
                      <w:rFonts w:hint="eastAsia"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烟气黑度</w:t>
                  </w:r>
                </w:p>
              </w:tc>
              <w:tc>
                <w:tcPr>
                  <w:tcW w:w="823" w:type="pct"/>
                  <w:vAlign w:val="center"/>
                </w:tcPr>
                <w:p>
                  <w:pPr>
                    <w:pStyle w:val="4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1次/月</w:t>
                  </w:r>
                </w:p>
              </w:tc>
              <w:tc>
                <w:tcPr>
                  <w:tcW w:w="1641" w:type="pct"/>
                  <w:vAlign w:val="center"/>
                </w:tcPr>
                <w:p>
                  <w:pPr>
                    <w:pStyle w:val="47"/>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《锅炉大气污染物排放标准》（</w:t>
                  </w:r>
                  <w:r>
                    <w:rPr>
                      <w:rFonts w:hint="eastAsia" w:ascii="Times New Roman" w:hAnsi="Times New Roman" w:eastAsia="宋体" w:cs="Times New Roman"/>
                      <w:color w:val="auto"/>
                      <w:highlight w:val="none"/>
                      <w:lang w:val="en-US" w:eastAsia="zh-CN"/>
                    </w:rPr>
                    <w:t>D</w:t>
                  </w:r>
                  <w:r>
                    <w:rPr>
                      <w:rFonts w:hint="default" w:ascii="Times New Roman" w:hAnsi="Times New Roman" w:eastAsia="宋体" w:cs="Times New Roman"/>
                      <w:color w:val="auto"/>
                      <w:highlight w:val="none"/>
                      <w:lang w:val="en-US" w:eastAsia="zh-CN"/>
                    </w:rPr>
                    <w:t>B13/5161-2020）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continue"/>
                  <w:vAlign w:val="center"/>
                </w:tcPr>
                <w:p>
                  <w:pPr>
                    <w:pStyle w:val="47"/>
                    <w:rPr>
                      <w:rFonts w:hint="default" w:ascii="Times New Roman" w:hAnsi="Times New Roman" w:eastAsia="宋体" w:cs="Times New Roman"/>
                      <w:color w:val="auto"/>
                    </w:rPr>
                  </w:pPr>
                </w:p>
              </w:tc>
              <w:tc>
                <w:tcPr>
                  <w:tcW w:w="502" w:type="pct"/>
                  <w:vAlign w:val="center"/>
                </w:tcPr>
                <w:p>
                  <w:pPr>
                    <w:pStyle w:val="47"/>
                    <w:rPr>
                      <w:rFonts w:hint="default" w:ascii="Times New Roman" w:hAnsi="Times New Roman" w:eastAsia="宋体" w:cs="Times New Roman"/>
                      <w:color w:val="auto"/>
                      <w:lang w:val="en-US" w:eastAsia="zh-CN"/>
                    </w:rPr>
                  </w:pPr>
                  <w:r>
                    <w:rPr>
                      <w:rFonts w:hint="eastAsia" w:eastAsia="宋体" w:cs="Times New Roman"/>
                      <w:color w:val="auto"/>
                      <w:lang w:val="en-US" w:eastAsia="zh-CN"/>
                    </w:rPr>
                    <w:t>有组织</w:t>
                  </w:r>
                </w:p>
              </w:tc>
              <w:tc>
                <w:tcPr>
                  <w:tcW w:w="744" w:type="pct"/>
                  <w:vAlign w:val="center"/>
                </w:tcPr>
                <w:p>
                  <w:pPr>
                    <w:pStyle w:val="47"/>
                    <w:rPr>
                      <w:rFonts w:hint="default" w:ascii="Times New Roman" w:hAnsi="Times New Roman" w:eastAsia="宋体" w:cs="Times New Roman"/>
                      <w:color w:val="auto"/>
                      <w:lang w:val="en-US" w:eastAsia="zh-CN"/>
                    </w:rPr>
                  </w:pPr>
                  <w:r>
                    <w:rPr>
                      <w:rFonts w:hint="eastAsia" w:eastAsia="宋体" w:cs="Times New Roman"/>
                      <w:color w:val="auto"/>
                      <w:lang w:val="en-US" w:eastAsia="zh-CN"/>
                    </w:rPr>
                    <w:t>DA003</w:t>
                  </w:r>
                </w:p>
              </w:tc>
              <w:tc>
                <w:tcPr>
                  <w:tcW w:w="970" w:type="pct"/>
                  <w:vAlign w:val="center"/>
                </w:tcPr>
                <w:p>
                  <w:pPr>
                    <w:pStyle w:val="47"/>
                    <w:rPr>
                      <w:rFonts w:hint="default" w:ascii="Times New Roman" w:hAnsi="Times New Roman" w:eastAsia="宋体" w:cs="Times New Roman"/>
                      <w:color w:val="auto"/>
                      <w:lang w:val="en-US" w:eastAsia="zh-CN"/>
                    </w:rPr>
                  </w:pPr>
                  <w:r>
                    <w:rPr>
                      <w:rFonts w:hint="eastAsia" w:eastAsia="宋体" w:cs="Times New Roman"/>
                      <w:color w:val="auto"/>
                      <w:lang w:val="en-US" w:eastAsia="zh-CN"/>
                    </w:rPr>
                    <w:t>氨、硫化氢、臭气浓度</w:t>
                  </w:r>
                </w:p>
              </w:tc>
              <w:tc>
                <w:tcPr>
                  <w:tcW w:w="823" w:type="pct"/>
                  <w:vAlign w:val="center"/>
                </w:tcPr>
                <w:p>
                  <w:pPr>
                    <w:pStyle w:val="47"/>
                    <w:rPr>
                      <w:rFonts w:hint="eastAsia" w:ascii="Times New Roman" w:hAnsi="Times New Roman" w:eastAsia="宋体" w:cs="Times New Roman"/>
                      <w:color w:val="auto"/>
                      <w:lang w:val="en-US" w:eastAsia="zh-CN"/>
                    </w:rPr>
                  </w:pPr>
                  <w:r>
                    <w:rPr>
                      <w:rFonts w:hint="eastAsia" w:eastAsia="宋体" w:cs="Times New Roman"/>
                      <w:color w:val="auto"/>
                      <w:lang w:val="en-US" w:eastAsia="zh-CN"/>
                    </w:rPr>
                    <w:t>1次/半年</w:t>
                  </w:r>
                </w:p>
              </w:tc>
              <w:tc>
                <w:tcPr>
                  <w:tcW w:w="1641" w:type="pct"/>
                  <w:vAlign w:val="center"/>
                </w:tcPr>
                <w:p>
                  <w:pPr>
                    <w:pStyle w:val="47"/>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continue"/>
                  <w:vAlign w:val="center"/>
                </w:tcPr>
                <w:p>
                  <w:pPr>
                    <w:pStyle w:val="47"/>
                    <w:rPr>
                      <w:rFonts w:hint="default" w:ascii="Times New Roman" w:hAnsi="Times New Roman" w:eastAsia="宋体" w:cs="Times New Roman"/>
                      <w:color w:val="auto"/>
                    </w:rPr>
                  </w:pPr>
                </w:p>
              </w:tc>
              <w:tc>
                <w:tcPr>
                  <w:tcW w:w="502" w:type="pct"/>
                  <w:vMerge w:val="restart"/>
                  <w:vAlign w:val="center"/>
                </w:tcPr>
                <w:p>
                  <w:pPr>
                    <w:pStyle w:val="47"/>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无组织</w:t>
                  </w:r>
                </w:p>
              </w:tc>
              <w:tc>
                <w:tcPr>
                  <w:tcW w:w="744" w:type="pct"/>
                  <w:vMerge w:val="restart"/>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厂界外20m处上风向设参照点，下风向设监控点</w:t>
                  </w:r>
                </w:p>
              </w:tc>
              <w:tc>
                <w:tcPr>
                  <w:tcW w:w="970" w:type="pct"/>
                  <w:vAlign w:val="center"/>
                </w:tcPr>
                <w:p>
                  <w:pPr>
                    <w:pStyle w:val="47"/>
                    <w:rPr>
                      <w:rFonts w:hint="default" w:ascii="Times New Roman" w:hAnsi="Times New Roman" w:eastAsia="宋体" w:cs="Times New Roman"/>
                      <w:color w:val="auto"/>
                    </w:rPr>
                  </w:pPr>
                  <w:r>
                    <w:rPr>
                      <w:rFonts w:hint="default" w:ascii="Times New Roman" w:hAnsi="Times New Roman" w:eastAsia="宋体" w:cs="Times New Roman"/>
                      <w:color w:val="auto"/>
                    </w:rPr>
                    <w:t>颗粒物</w:t>
                  </w:r>
                </w:p>
              </w:tc>
              <w:tc>
                <w:tcPr>
                  <w:tcW w:w="823" w:type="pct"/>
                  <w:vAlign w:val="center"/>
                </w:tcPr>
                <w:p>
                  <w:pPr>
                    <w:pStyle w:val="47"/>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1次/</w:t>
                  </w:r>
                  <w:r>
                    <w:rPr>
                      <w:rFonts w:hint="eastAsia" w:eastAsia="宋体" w:cs="Times New Roman"/>
                      <w:color w:val="auto"/>
                      <w:lang w:val="en-US" w:eastAsia="zh-CN"/>
                    </w:rPr>
                    <w:t>季度</w:t>
                  </w:r>
                </w:p>
              </w:tc>
              <w:tc>
                <w:tcPr>
                  <w:tcW w:w="1641" w:type="pct"/>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Merge w:val="continue"/>
                  <w:vAlign w:val="center"/>
                </w:tcPr>
                <w:p>
                  <w:pPr>
                    <w:pStyle w:val="47"/>
                    <w:rPr>
                      <w:rFonts w:hint="default" w:ascii="Times New Roman" w:hAnsi="Times New Roman" w:eastAsia="宋体" w:cs="Times New Roman"/>
                      <w:color w:val="auto"/>
                    </w:rPr>
                  </w:pPr>
                </w:p>
              </w:tc>
              <w:tc>
                <w:tcPr>
                  <w:tcW w:w="502" w:type="pct"/>
                  <w:vMerge w:val="continue"/>
                  <w:vAlign w:val="center"/>
                </w:tcPr>
                <w:p>
                  <w:pPr>
                    <w:pStyle w:val="47"/>
                    <w:rPr>
                      <w:rFonts w:hint="eastAsia" w:ascii="Times New Roman" w:hAnsi="Times New Roman" w:eastAsia="宋体" w:cs="Times New Roman"/>
                      <w:color w:val="auto"/>
                      <w:lang w:val="en-US" w:eastAsia="zh-CN"/>
                    </w:rPr>
                  </w:pPr>
                </w:p>
              </w:tc>
              <w:tc>
                <w:tcPr>
                  <w:tcW w:w="744" w:type="pct"/>
                  <w:vMerge w:val="continue"/>
                  <w:vAlign w:val="center"/>
                </w:tcPr>
                <w:p>
                  <w:pPr>
                    <w:pStyle w:val="47"/>
                    <w:rPr>
                      <w:rFonts w:hint="default" w:ascii="Times New Roman" w:hAnsi="Times New Roman" w:eastAsia="宋体" w:cs="Times New Roman"/>
                      <w:color w:val="auto"/>
                    </w:rPr>
                  </w:pPr>
                </w:p>
              </w:tc>
              <w:tc>
                <w:tcPr>
                  <w:tcW w:w="970" w:type="pct"/>
                  <w:vAlign w:val="center"/>
                </w:tcPr>
                <w:p>
                  <w:pPr>
                    <w:pStyle w:val="47"/>
                    <w:rPr>
                      <w:rFonts w:hint="default" w:ascii="Times New Roman" w:hAnsi="Times New Roman" w:eastAsia="宋体" w:cs="Times New Roman"/>
                      <w:color w:val="auto"/>
                      <w:lang w:val="en-US" w:eastAsia="zh-CN"/>
                    </w:rPr>
                  </w:pPr>
                  <w:r>
                    <w:rPr>
                      <w:rFonts w:hint="eastAsia" w:eastAsia="宋体" w:cs="Times New Roman"/>
                      <w:color w:val="auto"/>
                      <w:lang w:val="en-US" w:eastAsia="zh-CN"/>
                    </w:rPr>
                    <w:t>氨、硫化氢、臭气浓度</w:t>
                  </w:r>
                </w:p>
              </w:tc>
              <w:tc>
                <w:tcPr>
                  <w:tcW w:w="823" w:type="pct"/>
                  <w:vAlign w:val="center"/>
                </w:tcPr>
                <w:p>
                  <w:pPr>
                    <w:pStyle w:val="47"/>
                    <w:rPr>
                      <w:rFonts w:hint="default" w:ascii="Times New Roman" w:hAnsi="Times New Roman" w:eastAsia="宋体" w:cs="Times New Roman"/>
                      <w:color w:val="auto"/>
                      <w:lang w:val="en-US" w:eastAsia="zh-CN"/>
                    </w:rPr>
                  </w:pPr>
                  <w:r>
                    <w:rPr>
                      <w:rFonts w:hint="eastAsia" w:eastAsia="宋体" w:cs="Times New Roman"/>
                      <w:color w:val="auto"/>
                      <w:lang w:val="en-US" w:eastAsia="zh-CN"/>
                    </w:rPr>
                    <w:t>1次/半年</w:t>
                  </w:r>
                </w:p>
              </w:tc>
              <w:tc>
                <w:tcPr>
                  <w:tcW w:w="1641" w:type="pct"/>
                  <w:vAlign w:val="center"/>
                </w:tcPr>
                <w:p>
                  <w:pPr>
                    <w:pStyle w:val="47"/>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《恶臭污染物排放标准》（GB14554-93）</w:t>
                  </w:r>
                </w:p>
              </w:tc>
            </w:tr>
          </w:tbl>
          <w:p>
            <w:pPr>
              <w:snapToGrid w:val="0"/>
              <w:spacing w:before="156" w:beforeLines="50" w:line="360" w:lineRule="auto"/>
              <w:ind w:firstLine="482" w:firstLineChars="200"/>
              <w:jc w:val="left"/>
              <w:rPr>
                <w:rFonts w:ascii="Times New Roman" w:hAnsi="Times New Roman" w:cs="Times New Roman"/>
                <w:b/>
                <w:bCs/>
                <w:color w:val="auto"/>
                <w:sz w:val="24"/>
              </w:rPr>
            </w:pPr>
            <w:r>
              <w:rPr>
                <w:rFonts w:ascii="Times New Roman" w:hAnsi="Times New Roman" w:cs="Times New Roman"/>
                <w:b/>
                <w:bCs/>
                <w:color w:val="auto"/>
                <w:sz w:val="24"/>
              </w:rPr>
              <w:t>（</w:t>
            </w:r>
            <w:r>
              <w:rPr>
                <w:rFonts w:hint="eastAsia" w:ascii="Times New Roman" w:hAnsi="Times New Roman" w:cs="Times New Roman"/>
                <w:b/>
                <w:bCs/>
                <w:color w:val="auto"/>
                <w:sz w:val="24"/>
                <w:lang w:val="en-US" w:eastAsia="zh-CN"/>
              </w:rPr>
              <w:t>6</w:t>
            </w:r>
            <w:r>
              <w:rPr>
                <w:rFonts w:ascii="Times New Roman" w:hAnsi="Times New Roman" w:cs="Times New Roman"/>
                <w:b/>
                <w:bCs/>
                <w:color w:val="auto"/>
                <w:sz w:val="24"/>
              </w:rPr>
              <w:t>）污染物排放达标分析</w:t>
            </w:r>
          </w:p>
          <w:p>
            <w:pPr>
              <w:snapToGrid w:val="0"/>
              <w:spacing w:line="360" w:lineRule="auto"/>
              <w:ind w:firstLine="480" w:firstLineChars="200"/>
              <w:jc w:val="left"/>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①有组织</w:t>
            </w:r>
            <w:r>
              <w:rPr>
                <w:rFonts w:hint="eastAsia" w:ascii="Times New Roman" w:hAnsi="Times New Roman" w:eastAsia="宋体" w:cs="Times New Roman"/>
                <w:color w:val="auto"/>
                <w:sz w:val="24"/>
                <w:lang w:val="en-US" w:eastAsia="zh-CN"/>
              </w:rPr>
              <w:t>废气</w:t>
            </w:r>
            <w:r>
              <w:rPr>
                <w:rFonts w:hint="eastAsia" w:ascii="Times New Roman" w:hAnsi="Times New Roman" w:cs="Times New Roman"/>
                <w:color w:val="auto"/>
                <w:sz w:val="24"/>
                <w:lang w:val="en-US" w:eastAsia="zh-CN"/>
              </w:rPr>
              <w:t>排放达标分析</w:t>
            </w:r>
          </w:p>
          <w:p>
            <w:pPr>
              <w:snapToGrid w:val="0"/>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根据上述计算结果，本项目</w:t>
            </w:r>
            <w:r>
              <w:rPr>
                <w:rFonts w:hint="eastAsia" w:ascii="Times New Roman" w:hAnsi="Times New Roman" w:cs="Times New Roman"/>
                <w:color w:val="auto"/>
                <w:sz w:val="24"/>
                <w:lang w:val="en-US" w:eastAsia="zh-CN"/>
              </w:rPr>
              <w:t>废气</w:t>
            </w:r>
            <w:r>
              <w:rPr>
                <w:rFonts w:ascii="Times New Roman" w:hAnsi="Times New Roman" w:cs="Times New Roman"/>
                <w:color w:val="auto"/>
                <w:sz w:val="24"/>
              </w:rPr>
              <w:t>有组织排放情况详见下表：</w:t>
            </w:r>
          </w:p>
          <w:p>
            <w:pPr>
              <w:snapToGrid w:val="0"/>
              <w:spacing w:line="240" w:lineRule="auto"/>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表4-8  大气污染物有组织排放情况一览表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941"/>
              <w:gridCol w:w="987"/>
              <w:gridCol w:w="1228"/>
              <w:gridCol w:w="1104"/>
              <w:gridCol w:w="1228"/>
              <w:gridCol w:w="1603"/>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restart"/>
                  <w:vAlign w:val="center"/>
                </w:tcPr>
                <w:p>
                  <w:pPr>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w:t>
                  </w:r>
                </w:p>
              </w:tc>
              <w:tc>
                <w:tcPr>
                  <w:tcW w:w="556" w:type="pct"/>
                  <w:vMerge w:val="restart"/>
                  <w:vAlign w:val="center"/>
                </w:tcPr>
                <w:p>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t>产污节点</w:t>
                  </w:r>
                </w:p>
              </w:tc>
              <w:tc>
                <w:tcPr>
                  <w:tcW w:w="583" w:type="pct"/>
                  <w:vMerge w:val="restart"/>
                  <w:vAlign w:val="center"/>
                </w:tcPr>
                <w:p>
                  <w:pPr>
                    <w:snapToGrid w:val="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378" w:type="pct"/>
                  <w:gridSpan w:val="2"/>
                  <w:vAlign w:val="center"/>
                </w:tcPr>
                <w:p>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t>有组织排放参数</w:t>
                  </w:r>
                </w:p>
              </w:tc>
              <w:tc>
                <w:tcPr>
                  <w:tcW w:w="1673" w:type="pct"/>
                  <w:gridSpan w:val="2"/>
                  <w:vAlign w:val="center"/>
                </w:tcPr>
                <w:p>
                  <w:pPr>
                    <w:pStyle w:val="50"/>
                    <w:spacing w:line="28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排放标准</w:t>
                  </w:r>
                </w:p>
              </w:tc>
              <w:tc>
                <w:tcPr>
                  <w:tcW w:w="440" w:type="pct"/>
                  <w:vMerge w:val="restart"/>
                  <w:vAlign w:val="center"/>
                </w:tcPr>
                <w:p>
                  <w:pPr>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snapToGrid w:val="0"/>
                    <w:jc w:val="center"/>
                    <w:rPr>
                      <w:rFonts w:hint="default" w:ascii="Times New Roman" w:hAnsi="Times New Roman" w:eastAsia="宋体" w:cs="Times New Roman"/>
                      <w:b/>
                      <w:bCs/>
                      <w:color w:val="auto"/>
                      <w:sz w:val="21"/>
                      <w:szCs w:val="21"/>
                      <w:highlight w:val="none"/>
                    </w:rPr>
                  </w:pPr>
                </w:p>
              </w:tc>
              <w:tc>
                <w:tcPr>
                  <w:tcW w:w="556" w:type="pct"/>
                  <w:vMerge w:val="continue"/>
                  <w:vAlign w:val="center"/>
                </w:tcPr>
                <w:p>
                  <w:pPr>
                    <w:snapToGrid w:val="0"/>
                    <w:jc w:val="center"/>
                    <w:rPr>
                      <w:rFonts w:hint="default" w:ascii="Times New Roman" w:hAnsi="Times New Roman" w:eastAsia="宋体" w:cs="Times New Roman"/>
                      <w:b/>
                      <w:bCs/>
                      <w:color w:val="auto"/>
                      <w:sz w:val="21"/>
                      <w:szCs w:val="21"/>
                      <w:highlight w:val="none"/>
                    </w:rPr>
                  </w:pPr>
                </w:p>
              </w:tc>
              <w:tc>
                <w:tcPr>
                  <w:tcW w:w="583" w:type="pct"/>
                  <w:vMerge w:val="continue"/>
                  <w:vAlign w:val="center"/>
                </w:tcPr>
                <w:p>
                  <w:pPr>
                    <w:snapToGrid w:val="0"/>
                    <w:jc w:val="center"/>
                    <w:rPr>
                      <w:rFonts w:hint="default" w:ascii="Times New Roman" w:hAnsi="Times New Roman" w:eastAsia="宋体" w:cs="Times New Roman"/>
                      <w:b/>
                      <w:bCs/>
                      <w:color w:val="auto"/>
                      <w:sz w:val="21"/>
                      <w:szCs w:val="21"/>
                      <w:highlight w:val="none"/>
                    </w:rPr>
                  </w:pPr>
                </w:p>
              </w:tc>
              <w:tc>
                <w:tcPr>
                  <w:tcW w:w="726" w:type="pct"/>
                  <w:vAlign w:val="center"/>
                </w:tcPr>
                <w:p>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排放浓度（mg/m³）</w:t>
                  </w:r>
                </w:p>
              </w:tc>
              <w:tc>
                <w:tcPr>
                  <w:tcW w:w="652" w:type="pct"/>
                  <w:vAlign w:val="center"/>
                </w:tcPr>
                <w:p>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排放速率（kg/h）</w:t>
                  </w:r>
                </w:p>
              </w:tc>
              <w:tc>
                <w:tcPr>
                  <w:tcW w:w="726" w:type="pct"/>
                  <w:vAlign w:val="center"/>
                </w:tcPr>
                <w:p>
                  <w:pPr>
                    <w:pStyle w:val="50"/>
                    <w:spacing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标准名称</w:t>
                  </w:r>
                </w:p>
              </w:tc>
              <w:tc>
                <w:tcPr>
                  <w:tcW w:w="947" w:type="pct"/>
                  <w:vAlign w:val="center"/>
                </w:tcPr>
                <w:p>
                  <w:pPr>
                    <w:pStyle w:val="50"/>
                    <w:spacing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排放限值</w:t>
                  </w:r>
                </w:p>
              </w:tc>
              <w:tc>
                <w:tcPr>
                  <w:tcW w:w="440" w:type="pct"/>
                  <w:vMerge w:val="continue"/>
                  <w:vAlign w:val="center"/>
                </w:tcPr>
                <w:p>
                  <w:pPr>
                    <w:snapToGrid w:val="0"/>
                    <w:jc w:val="center"/>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Align w:val="center"/>
                </w:tcPr>
                <w:p>
                  <w:pPr>
                    <w:spacing w:line="320" w:lineRule="exact"/>
                    <w:jc w:val="center"/>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DA001</w:t>
                  </w:r>
                </w:p>
              </w:tc>
              <w:tc>
                <w:tcPr>
                  <w:tcW w:w="556" w:type="pct"/>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卤煮过程</w:t>
                  </w:r>
                </w:p>
              </w:tc>
              <w:tc>
                <w:tcPr>
                  <w:tcW w:w="583" w:type="pct"/>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臭气浓度</w:t>
                  </w:r>
                </w:p>
              </w:tc>
              <w:tc>
                <w:tcPr>
                  <w:tcW w:w="726" w:type="pct"/>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＜2000</w:t>
                  </w:r>
                </w:p>
              </w:tc>
              <w:tc>
                <w:tcPr>
                  <w:tcW w:w="652" w:type="pct"/>
                  <w:vAlign w:val="center"/>
                </w:tcPr>
                <w:p>
                  <w:pPr>
                    <w:spacing w:line="320" w:lineRule="exact"/>
                    <w:jc w:val="center"/>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w:t>
                  </w:r>
                </w:p>
              </w:tc>
              <w:tc>
                <w:tcPr>
                  <w:tcW w:w="726" w:type="pct"/>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《恶臭污染物排放标准》（GB14554-93）</w:t>
                  </w:r>
                </w:p>
              </w:tc>
              <w:tc>
                <w:tcPr>
                  <w:tcW w:w="1603" w:type="dxa"/>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2000（无量纲）</w:t>
                  </w:r>
                </w:p>
              </w:tc>
              <w:tc>
                <w:tcPr>
                  <w:tcW w:w="745" w:type="dxa"/>
                  <w:vAlign w:val="center"/>
                </w:tcPr>
                <w:p>
                  <w:pPr>
                    <w:spacing w:line="320" w:lineRule="exact"/>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restart"/>
                  <w:vAlign w:val="center"/>
                </w:tcPr>
                <w:p>
                  <w:pPr>
                    <w:adjustRightInd w:val="0"/>
                    <w:snapToGrid w:val="0"/>
                    <w:jc w:val="center"/>
                    <w:rPr>
                      <w:rFonts w:hint="default" w:ascii="Times New Roman" w:hAnsi="Times New Roman" w:cs="Times New Roman" w:eastAsiaTheme="minorEastAsia"/>
                      <w:bCs/>
                      <w:color w:val="auto"/>
                      <w:spacing w:val="-11"/>
                      <w:sz w:val="21"/>
                      <w:szCs w:val="21"/>
                      <w:lang w:val="en-US" w:eastAsia="zh-CN"/>
                    </w:rPr>
                  </w:pPr>
                  <w:r>
                    <w:rPr>
                      <w:rFonts w:hint="default" w:ascii="Times New Roman" w:hAnsi="Times New Roman" w:cs="Times New Roman"/>
                      <w:bCs/>
                      <w:color w:val="auto"/>
                      <w:spacing w:val="-11"/>
                      <w:sz w:val="21"/>
                      <w:szCs w:val="21"/>
                      <w:lang w:val="en-US" w:eastAsia="zh-CN"/>
                    </w:rPr>
                    <w:t>DA00</w:t>
                  </w:r>
                  <w:r>
                    <w:rPr>
                      <w:rFonts w:hint="eastAsia" w:ascii="Times New Roman" w:hAnsi="Times New Roman" w:cs="Times New Roman"/>
                      <w:bCs/>
                      <w:color w:val="auto"/>
                      <w:spacing w:val="-11"/>
                      <w:sz w:val="21"/>
                      <w:szCs w:val="21"/>
                      <w:lang w:val="en-US" w:eastAsia="zh-CN"/>
                    </w:rPr>
                    <w:t>2</w:t>
                  </w:r>
                </w:p>
              </w:tc>
              <w:tc>
                <w:tcPr>
                  <w:tcW w:w="556" w:type="pct"/>
                  <w:vMerge w:val="restart"/>
                  <w:vAlign w:val="center"/>
                </w:tcPr>
                <w:p>
                  <w:pPr>
                    <w:spacing w:line="320" w:lineRule="exact"/>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kern w:val="2"/>
                      <w:sz w:val="21"/>
                      <w:szCs w:val="21"/>
                      <w:vertAlign w:val="baseline"/>
                      <w:lang w:val="en-US" w:eastAsia="zh-CN" w:bidi="ar-SA"/>
                    </w:rPr>
                    <w:t>生物质</w:t>
                  </w:r>
                  <w:r>
                    <w:rPr>
                      <w:rFonts w:hint="default" w:ascii="Times New Roman" w:hAnsi="Times New Roman" w:cs="Times New Roman"/>
                      <w:color w:val="auto"/>
                      <w:kern w:val="2"/>
                      <w:sz w:val="21"/>
                      <w:szCs w:val="21"/>
                      <w:vertAlign w:val="baseline"/>
                      <w:lang w:val="en-US" w:eastAsia="zh-CN" w:bidi="ar-SA"/>
                    </w:rPr>
                    <w:t>锅炉废气排放口</w:t>
                  </w:r>
                </w:p>
              </w:tc>
              <w:tc>
                <w:tcPr>
                  <w:tcW w:w="583" w:type="pct"/>
                  <w:vAlign w:val="center"/>
                </w:tcPr>
                <w:p>
                  <w:pPr>
                    <w:pStyle w:val="17"/>
                    <w:widowControl w:val="0"/>
                    <w:snapToGrid w:val="0"/>
                    <w:ind w:left="0" w:left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颗粒物</w:t>
                  </w:r>
                </w:p>
              </w:tc>
              <w:tc>
                <w:tcPr>
                  <w:tcW w:w="72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12.81</w:t>
                  </w:r>
                </w:p>
              </w:tc>
              <w:tc>
                <w:tcPr>
                  <w:tcW w:w="652"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0.03</w:t>
                  </w:r>
                </w:p>
              </w:tc>
              <w:tc>
                <w:tcPr>
                  <w:tcW w:w="726" w:type="pct"/>
                  <w:vMerge w:val="restart"/>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《锅炉大气污染物排放标准》（</w:t>
                  </w:r>
                  <w:r>
                    <w:rPr>
                      <w:rFonts w:hint="default" w:ascii="Times New Roman" w:hAnsi="Times New Roman" w:cs="Times New Roman"/>
                      <w:color w:val="auto"/>
                      <w:sz w:val="21"/>
                      <w:szCs w:val="21"/>
                      <w:lang w:val="en-US" w:eastAsia="zh-CN"/>
                    </w:rPr>
                    <w:t>DB13/5161-2020</w:t>
                  </w:r>
                  <w:r>
                    <w:rPr>
                      <w:rFonts w:hint="default" w:ascii="Times New Roman" w:hAnsi="Times New Roman" w:cs="Times New Roman"/>
                      <w:color w:val="auto"/>
                      <w:sz w:val="21"/>
                      <w:szCs w:val="21"/>
                    </w:rPr>
                    <w:t>）</w:t>
                  </w:r>
                </w:p>
              </w:tc>
              <w:tc>
                <w:tcPr>
                  <w:tcW w:w="947" w:type="pct"/>
                  <w:vAlign w:val="center"/>
                </w:tcPr>
                <w:p>
                  <w:pPr>
                    <w:topLinePunct/>
                    <w:adjustRightInd w:val="0"/>
                    <w:spacing w:line="0" w:lineRule="atLeast"/>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lang w:val="en-US" w:eastAsia="zh-CN"/>
                    </w:rPr>
                    <w:t>3</w:t>
                  </w:r>
                </w:p>
              </w:tc>
              <w:tc>
                <w:tcPr>
                  <w:tcW w:w="440"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556" w:type="pct"/>
                  <w:vMerge w:val="continue"/>
                  <w:vAlign w:val="center"/>
                </w:tcPr>
                <w:p>
                  <w:pPr>
                    <w:spacing w:line="320" w:lineRule="exact"/>
                    <w:jc w:val="center"/>
                    <w:rPr>
                      <w:rFonts w:hint="default" w:ascii="Times New Roman" w:hAnsi="Times New Roman" w:cs="Times New Roman"/>
                      <w:color w:val="auto"/>
                      <w:sz w:val="21"/>
                      <w:szCs w:val="21"/>
                    </w:rPr>
                  </w:pPr>
                </w:p>
              </w:tc>
              <w:tc>
                <w:tcPr>
                  <w:tcW w:w="583" w:type="pct"/>
                  <w:vAlign w:val="center"/>
                </w:tcPr>
                <w:p>
                  <w:pPr>
                    <w:pStyle w:val="17"/>
                    <w:widowControl w:val="0"/>
                    <w:snapToGrid w:val="0"/>
                    <w:ind w:left="0" w:left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SO</w:t>
                  </w:r>
                  <w:r>
                    <w:rPr>
                      <w:rFonts w:hint="default" w:ascii="Times New Roman" w:hAnsi="Times New Roman" w:cs="Times New Roman"/>
                      <w:bCs/>
                      <w:color w:val="auto"/>
                      <w:kern w:val="2"/>
                      <w:sz w:val="21"/>
                      <w:szCs w:val="21"/>
                      <w:vertAlign w:val="subscript"/>
                      <w:lang w:val="en-US" w:eastAsia="zh-CN"/>
                    </w:rPr>
                    <w:t>2</w:t>
                  </w:r>
                </w:p>
              </w:tc>
              <w:tc>
                <w:tcPr>
                  <w:tcW w:w="72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24.91</w:t>
                  </w:r>
                </w:p>
              </w:tc>
              <w:tc>
                <w:tcPr>
                  <w:tcW w:w="652"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0.058</w:t>
                  </w:r>
                </w:p>
              </w:tc>
              <w:tc>
                <w:tcPr>
                  <w:tcW w:w="726" w:type="pct"/>
                  <w:vMerge w:val="continue"/>
                  <w:vAlign w:val="center"/>
                </w:tcPr>
                <w:p>
                  <w:pPr>
                    <w:snapToGrid w:val="0"/>
                    <w:jc w:val="center"/>
                    <w:rPr>
                      <w:rFonts w:hint="default" w:ascii="Times New Roman" w:hAnsi="Times New Roman" w:eastAsia="宋体" w:cs="Times New Roman"/>
                      <w:color w:val="auto"/>
                      <w:sz w:val="21"/>
                      <w:szCs w:val="21"/>
                    </w:rPr>
                  </w:pPr>
                </w:p>
              </w:tc>
              <w:tc>
                <w:tcPr>
                  <w:tcW w:w="947" w:type="pct"/>
                  <w:vAlign w:val="center"/>
                </w:tcPr>
                <w:p>
                  <w:pPr>
                    <w:topLinePunct/>
                    <w:adjustRightInd w:val="0"/>
                    <w:spacing w:line="0" w:lineRule="atLeast"/>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lang w:val="en-US" w:eastAsia="zh-CN"/>
                    </w:rPr>
                    <w:t>3</w:t>
                  </w:r>
                </w:p>
              </w:tc>
              <w:tc>
                <w:tcPr>
                  <w:tcW w:w="440"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556" w:type="pct"/>
                  <w:vMerge w:val="continue"/>
                  <w:vAlign w:val="center"/>
                </w:tcPr>
                <w:p>
                  <w:pPr>
                    <w:spacing w:line="320" w:lineRule="exact"/>
                    <w:jc w:val="center"/>
                    <w:rPr>
                      <w:rFonts w:hint="default" w:ascii="Times New Roman" w:hAnsi="Times New Roman" w:cs="Times New Roman"/>
                      <w:color w:val="auto"/>
                      <w:sz w:val="21"/>
                      <w:szCs w:val="21"/>
                    </w:rPr>
                  </w:pPr>
                </w:p>
              </w:tc>
              <w:tc>
                <w:tcPr>
                  <w:tcW w:w="583" w:type="pct"/>
                  <w:vAlign w:val="center"/>
                </w:tcPr>
                <w:p>
                  <w:pPr>
                    <w:pStyle w:val="17"/>
                    <w:widowControl w:val="0"/>
                    <w:snapToGrid w:val="0"/>
                    <w:ind w:left="0" w:left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NO</w:t>
                  </w:r>
                  <w:r>
                    <w:rPr>
                      <w:rFonts w:hint="default" w:ascii="Times New Roman" w:hAnsi="Times New Roman" w:cs="Times New Roman"/>
                      <w:bCs/>
                      <w:color w:val="auto"/>
                      <w:kern w:val="2"/>
                      <w:sz w:val="21"/>
                      <w:szCs w:val="21"/>
                      <w:vertAlign w:val="subscript"/>
                      <w:lang w:val="en-US" w:eastAsia="zh-CN"/>
                    </w:rPr>
                    <w:t>X</w:t>
                  </w:r>
                </w:p>
              </w:tc>
              <w:tc>
                <w:tcPr>
                  <w:tcW w:w="72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113.9</w:t>
                  </w:r>
                </w:p>
              </w:tc>
              <w:tc>
                <w:tcPr>
                  <w:tcW w:w="652"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0.267</w:t>
                  </w:r>
                </w:p>
              </w:tc>
              <w:tc>
                <w:tcPr>
                  <w:tcW w:w="726" w:type="pct"/>
                  <w:vMerge w:val="continue"/>
                  <w:vAlign w:val="center"/>
                </w:tcPr>
                <w:p>
                  <w:pPr>
                    <w:snapToGrid w:val="0"/>
                    <w:jc w:val="center"/>
                    <w:rPr>
                      <w:rFonts w:hint="default" w:ascii="Times New Roman" w:hAnsi="Times New Roman" w:eastAsia="宋体" w:cs="Times New Roman"/>
                      <w:color w:val="auto"/>
                      <w:sz w:val="21"/>
                      <w:szCs w:val="21"/>
                    </w:rPr>
                  </w:pPr>
                </w:p>
              </w:tc>
              <w:tc>
                <w:tcPr>
                  <w:tcW w:w="947" w:type="pct"/>
                  <w:vAlign w:val="center"/>
                </w:tcPr>
                <w:p>
                  <w:pPr>
                    <w:topLinePunct/>
                    <w:adjustRightInd w:val="0"/>
                    <w:spacing w:line="0" w:lineRule="atLeast"/>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150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lang w:val="en-US" w:eastAsia="zh-CN"/>
                    </w:rPr>
                    <w:t>3</w:t>
                  </w:r>
                </w:p>
              </w:tc>
              <w:tc>
                <w:tcPr>
                  <w:tcW w:w="440"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556" w:type="pct"/>
                  <w:vMerge w:val="continue"/>
                  <w:vAlign w:val="center"/>
                </w:tcPr>
                <w:p>
                  <w:pPr>
                    <w:spacing w:line="320" w:lineRule="exact"/>
                    <w:jc w:val="center"/>
                    <w:rPr>
                      <w:rFonts w:hint="default" w:ascii="Times New Roman" w:hAnsi="Times New Roman" w:cs="Times New Roman"/>
                      <w:color w:val="auto"/>
                      <w:sz w:val="21"/>
                      <w:szCs w:val="21"/>
                    </w:rPr>
                  </w:pPr>
                </w:p>
              </w:tc>
              <w:tc>
                <w:tcPr>
                  <w:tcW w:w="583" w:type="pct"/>
                  <w:vAlign w:val="center"/>
                </w:tcPr>
                <w:p>
                  <w:pPr>
                    <w:pStyle w:val="17"/>
                    <w:widowControl w:val="0"/>
                    <w:snapToGrid w:val="0"/>
                    <w:ind w:left="0" w:leftChars="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烟气黑度</w:t>
                  </w:r>
                </w:p>
              </w:tc>
              <w:tc>
                <w:tcPr>
                  <w:tcW w:w="72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color w:val="auto"/>
                      <w:kern w:val="0"/>
                      <w:sz w:val="21"/>
                      <w:szCs w:val="21"/>
                      <w:lang w:val="en-US" w:eastAsia="zh-CN" w:bidi="ar"/>
                    </w:rPr>
                    <w:t>1</w:t>
                  </w:r>
                </w:p>
              </w:tc>
              <w:tc>
                <w:tcPr>
                  <w:tcW w:w="652"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726" w:type="pct"/>
                  <w:vMerge w:val="continue"/>
                  <w:vAlign w:val="center"/>
                </w:tcPr>
                <w:p>
                  <w:pPr>
                    <w:snapToGrid w:val="0"/>
                    <w:jc w:val="center"/>
                    <w:rPr>
                      <w:rFonts w:hint="default" w:ascii="Times New Roman" w:hAnsi="Times New Roman" w:eastAsia="宋体" w:cs="Times New Roman"/>
                      <w:color w:val="auto"/>
                      <w:sz w:val="21"/>
                      <w:szCs w:val="21"/>
                    </w:rPr>
                  </w:pPr>
                </w:p>
              </w:tc>
              <w:tc>
                <w:tcPr>
                  <w:tcW w:w="947" w:type="pct"/>
                  <w:vAlign w:val="center"/>
                </w:tcPr>
                <w:p>
                  <w:pPr>
                    <w:topLinePunct/>
                    <w:adjustRightInd w:val="0"/>
                    <w:spacing w:line="0" w:lineRule="atLeast"/>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1级</w:t>
                  </w:r>
                </w:p>
              </w:tc>
              <w:tc>
                <w:tcPr>
                  <w:tcW w:w="440" w:type="pct"/>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restart"/>
                  <w:vAlign w:val="center"/>
                </w:tcPr>
                <w:p>
                  <w:pPr>
                    <w:adjustRightInd w:val="0"/>
                    <w:snapToGrid w:val="0"/>
                    <w:jc w:val="center"/>
                    <w:rPr>
                      <w:rFonts w:hint="eastAsia" w:ascii="Times New Roman" w:hAnsi="Times New Roman" w:cs="Times New Roman" w:eastAsiaTheme="minorEastAsia"/>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DA003</w:t>
                  </w:r>
                </w:p>
              </w:tc>
              <w:tc>
                <w:tcPr>
                  <w:tcW w:w="556" w:type="pct"/>
                  <w:vMerge w:val="restart"/>
                  <w:vAlign w:val="center"/>
                </w:tcPr>
                <w:p>
                  <w:pPr>
                    <w:spacing w:line="32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2"/>
                      <w:sz w:val="21"/>
                      <w:szCs w:val="21"/>
                      <w:vertAlign w:val="baseline"/>
                      <w:lang w:val="en-US" w:eastAsia="zh-CN" w:bidi="ar-SA"/>
                    </w:rPr>
                    <w:t>污水处理站废气排放口</w:t>
                  </w:r>
                </w:p>
              </w:tc>
              <w:tc>
                <w:tcPr>
                  <w:tcW w:w="583" w:type="pct"/>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氨</w:t>
                  </w:r>
                </w:p>
              </w:tc>
              <w:tc>
                <w:tcPr>
                  <w:tcW w:w="726" w:type="pct"/>
                  <w:shd w:val="clear" w:color="auto" w:fill="auto"/>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0.16</w:t>
                  </w:r>
                </w:p>
              </w:tc>
              <w:tc>
                <w:tcPr>
                  <w:tcW w:w="652" w:type="pct"/>
                  <w:shd w:val="clear" w:color="auto" w:fill="auto"/>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0.002</w:t>
                  </w:r>
                </w:p>
              </w:tc>
              <w:tc>
                <w:tcPr>
                  <w:tcW w:w="726" w:type="pct"/>
                  <w:vMerge w:val="restart"/>
                  <w:vAlign w:val="center"/>
                </w:tcPr>
                <w:p>
                  <w:pPr>
                    <w:adjustRightInd w:val="0"/>
                    <w:snapToGrid w:val="0"/>
                    <w:jc w:val="center"/>
                    <w:rPr>
                      <w:rFonts w:hint="default" w:ascii="Times New Roman" w:hAnsi="Times New Roman" w:cs="Times New Roman"/>
                      <w:bCs/>
                      <w:color w:val="auto"/>
                      <w:spacing w:val="-11"/>
                      <w:sz w:val="21"/>
                      <w:szCs w:val="21"/>
                    </w:rPr>
                  </w:pPr>
                  <w:r>
                    <w:rPr>
                      <w:rFonts w:hint="eastAsia" w:ascii="Times New Roman" w:hAnsi="Times New Roman" w:cs="Times New Roman"/>
                      <w:bCs/>
                      <w:color w:val="auto"/>
                      <w:spacing w:val="-11"/>
                      <w:sz w:val="21"/>
                      <w:szCs w:val="21"/>
                      <w:lang w:val="en-US" w:eastAsia="zh-CN"/>
                    </w:rPr>
                    <w:t>《恶臭污染物排放标准》（GB14554-93）</w:t>
                  </w:r>
                </w:p>
              </w:tc>
              <w:tc>
                <w:tcPr>
                  <w:tcW w:w="947" w:type="pct"/>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4.9kg/h</w:t>
                  </w:r>
                </w:p>
              </w:tc>
              <w:tc>
                <w:tcPr>
                  <w:tcW w:w="440" w:type="pct"/>
                  <w:vAlign w:val="center"/>
                </w:tcPr>
                <w:p>
                  <w:pPr>
                    <w:adjustRightInd w:val="0"/>
                    <w:snapToGrid w:val="0"/>
                    <w:jc w:val="center"/>
                    <w:rPr>
                      <w:rFonts w:hint="default" w:ascii="Times New Roman" w:hAnsi="Times New Roman" w:cs="Times New Roman"/>
                      <w:bCs/>
                      <w:color w:val="auto"/>
                      <w:spacing w:val="-11"/>
                      <w:sz w:val="21"/>
                      <w:szCs w:val="21"/>
                    </w:rPr>
                  </w:pPr>
                  <w:r>
                    <w:rPr>
                      <w:rFonts w:hint="default" w:ascii="Times New Roman" w:hAnsi="Times New Roman" w:cs="Times New Roman"/>
                      <w:bCs/>
                      <w:color w:val="auto"/>
                      <w:spacing w:val="-1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556" w:type="pct"/>
                  <w:vMerge w:val="continue"/>
                  <w:vAlign w:val="center"/>
                </w:tcPr>
                <w:p>
                  <w:pPr>
                    <w:spacing w:line="320" w:lineRule="exact"/>
                    <w:jc w:val="center"/>
                    <w:rPr>
                      <w:rFonts w:hint="default" w:ascii="Times New Roman" w:hAnsi="Times New Roman" w:cs="Times New Roman"/>
                      <w:color w:val="auto"/>
                      <w:sz w:val="21"/>
                      <w:szCs w:val="21"/>
                    </w:rPr>
                  </w:pPr>
                </w:p>
              </w:tc>
              <w:tc>
                <w:tcPr>
                  <w:tcW w:w="583" w:type="pct"/>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硫化氢</w:t>
                  </w:r>
                </w:p>
              </w:tc>
              <w:tc>
                <w:tcPr>
                  <w:tcW w:w="726" w:type="pct"/>
                  <w:shd w:val="clear" w:color="auto" w:fill="auto"/>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0.29</w:t>
                  </w:r>
                </w:p>
              </w:tc>
              <w:tc>
                <w:tcPr>
                  <w:tcW w:w="652" w:type="pct"/>
                  <w:shd w:val="clear" w:color="auto" w:fill="auto"/>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0.003</w:t>
                  </w:r>
                </w:p>
              </w:tc>
              <w:tc>
                <w:tcPr>
                  <w:tcW w:w="726"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947" w:type="pct"/>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0.33kg/h</w:t>
                  </w:r>
                </w:p>
              </w:tc>
              <w:tc>
                <w:tcPr>
                  <w:tcW w:w="440" w:type="pct"/>
                  <w:vAlign w:val="center"/>
                </w:tcPr>
                <w:p>
                  <w:pPr>
                    <w:adjustRightInd w:val="0"/>
                    <w:snapToGrid w:val="0"/>
                    <w:jc w:val="center"/>
                    <w:rPr>
                      <w:rFonts w:hint="default" w:ascii="Times New Roman" w:hAnsi="Times New Roman" w:cs="Times New Roman"/>
                      <w:bCs/>
                      <w:color w:val="auto"/>
                      <w:spacing w:val="-11"/>
                      <w:sz w:val="21"/>
                      <w:szCs w:val="21"/>
                    </w:rPr>
                  </w:pPr>
                  <w:r>
                    <w:rPr>
                      <w:rFonts w:hint="default" w:ascii="Times New Roman" w:hAnsi="Times New Roman" w:cs="Times New Roman"/>
                      <w:bCs/>
                      <w:color w:val="auto"/>
                      <w:spacing w:val="-1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7"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556" w:type="pct"/>
                  <w:vMerge w:val="continue"/>
                  <w:vAlign w:val="center"/>
                </w:tcPr>
                <w:p>
                  <w:pPr>
                    <w:spacing w:line="320" w:lineRule="exact"/>
                    <w:jc w:val="center"/>
                    <w:rPr>
                      <w:rFonts w:hint="default" w:ascii="Times New Roman" w:hAnsi="Times New Roman" w:cs="Times New Roman"/>
                      <w:color w:val="auto"/>
                      <w:sz w:val="21"/>
                      <w:szCs w:val="21"/>
                    </w:rPr>
                  </w:pPr>
                </w:p>
              </w:tc>
              <w:tc>
                <w:tcPr>
                  <w:tcW w:w="583" w:type="pct"/>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臭气浓度</w:t>
                  </w:r>
                </w:p>
              </w:tc>
              <w:tc>
                <w:tcPr>
                  <w:tcW w:w="726" w:type="pct"/>
                  <w:shd w:val="clear" w:color="auto" w:fill="auto"/>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＜20</w:t>
                  </w:r>
                </w:p>
              </w:tc>
              <w:tc>
                <w:tcPr>
                  <w:tcW w:w="652" w:type="pct"/>
                  <w:shd w:val="clear" w:color="auto" w:fill="auto"/>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w:t>
                  </w:r>
                </w:p>
              </w:tc>
              <w:tc>
                <w:tcPr>
                  <w:tcW w:w="726" w:type="pct"/>
                  <w:vMerge w:val="continue"/>
                  <w:vAlign w:val="center"/>
                </w:tcPr>
                <w:p>
                  <w:pPr>
                    <w:adjustRightInd w:val="0"/>
                    <w:snapToGrid w:val="0"/>
                    <w:jc w:val="center"/>
                    <w:rPr>
                      <w:rFonts w:hint="default" w:ascii="Times New Roman" w:hAnsi="Times New Roman" w:cs="Times New Roman"/>
                      <w:bCs/>
                      <w:color w:val="auto"/>
                      <w:spacing w:val="-11"/>
                      <w:sz w:val="21"/>
                      <w:szCs w:val="21"/>
                    </w:rPr>
                  </w:pPr>
                </w:p>
              </w:tc>
              <w:tc>
                <w:tcPr>
                  <w:tcW w:w="947" w:type="pct"/>
                  <w:vAlign w:val="center"/>
                </w:tcPr>
                <w:p>
                  <w:pPr>
                    <w:adjustRightInd w:val="0"/>
                    <w:snapToGrid w:val="0"/>
                    <w:jc w:val="center"/>
                    <w:rPr>
                      <w:rFonts w:hint="default" w:ascii="Times New Roman" w:hAnsi="Times New Roman" w:cs="Times New Roman"/>
                      <w:bCs/>
                      <w:color w:val="auto"/>
                      <w:spacing w:val="-11"/>
                      <w:sz w:val="21"/>
                      <w:szCs w:val="21"/>
                      <w:lang w:val="en-US" w:eastAsia="zh-CN"/>
                    </w:rPr>
                  </w:pPr>
                  <w:r>
                    <w:rPr>
                      <w:rFonts w:hint="eastAsia" w:ascii="Times New Roman" w:hAnsi="Times New Roman" w:cs="Times New Roman"/>
                      <w:bCs/>
                      <w:color w:val="auto"/>
                      <w:spacing w:val="-11"/>
                      <w:sz w:val="21"/>
                      <w:szCs w:val="21"/>
                      <w:lang w:val="en-US" w:eastAsia="zh-CN"/>
                    </w:rPr>
                    <w:t>2000（</w:t>
                  </w:r>
                  <w:r>
                    <w:rPr>
                      <w:rFonts w:hint="eastAsia" w:ascii="Times New Roman" w:hAnsi="Times New Roman" w:cs="Times New Roman"/>
                      <w:bCs/>
                      <w:color w:val="auto"/>
                      <w:spacing w:val="-11"/>
                      <w:sz w:val="21"/>
                      <w:szCs w:val="21"/>
                      <w:lang w:eastAsia="zh-CN"/>
                    </w:rPr>
                    <w:t>无量纲</w:t>
                  </w:r>
                  <w:r>
                    <w:rPr>
                      <w:rFonts w:hint="eastAsia" w:ascii="Times New Roman" w:hAnsi="Times New Roman" w:cs="Times New Roman"/>
                      <w:bCs/>
                      <w:color w:val="auto"/>
                      <w:spacing w:val="-11"/>
                      <w:sz w:val="21"/>
                      <w:szCs w:val="21"/>
                      <w:lang w:val="en-US" w:eastAsia="zh-CN"/>
                    </w:rPr>
                    <w:t>）</w:t>
                  </w:r>
                </w:p>
              </w:tc>
              <w:tc>
                <w:tcPr>
                  <w:tcW w:w="440" w:type="pct"/>
                  <w:vAlign w:val="center"/>
                </w:tcPr>
                <w:p>
                  <w:pPr>
                    <w:adjustRightInd w:val="0"/>
                    <w:snapToGrid w:val="0"/>
                    <w:jc w:val="center"/>
                    <w:rPr>
                      <w:rFonts w:hint="default" w:ascii="Times New Roman" w:hAnsi="Times New Roman" w:cs="Times New Roman"/>
                      <w:bCs/>
                      <w:color w:val="auto"/>
                      <w:spacing w:val="-11"/>
                      <w:sz w:val="21"/>
                      <w:szCs w:val="21"/>
                    </w:rPr>
                  </w:pPr>
                  <w:r>
                    <w:rPr>
                      <w:rFonts w:hint="default" w:ascii="Times New Roman" w:hAnsi="Times New Roman" w:cs="Times New Roman"/>
                      <w:bCs/>
                      <w:color w:val="auto"/>
                      <w:spacing w:val="-11"/>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t>由上表可知，</w:t>
            </w:r>
            <w:r>
              <w:rPr>
                <w:rFonts w:hint="default" w:ascii="Times New Roman" w:hAnsi="Times New Roman" w:eastAsia="宋体" w:cs="Times New Roman"/>
                <w:color w:val="auto"/>
                <w:sz w:val="24"/>
                <w:szCs w:val="24"/>
                <w:highlight w:val="none"/>
              </w:rPr>
              <w:t>锅炉烟气</w:t>
            </w:r>
            <w:r>
              <w:rPr>
                <w:rFonts w:hint="default" w:ascii="Times New Roman" w:hAnsi="Times New Roman" w:eastAsia="宋体" w:cs="Times New Roman"/>
                <w:color w:val="auto"/>
                <w:sz w:val="24"/>
                <w:szCs w:val="24"/>
                <w:highlight w:val="none"/>
                <w:lang w:val="en-US" w:eastAsia="zh-CN"/>
              </w:rPr>
              <w:t>中烟尘、二氧化硫</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氮氧化物</w:t>
            </w:r>
            <w:r>
              <w:rPr>
                <w:rFonts w:hint="eastAsia" w:ascii="Times New Roman" w:hAnsi="Times New Roman" w:eastAsia="宋体" w:cs="Times New Roman"/>
                <w:color w:val="auto"/>
                <w:sz w:val="24"/>
                <w:szCs w:val="24"/>
                <w:highlight w:val="none"/>
                <w:lang w:val="en-US" w:eastAsia="zh-CN"/>
              </w:rPr>
              <w:t>、烟气黑度</w:t>
            </w:r>
            <w:r>
              <w:rPr>
                <w:rFonts w:hint="default" w:ascii="Times New Roman" w:hAnsi="Times New Roman" w:eastAsia="宋体" w:cs="Times New Roman"/>
                <w:color w:val="auto"/>
                <w:sz w:val="24"/>
                <w:szCs w:val="24"/>
                <w:highlight w:val="none"/>
                <w:lang w:val="en-US" w:eastAsia="zh-CN"/>
              </w:rPr>
              <w:t>均满足</w:t>
            </w:r>
            <w:r>
              <w:rPr>
                <w:rFonts w:hint="default" w:ascii="Times New Roman" w:hAnsi="Times New Roman" w:cs="Times New Roman"/>
                <w:color w:val="auto"/>
                <w:sz w:val="24"/>
                <w:szCs w:val="24"/>
                <w:highlight w:val="none"/>
              </w:rPr>
              <w:t>《锅炉大气污染物排放标准》（</w:t>
            </w:r>
            <w:r>
              <w:rPr>
                <w:rFonts w:hint="eastAsia" w:cs="Times New Roman"/>
                <w:color w:val="auto"/>
                <w:sz w:val="24"/>
                <w:szCs w:val="24"/>
                <w:highlight w:val="none"/>
                <w:lang w:val="en-US" w:eastAsia="zh-CN"/>
              </w:rPr>
              <w:t>D</w:t>
            </w:r>
            <w:r>
              <w:rPr>
                <w:rFonts w:hint="default" w:ascii="Times New Roman" w:hAnsi="Times New Roman" w:cs="Times New Roman"/>
                <w:color w:val="auto"/>
                <w:sz w:val="24"/>
                <w:szCs w:val="24"/>
                <w:highlight w:val="none"/>
                <w:lang w:val="en-US" w:eastAsia="zh-CN"/>
              </w:rPr>
              <w:t>B13/5161-2020</w:t>
            </w:r>
            <w:r>
              <w:rPr>
                <w:rFonts w:hint="default" w:ascii="Times New Roman" w:hAnsi="Times New Roman" w:cs="Times New Roman"/>
                <w:color w:val="auto"/>
                <w:sz w:val="24"/>
                <w:szCs w:val="24"/>
                <w:highlight w:val="none"/>
              </w:rPr>
              <w:t>）中表</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中限值要求</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卤煮过程及污水处理站产生的恶臭气体满足</w:t>
            </w:r>
            <w:r>
              <w:rPr>
                <w:rFonts w:hint="eastAsia" w:ascii="Times New Roman" w:hAnsi="Times New Roman" w:eastAsia="宋体" w:cs="Times New Roman"/>
                <w:color w:val="auto"/>
                <w:sz w:val="24"/>
                <w:szCs w:val="24"/>
                <w:lang w:eastAsia="zh-CN"/>
              </w:rPr>
              <w:t>《恶臭污染物排放标准》（GB14554-93）</w:t>
            </w:r>
            <w:r>
              <w:rPr>
                <w:rFonts w:hint="eastAsia" w:ascii="Times New Roman" w:hAnsi="Times New Roman" w:cs="Times New Roman"/>
                <w:color w:val="auto"/>
                <w:sz w:val="24"/>
                <w:szCs w:val="24"/>
                <w:lang w:eastAsia="zh-CN"/>
              </w:rPr>
              <w:t>表2</w:t>
            </w:r>
            <w:r>
              <w:rPr>
                <w:rFonts w:hint="eastAsia" w:ascii="Times New Roman" w:hAnsi="Times New Roman" w:cs="Times New Roman"/>
                <w:color w:val="auto"/>
                <w:sz w:val="24"/>
                <w:szCs w:val="24"/>
                <w:lang w:val="en-US" w:eastAsia="zh-CN"/>
              </w:rPr>
              <w:t>有组织废气排放限值要求。</w:t>
            </w:r>
          </w:p>
          <w:p>
            <w:pPr>
              <w:keepNext w:val="0"/>
              <w:keepLines w:val="0"/>
              <w:pageBreakBefore w:val="0"/>
              <w:widowControl w:val="0"/>
              <w:kinsoku/>
              <w:wordWrap/>
              <w:overflowPunct/>
              <w:topLinePunct/>
              <w:autoSpaceDE/>
              <w:autoSpaceDN/>
              <w:bidi w:val="0"/>
              <w:adjustRightInd w:val="0"/>
              <w:snapToGrid w:val="0"/>
              <w:spacing w:line="360" w:lineRule="auto"/>
              <w:ind w:left="0" w:firstLine="480" w:firstLineChars="200"/>
              <w:textAlignment w:val="center"/>
              <w:rPr>
                <w:rFonts w:ascii="Times New Roman" w:hAnsi="Times New Roman" w:eastAsia="宋体" w:cs="Times New Roman"/>
                <w:color w:val="auto"/>
                <w:sz w:val="24"/>
              </w:rPr>
            </w:pPr>
            <w:r>
              <w:rPr>
                <w:rFonts w:ascii="Times New Roman" w:hAnsi="Times New Roman" w:eastAsia="宋体" w:cs="Times New Roman"/>
                <w:color w:val="auto"/>
                <w:sz w:val="24"/>
              </w:rPr>
              <w:t>②无组织</w:t>
            </w:r>
            <w:r>
              <w:rPr>
                <w:rFonts w:hint="eastAsia" w:ascii="Times New Roman" w:hAnsi="Times New Roman" w:eastAsia="宋体" w:cs="Times New Roman"/>
                <w:color w:val="auto"/>
                <w:sz w:val="24"/>
                <w:lang w:val="en-US" w:eastAsia="zh-CN"/>
              </w:rPr>
              <w:t>废气</w:t>
            </w:r>
            <w:r>
              <w:rPr>
                <w:rFonts w:ascii="Times New Roman" w:hAnsi="Times New Roman" w:eastAsia="宋体" w:cs="Times New Roman"/>
                <w:color w:val="auto"/>
                <w:sz w:val="24"/>
              </w:rPr>
              <w:t>排放达标分析</w:t>
            </w:r>
          </w:p>
          <w:p>
            <w:pPr>
              <w:keepNext w:val="0"/>
              <w:keepLines w:val="0"/>
              <w:pageBreakBefore w:val="0"/>
              <w:widowControl w:val="0"/>
              <w:kinsoku/>
              <w:wordWrap/>
              <w:overflowPunct/>
              <w:autoSpaceDE/>
              <w:autoSpaceDN/>
              <w:bidi w:val="0"/>
              <w:snapToGrid w:val="0"/>
              <w:spacing w:line="360" w:lineRule="auto"/>
              <w:ind w:firstLine="480"/>
              <w:rPr>
                <w:rFonts w:hint="eastAsia" w:ascii="Times New Roman" w:hAnsi="Times New Roman" w:cs="Times New Roman"/>
                <w:color w:val="auto"/>
                <w:spacing w:val="3"/>
                <w:sz w:val="24"/>
                <w:lang w:eastAsia="zh-CN"/>
              </w:rPr>
            </w:pPr>
            <w:r>
              <w:rPr>
                <w:rFonts w:hint="eastAsia" w:ascii="Times New Roman" w:hAnsi="Times New Roman" w:cs="Times New Roman"/>
                <w:color w:val="auto"/>
                <w:sz w:val="24"/>
                <w:szCs w:val="24"/>
                <w:lang w:val="en-US" w:eastAsia="zh-CN"/>
              </w:rPr>
              <w:t>生物质库为封闭库房，装卸料粉尘在车间内自然沉降，</w:t>
            </w:r>
            <w:r>
              <w:rPr>
                <w:rFonts w:hint="default" w:ascii="Times New Roman" w:hAnsi="Times New Roman" w:cs="Times New Roman"/>
                <w:color w:val="auto"/>
                <w:sz w:val="24"/>
                <w:szCs w:val="24"/>
              </w:rPr>
              <w:t>可有效的控制</w:t>
            </w:r>
            <w:r>
              <w:rPr>
                <w:rFonts w:hint="default" w:ascii="Times New Roman" w:hAnsi="Times New Roman" w:cs="Times New Roman"/>
                <w:color w:val="auto"/>
                <w:kern w:val="44"/>
                <w:sz w:val="24"/>
                <w:szCs w:val="24"/>
              </w:rPr>
              <w:t>粉尘</w:t>
            </w:r>
            <w:r>
              <w:rPr>
                <w:rFonts w:hint="default" w:ascii="Times New Roman" w:hAnsi="Times New Roman" w:cs="Times New Roman"/>
                <w:color w:val="auto"/>
                <w:sz w:val="24"/>
                <w:szCs w:val="24"/>
              </w:rPr>
              <w:t>的产生与排放</w:t>
            </w:r>
            <w:r>
              <w:rPr>
                <w:rFonts w:hint="eastAsia" w:ascii="Times New Roman" w:hAnsi="Times New Roman" w:cs="Times New Roman"/>
                <w:color w:val="auto"/>
                <w:spacing w:val="3"/>
                <w:sz w:val="24"/>
                <w:lang w:eastAsia="zh-CN"/>
              </w:rPr>
              <w:t>。</w:t>
            </w:r>
          </w:p>
          <w:p>
            <w:pPr>
              <w:snapToGrid w:val="0"/>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污水处理站位于封闭厂房内，定期喷洒除臭剂，可有效抑制恶臭气体的排放。</w:t>
            </w:r>
          </w:p>
          <w:p>
            <w:pPr>
              <w:snapToGrid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根据《环境影响评价技术导则大气环境》（HJ2.2-2018），选择项目污染源正常排放的主要污染物及排放参数，采用附录A推荐模型中估算模型分别计算项目各</w:t>
            </w:r>
            <w:r>
              <w:rPr>
                <w:rFonts w:hint="default" w:ascii="Times New Roman" w:hAnsi="Times New Roman" w:cs="Times New Roman"/>
                <w:color w:val="auto"/>
                <w:sz w:val="24"/>
                <w:szCs w:val="24"/>
                <w:highlight w:val="none"/>
                <w:lang w:val="en-US" w:eastAsia="zh-CN"/>
              </w:rPr>
              <w:t>面源</w:t>
            </w:r>
            <w:r>
              <w:rPr>
                <w:rFonts w:hint="default" w:ascii="Times New Roman" w:hAnsi="Times New Roman" w:cs="Times New Roman"/>
                <w:color w:val="auto"/>
                <w:sz w:val="24"/>
                <w:szCs w:val="24"/>
                <w:highlight w:val="none"/>
              </w:rPr>
              <w:t>污染源</w:t>
            </w:r>
            <w:r>
              <w:rPr>
                <w:rFonts w:hint="default" w:ascii="Times New Roman" w:hAnsi="Times New Roman" w:cs="Times New Roman"/>
                <w:color w:val="auto"/>
                <w:sz w:val="24"/>
                <w:szCs w:val="24"/>
                <w:highlight w:val="none"/>
                <w:lang w:val="en-US" w:eastAsia="zh-CN"/>
              </w:rPr>
              <w:t>厂界落</w:t>
            </w:r>
            <w:r>
              <w:rPr>
                <w:rFonts w:hint="default" w:ascii="Times New Roman" w:hAnsi="Times New Roman" w:cs="Times New Roman"/>
                <w:color w:val="auto"/>
                <w:sz w:val="24"/>
                <w:szCs w:val="24"/>
                <w:highlight w:val="none"/>
              </w:rPr>
              <w:t>地浓度</w:t>
            </w:r>
            <w:r>
              <w:rPr>
                <w:rFonts w:hint="default" w:ascii="Times New Roman" w:hAnsi="Times New Roman" w:cs="Times New Roman"/>
                <w:color w:val="auto"/>
                <w:sz w:val="24"/>
                <w:szCs w:val="24"/>
                <w:highlight w:val="none"/>
                <w:lang w:eastAsia="zh-CN"/>
              </w:rPr>
              <w:t>。</w:t>
            </w:r>
          </w:p>
          <w:p>
            <w:pPr>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4-9</w:t>
            </w:r>
            <w:r>
              <w:rPr>
                <w:rFonts w:hint="default" w:ascii="Times New Roman" w:hAnsi="Times New Roman" w:cs="Times New Roman"/>
                <w:b/>
                <w:bCs/>
                <w:color w:val="auto"/>
                <w:sz w:val="21"/>
                <w:szCs w:val="21"/>
                <w:highlight w:val="none"/>
                <w:lang w:val="en-US" w:eastAsia="zh-CN"/>
              </w:rPr>
              <w:t xml:space="preserve">  项目</w:t>
            </w:r>
            <w:r>
              <w:rPr>
                <w:rFonts w:hint="eastAsia" w:ascii="Times New Roman" w:hAnsi="Times New Roman" w:cs="Times New Roman"/>
                <w:b/>
                <w:bCs/>
                <w:color w:val="auto"/>
                <w:sz w:val="21"/>
                <w:szCs w:val="21"/>
                <w:highlight w:val="none"/>
                <w:lang w:val="en-US" w:eastAsia="zh-CN"/>
              </w:rPr>
              <w:t>无</w:t>
            </w:r>
            <w:r>
              <w:rPr>
                <w:rFonts w:hint="default" w:ascii="Times New Roman" w:hAnsi="Times New Roman" w:cs="Times New Roman"/>
                <w:b/>
                <w:bCs/>
                <w:color w:val="auto"/>
                <w:sz w:val="21"/>
                <w:szCs w:val="21"/>
                <w:highlight w:val="none"/>
                <w:lang w:val="en-US" w:eastAsia="zh-CN"/>
              </w:rPr>
              <w:t>组织废气排放情况</w:t>
            </w:r>
          </w:p>
          <w:tbl>
            <w:tblPr>
              <w:tblStyle w:val="23"/>
              <w:tblW w:w="492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5"/>
              <w:gridCol w:w="1983"/>
              <w:gridCol w:w="1251"/>
              <w:gridCol w:w="1250"/>
              <w:gridCol w:w="1257"/>
              <w:gridCol w:w="11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6" w:type="pct"/>
                  <w:vMerge w:val="restart"/>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val="en-US" w:eastAsia="zh-CN"/>
                    </w:rPr>
                    <w:t>污染源</w:t>
                  </w:r>
                </w:p>
              </w:tc>
              <w:tc>
                <w:tcPr>
                  <w:tcW w:w="1191" w:type="pct"/>
                  <w:vMerge w:val="restart"/>
                  <w:tcBorders>
                    <w:lef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预测因子</w:t>
                  </w:r>
                </w:p>
              </w:tc>
              <w:tc>
                <w:tcPr>
                  <w:tcW w:w="2922" w:type="pct"/>
                  <w:gridSpan w:val="4"/>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w:t>
                  </w:r>
                  <w:r>
                    <w:rPr>
                      <w:rFonts w:hint="eastAsia" w:ascii="Times New Roman" w:hAnsi="Times New Roman" w:cs="Times New Roman"/>
                      <w:b/>
                      <w:color w:val="auto"/>
                      <w:sz w:val="21"/>
                      <w:szCs w:val="21"/>
                      <w:highlight w:val="none"/>
                      <w:lang w:eastAsia="zh-CN"/>
                    </w:rPr>
                    <w:t>浓度</w:t>
                  </w:r>
                  <w:r>
                    <w:rPr>
                      <w:rFonts w:hint="default" w:ascii="Times New Roman" w:hAnsi="Times New Roman" w:cs="Times New Roman"/>
                      <w:b/>
                      <w:color w:val="auto"/>
                      <w:szCs w:val="21"/>
                      <w:highlight w:val="none"/>
                    </w:rPr>
                    <w:t>mg/m</w:t>
                  </w:r>
                  <w:r>
                    <w:rPr>
                      <w:rFonts w:hint="default" w:ascii="Times New Roman" w:hAnsi="Times New Roman" w:cs="Times New Roman"/>
                      <w:b/>
                      <w:color w:val="auto"/>
                      <w:szCs w:val="21"/>
                      <w:highlight w:val="none"/>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6" w:type="pct"/>
                  <w:vMerge w:val="continue"/>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highlight w:val="none"/>
                    </w:rPr>
                  </w:pPr>
                </w:p>
              </w:tc>
              <w:tc>
                <w:tcPr>
                  <w:tcW w:w="1191" w:type="pct"/>
                  <w:vMerge w:val="continue"/>
                  <w:tcBorders>
                    <w:lef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highlight w:val="none"/>
                    </w:rPr>
                  </w:pPr>
                </w:p>
              </w:tc>
              <w:tc>
                <w:tcPr>
                  <w:tcW w:w="751" w:type="pct"/>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北厂界</w:t>
                  </w:r>
                </w:p>
              </w:tc>
              <w:tc>
                <w:tcPr>
                  <w:tcW w:w="751" w:type="pct"/>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东厂界</w:t>
                  </w:r>
                </w:p>
              </w:tc>
              <w:tc>
                <w:tcPr>
                  <w:tcW w:w="755" w:type="pct"/>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南厂界</w:t>
                  </w:r>
                </w:p>
              </w:tc>
              <w:tc>
                <w:tcPr>
                  <w:tcW w:w="663" w:type="pct"/>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西厂界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6" w:type="pct"/>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距离</w:t>
                  </w:r>
                </w:p>
              </w:tc>
              <w:tc>
                <w:tcPr>
                  <w:tcW w:w="1191" w:type="pct"/>
                  <w:tcBorders>
                    <w:lef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53</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75</w:t>
                  </w:r>
                </w:p>
              </w:tc>
              <w:tc>
                <w:tcPr>
                  <w:tcW w:w="7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140</w:t>
                  </w:r>
                </w:p>
              </w:tc>
              <w:tc>
                <w:tcPr>
                  <w:tcW w:w="663"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6" w:type="pct"/>
                  <w:tcBorders>
                    <w:right w:val="single" w:color="auto" w:sz="4" w:space="0"/>
                  </w:tcBorders>
                  <w:noWrap w:val="0"/>
                  <w:vAlign w:val="center"/>
                </w:tcPr>
                <w:p>
                  <w:pPr>
                    <w:pStyle w:val="32"/>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生物质库</w:t>
                  </w:r>
                </w:p>
              </w:tc>
              <w:tc>
                <w:tcPr>
                  <w:tcW w:w="1191" w:type="pct"/>
                  <w:tcBorders>
                    <w:left w:val="single" w:color="auto" w:sz="4" w:space="0"/>
                  </w:tcBorders>
                  <w:noWrap w:val="0"/>
                  <w:vAlign w:val="center"/>
                </w:tcPr>
                <w:p>
                  <w:pPr>
                    <w:spacing w:line="280" w:lineRule="exact"/>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highlight w:val="none"/>
                      <w:lang w:val="en-US" w:eastAsia="zh-CN"/>
                    </w:rPr>
                    <w:t>颗粒物</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0.000196</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0.000184</w:t>
                  </w:r>
                </w:p>
              </w:tc>
              <w:tc>
                <w:tcPr>
                  <w:tcW w:w="7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0.00015</w:t>
                  </w:r>
                </w:p>
              </w:tc>
              <w:tc>
                <w:tcPr>
                  <w:tcW w:w="663"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0.000161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6" w:type="pct"/>
                  <w:tcBorders>
                    <w:right w:val="single" w:color="auto" w:sz="4" w:space="0"/>
                  </w:tcBorders>
                  <w:noWrap w:val="0"/>
                  <w:vAlign w:val="center"/>
                </w:tcPr>
                <w:p>
                  <w:pPr>
                    <w:pStyle w:val="32"/>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标准</w:t>
                  </w:r>
                  <w:r>
                    <w:rPr>
                      <w:rFonts w:hint="eastAsia" w:ascii="Times New Roman" w:hAnsi="Times New Roman" w:eastAsia="宋体" w:cs="Times New Roman"/>
                      <w:color w:val="auto"/>
                      <w:kern w:val="2"/>
                      <w:sz w:val="21"/>
                      <w:szCs w:val="21"/>
                      <w:highlight w:val="none"/>
                      <w:lang w:val="en-US" w:eastAsia="zh-CN" w:bidi="ar-SA"/>
                    </w:rPr>
                    <w:t>值</w:t>
                  </w:r>
                </w:p>
              </w:tc>
              <w:tc>
                <w:tcPr>
                  <w:tcW w:w="1191" w:type="pct"/>
                  <w:tcBorders>
                    <w:left w:val="single" w:color="auto" w:sz="4" w:space="0"/>
                  </w:tcBorders>
                  <w:noWrap w:val="0"/>
                  <w:vAlign w:val="center"/>
                </w:tcPr>
                <w:p>
                  <w:pPr>
                    <w:spacing w:line="280" w:lineRule="exact"/>
                    <w:jc w:val="center"/>
                    <w:rPr>
                      <w:rFonts w:hint="eastAsia" w:ascii="Times New Roman" w:cs="Times New Roman"/>
                      <w:color w:val="auto"/>
                      <w:kern w:val="2"/>
                      <w:sz w:val="21"/>
                      <w:szCs w:val="21"/>
                      <w:highlight w:val="none"/>
                      <w:lang w:eastAsia="zh-CN"/>
                    </w:rPr>
                  </w:pPr>
                  <w:r>
                    <w:rPr>
                      <w:rFonts w:hint="eastAsia" w:ascii="Times New Roman" w:hAnsi="Times New Roman" w:cs="Times New Roman"/>
                      <w:color w:val="auto"/>
                      <w:highlight w:val="none"/>
                      <w:lang w:val="en-US" w:eastAsia="zh-CN"/>
                    </w:rPr>
                    <w:t>颗粒物</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1.0</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1.0</w:t>
                  </w:r>
                </w:p>
              </w:tc>
              <w:tc>
                <w:tcPr>
                  <w:tcW w:w="7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1.0</w:t>
                  </w:r>
                </w:p>
              </w:tc>
              <w:tc>
                <w:tcPr>
                  <w:tcW w:w="663"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6" w:type="pct"/>
                  <w:tcBorders>
                    <w:right w:val="single" w:color="auto" w:sz="4" w:space="0"/>
                  </w:tcBorders>
                  <w:noWrap w:val="0"/>
                  <w:vAlign w:val="center"/>
                </w:tcPr>
                <w:p>
                  <w:pPr>
                    <w:pStyle w:val="32"/>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达标情况</w:t>
                  </w:r>
                </w:p>
              </w:tc>
              <w:tc>
                <w:tcPr>
                  <w:tcW w:w="1191" w:type="pct"/>
                  <w:tcBorders>
                    <w:left w:val="single" w:color="auto" w:sz="4" w:space="0"/>
                  </w:tcBorders>
                  <w:noWrap w:val="0"/>
                  <w:vAlign w:val="center"/>
                </w:tcPr>
                <w:p>
                  <w:pPr>
                    <w:spacing w:line="280" w:lineRule="exact"/>
                    <w:jc w:val="center"/>
                    <w:rPr>
                      <w:rFonts w:hint="eastAsia" w:ascii="Times New Roman" w:cs="Times New Roman"/>
                      <w:color w:val="auto"/>
                      <w:kern w:val="2"/>
                      <w:sz w:val="21"/>
                      <w:szCs w:val="21"/>
                      <w:highlight w:val="none"/>
                      <w:lang w:eastAsia="zh-CN"/>
                    </w:rPr>
                  </w:pPr>
                  <w:r>
                    <w:rPr>
                      <w:rFonts w:hint="eastAsia" w:ascii="Times New Roman" w:hAnsi="Times New Roman" w:cs="Times New Roman"/>
                      <w:color w:val="auto"/>
                      <w:highlight w:val="none"/>
                      <w:lang w:val="en-US" w:eastAsia="zh-CN"/>
                    </w:rPr>
                    <w:t>颗粒物</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达标</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达标</w:t>
                  </w:r>
                </w:p>
              </w:tc>
              <w:tc>
                <w:tcPr>
                  <w:tcW w:w="7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达标</w:t>
                  </w:r>
                </w:p>
              </w:tc>
              <w:tc>
                <w:tcPr>
                  <w:tcW w:w="663"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6" w:type="pct"/>
                  <w:tcBorders>
                    <w:right w:val="single" w:color="auto" w:sz="4" w:space="0"/>
                  </w:tcBorders>
                  <w:noWrap w:val="0"/>
                  <w:vAlign w:val="center"/>
                </w:tcPr>
                <w:p>
                  <w:pPr>
                    <w:pStyle w:val="32"/>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污水处理站</w:t>
                  </w:r>
                </w:p>
              </w:tc>
              <w:tc>
                <w:tcPr>
                  <w:tcW w:w="1191" w:type="pct"/>
                  <w:tcBorders>
                    <w:left w:val="single" w:color="auto" w:sz="4" w:space="0"/>
                  </w:tcBorders>
                  <w:noWrap w:val="0"/>
                  <w:vAlign w:val="center"/>
                </w:tcPr>
                <w:p>
                  <w:pPr>
                    <w:spacing w:line="280" w:lineRule="exact"/>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氨</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0.000221</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0.000201</w:t>
                  </w:r>
                </w:p>
              </w:tc>
              <w:tc>
                <w:tcPr>
                  <w:tcW w:w="7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0.000165</w:t>
                  </w:r>
                </w:p>
              </w:tc>
              <w:tc>
                <w:tcPr>
                  <w:tcW w:w="663"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5" w:type="dxa"/>
                  <w:tcBorders>
                    <w:right w:val="single" w:color="auto" w:sz="4" w:space="0"/>
                  </w:tcBorders>
                  <w:noWrap w:val="0"/>
                  <w:vAlign w:val="center"/>
                </w:tcPr>
                <w:p>
                  <w:pPr>
                    <w:pStyle w:val="32"/>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标准</w:t>
                  </w:r>
                  <w:r>
                    <w:rPr>
                      <w:rFonts w:hint="eastAsia" w:ascii="Times New Roman" w:hAnsi="Times New Roman" w:eastAsia="宋体" w:cs="Times New Roman"/>
                      <w:color w:val="auto"/>
                      <w:kern w:val="2"/>
                      <w:sz w:val="21"/>
                      <w:szCs w:val="21"/>
                      <w:highlight w:val="none"/>
                      <w:lang w:val="en-US" w:eastAsia="zh-CN" w:bidi="ar-SA"/>
                    </w:rPr>
                    <w:t>值</w:t>
                  </w:r>
                </w:p>
              </w:tc>
              <w:tc>
                <w:tcPr>
                  <w:tcW w:w="1191" w:type="pct"/>
                  <w:tcBorders>
                    <w:left w:val="single" w:color="auto" w:sz="4" w:space="0"/>
                  </w:tcBorders>
                  <w:noWrap w:val="0"/>
                  <w:vAlign w:val="center"/>
                </w:tcPr>
                <w:p>
                  <w:pPr>
                    <w:spacing w:line="28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氨</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7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663"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5" w:type="dxa"/>
                  <w:tcBorders>
                    <w:right w:val="single" w:color="auto" w:sz="4" w:space="0"/>
                  </w:tcBorders>
                  <w:noWrap w:val="0"/>
                  <w:vAlign w:val="center"/>
                </w:tcPr>
                <w:p>
                  <w:pPr>
                    <w:pStyle w:val="32"/>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达标情况</w:t>
                  </w:r>
                </w:p>
              </w:tc>
              <w:tc>
                <w:tcPr>
                  <w:tcW w:w="1191" w:type="pct"/>
                  <w:tcBorders>
                    <w:left w:val="single" w:color="auto" w:sz="4" w:space="0"/>
                  </w:tcBorders>
                  <w:noWrap w:val="0"/>
                  <w:vAlign w:val="center"/>
                </w:tcPr>
                <w:p>
                  <w:pPr>
                    <w:spacing w:line="28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氨</w:t>
                  </w:r>
                </w:p>
              </w:tc>
              <w:tc>
                <w:tcPr>
                  <w:tcW w:w="12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12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12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110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5" w:type="dxa"/>
                  <w:tcBorders>
                    <w:right w:val="single" w:color="auto" w:sz="4" w:space="0"/>
                  </w:tcBorders>
                  <w:noWrap w:val="0"/>
                  <w:vAlign w:val="center"/>
                </w:tcPr>
                <w:p>
                  <w:pPr>
                    <w:pStyle w:val="32"/>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污水处理站</w:t>
                  </w:r>
                </w:p>
              </w:tc>
              <w:tc>
                <w:tcPr>
                  <w:tcW w:w="1191" w:type="pct"/>
                  <w:tcBorders>
                    <w:left w:val="single" w:color="auto" w:sz="4" w:space="0"/>
                  </w:tcBorders>
                  <w:noWrap w:val="0"/>
                  <w:vAlign w:val="center"/>
                </w:tcPr>
                <w:p>
                  <w:pPr>
                    <w:spacing w:line="280" w:lineRule="exact"/>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硫化氢</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0.000359</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0.000327</w:t>
                  </w:r>
                </w:p>
              </w:tc>
              <w:tc>
                <w:tcPr>
                  <w:tcW w:w="7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0.000269</w:t>
                  </w:r>
                </w:p>
              </w:tc>
              <w:tc>
                <w:tcPr>
                  <w:tcW w:w="663"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5" w:type="dxa"/>
                  <w:tcBorders>
                    <w:right w:val="single" w:color="auto" w:sz="4" w:space="0"/>
                  </w:tcBorders>
                  <w:noWrap w:val="0"/>
                  <w:vAlign w:val="center"/>
                </w:tcPr>
                <w:p>
                  <w:pPr>
                    <w:pStyle w:val="32"/>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标准</w:t>
                  </w:r>
                  <w:r>
                    <w:rPr>
                      <w:rFonts w:hint="eastAsia" w:ascii="Times New Roman" w:hAnsi="Times New Roman" w:eastAsia="宋体" w:cs="Times New Roman"/>
                      <w:color w:val="auto"/>
                      <w:kern w:val="2"/>
                      <w:sz w:val="21"/>
                      <w:szCs w:val="21"/>
                      <w:highlight w:val="none"/>
                      <w:lang w:val="en-US" w:eastAsia="zh-CN" w:bidi="ar-SA"/>
                    </w:rPr>
                    <w:t>值</w:t>
                  </w:r>
                </w:p>
              </w:tc>
              <w:tc>
                <w:tcPr>
                  <w:tcW w:w="1191" w:type="pct"/>
                  <w:tcBorders>
                    <w:left w:val="single" w:color="auto" w:sz="4" w:space="0"/>
                  </w:tcBorders>
                  <w:noWrap w:val="0"/>
                  <w:vAlign w:val="center"/>
                </w:tcPr>
                <w:p>
                  <w:pPr>
                    <w:spacing w:line="28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硫化氢</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w:t>
                  </w:r>
                </w:p>
              </w:tc>
              <w:tc>
                <w:tcPr>
                  <w:tcW w:w="7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w:t>
                  </w:r>
                </w:p>
              </w:tc>
              <w:tc>
                <w:tcPr>
                  <w:tcW w:w="7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w:t>
                  </w:r>
                </w:p>
              </w:tc>
              <w:tc>
                <w:tcPr>
                  <w:tcW w:w="663"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5" w:type="dxa"/>
                  <w:tcBorders>
                    <w:right w:val="single" w:color="auto" w:sz="4" w:space="0"/>
                  </w:tcBorders>
                  <w:noWrap w:val="0"/>
                  <w:vAlign w:val="center"/>
                </w:tcPr>
                <w:p>
                  <w:pPr>
                    <w:pStyle w:val="32"/>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达标情况</w:t>
                  </w:r>
                </w:p>
              </w:tc>
              <w:tc>
                <w:tcPr>
                  <w:tcW w:w="1191" w:type="pct"/>
                  <w:tcBorders>
                    <w:left w:val="single" w:color="auto" w:sz="4" w:space="0"/>
                  </w:tcBorders>
                  <w:noWrap w:val="0"/>
                  <w:vAlign w:val="center"/>
                </w:tcPr>
                <w:p>
                  <w:pPr>
                    <w:spacing w:line="28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硫化氢</w:t>
                  </w:r>
                </w:p>
              </w:tc>
              <w:tc>
                <w:tcPr>
                  <w:tcW w:w="12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12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12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110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bl>
          <w:p>
            <w:pPr>
              <w:snapToGrid w:val="0"/>
              <w:spacing w:line="360" w:lineRule="auto"/>
              <w:ind w:firstLine="492" w:firstLineChars="200"/>
              <w:rPr>
                <w:rFonts w:hint="default" w:ascii="Times New Roman" w:hAnsi="Times New Roman" w:eastAsia="宋体" w:cs="Times New Roman"/>
                <w:b/>
                <w:bCs/>
                <w:color w:val="auto"/>
                <w:sz w:val="24"/>
                <w:lang w:val="en-US" w:eastAsia="zh-CN"/>
              </w:rPr>
            </w:pPr>
            <w:r>
              <w:rPr>
                <w:rFonts w:hint="eastAsia" w:ascii="Times New Roman" w:hAnsi="Times New Roman" w:cs="Times New Roman"/>
                <w:color w:val="auto"/>
                <w:spacing w:val="3"/>
                <w:sz w:val="24"/>
                <w:lang w:val="en-US" w:eastAsia="zh-CN"/>
              </w:rPr>
              <w:t>综上所述，建设单位采取上述措施后，</w:t>
            </w:r>
            <w:r>
              <w:rPr>
                <w:rFonts w:ascii="Times New Roman" w:hAnsi="Times New Roman" w:cs="Times New Roman"/>
                <w:color w:val="auto"/>
                <w:sz w:val="24"/>
                <w:highlight w:val="none"/>
              </w:rPr>
              <w:t>厂界</w:t>
            </w:r>
            <w:r>
              <w:rPr>
                <w:rFonts w:hint="eastAsia" w:ascii="Times New Roman" w:hAnsi="Times New Roman" w:cs="Times New Roman"/>
                <w:color w:val="auto"/>
                <w:sz w:val="24"/>
                <w:szCs w:val="24"/>
                <w:lang w:val="en-US" w:eastAsia="zh-CN"/>
              </w:rPr>
              <w:t>无组织排放</w:t>
            </w:r>
            <w:r>
              <w:rPr>
                <w:rFonts w:ascii="Times New Roman" w:hAnsi="Times New Roman" w:cs="Times New Roman"/>
                <w:color w:val="auto"/>
                <w:sz w:val="24"/>
                <w:highlight w:val="none"/>
              </w:rPr>
              <w:t>颗粒物</w:t>
            </w:r>
            <w:r>
              <w:rPr>
                <w:rFonts w:hint="eastAsia" w:ascii="Times New Roman" w:hAnsi="Times New Roman" w:cs="Times New Roman"/>
                <w:color w:val="auto"/>
                <w:sz w:val="24"/>
                <w:highlight w:val="none"/>
                <w:lang w:val="en-US" w:eastAsia="zh-CN"/>
              </w:rPr>
              <w:t>可</w:t>
            </w:r>
            <w:r>
              <w:rPr>
                <w:rFonts w:ascii="Times New Roman" w:hAnsi="Times New Roman" w:cs="Times New Roman"/>
                <w:color w:val="auto"/>
                <w:sz w:val="24"/>
                <w:highlight w:val="none"/>
              </w:rPr>
              <w:t>满足</w:t>
            </w:r>
            <w:r>
              <w:rPr>
                <w:rFonts w:hint="default" w:ascii="Times New Roman" w:hAnsi="Times New Roman" w:eastAsia="宋体" w:cs="Times New Roman"/>
                <w:color w:val="auto"/>
                <w:sz w:val="24"/>
                <w:szCs w:val="24"/>
                <w:lang w:val="en-US" w:eastAsia="zh-CN"/>
              </w:rPr>
              <w:t>《大气污染物综合排放标准》（GB16297-1996）表2无组织排放监控浓度限值</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污水处理站氨、硫化氢满足</w:t>
            </w:r>
            <w:r>
              <w:rPr>
                <w:rFonts w:hint="eastAsia" w:ascii="Times New Roman" w:hAnsi="Times New Roman" w:eastAsia="宋体" w:cs="Times New Roman"/>
                <w:color w:val="auto"/>
                <w:sz w:val="24"/>
                <w:szCs w:val="24"/>
                <w:lang w:eastAsia="zh-CN"/>
              </w:rPr>
              <w:t>《恶臭污染物排放标准》（GB14554-93）</w:t>
            </w:r>
            <w:r>
              <w:rPr>
                <w:rFonts w:hint="eastAsia" w:ascii="Times New Roman" w:hAnsi="Times New Roman" w:cs="Times New Roman"/>
                <w:color w:val="auto"/>
                <w:sz w:val="24"/>
                <w:szCs w:val="24"/>
                <w:lang w:eastAsia="zh-CN"/>
              </w:rPr>
              <w:t>表</w:t>
            </w:r>
            <w:r>
              <w:rPr>
                <w:rFonts w:hint="eastAsia" w:ascii="Times New Roman" w:hAnsi="Times New Roman" w:cs="Times New Roman"/>
                <w:color w:val="auto"/>
                <w:sz w:val="24"/>
                <w:szCs w:val="24"/>
                <w:lang w:val="en-US" w:eastAsia="zh-CN"/>
              </w:rPr>
              <w:t>1厂界污染物排放限值要求。</w:t>
            </w:r>
          </w:p>
          <w:p>
            <w:pPr>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w:t>
            </w:r>
            <w:r>
              <w:rPr>
                <w:rFonts w:hint="eastAsia" w:ascii="Times New Roman" w:hAnsi="Times New Roman" w:cs="Times New Roman"/>
                <w:b/>
                <w:bCs/>
                <w:color w:val="auto"/>
                <w:sz w:val="24"/>
                <w:lang w:val="en-US" w:eastAsia="zh-CN"/>
              </w:rPr>
              <w:t>7</w:t>
            </w:r>
            <w:r>
              <w:rPr>
                <w:rFonts w:ascii="Times New Roman" w:hAnsi="Times New Roman" w:cs="Times New Roman"/>
                <w:b/>
                <w:bCs/>
                <w:color w:val="auto"/>
                <w:sz w:val="24"/>
              </w:rPr>
              <w:t>）大气环境影响评价结论</w:t>
            </w: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olor w:val="auto"/>
                <w:highlight w:val="yellow"/>
              </w:rPr>
            </w:pPr>
            <w:r>
              <w:rPr>
                <w:rFonts w:ascii="Times New Roman" w:hAnsi="Times New Roman" w:cs="Times New Roman"/>
                <w:color w:val="auto"/>
                <w:sz w:val="24"/>
              </w:rPr>
              <w:t>项目所在区域为达标区，</w:t>
            </w:r>
            <w:r>
              <w:rPr>
                <w:rFonts w:ascii="Times New Roman" w:hAnsi="Times New Roman" w:cs="Times New Roman"/>
                <w:bCs/>
                <w:color w:val="auto"/>
                <w:sz w:val="24"/>
              </w:rPr>
              <w:t>项目所在厂区</w:t>
            </w:r>
            <w:r>
              <w:rPr>
                <w:rFonts w:ascii="Times New Roman" w:hAnsi="Times New Roman" w:cs="Times New Roman"/>
                <w:color w:val="auto"/>
                <w:sz w:val="24"/>
              </w:rPr>
              <w:t>周边500m范围内的大气环境保护目标详见表3-</w:t>
            </w:r>
            <w:r>
              <w:rPr>
                <w:rFonts w:hint="eastAsia" w:ascii="Times New Roman" w:hAnsi="Times New Roman" w:cs="Times New Roman"/>
                <w:color w:val="auto"/>
                <w:sz w:val="24"/>
                <w:lang w:val="en-US" w:eastAsia="zh-CN"/>
              </w:rPr>
              <w:t>5</w:t>
            </w:r>
            <w:r>
              <w:rPr>
                <w:rFonts w:ascii="Times New Roman" w:hAnsi="Times New Roman" w:cs="Times New Roman"/>
                <w:color w:val="auto"/>
                <w:sz w:val="24"/>
              </w:rPr>
              <w:t>。</w:t>
            </w:r>
            <w:r>
              <w:rPr>
                <w:rFonts w:hint="eastAsia" w:ascii="Times New Roman" w:hAnsi="Times New Roman" w:eastAsia="宋体" w:cs="Times New Roman"/>
                <w:color w:val="auto"/>
                <w:sz w:val="24"/>
                <w:lang w:val="en-US" w:eastAsia="zh-CN"/>
              </w:rPr>
              <w:t>本项目</w:t>
            </w:r>
            <w:r>
              <w:rPr>
                <w:rFonts w:hint="eastAsia" w:ascii="Times New Roman" w:hAnsi="Times New Roman" w:cs="Times New Roman"/>
                <w:color w:val="auto"/>
                <w:sz w:val="24"/>
                <w:lang w:val="en-US" w:eastAsia="zh-CN"/>
              </w:rPr>
              <w:t>生物质锅炉产生的废气经</w:t>
            </w:r>
            <w:r>
              <w:rPr>
                <w:rFonts w:hint="eastAsia" w:ascii="Times New Roman" w:hAnsi="Times New Roman" w:cs="Times New Roman"/>
                <w:color w:val="auto"/>
                <w:sz w:val="24"/>
                <w:szCs w:val="24"/>
                <w:highlight w:val="none"/>
                <w:lang w:val="en-US" w:eastAsia="zh-CN"/>
              </w:rPr>
              <w:t>布袋除尘器+SNCR烟气脱硝设施</w:t>
            </w:r>
            <w:r>
              <w:rPr>
                <w:rFonts w:hint="default" w:ascii="Times New Roman" w:hAnsi="Times New Roman" w:eastAsia="宋体" w:cs="Times New Roman"/>
                <w:color w:val="auto"/>
                <w:sz w:val="24"/>
                <w:szCs w:val="24"/>
                <w:highlight w:val="none"/>
                <w:lang w:val="en-US" w:eastAsia="zh-CN"/>
              </w:rPr>
              <w:t>对锅炉烟气进行治理，治理后经一根</w:t>
            </w:r>
            <w:r>
              <w:rPr>
                <w:rFonts w:hint="eastAsia" w:ascii="Times New Roman" w:hAnsi="Times New Roman"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lang w:val="en-US" w:eastAsia="zh-CN"/>
              </w:rPr>
              <w:t>m高烟囱排放</w:t>
            </w:r>
            <w:r>
              <w:rPr>
                <w:rFonts w:hint="eastAsia" w:ascii="Times New Roman" w:hAnsi="Times New Roman" w:eastAsia="宋体" w:cs="Times New Roman"/>
                <w:color w:val="auto"/>
                <w:sz w:val="24"/>
                <w:szCs w:val="24"/>
                <w:highlight w:val="none"/>
                <w:lang w:val="en-US" w:eastAsia="zh-CN"/>
              </w:rPr>
              <w:t>，各污染物满足</w:t>
            </w:r>
            <w:r>
              <w:rPr>
                <w:rFonts w:hint="default" w:ascii="Times New Roman" w:hAnsi="Times New Roman" w:eastAsia="宋体" w:cs="Times New Roman"/>
                <w:color w:val="auto"/>
                <w:sz w:val="24"/>
                <w:szCs w:val="24"/>
                <w:lang w:val="en-US" w:eastAsia="zh-CN"/>
              </w:rPr>
              <w:t>《锅炉大气污染物排放标准》（</w:t>
            </w:r>
            <w:r>
              <w:rPr>
                <w:rFonts w:hint="eastAsia"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B13/5161-2020</w:t>
            </w:r>
            <w:r>
              <w:rPr>
                <w:rFonts w:hint="default" w:ascii="Times New Roman" w:hAnsi="Times New Roman" w:eastAsia="宋体" w:cs="Times New Roman"/>
                <w:color w:val="auto"/>
                <w:sz w:val="24"/>
                <w:szCs w:val="24"/>
                <w:lang w:val="en-US" w:eastAsia="zh-CN"/>
              </w:rPr>
              <w:t>）中表</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中限值</w:t>
            </w:r>
            <w:r>
              <w:rPr>
                <w:rFonts w:hint="eastAsia" w:ascii="Times New Roman" w:hAnsi="Times New Roman" w:eastAsia="宋体" w:cs="Times New Roman"/>
                <w:color w:val="auto"/>
                <w:sz w:val="24"/>
                <w:szCs w:val="24"/>
                <w:lang w:val="en-US" w:eastAsia="zh-CN"/>
              </w:rPr>
              <w:t>要求；</w:t>
            </w:r>
            <w:r>
              <w:rPr>
                <w:rFonts w:ascii="Times New Roman" w:hAnsi="Times New Roman"/>
                <w:color w:val="auto"/>
                <w:sz w:val="24"/>
                <w:szCs w:val="24"/>
              </w:rPr>
              <w:t>项目无组织排放的污染物经采取</w:t>
            </w:r>
            <w:r>
              <w:rPr>
                <w:rFonts w:hint="eastAsia" w:ascii="Times New Roman" w:hAnsi="Times New Roman"/>
                <w:color w:val="auto"/>
                <w:sz w:val="24"/>
                <w:szCs w:val="24"/>
              </w:rPr>
              <w:t>相应</w:t>
            </w:r>
            <w:r>
              <w:rPr>
                <w:rFonts w:ascii="Times New Roman" w:hAnsi="Times New Roman"/>
                <w:color w:val="auto"/>
                <w:sz w:val="24"/>
                <w:szCs w:val="24"/>
              </w:rPr>
              <w:t>措施治理后，</w:t>
            </w:r>
            <w:r>
              <w:rPr>
                <w:rFonts w:hint="default" w:ascii="Times New Roman" w:hAnsi="Times New Roman" w:cs="Times New Roman"/>
                <w:color w:val="auto"/>
                <w:sz w:val="24"/>
                <w:lang w:val="en-US" w:eastAsia="zh-CN"/>
              </w:rPr>
              <w:t>厂界颗粒物可</w:t>
            </w:r>
            <w:r>
              <w:rPr>
                <w:rFonts w:hint="default" w:ascii="Times New Roman" w:hAnsi="Times New Roman" w:cs="Times New Roman"/>
                <w:color w:val="auto"/>
                <w:sz w:val="24"/>
                <w:szCs w:val="24"/>
              </w:rPr>
              <w:t>满足</w:t>
            </w:r>
            <w:r>
              <w:rPr>
                <w:rFonts w:hint="default" w:ascii="Times New Roman" w:hAnsi="Times New Roman" w:eastAsia="宋体" w:cs="Times New Roman"/>
                <w:color w:val="auto"/>
                <w:sz w:val="24"/>
                <w:szCs w:val="24"/>
                <w:lang w:val="en-US" w:eastAsia="zh-CN"/>
              </w:rPr>
              <w:t>《大气污染物综合排放标准》（GB16297-1996）表2无组织排放监控浓度限值</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卤煮过程产生的恶臭气体经高效油烟净化器处理后通过20m高排气筒排放，</w:t>
            </w:r>
            <w:r>
              <w:rPr>
                <w:rFonts w:hint="default" w:ascii="Times New Roman" w:hAnsi="Times New Roman" w:cs="Times New Roman"/>
                <w:color w:val="auto"/>
                <w:sz w:val="24"/>
                <w:szCs w:val="24"/>
                <w:lang w:val="en-US" w:eastAsia="zh-CN"/>
              </w:rPr>
              <w:t>污水处理站恶臭气体经除臭系统处理后通过</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val="en-US" w:eastAsia="zh-CN"/>
              </w:rPr>
              <w:t>m高排气筒排放，废气满足</w:t>
            </w:r>
            <w:r>
              <w:rPr>
                <w:rFonts w:hint="default" w:ascii="Times New Roman" w:hAnsi="Times New Roman" w:eastAsia="宋体" w:cs="Times New Roman"/>
                <w:color w:val="auto"/>
                <w:sz w:val="24"/>
                <w:szCs w:val="24"/>
                <w:lang w:eastAsia="zh-CN"/>
              </w:rPr>
              <w:t>《恶臭污染物排放标准》（GB14554-93）</w:t>
            </w:r>
            <w:r>
              <w:rPr>
                <w:rFonts w:hint="default" w:ascii="Times New Roman" w:hAnsi="Times New Roman" w:eastAsia="宋体" w:cs="Times New Roman"/>
                <w:color w:val="auto"/>
                <w:sz w:val="24"/>
                <w:szCs w:val="24"/>
                <w:lang w:val="en-US" w:eastAsia="zh-CN"/>
              </w:rPr>
              <w:t>表2有组织污染物排放限值要求，未被收集的废气满足</w:t>
            </w:r>
            <w:r>
              <w:rPr>
                <w:rFonts w:hint="default" w:ascii="Times New Roman" w:hAnsi="Times New Roman" w:eastAsia="宋体" w:cs="Times New Roman"/>
                <w:color w:val="auto"/>
                <w:sz w:val="24"/>
                <w:szCs w:val="24"/>
                <w:lang w:eastAsia="zh-CN"/>
              </w:rPr>
              <w:t>《恶臭污染物排放标准》（GB14554-93）</w:t>
            </w:r>
            <w:r>
              <w:rPr>
                <w:rFonts w:hint="default" w:ascii="Times New Roman" w:hAnsi="Times New Roman" w:eastAsia="宋体" w:cs="Times New Roman"/>
                <w:color w:val="auto"/>
                <w:sz w:val="24"/>
                <w:szCs w:val="24"/>
                <w:lang w:val="en-US" w:eastAsia="zh-CN"/>
              </w:rPr>
              <w:t>表1厂界排放限值要求</w:t>
            </w:r>
            <w:r>
              <w:rPr>
                <w:rFonts w:ascii="Times New Roman" w:hAnsi="Times New Roman" w:cs="Times New Roman"/>
                <w:color w:val="auto"/>
                <w:sz w:val="24"/>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b/>
                <w:color w:val="auto"/>
                <w:kern w:val="2"/>
                <w:highlight w:val="none"/>
                <w:lang w:val="en-US" w:eastAsia="zh-CN"/>
              </w:rPr>
            </w:pPr>
            <w:r>
              <w:rPr>
                <w:rFonts w:hint="default" w:ascii="Times New Roman" w:hAnsi="Times New Roman"/>
                <w:b/>
                <w:color w:val="auto"/>
                <w:kern w:val="2"/>
                <w:highlight w:val="none"/>
              </w:rPr>
              <w:t>2、</w:t>
            </w:r>
            <w:r>
              <w:rPr>
                <w:rFonts w:hint="eastAsia" w:ascii="Times New Roman" w:hAnsi="Times New Roman"/>
                <w:b/>
                <w:color w:val="auto"/>
                <w:kern w:val="2"/>
                <w:highlight w:val="none"/>
                <w:lang w:val="en-US" w:eastAsia="zh-CN"/>
              </w:rPr>
              <w:t>水环境影响和保护措施</w:t>
            </w:r>
          </w:p>
          <w:p>
            <w:pPr>
              <w:snapToGrid w:val="0"/>
              <w:spacing w:line="360" w:lineRule="auto"/>
              <w:ind w:firstLine="480" w:firstLineChars="200"/>
              <w:rPr>
                <w:rFonts w:hint="default" w:ascii="Times New Roman" w:hAnsi="Times New Roman" w:cs="Times New Roman"/>
                <w:b w:val="0"/>
                <w:bCs w:val="0"/>
                <w:color w:val="auto"/>
                <w:sz w:val="24"/>
                <w:lang w:val="en-US" w:eastAsia="zh-CN"/>
              </w:rPr>
            </w:pPr>
            <w:r>
              <w:rPr>
                <w:rFonts w:hint="eastAsia" w:ascii="Times New Roman" w:hAnsi="Times New Roman" w:eastAsia="宋体" w:cs="Times New Roman"/>
                <w:color w:val="auto"/>
                <w:sz w:val="24"/>
                <w:szCs w:val="24"/>
                <w:highlight w:val="none"/>
                <w:lang w:val="en-US" w:eastAsia="zh-CN"/>
              </w:rPr>
              <w:t>项目建设完成后总用水量为345.93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103780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，废水排放量为250.28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74608.6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。食堂废水经隔油池处理后与生活污水一同进入化粪池进行预处理，生产废水与预处理后的生活污水一同经厂区污水处理站处理后通过</w:t>
            </w:r>
            <w:r>
              <w:rPr>
                <w:rFonts w:hint="default" w:ascii="Times New Roman" w:hAnsi="Times New Roman" w:eastAsia="宋体" w:cs="Times New Roman"/>
                <w:color w:val="auto"/>
                <w:sz w:val="24"/>
                <w:szCs w:val="24"/>
                <w:highlight w:val="none"/>
                <w:lang w:val="en-US" w:eastAsia="zh-CN"/>
              </w:rPr>
              <w:t>管网排放至半截塔污水处理厂</w:t>
            </w:r>
            <w:r>
              <w:rPr>
                <w:rFonts w:hint="eastAsia" w:ascii="Times New Roman" w:hAnsi="Times New Roman" w:eastAsia="宋体" w:cs="Times New Roman"/>
                <w:color w:val="auto"/>
                <w:sz w:val="24"/>
                <w:szCs w:val="24"/>
                <w:highlight w:val="none"/>
                <w:lang w:val="en-US" w:eastAsia="zh-CN"/>
              </w:rPr>
              <w:t>。</w:t>
            </w:r>
          </w:p>
          <w:p>
            <w:pPr>
              <w:snapToGrid w:val="0"/>
              <w:spacing w:line="360" w:lineRule="auto"/>
              <w:ind w:firstLine="480" w:firstLineChars="200"/>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根据《排污许可证申请与核发技术规范 农副食品加工工业-屠宰及肉类加工工业》附录C，肉类加工废水产污系数表：</w:t>
            </w:r>
          </w:p>
          <w:p>
            <w:pPr>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4-10</w:t>
            </w:r>
            <w:r>
              <w:rPr>
                <w:rFonts w:hint="default" w:ascii="Times New Roman" w:hAnsi="Times New Roman"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肉类加工工业废水产物系数表</w:t>
            </w:r>
          </w:p>
          <w:tbl>
            <w:tblPr>
              <w:tblStyle w:val="24"/>
              <w:tblW w:w="84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411"/>
              <w:gridCol w:w="1411"/>
              <w:gridCol w:w="1411"/>
              <w:gridCol w:w="1411"/>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产品名称</w:t>
                  </w:r>
                </w:p>
              </w:tc>
              <w:tc>
                <w:tcPr>
                  <w:tcW w:w="1411" w:type="dxa"/>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产品产量</w:t>
                  </w:r>
                </w:p>
              </w:tc>
              <w:tc>
                <w:tcPr>
                  <w:tcW w:w="1411" w:type="dxa"/>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污染物指标</w:t>
                  </w:r>
                </w:p>
              </w:tc>
              <w:tc>
                <w:tcPr>
                  <w:tcW w:w="1411" w:type="dxa"/>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产物系数</w:t>
                  </w:r>
                </w:p>
              </w:tc>
              <w:tc>
                <w:tcPr>
                  <w:tcW w:w="1411" w:type="dxa"/>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产生量</w:t>
                  </w:r>
                </w:p>
              </w:tc>
              <w:tc>
                <w:tcPr>
                  <w:tcW w:w="1412" w:type="dxa"/>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Merge w:val="restart"/>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肉类食品、宠物粮</w:t>
                  </w:r>
                </w:p>
              </w:tc>
              <w:tc>
                <w:tcPr>
                  <w:tcW w:w="1411" w:type="dxa"/>
                  <w:vMerge w:val="restart"/>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9600t</w:t>
                  </w:r>
                </w:p>
              </w:tc>
              <w:tc>
                <w:tcPr>
                  <w:tcW w:w="1411" w:type="dxa"/>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p>
              </w:tc>
              <w:tc>
                <w:tcPr>
                  <w:tcW w:w="1411" w:type="dxa"/>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22328g/t产品</w:t>
                  </w:r>
                </w:p>
              </w:tc>
              <w:tc>
                <w:tcPr>
                  <w:tcW w:w="1411" w:type="dxa"/>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214.349t</w:t>
                  </w:r>
                </w:p>
              </w:tc>
              <w:tc>
                <w:tcPr>
                  <w:tcW w:w="1412" w:type="dxa"/>
                  <w:vAlign w:val="center"/>
                </w:tcPr>
                <w:p>
                  <w:pPr>
                    <w:topLinePunct/>
                    <w:adjustRightInd w:val="0"/>
                    <w:spacing w:line="300" w:lineRule="exact"/>
                    <w:ind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2872.980</w:t>
                  </w:r>
                </w:p>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Merge w:val="continue"/>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1411" w:type="dxa"/>
                  <w:vMerge w:val="continue"/>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1411" w:type="dxa"/>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氨氮</w:t>
                  </w:r>
                </w:p>
              </w:tc>
              <w:tc>
                <w:tcPr>
                  <w:tcW w:w="1411" w:type="dxa"/>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1218g/t产品</w:t>
                  </w:r>
                </w:p>
              </w:tc>
              <w:tc>
                <w:tcPr>
                  <w:tcW w:w="1411" w:type="dxa"/>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11.693t</w:t>
                  </w:r>
                </w:p>
              </w:tc>
              <w:tc>
                <w:tcPr>
                  <w:tcW w:w="1412" w:type="dxa"/>
                  <w:vAlign w:val="center"/>
                </w:tcPr>
                <w:p>
                  <w:pPr>
                    <w:topLinePunct/>
                    <w:adjustRightInd w:val="0"/>
                    <w:spacing w:line="300" w:lineRule="exact"/>
                    <w:ind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156.725</w:t>
                  </w:r>
                </w:p>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mg/L</w:t>
                  </w:r>
                </w:p>
              </w:tc>
            </w:tr>
          </w:tbl>
          <w:p>
            <w:pPr>
              <w:spacing w:line="360" w:lineRule="auto"/>
              <w:ind w:firstLine="480" w:firstLineChars="200"/>
              <w:jc w:val="left"/>
              <w:rPr>
                <w:rFonts w:ascii="Times New Roman" w:hAnsi="Times New Roman" w:eastAsia="宋体" w:cs="Times New Roman"/>
                <w:kern w:val="0"/>
                <w:sz w:val="24"/>
                <w:highlight w:val="none"/>
              </w:rPr>
            </w:pPr>
            <w:r>
              <w:rPr>
                <w:rFonts w:ascii="Times New Roman" w:hAnsi="Times New Roman" w:eastAsia="宋体" w:cs="Times New Roman"/>
                <w:bCs/>
                <w:sz w:val="24"/>
                <w:highlight w:val="none"/>
              </w:rPr>
              <w:t>项目</w:t>
            </w:r>
            <w:r>
              <w:rPr>
                <w:rFonts w:ascii="Times New Roman" w:hAnsi="Times New Roman" w:cs="Times New Roman"/>
                <w:bCs/>
                <w:sz w:val="24"/>
                <w:highlight w:val="none"/>
              </w:rPr>
              <w:t>污水处理站</w:t>
            </w:r>
            <w:r>
              <w:rPr>
                <w:rFonts w:ascii="Times New Roman" w:hAnsi="Times New Roman" w:eastAsia="宋体" w:cs="Times New Roman"/>
                <w:bCs/>
                <w:sz w:val="24"/>
                <w:highlight w:val="none"/>
              </w:rPr>
              <w:t>废水污染物排放情况</w:t>
            </w:r>
            <w:r>
              <w:rPr>
                <w:rFonts w:ascii="Times New Roman" w:hAnsi="Times New Roman" w:cs="Times New Roman"/>
                <w:bCs/>
                <w:sz w:val="24"/>
                <w:highlight w:val="none"/>
              </w:rPr>
              <w:t>见下表。</w:t>
            </w:r>
          </w:p>
          <w:p>
            <w:pPr>
              <w:snapToGrid w:val="0"/>
              <w:spacing w:line="240" w:lineRule="auto"/>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表4-11  项目废水污染物排放情况一览表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116"/>
              <w:gridCol w:w="1314"/>
              <w:gridCol w:w="1020"/>
              <w:gridCol w:w="815"/>
              <w:gridCol w:w="1197"/>
              <w:gridCol w:w="729"/>
              <w:gridCol w:w="10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restart"/>
                  <w:vAlign w:val="center"/>
                </w:tcPr>
                <w:p>
                  <w:pPr>
                    <w:spacing w:line="0" w:lineRule="atLeas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污染源</w:t>
                  </w:r>
                </w:p>
              </w:tc>
              <w:tc>
                <w:tcPr>
                  <w:tcW w:w="660" w:type="pct"/>
                  <w:vMerge w:val="restart"/>
                  <w:vAlign w:val="center"/>
                </w:tcPr>
                <w:p>
                  <w:pPr>
                    <w:spacing w:line="0" w:lineRule="atLeas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污染物</w:t>
                  </w:r>
                </w:p>
              </w:tc>
              <w:tc>
                <w:tcPr>
                  <w:tcW w:w="777" w:type="pct"/>
                  <w:vAlign w:val="center"/>
                </w:tcPr>
                <w:p>
                  <w:pPr>
                    <w:spacing w:line="0" w:lineRule="atLeas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产生情况</w:t>
                  </w:r>
                </w:p>
              </w:tc>
              <w:tc>
                <w:tcPr>
                  <w:tcW w:w="603" w:type="pct"/>
                  <w:vMerge w:val="restart"/>
                  <w:vAlign w:val="center"/>
                </w:tcPr>
                <w:p>
                  <w:pPr>
                    <w:spacing w:line="0" w:lineRule="atLeas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设计处理能力（m</w:t>
                  </w:r>
                  <w:r>
                    <w:rPr>
                      <w:rFonts w:ascii="Times New Roman" w:hAnsi="Times New Roman" w:eastAsia="宋体" w:cs="Times New Roman"/>
                      <w:b/>
                      <w:szCs w:val="21"/>
                      <w:highlight w:val="none"/>
                      <w:vertAlign w:val="superscript"/>
                    </w:rPr>
                    <w:t>3</w:t>
                  </w:r>
                  <w:r>
                    <w:rPr>
                      <w:rFonts w:ascii="Times New Roman" w:hAnsi="Times New Roman" w:eastAsia="宋体" w:cs="Times New Roman"/>
                      <w:b/>
                      <w:szCs w:val="21"/>
                      <w:highlight w:val="none"/>
                    </w:rPr>
                    <w:t>/d）</w:t>
                  </w:r>
                </w:p>
              </w:tc>
              <w:tc>
                <w:tcPr>
                  <w:tcW w:w="482" w:type="pct"/>
                  <w:vMerge w:val="restart"/>
                  <w:vAlign w:val="center"/>
                </w:tcPr>
                <w:p>
                  <w:pPr>
                    <w:spacing w:line="0" w:lineRule="atLeas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处理效率（%）</w:t>
                  </w:r>
                </w:p>
              </w:tc>
              <w:tc>
                <w:tcPr>
                  <w:tcW w:w="2197" w:type="pct"/>
                  <w:gridSpan w:val="4"/>
                  <w:vAlign w:val="center"/>
                </w:tcPr>
                <w:p>
                  <w:pPr>
                    <w:spacing w:line="0" w:lineRule="atLeas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vAlign w:val="center"/>
                </w:tcPr>
                <w:p>
                  <w:pPr>
                    <w:spacing w:line="0" w:lineRule="atLeast"/>
                    <w:jc w:val="center"/>
                    <w:rPr>
                      <w:rFonts w:ascii="Times New Roman" w:hAnsi="Times New Roman" w:eastAsia="宋体" w:cs="Times New Roman"/>
                      <w:b/>
                      <w:szCs w:val="21"/>
                      <w:highlight w:val="none"/>
                    </w:rPr>
                  </w:pPr>
                </w:p>
              </w:tc>
              <w:tc>
                <w:tcPr>
                  <w:tcW w:w="660" w:type="pct"/>
                  <w:vMerge w:val="continue"/>
                  <w:vAlign w:val="center"/>
                </w:tcPr>
                <w:p>
                  <w:pPr>
                    <w:spacing w:line="0" w:lineRule="atLeast"/>
                    <w:jc w:val="center"/>
                    <w:rPr>
                      <w:rFonts w:ascii="Times New Roman" w:hAnsi="Times New Roman" w:eastAsia="宋体" w:cs="Times New Roman"/>
                      <w:b/>
                      <w:szCs w:val="21"/>
                      <w:highlight w:val="none"/>
                    </w:rPr>
                  </w:pPr>
                </w:p>
              </w:tc>
              <w:tc>
                <w:tcPr>
                  <w:tcW w:w="777" w:type="pct"/>
                  <w:vAlign w:val="center"/>
                </w:tcPr>
                <w:p>
                  <w:pPr>
                    <w:spacing w:line="0" w:lineRule="atLeas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产生浓度（</w:t>
                  </w:r>
                  <w:r>
                    <w:rPr>
                      <w:rFonts w:ascii="Times New Roman" w:hAnsi="Times New Roman" w:cs="Times New Roman"/>
                      <w:b/>
                      <w:szCs w:val="21"/>
                      <w:highlight w:val="none"/>
                    </w:rPr>
                    <w:t>mg/L</w:t>
                  </w:r>
                  <w:r>
                    <w:rPr>
                      <w:rFonts w:ascii="Times New Roman" w:hAnsi="Times New Roman" w:eastAsia="宋体" w:cs="Times New Roman"/>
                      <w:b/>
                      <w:szCs w:val="21"/>
                      <w:highlight w:val="none"/>
                    </w:rPr>
                    <w:t>）</w:t>
                  </w:r>
                </w:p>
              </w:tc>
              <w:tc>
                <w:tcPr>
                  <w:tcW w:w="603" w:type="pct"/>
                  <w:vMerge w:val="continue"/>
                  <w:vAlign w:val="center"/>
                </w:tcPr>
                <w:p>
                  <w:pPr>
                    <w:spacing w:line="0" w:lineRule="atLeast"/>
                    <w:jc w:val="center"/>
                    <w:rPr>
                      <w:rFonts w:ascii="Times New Roman" w:hAnsi="Times New Roman" w:eastAsia="宋体" w:cs="Times New Roman"/>
                      <w:b/>
                      <w:szCs w:val="21"/>
                      <w:highlight w:val="none"/>
                    </w:rPr>
                  </w:pPr>
                </w:p>
              </w:tc>
              <w:tc>
                <w:tcPr>
                  <w:tcW w:w="482" w:type="pct"/>
                  <w:vMerge w:val="continue"/>
                  <w:vAlign w:val="center"/>
                </w:tcPr>
                <w:p>
                  <w:pPr>
                    <w:spacing w:line="0" w:lineRule="atLeast"/>
                    <w:jc w:val="center"/>
                    <w:rPr>
                      <w:rFonts w:ascii="Times New Roman" w:hAnsi="Times New Roman" w:eastAsia="宋体" w:cs="Times New Roman"/>
                      <w:b/>
                      <w:szCs w:val="21"/>
                      <w:highlight w:val="none"/>
                    </w:rPr>
                  </w:pPr>
                </w:p>
              </w:tc>
              <w:tc>
                <w:tcPr>
                  <w:tcW w:w="708" w:type="pct"/>
                  <w:vAlign w:val="center"/>
                </w:tcPr>
                <w:p>
                  <w:pPr>
                    <w:spacing w:line="0" w:lineRule="atLeas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排放浓度（</w:t>
                  </w:r>
                  <w:r>
                    <w:rPr>
                      <w:rFonts w:ascii="Times New Roman" w:hAnsi="Times New Roman" w:cs="Times New Roman"/>
                      <w:b/>
                      <w:szCs w:val="21"/>
                      <w:highlight w:val="none"/>
                    </w:rPr>
                    <w:t>mg/L</w:t>
                  </w:r>
                  <w:r>
                    <w:rPr>
                      <w:rFonts w:ascii="Times New Roman" w:hAnsi="Times New Roman" w:eastAsia="宋体" w:cs="Times New Roman"/>
                      <w:b/>
                      <w:szCs w:val="21"/>
                      <w:highlight w:val="none"/>
                    </w:rPr>
                    <w:t>）</w:t>
                  </w:r>
                </w:p>
              </w:tc>
              <w:tc>
                <w:tcPr>
                  <w:tcW w:w="431" w:type="pct"/>
                  <w:vAlign w:val="center"/>
                </w:tcPr>
                <w:p>
                  <w:pPr>
                    <w:jc w:val="center"/>
                    <w:rPr>
                      <w:rFonts w:ascii="Times New Roman" w:hAnsi="Times New Roman" w:eastAsia="宋体" w:cs="Times New Roman"/>
                      <w:b/>
                      <w:szCs w:val="21"/>
                      <w:highlight w:val="none"/>
                    </w:rPr>
                  </w:pPr>
                  <w:r>
                    <w:rPr>
                      <w:rFonts w:ascii="Times New Roman" w:hAnsi="Times New Roman" w:eastAsia="宋体" w:cs="Times New Roman"/>
                      <w:b/>
                      <w:bCs/>
                      <w:szCs w:val="21"/>
                      <w:highlight w:val="none"/>
                    </w:rPr>
                    <w:t>排放方式</w:t>
                  </w:r>
                </w:p>
              </w:tc>
              <w:tc>
                <w:tcPr>
                  <w:tcW w:w="647" w:type="pct"/>
                  <w:vAlign w:val="center"/>
                </w:tcPr>
                <w:p>
                  <w:pPr>
                    <w:jc w:val="center"/>
                    <w:rPr>
                      <w:rFonts w:ascii="Times New Roman" w:hAnsi="Times New Roman" w:eastAsia="宋体" w:cs="Times New Roman"/>
                      <w:b/>
                      <w:szCs w:val="21"/>
                      <w:highlight w:val="none"/>
                    </w:rPr>
                  </w:pPr>
                  <w:r>
                    <w:rPr>
                      <w:rFonts w:ascii="Times New Roman" w:hAnsi="Times New Roman" w:eastAsia="宋体" w:cs="Times New Roman"/>
                      <w:b/>
                      <w:bCs/>
                      <w:szCs w:val="21"/>
                      <w:highlight w:val="none"/>
                    </w:rPr>
                    <w:t>排放去向</w:t>
                  </w:r>
                </w:p>
              </w:tc>
              <w:tc>
                <w:tcPr>
                  <w:tcW w:w="410" w:type="pct"/>
                  <w:vAlign w:val="center"/>
                </w:tcPr>
                <w:p>
                  <w:pPr>
                    <w:jc w:val="center"/>
                    <w:rPr>
                      <w:rFonts w:ascii="Times New Roman" w:hAnsi="Times New Roman" w:eastAsia="宋体" w:cs="Times New Roman"/>
                      <w:b/>
                      <w:szCs w:val="21"/>
                      <w:highlight w:val="none"/>
                    </w:rPr>
                  </w:pPr>
                  <w:r>
                    <w:rPr>
                      <w:rFonts w:ascii="Times New Roman" w:hAnsi="Times New Roman" w:eastAsia="宋体" w:cs="Times New Roman"/>
                      <w:b/>
                      <w:bCs/>
                      <w:szCs w:val="21"/>
                      <w:highlight w:val="none"/>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restart"/>
                  <w:vAlign w:val="center"/>
                </w:tcPr>
                <w:p>
                  <w:pPr>
                    <w:spacing w:line="0" w:lineRule="atLeast"/>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生产车间</w:t>
                  </w:r>
                </w:p>
              </w:tc>
              <w:tc>
                <w:tcPr>
                  <w:tcW w:w="660" w:type="pct"/>
                  <w:vAlign w:val="center"/>
                </w:tcPr>
                <w:p>
                  <w:pPr>
                    <w:spacing w:line="0" w:lineRule="atLeast"/>
                    <w:jc w:val="center"/>
                    <w:rPr>
                      <w:rFonts w:ascii="Times New Roman" w:hAnsi="Times New Roman" w:eastAsia="宋体" w:cs="Times New Roman"/>
                      <w:bCs/>
                      <w:szCs w:val="21"/>
                      <w:highlight w:val="none"/>
                    </w:rPr>
                  </w:pPr>
                  <w:r>
                    <w:rPr>
                      <w:rFonts w:ascii="Times New Roman" w:hAnsi="Times New Roman" w:cs="Times New Roman"/>
                      <w:szCs w:val="21"/>
                      <w:highlight w:val="none"/>
                    </w:rPr>
                    <w:t>COD</w:t>
                  </w:r>
                </w:p>
              </w:tc>
              <w:tc>
                <w:tcPr>
                  <w:tcW w:w="777" w:type="pct"/>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2872.980</w:t>
                  </w:r>
                </w:p>
              </w:tc>
              <w:tc>
                <w:tcPr>
                  <w:tcW w:w="603" w:type="pct"/>
                  <w:vMerge w:val="restart"/>
                  <w:vAlign w:val="center"/>
                </w:tcPr>
                <w:p>
                  <w:pPr>
                    <w:spacing w:line="0" w:lineRule="atLeas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300</w:t>
                  </w:r>
                </w:p>
              </w:tc>
              <w:tc>
                <w:tcPr>
                  <w:tcW w:w="482" w:type="pct"/>
                  <w:vAlign w:val="center"/>
                </w:tcPr>
                <w:p>
                  <w:pPr>
                    <w:spacing w:line="0" w:lineRule="atLeas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90</w:t>
                  </w:r>
                </w:p>
              </w:tc>
              <w:tc>
                <w:tcPr>
                  <w:tcW w:w="708" w:type="pct"/>
                  <w:vAlign w:val="center"/>
                </w:tcPr>
                <w:p>
                  <w:pPr>
                    <w:widowControl/>
                    <w:jc w:val="center"/>
                    <w:textAlignment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287.298</w:t>
                  </w:r>
                </w:p>
              </w:tc>
              <w:tc>
                <w:tcPr>
                  <w:tcW w:w="431" w:type="pct"/>
                  <w:vMerge w:val="restart"/>
                  <w:vAlign w:val="center"/>
                </w:tcPr>
                <w:p>
                  <w:pPr>
                    <w:jc w:val="center"/>
                    <w:rPr>
                      <w:rFonts w:hint="default" w:ascii="Times New Roman" w:hAnsi="Times New Roman" w:cs="Times New Roman" w:eastAsiaTheme="minorEastAsia"/>
                      <w:bCs/>
                      <w:szCs w:val="21"/>
                      <w:highlight w:val="none"/>
                      <w:lang w:val="en-US" w:eastAsia="zh-CN"/>
                    </w:rPr>
                  </w:pPr>
                  <w:r>
                    <w:rPr>
                      <w:rFonts w:hint="eastAsia" w:ascii="Times New Roman" w:hAnsi="Times New Roman" w:eastAsia="宋体" w:cs="Times New Roman"/>
                      <w:szCs w:val="21"/>
                      <w:highlight w:val="none"/>
                      <w:lang w:val="en-US" w:eastAsia="zh-CN"/>
                    </w:rPr>
                    <w:t>间接排放</w:t>
                  </w:r>
                </w:p>
              </w:tc>
              <w:tc>
                <w:tcPr>
                  <w:tcW w:w="647" w:type="pct"/>
                  <w:vMerge w:val="restart"/>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半截塔镇</w:t>
                  </w:r>
                  <w:r>
                    <w:rPr>
                      <w:rFonts w:hint="default" w:ascii="Times New Roman" w:hAnsi="Times New Roman" w:eastAsia="宋体" w:cs="Times New Roman"/>
                      <w:szCs w:val="21"/>
                      <w:highlight w:val="none"/>
                      <w:lang w:val="en-US" w:eastAsia="zh-CN"/>
                    </w:rPr>
                    <w:t>污水处理厂</w:t>
                  </w:r>
                </w:p>
              </w:tc>
              <w:tc>
                <w:tcPr>
                  <w:tcW w:w="410" w:type="pct"/>
                  <w:vMerge w:val="restart"/>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vAlign w:val="center"/>
                </w:tcPr>
                <w:p>
                  <w:pPr>
                    <w:spacing w:line="0" w:lineRule="atLeast"/>
                    <w:jc w:val="center"/>
                    <w:rPr>
                      <w:rFonts w:ascii="Times New Roman" w:hAnsi="Times New Roman" w:eastAsia="宋体" w:cs="Times New Roman"/>
                      <w:bCs/>
                      <w:szCs w:val="21"/>
                      <w:highlight w:val="none"/>
                    </w:rPr>
                  </w:pPr>
                </w:p>
              </w:tc>
              <w:tc>
                <w:tcPr>
                  <w:tcW w:w="660" w:type="pct"/>
                  <w:vAlign w:val="center"/>
                </w:tcPr>
                <w:p>
                  <w:pPr>
                    <w:spacing w:line="0" w:lineRule="atLeast"/>
                    <w:jc w:val="center"/>
                    <w:rPr>
                      <w:rFonts w:ascii="Times New Roman" w:hAnsi="Times New Roman" w:cs="Times New Roman"/>
                      <w:bCs/>
                      <w:szCs w:val="21"/>
                      <w:highlight w:val="none"/>
                    </w:rPr>
                  </w:pPr>
                  <w:r>
                    <w:rPr>
                      <w:rFonts w:ascii="Times New Roman" w:hAnsi="Times New Roman" w:cs="Times New Roman"/>
                      <w:szCs w:val="21"/>
                      <w:highlight w:val="none"/>
                    </w:rPr>
                    <w:t>NH</w:t>
                  </w:r>
                  <w:r>
                    <w:rPr>
                      <w:rFonts w:ascii="Times New Roman" w:hAnsi="Times New Roman" w:cs="Times New Roman"/>
                      <w:szCs w:val="21"/>
                      <w:highlight w:val="none"/>
                      <w:vertAlign w:val="subscript"/>
                    </w:rPr>
                    <w:t>3</w:t>
                  </w:r>
                  <w:r>
                    <w:rPr>
                      <w:rFonts w:ascii="Times New Roman" w:hAnsi="Times New Roman" w:cs="Times New Roman"/>
                      <w:szCs w:val="21"/>
                      <w:highlight w:val="none"/>
                    </w:rPr>
                    <w:t>-N</w:t>
                  </w:r>
                </w:p>
              </w:tc>
              <w:tc>
                <w:tcPr>
                  <w:tcW w:w="777" w:type="pct"/>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156.725</w:t>
                  </w:r>
                </w:p>
              </w:tc>
              <w:tc>
                <w:tcPr>
                  <w:tcW w:w="603" w:type="pct"/>
                  <w:vMerge w:val="continue"/>
                  <w:vAlign w:val="center"/>
                </w:tcPr>
                <w:p>
                  <w:pPr>
                    <w:spacing w:line="0" w:lineRule="atLeast"/>
                    <w:jc w:val="center"/>
                    <w:rPr>
                      <w:rFonts w:ascii="Times New Roman" w:hAnsi="Times New Roman" w:eastAsia="宋体" w:cs="Times New Roman"/>
                      <w:bCs/>
                      <w:szCs w:val="21"/>
                      <w:highlight w:val="none"/>
                    </w:rPr>
                  </w:pPr>
                </w:p>
              </w:tc>
              <w:tc>
                <w:tcPr>
                  <w:tcW w:w="482" w:type="pct"/>
                  <w:vAlign w:val="center"/>
                </w:tcPr>
                <w:p>
                  <w:pPr>
                    <w:spacing w:line="0" w:lineRule="atLeas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75</w:t>
                  </w:r>
                </w:p>
              </w:tc>
              <w:tc>
                <w:tcPr>
                  <w:tcW w:w="708" w:type="pct"/>
                  <w:vAlign w:val="center"/>
                </w:tcPr>
                <w:p>
                  <w:pPr>
                    <w:widowControl/>
                    <w:jc w:val="center"/>
                    <w:textAlignment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39.181</w:t>
                  </w:r>
                </w:p>
              </w:tc>
              <w:tc>
                <w:tcPr>
                  <w:tcW w:w="431" w:type="pct"/>
                  <w:vMerge w:val="continue"/>
                  <w:vAlign w:val="center"/>
                </w:tcPr>
                <w:p>
                  <w:pPr>
                    <w:widowControl/>
                    <w:jc w:val="center"/>
                    <w:textAlignment w:val="center"/>
                    <w:rPr>
                      <w:rFonts w:ascii="Times New Roman" w:hAnsi="Times New Roman" w:eastAsia="宋体" w:cs="Times New Roman"/>
                      <w:kern w:val="0"/>
                      <w:szCs w:val="21"/>
                      <w:highlight w:val="none"/>
                      <w:lang w:bidi="ar"/>
                    </w:rPr>
                  </w:pPr>
                </w:p>
              </w:tc>
              <w:tc>
                <w:tcPr>
                  <w:tcW w:w="647" w:type="pct"/>
                  <w:vMerge w:val="continue"/>
                  <w:vAlign w:val="center"/>
                </w:tcPr>
                <w:p>
                  <w:pPr>
                    <w:widowControl/>
                    <w:jc w:val="center"/>
                    <w:textAlignment w:val="center"/>
                    <w:rPr>
                      <w:rFonts w:ascii="Times New Roman" w:hAnsi="Times New Roman" w:eastAsia="宋体" w:cs="Times New Roman"/>
                      <w:kern w:val="0"/>
                      <w:szCs w:val="21"/>
                      <w:highlight w:val="none"/>
                      <w:lang w:bidi="ar"/>
                    </w:rPr>
                  </w:pPr>
                </w:p>
              </w:tc>
              <w:tc>
                <w:tcPr>
                  <w:tcW w:w="410" w:type="pct"/>
                  <w:vMerge w:val="continue"/>
                  <w:vAlign w:val="center"/>
                </w:tcPr>
                <w:p>
                  <w:pPr>
                    <w:widowControl/>
                    <w:jc w:val="center"/>
                    <w:textAlignment w:val="center"/>
                    <w:rPr>
                      <w:rFonts w:ascii="Times New Roman" w:hAnsi="Times New Roman" w:eastAsia="宋体" w:cs="Times New Roman"/>
                      <w:kern w:val="0"/>
                      <w:szCs w:val="21"/>
                      <w:highlight w:val="none"/>
                      <w:lang w:bidi="ar"/>
                    </w:rPr>
                  </w:pPr>
                </w:p>
              </w:tc>
            </w:tr>
          </w:tbl>
          <w:p>
            <w:pPr>
              <w:snapToGrid w:val="0"/>
              <w:spacing w:line="360" w:lineRule="auto"/>
              <w:ind w:firstLine="48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由上表可见，污水处理站进口废水中COD</w:t>
            </w:r>
            <w:r>
              <w:rPr>
                <w:rFonts w:hint="eastAsia" w:ascii="Times New Roman" w:hAnsi="Times New Roman" w:cs="Times New Roman"/>
                <w:b w:val="0"/>
                <w:bCs w:val="0"/>
                <w:color w:val="auto"/>
                <w:sz w:val="24"/>
                <w:lang w:val="en-US" w:eastAsia="zh-CN"/>
              </w:rPr>
              <w:t>：2872.98</w:t>
            </w:r>
            <w:r>
              <w:rPr>
                <w:rFonts w:hint="default" w:ascii="Times New Roman" w:hAnsi="Times New Roman" w:cs="Times New Roman"/>
                <w:b w:val="0"/>
                <w:bCs w:val="0"/>
                <w:color w:val="auto"/>
                <w:sz w:val="24"/>
                <w:lang w:val="en-US" w:eastAsia="zh-CN"/>
              </w:rPr>
              <w:t>mg/</w:t>
            </w:r>
            <w:r>
              <w:rPr>
                <w:rFonts w:hint="eastAsia" w:ascii="Times New Roman" w:hAnsi="Times New Roman" w:cs="Times New Roman"/>
                <w:b w:val="0"/>
                <w:bCs w:val="0"/>
                <w:color w:val="auto"/>
                <w:sz w:val="24"/>
                <w:lang w:val="en-US" w:eastAsia="zh-CN"/>
              </w:rPr>
              <w:t>L</w:t>
            </w:r>
            <w:r>
              <w:rPr>
                <w:rFonts w:hint="default" w:ascii="Times New Roman" w:hAnsi="Times New Roman" w:cs="Times New Roman"/>
                <w:b w:val="0"/>
                <w:bCs w:val="0"/>
                <w:color w:val="auto"/>
                <w:sz w:val="24"/>
                <w:lang w:val="en-US" w:eastAsia="zh-CN"/>
              </w:rPr>
              <w:t>、氨氮</w:t>
            </w:r>
            <w:r>
              <w:rPr>
                <w:rFonts w:hint="eastAsia" w:ascii="Times New Roman" w:hAnsi="Times New Roman" w:cs="Times New Roman"/>
                <w:b w:val="0"/>
                <w:bCs w:val="0"/>
                <w:color w:val="auto"/>
                <w:sz w:val="24"/>
                <w:lang w:val="en-US" w:eastAsia="zh-CN"/>
              </w:rPr>
              <w:t>：156.725</w:t>
            </w:r>
            <w:r>
              <w:rPr>
                <w:rFonts w:hint="default" w:ascii="Times New Roman" w:hAnsi="Times New Roman" w:cs="Times New Roman"/>
                <w:b w:val="0"/>
                <w:bCs w:val="0"/>
                <w:color w:val="auto"/>
                <w:sz w:val="24"/>
                <w:lang w:val="en-US" w:eastAsia="zh-CN"/>
              </w:rPr>
              <w:t>mg/</w:t>
            </w:r>
            <w:r>
              <w:rPr>
                <w:rFonts w:hint="eastAsia" w:ascii="Times New Roman" w:hAnsi="Times New Roman" w:cs="Times New Roman"/>
                <w:b w:val="0"/>
                <w:bCs w:val="0"/>
                <w:color w:val="auto"/>
                <w:sz w:val="24"/>
                <w:lang w:val="en-US" w:eastAsia="zh-CN"/>
              </w:rPr>
              <w:t>L</w:t>
            </w:r>
            <w:r>
              <w:rPr>
                <w:rFonts w:hint="default" w:ascii="Times New Roman" w:hAnsi="Times New Roman" w:cs="Times New Roman"/>
                <w:b w:val="0"/>
                <w:bCs w:val="0"/>
                <w:color w:val="auto"/>
                <w:sz w:val="24"/>
                <w:lang w:val="en-US" w:eastAsia="zh-CN"/>
              </w:rPr>
              <w:t>、经</w:t>
            </w:r>
            <w:r>
              <w:rPr>
                <w:rFonts w:hint="eastAsia" w:ascii="Times New Roman" w:hAnsi="Times New Roman" w:cs="Times New Roman"/>
                <w:b w:val="0"/>
                <w:bCs w:val="0"/>
                <w:color w:val="auto"/>
                <w:sz w:val="24"/>
                <w:lang w:val="en-US" w:eastAsia="zh-CN"/>
              </w:rPr>
              <w:t>污水处理站处理后排至半截塔镇</w:t>
            </w:r>
            <w:r>
              <w:rPr>
                <w:rFonts w:hint="default" w:ascii="Times New Roman" w:hAnsi="Times New Roman" w:cs="Times New Roman"/>
                <w:b w:val="0"/>
                <w:bCs w:val="0"/>
                <w:color w:val="auto"/>
                <w:sz w:val="24"/>
                <w:lang w:val="en-US" w:eastAsia="zh-CN"/>
              </w:rPr>
              <w:t>污水处理厂，</w:t>
            </w:r>
            <w:r>
              <w:rPr>
                <w:rFonts w:hint="eastAsia" w:ascii="Times New Roman" w:hAnsi="Times New Roman" w:cs="Times New Roman"/>
                <w:b w:val="0"/>
                <w:bCs w:val="0"/>
                <w:color w:val="auto"/>
                <w:sz w:val="24"/>
                <w:lang w:val="en-US" w:eastAsia="zh-CN"/>
              </w:rPr>
              <w:t>排放浓度为</w:t>
            </w:r>
            <w:r>
              <w:rPr>
                <w:rFonts w:hint="default" w:ascii="Times New Roman" w:hAnsi="Times New Roman" w:cs="Times New Roman"/>
                <w:b w:val="0"/>
                <w:bCs w:val="0"/>
                <w:color w:val="auto"/>
                <w:sz w:val="24"/>
                <w:lang w:val="en-US" w:eastAsia="zh-CN"/>
              </w:rPr>
              <w:t>COD</w:t>
            </w:r>
            <w:r>
              <w:rPr>
                <w:rFonts w:hint="eastAsia" w:ascii="Times New Roman" w:hAnsi="Times New Roman" w:cs="Times New Roman"/>
                <w:b w:val="0"/>
                <w:bCs w:val="0"/>
                <w:color w:val="auto"/>
                <w:sz w:val="24"/>
                <w:lang w:val="en-US" w:eastAsia="zh-CN"/>
              </w:rPr>
              <w:t>：287.298</w:t>
            </w:r>
            <w:r>
              <w:rPr>
                <w:rFonts w:hint="default" w:ascii="Times New Roman" w:hAnsi="Times New Roman" w:cs="Times New Roman"/>
                <w:b w:val="0"/>
                <w:bCs w:val="0"/>
                <w:color w:val="auto"/>
                <w:sz w:val="24"/>
                <w:lang w:val="en-US" w:eastAsia="zh-CN"/>
              </w:rPr>
              <w:t>mg/</w:t>
            </w:r>
            <w:r>
              <w:rPr>
                <w:rFonts w:hint="eastAsia" w:ascii="Times New Roman" w:hAnsi="Times New Roman" w:cs="Times New Roman"/>
                <w:b w:val="0"/>
                <w:bCs w:val="0"/>
                <w:color w:val="auto"/>
                <w:sz w:val="24"/>
                <w:lang w:val="en-US" w:eastAsia="zh-CN"/>
              </w:rPr>
              <w:t>L</w:t>
            </w:r>
            <w:r>
              <w:rPr>
                <w:rFonts w:hint="default" w:ascii="Times New Roman" w:hAnsi="Times New Roman" w:cs="Times New Roman"/>
                <w:b w:val="0"/>
                <w:bCs w:val="0"/>
                <w:color w:val="auto"/>
                <w:sz w:val="24"/>
                <w:lang w:val="en-US" w:eastAsia="zh-CN"/>
              </w:rPr>
              <w:t>、氨氮</w:t>
            </w:r>
            <w:r>
              <w:rPr>
                <w:rFonts w:hint="eastAsia" w:ascii="Times New Roman" w:hAnsi="Times New Roman" w:cs="Times New Roman"/>
                <w:b w:val="0"/>
                <w:bCs w:val="0"/>
                <w:color w:val="auto"/>
                <w:sz w:val="24"/>
                <w:lang w:val="en-US" w:eastAsia="zh-CN"/>
              </w:rPr>
              <w:t>：39.181</w:t>
            </w:r>
            <w:r>
              <w:rPr>
                <w:rFonts w:hint="default" w:ascii="Times New Roman" w:hAnsi="Times New Roman" w:cs="Times New Roman"/>
                <w:b w:val="0"/>
                <w:bCs w:val="0"/>
                <w:color w:val="auto"/>
                <w:sz w:val="24"/>
                <w:lang w:val="en-US" w:eastAsia="zh-CN"/>
              </w:rPr>
              <w:t>mg/</w:t>
            </w:r>
            <w:r>
              <w:rPr>
                <w:rFonts w:hint="eastAsia" w:ascii="Times New Roman" w:hAnsi="Times New Roman" w:cs="Times New Roman"/>
                <w:b w:val="0"/>
                <w:bCs w:val="0"/>
                <w:color w:val="auto"/>
                <w:sz w:val="24"/>
                <w:lang w:val="en-US" w:eastAsia="zh-CN"/>
              </w:rPr>
              <w:t>L，满足</w:t>
            </w:r>
            <w:r>
              <w:rPr>
                <w:rFonts w:hint="default" w:ascii="Times New Roman" w:hAnsi="Times New Roman" w:cs="Times New Roman"/>
                <w:b w:val="0"/>
                <w:bCs w:val="0"/>
                <w:color w:val="auto"/>
                <w:sz w:val="24"/>
                <w:lang w:val="en-US" w:eastAsia="zh-CN"/>
              </w:rPr>
              <w:t>《污水综合排放标准》（GB2978-1996）表4中三级标</w:t>
            </w:r>
            <w:r>
              <w:rPr>
                <w:rFonts w:hint="eastAsia" w:ascii="Times New Roman" w:hAnsi="Times New Roman" w:cs="Times New Roman"/>
                <w:b w:val="0"/>
                <w:bCs w:val="0"/>
                <w:color w:val="auto"/>
                <w:sz w:val="24"/>
                <w:lang w:val="en-US" w:eastAsia="zh-CN"/>
              </w:rPr>
              <w:t>准及半截塔污水处理厂进水水质要求。</w:t>
            </w:r>
          </w:p>
          <w:p>
            <w:pPr>
              <w:snapToGrid w:val="0"/>
              <w:spacing w:line="360" w:lineRule="auto"/>
              <w:ind w:firstLine="48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本项目水污染物产生情况详见下表：</w:t>
            </w:r>
          </w:p>
          <w:p>
            <w:pPr>
              <w:snapToGrid w:val="0"/>
              <w:spacing w:line="240" w:lineRule="auto"/>
              <w:jc w:val="center"/>
              <w:rPr>
                <w:rFonts w:hint="default" w:ascii="Times New Roman" w:hAnsi="Times New Roman" w:cs="Times New Roman"/>
                <w:b/>
                <w:bCs/>
                <w:color w:val="auto"/>
                <w:sz w:val="21"/>
                <w:szCs w:val="21"/>
                <w:lang w:val="en-US" w:eastAsia="zh-CN"/>
              </w:rPr>
            </w:pPr>
          </w:p>
          <w:p>
            <w:pPr>
              <w:snapToGrid w:val="0"/>
              <w:spacing w:line="240" w:lineRule="auto"/>
              <w:jc w:val="center"/>
              <w:rPr>
                <w:rFonts w:hint="default" w:ascii="Times New Roman" w:hAnsi="Times New Roman" w:cs="Times New Roman"/>
                <w:b/>
                <w:bCs/>
                <w:color w:val="auto"/>
                <w:sz w:val="21"/>
                <w:szCs w:val="21"/>
                <w:lang w:val="en-US" w:eastAsia="zh-CN"/>
              </w:rPr>
            </w:pPr>
          </w:p>
          <w:p>
            <w:pPr>
              <w:snapToGrid w:val="0"/>
              <w:spacing w:line="240" w:lineRule="auto"/>
              <w:jc w:val="center"/>
              <w:rPr>
                <w:rFonts w:hint="default" w:ascii="Times New Roman" w:hAnsi="Times New Roman" w:cs="Times New Roman"/>
                <w:b/>
                <w:bCs/>
                <w:color w:val="auto"/>
                <w:sz w:val="21"/>
                <w:szCs w:val="21"/>
                <w:lang w:val="en-US" w:eastAsia="zh-CN"/>
              </w:rPr>
            </w:pPr>
          </w:p>
          <w:p>
            <w:pPr>
              <w:snapToGrid w:val="0"/>
              <w:spacing w:line="240" w:lineRule="auto"/>
              <w:jc w:val="center"/>
              <w:rPr>
                <w:rFonts w:hint="default" w:ascii="Times New Roman" w:hAnsi="Times New Roman" w:cs="Times New Roman"/>
                <w:b/>
                <w:bCs/>
                <w:color w:val="auto"/>
                <w:sz w:val="21"/>
                <w:szCs w:val="21"/>
                <w:lang w:val="en-US" w:eastAsia="zh-CN"/>
              </w:rPr>
            </w:pPr>
          </w:p>
          <w:p>
            <w:pPr>
              <w:snapToGrid w:val="0"/>
              <w:spacing w:line="240" w:lineRule="auto"/>
              <w:jc w:val="center"/>
              <w:rPr>
                <w:rFonts w:hint="default" w:ascii="Times New Roman" w:hAnsi="Times New Roman" w:cs="Times New Roman"/>
                <w:b/>
                <w:bCs/>
                <w:color w:val="auto"/>
                <w:sz w:val="21"/>
                <w:szCs w:val="21"/>
                <w:lang w:val="en-US" w:eastAsia="zh-CN"/>
              </w:rPr>
            </w:pPr>
          </w:p>
          <w:p>
            <w:pPr>
              <w:snapToGrid w:val="0"/>
              <w:spacing w:line="240" w:lineRule="auto"/>
              <w:jc w:val="center"/>
              <w:rPr>
                <w:rFonts w:hint="default" w:ascii="Times New Roman" w:hAnsi="Times New Roman" w:cs="Times New Roman"/>
                <w:b/>
                <w:bCs/>
                <w:color w:val="auto"/>
                <w:sz w:val="21"/>
                <w:szCs w:val="21"/>
                <w:lang w:val="en-US" w:eastAsia="zh-CN"/>
              </w:rPr>
            </w:pPr>
          </w:p>
          <w:p>
            <w:pPr>
              <w:snapToGrid w:val="0"/>
              <w:spacing w:line="240" w:lineRule="auto"/>
              <w:jc w:val="center"/>
              <w:rPr>
                <w:rFonts w:hint="default" w:ascii="Times New Roman" w:hAnsi="Times New Roman" w:cs="Times New Roman"/>
                <w:b/>
                <w:bCs/>
                <w:color w:val="auto"/>
                <w:sz w:val="21"/>
                <w:szCs w:val="21"/>
                <w:lang w:val="en-US" w:eastAsia="zh-CN"/>
              </w:rPr>
            </w:pPr>
          </w:p>
          <w:p>
            <w:pPr>
              <w:snapToGrid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4-12</w:t>
            </w:r>
            <w:r>
              <w:rPr>
                <w:rFonts w:hint="default" w:ascii="Times New Roman" w:hAnsi="Times New Roman" w:cs="Times New Roman"/>
                <w:b/>
                <w:bCs/>
                <w:color w:val="auto"/>
                <w:sz w:val="21"/>
                <w:szCs w:val="21"/>
                <w:lang w:val="en-US" w:eastAsia="zh-CN"/>
              </w:rPr>
              <w:t xml:space="preserve">  废水类别、污染物及污染治理设施信息表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1"/>
              <w:gridCol w:w="762"/>
              <w:gridCol w:w="790"/>
              <w:gridCol w:w="873"/>
              <w:gridCol w:w="787"/>
              <w:gridCol w:w="948"/>
              <w:gridCol w:w="806"/>
              <w:gridCol w:w="863"/>
              <w:gridCol w:w="667"/>
              <w:gridCol w:w="728"/>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8"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50"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废水类别</w:t>
                  </w:r>
                </w:p>
              </w:tc>
              <w:tc>
                <w:tcPr>
                  <w:tcW w:w="467"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516"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c>
                <w:tcPr>
                  <w:tcW w:w="465"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排放规律</w:t>
                  </w:r>
                </w:p>
              </w:tc>
              <w:tc>
                <w:tcPr>
                  <w:tcW w:w="1546" w:type="pct"/>
                  <w:gridSpan w:val="3"/>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w:t>
                  </w:r>
                </w:p>
              </w:tc>
              <w:tc>
                <w:tcPr>
                  <w:tcW w:w="394"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430"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排放口设置是否符合要求</w:t>
                  </w:r>
                </w:p>
              </w:tc>
              <w:tc>
                <w:tcPr>
                  <w:tcW w:w="548"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8"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4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467"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516"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46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560"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污染治理设施编号 </w:t>
                  </w:r>
                </w:p>
              </w:tc>
              <w:tc>
                <w:tcPr>
                  <w:tcW w:w="476"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污染治理设施名称</w:t>
                  </w:r>
                </w:p>
              </w:tc>
              <w:tc>
                <w:tcPr>
                  <w:tcW w:w="509"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污染治理设施工艺</w:t>
                  </w:r>
                </w:p>
              </w:tc>
              <w:tc>
                <w:tcPr>
                  <w:tcW w:w="39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43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548"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50"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综合废水</w:t>
                  </w:r>
                </w:p>
              </w:tc>
              <w:tc>
                <w:tcPr>
                  <w:tcW w:w="467"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kern w:val="24"/>
                      <w:szCs w:val="21"/>
                    </w:rPr>
                    <w:t>pH、COD、</w:t>
                  </w:r>
                  <w:r>
                    <w:rPr>
                      <w:rFonts w:hint="eastAsia" w:ascii="Times New Roman" w:hAnsi="Times New Roman" w:eastAsia="宋体" w:cs="Times New Roman"/>
                      <w:color w:val="auto"/>
                      <w:kern w:val="24"/>
                      <w:szCs w:val="21"/>
                      <w:lang w:val="en-US" w:eastAsia="zh-CN"/>
                    </w:rPr>
                    <w:t>氨氮、悬浮物、总溶解性固体（全盐量）</w:t>
                  </w:r>
                </w:p>
              </w:tc>
              <w:tc>
                <w:tcPr>
                  <w:tcW w:w="516"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半截塔污水处理厂</w:t>
                  </w:r>
                </w:p>
              </w:tc>
              <w:tc>
                <w:tcPr>
                  <w:tcW w:w="465"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间断排放，排放期间流量稳定</w:t>
                  </w:r>
                </w:p>
              </w:tc>
              <w:tc>
                <w:tcPr>
                  <w:tcW w:w="560"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476"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09"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94"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DW001</w:t>
                  </w:r>
                </w:p>
              </w:tc>
              <w:tc>
                <w:tcPr>
                  <w:tcW w:w="430"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c>
                <w:tcPr>
                  <w:tcW w:w="54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企业总排口</w:t>
                  </w:r>
                </w:p>
              </w:tc>
            </w:tr>
          </w:tbl>
          <w:p>
            <w:pPr>
              <w:pStyle w:val="7"/>
              <w:spacing w:before="156" w:beforeLines="50" w:after="0" w:line="360" w:lineRule="auto"/>
              <w:ind w:firstLine="480" w:firstLineChars="20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废水污染物排放执行标准见下表4-1</w:t>
            </w:r>
            <w:r>
              <w:rPr>
                <w:rFonts w:hint="eastAsia" w:ascii="Times New Roman" w:hAnsi="Times New Roman" w:cs="Times New Roman"/>
                <w:color w:val="auto"/>
                <w:kern w:val="2"/>
                <w:sz w:val="24"/>
                <w:szCs w:val="24"/>
                <w:highlight w:val="none"/>
                <w:lang w:val="en-US" w:eastAsia="zh-CN" w:bidi="ar-SA"/>
              </w:rPr>
              <w:t>3</w:t>
            </w:r>
            <w:r>
              <w:rPr>
                <w:rFonts w:hint="default" w:ascii="Times New Roman" w:hAnsi="Times New Roman" w:cs="Times New Roman" w:eastAsiaTheme="minorEastAsia"/>
                <w:color w:val="auto"/>
                <w:kern w:val="2"/>
                <w:sz w:val="24"/>
                <w:szCs w:val="24"/>
                <w:highlight w:val="none"/>
                <w:lang w:val="en-US" w:eastAsia="zh-CN" w:bidi="ar-SA"/>
              </w:rPr>
              <w:t>：</w:t>
            </w:r>
          </w:p>
          <w:p>
            <w:pPr>
              <w:snapToGrid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 xml:space="preserve">4-13 </w:t>
            </w:r>
            <w:r>
              <w:rPr>
                <w:rFonts w:hint="default" w:ascii="Times New Roman" w:hAnsi="Times New Roman" w:cs="Times New Roman"/>
                <w:b/>
                <w:bCs/>
                <w:color w:val="auto"/>
                <w:sz w:val="21"/>
                <w:szCs w:val="21"/>
                <w:lang w:val="en-US" w:eastAsia="zh-CN"/>
              </w:rPr>
              <w:t xml:space="preserve"> 废水污染物排放执行标准表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5"/>
              <w:gridCol w:w="1099"/>
              <w:gridCol w:w="1225"/>
              <w:gridCol w:w="2950"/>
              <w:gridCol w:w="1399"/>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650"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724"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3160" w:type="pct"/>
                  <w:gridSpan w:val="3"/>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p>
              </w:tc>
              <w:tc>
                <w:tcPr>
                  <w:tcW w:w="1745"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415" w:type="pct"/>
                  <w:gridSpan w:val="2"/>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50"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DW001</w:t>
                  </w:r>
                </w:p>
              </w:tc>
              <w:tc>
                <w:tcPr>
                  <w:tcW w:w="724"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24"/>
                      <w:szCs w:val="21"/>
                      <w:lang w:val="en-US" w:eastAsia="zh-CN"/>
                    </w:rPr>
                    <w:t>pH</w:t>
                  </w:r>
                  <w:r>
                    <w:rPr>
                      <w:rFonts w:ascii="Times New Roman" w:hAnsi="Times New Roman" w:eastAsia="宋体" w:cs="Times New Roman"/>
                      <w:color w:val="auto"/>
                      <w:kern w:val="24"/>
                      <w:szCs w:val="21"/>
                    </w:rPr>
                    <w:t>、COD、</w:t>
                  </w:r>
                  <w:r>
                    <w:rPr>
                      <w:rFonts w:hint="eastAsia" w:ascii="Times New Roman" w:hAnsi="Times New Roman" w:eastAsia="宋体" w:cs="Times New Roman"/>
                      <w:color w:val="auto"/>
                      <w:kern w:val="24"/>
                      <w:szCs w:val="21"/>
                      <w:lang w:val="en-US" w:eastAsia="zh-CN"/>
                    </w:rPr>
                    <w:t>氨氮、悬浮物、总溶解性固体（全盐量）</w:t>
                  </w:r>
                </w:p>
              </w:tc>
              <w:tc>
                <w:tcPr>
                  <w:tcW w:w="1745"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《污水综合排放标准》（GB2978-1996）表4中三级标准</w:t>
                  </w:r>
                </w:p>
              </w:tc>
              <w:tc>
                <w:tcPr>
                  <w:tcW w:w="827"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58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88"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p>
              </w:tc>
              <w:tc>
                <w:tcPr>
                  <w:tcW w:w="588"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88"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半截塔污水处理厂</w:t>
                  </w:r>
                  <w:r>
                    <w:rPr>
                      <w:rFonts w:hint="default" w:ascii="Times New Roman" w:hAnsi="Times New Roman" w:eastAsia="宋体" w:cs="Times New Roman"/>
                      <w:color w:val="auto"/>
                      <w:sz w:val="21"/>
                      <w:szCs w:val="21"/>
                    </w:rPr>
                    <w:t>进水水质指标</w:t>
                  </w:r>
                </w:p>
              </w:tc>
              <w:tc>
                <w:tcPr>
                  <w:tcW w:w="827"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pH</w:t>
                  </w:r>
                </w:p>
              </w:tc>
              <w:tc>
                <w:tcPr>
                  <w:tcW w:w="588" w:type="pct"/>
                  <w:noWrap w:val="0"/>
                  <w:vAlign w:val="center"/>
                </w:tcPr>
                <w:p>
                  <w:pPr>
                    <w:widowControl/>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cs="Times New Roman"/>
                      <w:b w:val="0"/>
                      <w:bCs/>
                      <w:color w:val="auto"/>
                      <w:sz w:val="21"/>
                      <w:szCs w:val="21"/>
                      <w:lang w:val="en-US" w:eastAsia="zh-CN"/>
                    </w:rPr>
                    <w:t>6-</w:t>
                  </w:r>
                  <w:r>
                    <w:rPr>
                      <w:rFonts w:hint="eastAsia" w:ascii="Times New Roman" w:hAnsi="Times New Roman" w:cs="Times New Roman"/>
                      <w:b w:val="0"/>
                      <w:bCs/>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88"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88" w:type="pct"/>
                  <w:noWrap w:val="0"/>
                  <w:vAlign w:val="center"/>
                </w:tcPr>
                <w:p>
                  <w:pPr>
                    <w:topLinePunct/>
                    <w:adjustRightInd w:val="0"/>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650"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724"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1745"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rPr>
                  </w:pPr>
                </w:p>
              </w:tc>
              <w:tc>
                <w:tcPr>
                  <w:tcW w:w="827"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88"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43</w:t>
                  </w:r>
                </w:p>
              </w:tc>
            </w:tr>
          </w:tbl>
          <w:p>
            <w:pPr>
              <w:pStyle w:val="7"/>
              <w:spacing w:before="156" w:beforeLines="50" w:after="0" w:line="360" w:lineRule="auto"/>
              <w:ind w:firstLine="480" w:firstLineChars="200"/>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项目废水污染物排放信息表见下表</w:t>
            </w:r>
            <w:r>
              <w:rPr>
                <w:rFonts w:hint="eastAsia" w:ascii="Times New Roman" w:hAnsi="Times New Roman" w:cs="Times New Roman"/>
                <w:color w:val="auto"/>
                <w:kern w:val="2"/>
                <w:sz w:val="24"/>
                <w:szCs w:val="24"/>
                <w:highlight w:val="none"/>
                <w:lang w:val="en-US" w:eastAsia="zh-CN" w:bidi="ar-SA"/>
              </w:rPr>
              <w:t>4-14</w:t>
            </w:r>
            <w:r>
              <w:rPr>
                <w:rFonts w:hint="default" w:ascii="Times New Roman" w:hAnsi="Times New Roman" w:cs="Times New Roman" w:eastAsiaTheme="minorEastAsia"/>
                <w:color w:val="auto"/>
                <w:kern w:val="2"/>
                <w:sz w:val="24"/>
                <w:szCs w:val="24"/>
                <w:highlight w:val="none"/>
                <w:lang w:val="en-US" w:eastAsia="zh-CN" w:bidi="ar-SA"/>
              </w:rPr>
              <w:t>：</w:t>
            </w:r>
          </w:p>
          <w:p>
            <w:pPr>
              <w:snapToGrid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4-14</w:t>
            </w:r>
            <w:r>
              <w:rPr>
                <w:rFonts w:hint="default" w:ascii="Times New Roman" w:hAnsi="Times New Roman" w:cs="Times New Roman"/>
                <w:b/>
                <w:bCs/>
                <w:color w:val="auto"/>
                <w:sz w:val="21"/>
                <w:szCs w:val="21"/>
                <w:lang w:val="en-US" w:eastAsia="zh-CN"/>
              </w:rPr>
              <w:t xml:space="preserve">  废水污染物排放信息表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7"/>
              <w:gridCol w:w="1270"/>
              <w:gridCol w:w="1089"/>
              <w:gridCol w:w="1768"/>
              <w:gridCol w:w="1811"/>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751"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排放口编号</w:t>
                  </w:r>
                </w:p>
              </w:tc>
              <w:tc>
                <w:tcPr>
                  <w:tcW w:w="644"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污染物种类</w:t>
                  </w:r>
                </w:p>
              </w:tc>
              <w:tc>
                <w:tcPr>
                  <w:tcW w:w="1045"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排放浓度/（mg/L）</w:t>
                  </w:r>
                </w:p>
              </w:tc>
              <w:tc>
                <w:tcPr>
                  <w:tcW w:w="1071"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日排放量/（</w:t>
                  </w:r>
                  <w:r>
                    <w:rPr>
                      <w:rFonts w:hint="eastAsia" w:ascii="Times New Roman" w:hAnsi="Times New Roman"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/d）</w:t>
                  </w:r>
                </w:p>
              </w:tc>
              <w:tc>
                <w:tcPr>
                  <w:tcW w:w="106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8"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51" w:type="pct"/>
                  <w:vMerge w:val="restar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DW001</w:t>
                  </w:r>
                </w:p>
              </w:tc>
              <w:tc>
                <w:tcPr>
                  <w:tcW w:w="644" w:type="pct"/>
                  <w:noWrap w:val="0"/>
                  <w:vAlign w:val="center"/>
                </w:tcPr>
                <w:p>
                  <w:pPr>
                    <w:snapToGrid w:val="0"/>
                    <w:spacing w:line="29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COD</w:t>
                  </w:r>
                </w:p>
              </w:tc>
              <w:tc>
                <w:tcPr>
                  <w:tcW w:w="1045" w:type="pct"/>
                  <w:noWrap w:val="0"/>
                  <w:vAlign w:val="center"/>
                </w:tcPr>
                <w:p>
                  <w:pPr>
                    <w:pStyle w:val="13"/>
                    <w:spacing w:line="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463</w:t>
                  </w:r>
                </w:p>
              </w:tc>
              <w:tc>
                <w:tcPr>
                  <w:tcW w:w="1071"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0.115</w:t>
                  </w:r>
                </w:p>
              </w:tc>
              <w:tc>
                <w:tcPr>
                  <w:tcW w:w="106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8"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751" w:type="pct"/>
                  <w:vMerge w:val="continue"/>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644" w:type="pct"/>
                  <w:noWrap w:val="0"/>
                  <w:vAlign w:val="center"/>
                </w:tcPr>
                <w:p>
                  <w:pPr>
                    <w:snapToGrid w:val="0"/>
                    <w:spacing w:line="29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氨氮</w:t>
                  </w:r>
                </w:p>
              </w:tc>
              <w:tc>
                <w:tcPr>
                  <w:tcW w:w="1045" w:type="pct"/>
                  <w:noWrap w:val="0"/>
                  <w:vAlign w:val="center"/>
                </w:tcPr>
                <w:p>
                  <w:pPr>
                    <w:topLinePunct/>
                    <w:adjustRightIn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43</w:t>
                  </w:r>
                </w:p>
              </w:tc>
              <w:tc>
                <w:tcPr>
                  <w:tcW w:w="1071"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0.011</w:t>
                  </w:r>
                </w:p>
              </w:tc>
              <w:tc>
                <w:tcPr>
                  <w:tcW w:w="1068" w:type="pct"/>
                  <w:noWrap w:val="0"/>
                  <w:vAlign w:val="center"/>
                </w:tcPr>
                <w:p>
                  <w:pPr>
                    <w:topLinePunct/>
                    <w:adjustRightInd w:val="0"/>
                    <w:spacing w:line="30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3.208</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44"/>
                <w:sz w:val="24"/>
                <w:szCs w:val="24"/>
                <w:highlight w:val="none"/>
                <w:lang w:val="en-US" w:eastAsia="zh-CN"/>
              </w:rPr>
            </w:pPr>
            <w:r>
              <w:rPr>
                <w:rFonts w:hint="default" w:ascii="Times New Roman" w:hAnsi="Times New Roman" w:eastAsia="宋体" w:cs="Times New Roman"/>
                <w:color w:val="auto"/>
                <w:kern w:val="44"/>
                <w:sz w:val="24"/>
                <w:szCs w:val="24"/>
                <w:highlight w:val="none"/>
                <w:lang w:val="en-US" w:eastAsia="zh-CN"/>
              </w:rPr>
              <w:t>（2）废水污染治理设施可行性分析</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半截塔镇</w:t>
            </w:r>
            <w:r>
              <w:rPr>
                <w:rFonts w:hint="default" w:ascii="Times New Roman" w:hAnsi="Times New Roman" w:cs="Times New Roman"/>
                <w:color w:val="auto"/>
                <w:sz w:val="24"/>
                <w:szCs w:val="24"/>
                <w:highlight w:val="none"/>
                <w:lang w:val="en-US" w:eastAsia="zh-CN"/>
              </w:rPr>
              <w:t>污水处理厂</w:t>
            </w:r>
            <w:r>
              <w:rPr>
                <w:rFonts w:hint="default" w:ascii="Times New Roman" w:hAnsi="Times New Roman" w:eastAsia="宋体" w:cs="Times New Roman"/>
                <w:color w:val="auto"/>
                <w:sz w:val="24"/>
                <w:szCs w:val="24"/>
                <w:highlight w:val="none"/>
                <w:lang w:val="en-US" w:eastAsia="zh-CN"/>
              </w:rPr>
              <w:t>处理能力为</w:t>
            </w:r>
            <w:r>
              <w:rPr>
                <w:rFonts w:hint="eastAsia"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cs="Times New Roman"/>
                <w:color w:val="auto"/>
                <w:sz w:val="24"/>
              </w:rPr>
              <w:t>采用气浮+水解酸化+接触氧化+MBR+絮凝沉淀+过滤+消毒，污水处理厂的进水水质COD为</w:t>
            </w:r>
            <w:r>
              <w:rPr>
                <w:rFonts w:hint="eastAsia" w:ascii="Times New Roman" w:hAnsi="Times New Roman" w:cs="Times New Roman"/>
                <w:color w:val="auto"/>
                <w:sz w:val="24"/>
                <w:lang w:val="en-US" w:eastAsia="zh-CN"/>
              </w:rPr>
              <w:t>463</w:t>
            </w:r>
            <w:r>
              <w:rPr>
                <w:rFonts w:hint="default" w:ascii="Times New Roman" w:hAnsi="Times New Roman" w:cs="Times New Roman"/>
                <w:color w:val="auto"/>
                <w:sz w:val="24"/>
              </w:rPr>
              <w:t>mg/L、BOD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308</w:t>
            </w:r>
            <w:r>
              <w:rPr>
                <w:rFonts w:hint="default" w:ascii="Times New Roman" w:hAnsi="Times New Roman" w:cs="Times New Roman"/>
                <w:color w:val="auto"/>
                <w:sz w:val="24"/>
              </w:rPr>
              <w:t>mg/L、SS为</w:t>
            </w:r>
            <w:r>
              <w:rPr>
                <w:rFonts w:hint="eastAsia" w:ascii="Times New Roman" w:hAnsi="Times New Roman" w:cs="Times New Roman"/>
                <w:color w:val="auto"/>
                <w:sz w:val="24"/>
                <w:lang w:val="en-US" w:eastAsia="zh-CN"/>
              </w:rPr>
              <w:t>345</w:t>
            </w:r>
            <w:r>
              <w:rPr>
                <w:rFonts w:hint="default" w:ascii="Times New Roman" w:hAnsi="Times New Roman" w:cs="Times New Roman"/>
                <w:color w:val="auto"/>
                <w:sz w:val="24"/>
              </w:rPr>
              <w:t>mg/L、NH</w:t>
            </w:r>
            <w:r>
              <w:rPr>
                <w:rFonts w:hint="default" w:ascii="Times New Roman" w:hAnsi="Times New Roman" w:cs="Times New Roman"/>
                <w:color w:val="auto"/>
                <w:sz w:val="24"/>
                <w:vertAlign w:val="subscript"/>
              </w:rPr>
              <w:t>4</w:t>
            </w:r>
            <w:r>
              <w:rPr>
                <w:rFonts w:hint="default" w:ascii="Times New Roman" w:hAnsi="Times New Roman" w:cs="Times New Roman"/>
                <w:color w:val="auto"/>
                <w:sz w:val="24"/>
              </w:rPr>
              <w:t>-N为</w:t>
            </w:r>
            <w:r>
              <w:rPr>
                <w:rFonts w:hint="eastAsia" w:ascii="Times New Roman" w:hAnsi="Times New Roman" w:cs="Times New Roman"/>
                <w:color w:val="auto"/>
                <w:sz w:val="24"/>
                <w:lang w:val="en-US" w:eastAsia="zh-CN"/>
              </w:rPr>
              <w:t>43</w:t>
            </w:r>
            <w:r>
              <w:rPr>
                <w:rFonts w:hint="default" w:ascii="Times New Roman" w:hAnsi="Times New Roman" w:cs="Times New Roman"/>
                <w:color w:val="auto"/>
                <w:sz w:val="24"/>
              </w:rPr>
              <w:t>mg/L</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szCs w:val="24"/>
                <w:highlight w:val="none"/>
                <w:lang w:eastAsia="zh-CN"/>
              </w:rPr>
              <w:t>处理后污水出水水质达到《城镇污水处理厂污染物排放标准》（GB/18918-2002）及修改单中一级A标准要求后，排入</w:t>
            </w:r>
            <w:r>
              <w:rPr>
                <w:rFonts w:hint="default" w:ascii="Times New Roman" w:hAnsi="Times New Roman" w:cs="Times New Roman"/>
                <w:color w:val="auto"/>
                <w:sz w:val="24"/>
                <w:szCs w:val="24"/>
                <w:highlight w:val="none"/>
                <w:lang w:val="en-US" w:eastAsia="zh-CN"/>
              </w:rPr>
              <w:t>伊逊河</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本项目生产废水总量为250.28</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占半截塔镇污水处理厂日处理能力的6.26%，</w:t>
            </w:r>
            <w:r>
              <w:rPr>
                <w:rFonts w:hint="eastAsia" w:ascii="Times New Roman" w:hAnsi="Times New Roman" w:cs="Times New Roman"/>
                <w:color w:val="auto"/>
                <w:sz w:val="24"/>
                <w:szCs w:val="24"/>
                <w:highlight w:val="none"/>
                <w:lang w:val="en-US" w:eastAsia="zh-CN"/>
              </w:rPr>
              <w:t>可容纳本项目废水，满足</w:t>
            </w:r>
            <w:r>
              <w:rPr>
                <w:rFonts w:hint="default" w:ascii="Times New Roman" w:hAnsi="Times New Roman" w:cs="Times New Roman"/>
                <w:color w:val="auto"/>
                <w:sz w:val="24"/>
                <w:szCs w:val="24"/>
                <w:highlight w:val="none"/>
                <w:lang w:val="en-US" w:eastAsia="zh-CN"/>
              </w:rPr>
              <w:t>本项目废水</w:t>
            </w:r>
            <w:r>
              <w:rPr>
                <w:rFonts w:hint="eastAsia" w:ascii="Times New Roman" w:hAnsi="Times New Roman" w:cs="Times New Roman"/>
                <w:color w:val="auto"/>
                <w:sz w:val="24"/>
                <w:szCs w:val="24"/>
                <w:highlight w:val="none"/>
                <w:lang w:val="en-US" w:eastAsia="zh-CN"/>
              </w:rPr>
              <w:t>排放需求</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480" w:leftChars="0" w:right="0" w:rightChars="0"/>
              <w:textAlignment w:val="auto"/>
              <w:rPr>
                <w:rFonts w:hint="default" w:ascii="Times New Roman" w:hAnsi="Times New Roman" w:cs="Times New Roman"/>
                <w:color w:val="auto"/>
                <w:kern w:val="44"/>
                <w:sz w:val="24"/>
                <w:szCs w:val="24"/>
              </w:rPr>
            </w:pPr>
            <w:r>
              <w:rPr>
                <w:rFonts w:hint="default" w:ascii="Times New Roman" w:hAnsi="Times New Roman" w:cs="Times New Roman"/>
                <w:color w:val="auto"/>
                <w:kern w:val="44"/>
                <w:sz w:val="24"/>
                <w:szCs w:val="24"/>
                <w:lang w:eastAsia="zh-CN"/>
              </w:rPr>
              <w:t>（</w:t>
            </w:r>
            <w:r>
              <w:rPr>
                <w:rFonts w:hint="default" w:ascii="Times New Roman" w:hAnsi="Times New Roman" w:cs="Times New Roman"/>
                <w:color w:val="auto"/>
                <w:kern w:val="44"/>
                <w:sz w:val="24"/>
                <w:szCs w:val="24"/>
                <w:lang w:val="en-US" w:eastAsia="zh-CN"/>
              </w:rPr>
              <w:t>3</w:t>
            </w:r>
            <w:r>
              <w:rPr>
                <w:rFonts w:hint="default" w:ascii="Times New Roman" w:hAnsi="Times New Roman" w:cs="Times New Roman"/>
                <w:color w:val="auto"/>
                <w:kern w:val="44"/>
                <w:sz w:val="24"/>
                <w:szCs w:val="24"/>
                <w:lang w:eastAsia="zh-CN"/>
              </w:rPr>
              <w:t>）</w:t>
            </w:r>
            <w:r>
              <w:rPr>
                <w:rFonts w:hint="default" w:ascii="Times New Roman" w:hAnsi="Times New Roman" w:cs="Times New Roman"/>
                <w:color w:val="auto"/>
                <w:kern w:val="44"/>
                <w:sz w:val="24"/>
                <w:szCs w:val="24"/>
              </w:rPr>
              <w:t>地表水环境影响评价结论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kern w:val="44"/>
                <w:sz w:val="24"/>
                <w:szCs w:val="24"/>
                <w:lang w:val="en-US" w:eastAsia="zh-CN"/>
              </w:rPr>
            </w:pPr>
            <w:r>
              <w:rPr>
                <w:rFonts w:hint="default" w:ascii="Times New Roman" w:hAnsi="Times New Roman" w:cs="Times New Roman"/>
                <w:color w:val="auto"/>
                <w:kern w:val="44"/>
                <w:sz w:val="24"/>
                <w:szCs w:val="24"/>
              </w:rPr>
              <w:t>综上，项目采取的水污染控制措施合理、有效，项目的生产运营期对地表水环境影响可接受</w:t>
            </w:r>
            <w:r>
              <w:rPr>
                <w:rFonts w:hint="default" w:ascii="Times New Roman" w:hAnsi="Times New Roman" w:cs="Times New Roman"/>
                <w:color w:val="auto"/>
                <w:kern w:val="44"/>
                <w:sz w:val="24"/>
                <w:szCs w:val="24"/>
                <w:lang w:eastAsia="zh-CN"/>
              </w:rPr>
              <w:t>。</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rPr>
              <w:t>（</w:t>
            </w:r>
            <w:r>
              <w:rPr>
                <w:rFonts w:hint="eastAsia" w:ascii="Times New Roman" w:hAnsi="Times New Roman" w:cs="Times New Roman"/>
                <w:b w:val="0"/>
                <w:bCs w:val="0"/>
                <w:color w:val="auto"/>
                <w:sz w:val="24"/>
                <w:lang w:val="en-US" w:eastAsia="zh-CN"/>
              </w:rPr>
              <w:t>4</w:t>
            </w:r>
            <w:r>
              <w:rPr>
                <w:rFonts w:hint="default" w:ascii="Times New Roman" w:hAnsi="Times New Roman" w:cs="Times New Roman"/>
                <w:b w:val="0"/>
                <w:bCs w:val="0"/>
                <w:color w:val="auto"/>
                <w:sz w:val="24"/>
              </w:rPr>
              <w:t>）监测要求</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w:t>
            </w:r>
            <w:r>
              <w:rPr>
                <w:rFonts w:hint="eastAsia" w:ascii="Times New Roman" w:hAnsi="Times New Roman" w:cs="Times New Roman"/>
                <w:b w:val="0"/>
                <w:bCs w:val="0"/>
                <w:color w:val="auto"/>
                <w:sz w:val="24"/>
                <w:szCs w:val="24"/>
                <w:highlight w:val="none"/>
                <w:lang w:val="en-US" w:eastAsia="zh-CN"/>
              </w:rPr>
              <w:t>废水</w:t>
            </w:r>
            <w:r>
              <w:rPr>
                <w:rFonts w:hint="default" w:ascii="Times New Roman" w:hAnsi="Times New Roman" w:cs="Times New Roman"/>
                <w:b w:val="0"/>
                <w:bCs w:val="0"/>
                <w:color w:val="auto"/>
                <w:sz w:val="24"/>
                <w:szCs w:val="24"/>
                <w:highlight w:val="none"/>
                <w:lang w:val="en-US" w:eastAsia="zh-CN"/>
              </w:rPr>
              <w:t>监测要求详见下表：</w:t>
            </w:r>
          </w:p>
          <w:p>
            <w:pPr>
              <w:snapToGrid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表4-15  </w:t>
            </w:r>
            <w:r>
              <w:rPr>
                <w:rFonts w:hint="default" w:ascii="Times New Roman" w:hAnsi="Times New Roman" w:cs="Times New Roman"/>
                <w:b/>
                <w:bCs/>
                <w:color w:val="auto"/>
                <w:sz w:val="21"/>
                <w:szCs w:val="21"/>
                <w:lang w:val="en-US" w:eastAsia="zh-CN"/>
              </w:rPr>
              <w:t>项目</w:t>
            </w:r>
            <w:r>
              <w:rPr>
                <w:rFonts w:hint="eastAsia" w:ascii="Times New Roman" w:hAnsi="Times New Roman" w:cs="Times New Roman"/>
                <w:b/>
                <w:bCs/>
                <w:color w:val="auto"/>
                <w:sz w:val="21"/>
                <w:szCs w:val="21"/>
                <w:lang w:val="en-US" w:eastAsia="zh-CN"/>
              </w:rPr>
              <w:t>废水</w:t>
            </w:r>
            <w:r>
              <w:rPr>
                <w:rFonts w:hint="default" w:ascii="Times New Roman" w:hAnsi="Times New Roman" w:cs="Times New Roman"/>
                <w:b/>
                <w:bCs/>
                <w:color w:val="auto"/>
                <w:sz w:val="21"/>
                <w:szCs w:val="21"/>
                <w:lang w:val="en-US" w:eastAsia="zh-CN"/>
              </w:rPr>
              <w:t>监测要求一览表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729"/>
              <w:gridCol w:w="1171"/>
              <w:gridCol w:w="1613"/>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环境要素</w:t>
                  </w:r>
                </w:p>
              </w:tc>
              <w:tc>
                <w:tcPr>
                  <w:tcW w:w="10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eastAsiaTheme="minorEastAsia"/>
                      <w:b/>
                      <w:color w:val="auto"/>
                      <w:szCs w:val="21"/>
                      <w:highlight w:val="none"/>
                      <w:lang w:val="en-US" w:eastAsia="zh-CN"/>
                    </w:rPr>
                  </w:pPr>
                  <w:r>
                    <w:rPr>
                      <w:rFonts w:hint="default" w:ascii="Times New Roman" w:hAnsi="Times New Roman" w:cs="Times New Roman"/>
                      <w:b/>
                      <w:color w:val="auto"/>
                      <w:szCs w:val="21"/>
                      <w:highlight w:val="none"/>
                    </w:rPr>
                    <w:t>监测</w:t>
                  </w:r>
                  <w:r>
                    <w:rPr>
                      <w:rFonts w:hint="default" w:ascii="Times New Roman" w:hAnsi="Times New Roman" w:cs="Times New Roman"/>
                      <w:b/>
                      <w:color w:val="auto"/>
                      <w:szCs w:val="21"/>
                      <w:highlight w:val="none"/>
                      <w:lang w:val="en-US" w:eastAsia="zh-CN"/>
                    </w:rPr>
                    <w:t>点位</w:t>
                  </w:r>
                </w:p>
              </w:tc>
              <w:tc>
                <w:tcPr>
                  <w:tcW w:w="6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eastAsiaTheme="minorEastAsia"/>
                      <w:b/>
                      <w:color w:val="auto"/>
                      <w:szCs w:val="21"/>
                      <w:highlight w:val="none"/>
                      <w:lang w:eastAsia="zh-CN"/>
                    </w:rPr>
                  </w:pPr>
                  <w:r>
                    <w:rPr>
                      <w:rFonts w:hint="default" w:ascii="Times New Roman" w:hAnsi="Times New Roman" w:cs="Times New Roman"/>
                      <w:b/>
                      <w:color w:val="auto"/>
                      <w:szCs w:val="21"/>
                      <w:highlight w:val="none"/>
                    </w:rPr>
                    <w:t>监测</w:t>
                  </w:r>
                  <w:r>
                    <w:rPr>
                      <w:rFonts w:hint="default" w:ascii="Times New Roman" w:hAnsi="Times New Roman" w:cs="Times New Roman"/>
                      <w:b/>
                      <w:color w:val="auto"/>
                      <w:szCs w:val="21"/>
                      <w:highlight w:val="none"/>
                      <w:lang w:val="en-US" w:eastAsia="zh-CN"/>
                    </w:rPr>
                    <w:t>因子</w:t>
                  </w:r>
                </w:p>
              </w:tc>
              <w:tc>
                <w:tcPr>
                  <w:tcW w:w="95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val="en-US" w:eastAsia="zh-CN"/>
                    </w:rPr>
                    <w:t>检测</w:t>
                  </w:r>
                  <w:r>
                    <w:rPr>
                      <w:rFonts w:hint="default" w:ascii="Times New Roman" w:hAnsi="Times New Roman" w:cs="Times New Roman"/>
                      <w:b/>
                      <w:color w:val="auto"/>
                      <w:szCs w:val="21"/>
                      <w:highlight w:val="none"/>
                    </w:rPr>
                    <w:t>频次</w:t>
                  </w:r>
                </w:p>
              </w:tc>
              <w:tc>
                <w:tcPr>
                  <w:tcW w:w="15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综合废水</w:t>
                  </w:r>
                </w:p>
              </w:tc>
              <w:tc>
                <w:tcPr>
                  <w:tcW w:w="10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lang w:val="en-US" w:eastAsia="zh-CN"/>
                    </w:rPr>
                    <w:t>DW001</w:t>
                  </w:r>
                </w:p>
              </w:tc>
              <w:tc>
                <w:tcPr>
                  <w:tcW w:w="6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Cs w:val="21"/>
                      <w:highlight w:val="none"/>
                      <w:vertAlign w:val="baseline"/>
                      <w:lang w:val="en-US" w:eastAsia="zh-CN"/>
                    </w:rPr>
                  </w:pPr>
                  <w:r>
                    <w:rPr>
                      <w:rFonts w:hint="eastAsia" w:ascii="Times New Roman" w:hAnsi="Times New Roman" w:eastAsia="宋体" w:cs="Times New Roman"/>
                      <w:color w:val="auto"/>
                      <w:kern w:val="24"/>
                      <w:szCs w:val="21"/>
                      <w:lang w:val="en-US" w:eastAsia="zh-CN"/>
                    </w:rPr>
                    <w:t>pH</w:t>
                  </w:r>
                  <w:r>
                    <w:rPr>
                      <w:rFonts w:ascii="Times New Roman" w:hAnsi="Times New Roman" w:eastAsia="宋体" w:cs="Times New Roman"/>
                      <w:color w:val="auto"/>
                      <w:kern w:val="24"/>
                      <w:szCs w:val="21"/>
                    </w:rPr>
                    <w:t>、COD、</w:t>
                  </w:r>
                  <w:r>
                    <w:rPr>
                      <w:rFonts w:hint="eastAsia" w:ascii="Times New Roman" w:hAnsi="Times New Roman" w:eastAsia="宋体" w:cs="Times New Roman"/>
                      <w:color w:val="auto"/>
                      <w:kern w:val="24"/>
                      <w:szCs w:val="21"/>
                      <w:lang w:val="en-US" w:eastAsia="zh-CN"/>
                    </w:rPr>
                    <w:t>氨氮、悬浮物、总溶解性固体（全盐量）、动植物油、BOD</w:t>
                  </w:r>
                  <w:r>
                    <w:rPr>
                      <w:rFonts w:hint="eastAsia" w:ascii="Times New Roman" w:hAnsi="Times New Roman" w:eastAsia="宋体" w:cs="Times New Roman"/>
                      <w:color w:val="auto"/>
                      <w:kern w:val="24"/>
                      <w:szCs w:val="21"/>
                      <w:vertAlign w:val="subscript"/>
                      <w:lang w:val="en-US" w:eastAsia="zh-CN"/>
                    </w:rPr>
                    <w:t>5</w:t>
                  </w:r>
                  <w:r>
                    <w:rPr>
                      <w:rFonts w:hint="eastAsia" w:ascii="Times New Roman" w:hAnsi="Times New Roman" w:eastAsia="宋体" w:cs="Times New Roman"/>
                      <w:color w:val="auto"/>
                      <w:kern w:val="24"/>
                      <w:szCs w:val="21"/>
                      <w:vertAlign w:val="baseline"/>
                      <w:lang w:val="en-US" w:eastAsia="zh-CN"/>
                    </w:rPr>
                    <w:t>、</w:t>
                  </w:r>
                  <w:r>
                    <w:rPr>
                      <w:rFonts w:hint="eastAsia" w:ascii="Times New Roman" w:hAnsi="Times New Roman" w:eastAsia="宋体" w:cs="Times New Roman"/>
                      <w:color w:val="auto"/>
                      <w:kern w:val="24"/>
                      <w:szCs w:val="21"/>
                      <w:lang w:val="en-US" w:eastAsia="zh-CN"/>
                    </w:rPr>
                    <w:t>磷酸盐</w:t>
                  </w:r>
                </w:p>
              </w:tc>
              <w:tc>
                <w:tcPr>
                  <w:tcW w:w="95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1次/年</w:t>
                  </w:r>
                </w:p>
              </w:tc>
              <w:tc>
                <w:tcPr>
                  <w:tcW w:w="15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《污水综合排放标准》</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GB8978－1996</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三级标准和</w:t>
                  </w:r>
                  <w:r>
                    <w:rPr>
                      <w:rFonts w:hint="eastAsia" w:ascii="Times New Roman" w:hAnsi="Times New Roman" w:cs="Times New Roman"/>
                      <w:color w:val="auto"/>
                      <w:szCs w:val="21"/>
                      <w:highlight w:val="none"/>
                      <w:lang w:val="en-US" w:eastAsia="zh-CN"/>
                    </w:rPr>
                    <w:t>半截塔污水处理厂</w:t>
                  </w:r>
                  <w:r>
                    <w:rPr>
                      <w:rFonts w:hint="default" w:ascii="Times New Roman" w:hAnsi="Times New Roman" w:cs="Times New Roman"/>
                      <w:color w:val="auto"/>
                      <w:szCs w:val="21"/>
                      <w:highlight w:val="none"/>
                      <w:lang w:val="en-US" w:eastAsia="zh-CN"/>
                    </w:rPr>
                    <w:t>进水水质指标</w:t>
                  </w:r>
                </w:p>
              </w:tc>
            </w:tr>
          </w:tbl>
          <w:p>
            <w:pPr>
              <w:pStyle w:val="17"/>
              <w:keepNext w:val="0"/>
              <w:keepLines w:val="0"/>
              <w:pageBreakBefore w:val="0"/>
              <w:widowControl w:val="0"/>
              <w:kinsoku/>
              <w:wordWrap/>
              <w:overflowPunct/>
              <w:topLinePunct w:val="0"/>
              <w:autoSpaceDE/>
              <w:autoSpaceDN/>
              <w:bidi w:val="0"/>
              <w:adjustRightInd w:val="0"/>
              <w:snapToGrid w:val="0"/>
              <w:spacing w:before="156" w:beforeLines="50" w:line="360" w:lineRule="auto"/>
              <w:ind w:left="0" w:leftChars="0" w:firstLine="482" w:firstLineChars="200"/>
              <w:textAlignment w:val="auto"/>
              <w:rPr>
                <w:rFonts w:hint="default" w:ascii="Times New Roman" w:hAnsi="Times New Roman"/>
                <w:b/>
                <w:color w:val="auto"/>
                <w:kern w:val="2"/>
              </w:rPr>
            </w:pPr>
            <w:r>
              <w:rPr>
                <w:rFonts w:hint="default" w:ascii="Times New Roman" w:hAnsi="Times New Roman"/>
                <w:b/>
                <w:color w:val="auto"/>
                <w:kern w:val="2"/>
              </w:rPr>
              <w:t>3、噪声</w:t>
            </w:r>
          </w:p>
          <w:p>
            <w:pPr>
              <w:spacing w:line="360" w:lineRule="auto"/>
              <w:ind w:firstLine="482" w:firstLineChars="200"/>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噪声源强分析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szCs w:val="21"/>
              </w:rPr>
              <w:t>项目</w:t>
            </w:r>
            <w:r>
              <w:rPr>
                <w:rFonts w:hint="default" w:ascii="Times New Roman" w:hAnsi="Times New Roman" w:cs="Times New Roman"/>
                <w:color w:val="auto"/>
                <w:sz w:val="24"/>
                <w:szCs w:val="24"/>
              </w:rPr>
              <w:t>运营期主要噪声为生产设备噪声和运输噪声。</w:t>
            </w:r>
            <w:r>
              <w:rPr>
                <w:rFonts w:hint="default" w:ascii="Times New Roman" w:hAnsi="Times New Roman" w:cs="Times New Roman"/>
                <w:color w:val="auto"/>
                <w:kern w:val="0"/>
                <w:sz w:val="24"/>
                <w:szCs w:val="21"/>
              </w:rPr>
              <w:t>生产设备噪声主要为</w:t>
            </w:r>
            <w:r>
              <w:rPr>
                <w:rFonts w:hint="eastAsia" w:ascii="Times New Roman" w:hAnsi="Times New Roman" w:cs="Times New Roman"/>
                <w:color w:val="auto"/>
                <w:kern w:val="0"/>
                <w:sz w:val="24"/>
                <w:szCs w:val="21"/>
                <w:lang w:val="en-US" w:eastAsia="zh-CN"/>
              </w:rPr>
              <w:t>清洗机、包装机、冻干机、</w:t>
            </w:r>
            <w:r>
              <w:rPr>
                <w:rFonts w:hint="default" w:ascii="Times New Roman" w:hAnsi="Times New Roman" w:cs="Times New Roman"/>
                <w:color w:val="auto"/>
                <w:sz w:val="24"/>
                <w:szCs w:val="22"/>
                <w:lang w:eastAsia="zh-CN"/>
              </w:rPr>
              <w:t>水泵、锅炉</w:t>
            </w:r>
            <w:r>
              <w:rPr>
                <w:rFonts w:hint="default" w:ascii="Times New Roman" w:hAnsi="Times New Roman" w:cs="Times New Roman"/>
                <w:color w:val="auto"/>
                <w:sz w:val="24"/>
                <w:szCs w:val="22"/>
                <w:lang w:val="en-US" w:eastAsia="zh-CN"/>
              </w:rPr>
              <w:t>等设备</w:t>
            </w:r>
            <w:r>
              <w:rPr>
                <w:rFonts w:hint="default" w:ascii="Times New Roman" w:hAnsi="Times New Roman" w:cs="Times New Roman"/>
                <w:color w:val="auto"/>
                <w:sz w:val="24"/>
                <w:szCs w:val="22"/>
                <w:lang w:eastAsia="zh-CN"/>
              </w:rPr>
              <w:t>产生的噪声</w:t>
            </w:r>
            <w:r>
              <w:rPr>
                <w:rFonts w:hint="default" w:ascii="Times New Roman" w:hAnsi="Times New Roman" w:cs="Times New Roman"/>
                <w:color w:val="auto"/>
                <w:kern w:val="0"/>
                <w:sz w:val="24"/>
                <w:szCs w:val="21"/>
              </w:rPr>
              <w:t>，</w:t>
            </w:r>
            <w:r>
              <w:rPr>
                <w:rFonts w:hint="default" w:ascii="Times New Roman" w:hAnsi="Times New Roman" w:cs="Times New Roman"/>
                <w:color w:val="auto"/>
                <w:sz w:val="24"/>
                <w:szCs w:val="24"/>
              </w:rPr>
              <w:t>源强为</w:t>
            </w:r>
            <w:r>
              <w:rPr>
                <w:rFonts w:hint="eastAsia" w:ascii="Times New Roman" w:hAnsi="Times New Roman" w:cs="Times New Roman"/>
                <w:color w:val="auto"/>
                <w:sz w:val="24"/>
                <w:szCs w:val="24"/>
                <w:lang w:val="en-US" w:eastAsia="zh-CN"/>
              </w:rPr>
              <w:t>60</w:t>
            </w:r>
            <w:r>
              <w:rPr>
                <w:rFonts w:hint="default" w:ascii="Times New Roman" w:hAnsi="Times New Roman" w:cs="Times New Roman"/>
                <w:color w:val="auto"/>
                <w:sz w:val="24"/>
                <w:szCs w:val="24"/>
              </w:rPr>
              <w:t>-85dB（A）。</w:t>
            </w:r>
            <w:r>
              <w:rPr>
                <w:rFonts w:hint="default" w:ascii="Times New Roman" w:hAnsi="Times New Roman" w:cs="Times New Roman"/>
                <w:color w:val="auto"/>
                <w:kern w:val="44"/>
                <w:sz w:val="24"/>
                <w:lang w:val="en-US" w:eastAsia="zh-CN"/>
              </w:rPr>
              <w:t>本项目</w:t>
            </w:r>
            <w:r>
              <w:rPr>
                <w:rFonts w:hint="default" w:ascii="Times New Roman" w:hAnsi="Times New Roman" w:cs="Times New Roman"/>
                <w:color w:val="auto"/>
                <w:sz w:val="24"/>
              </w:rPr>
              <w:t>噪声源强见下表。</w:t>
            </w:r>
          </w:p>
          <w:p>
            <w:pPr>
              <w:snapToGrid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16</w:t>
            </w:r>
            <w:r>
              <w:rPr>
                <w:rFonts w:hint="default" w:ascii="Times New Roman" w:hAnsi="Times New Roman" w:cs="Times New Roman"/>
                <w:b/>
                <w:bCs/>
                <w:color w:val="auto"/>
                <w:sz w:val="21"/>
                <w:szCs w:val="21"/>
                <w:lang w:val="en-US" w:eastAsia="zh-CN"/>
              </w:rPr>
              <w:t xml:space="preserve">  主要噪声源一览表</w:t>
            </w:r>
          </w:p>
          <w:tbl>
            <w:tblPr>
              <w:tblStyle w:val="23"/>
              <w:tblW w:w="4994"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03"/>
              <w:gridCol w:w="1062"/>
              <w:gridCol w:w="1670"/>
              <w:gridCol w:w="1849"/>
              <w:gridCol w:w="14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噪声源</w:t>
                  </w:r>
                </w:p>
              </w:tc>
              <w:tc>
                <w:tcPr>
                  <w:tcW w:w="62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数量</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噪声等级</w:t>
                  </w:r>
                </w:p>
              </w:tc>
              <w:tc>
                <w:tcPr>
                  <w:tcW w:w="1094"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采取的措施</w:t>
                  </w:r>
                </w:p>
              </w:tc>
              <w:tc>
                <w:tcPr>
                  <w:tcW w:w="87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降噪效果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清洗机</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w:t>
                  </w:r>
                  <w:r>
                    <w:rPr>
                      <w:rFonts w:hint="default" w:ascii="Times New Roman" w:hAnsi="Times New Roman" w:cs="Times New Roman"/>
                      <w:bCs/>
                      <w:color w:val="auto"/>
                      <w:sz w:val="21"/>
                      <w:szCs w:val="21"/>
                    </w:rPr>
                    <w:t>dB（A）</w:t>
                  </w:r>
                </w:p>
              </w:tc>
              <w:tc>
                <w:tcPr>
                  <w:tcW w:w="1094" w:type="pct"/>
                  <w:vMerge w:val="restart"/>
                  <w:tcBorders>
                    <w:top w:val="single" w:color="auto" w:sz="4" w:space="0"/>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选用低噪声设备、生产车间封闭、进行基础减振</w:t>
                  </w:r>
                </w:p>
              </w:tc>
              <w:tc>
                <w:tcPr>
                  <w:tcW w:w="870" w:type="pct"/>
                  <w:vMerge w:val="restart"/>
                  <w:tcBorders>
                    <w:top w:val="single" w:color="auto" w:sz="4" w:space="0"/>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降噪25-30dB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真空滚揉机</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870"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气泡清洗机</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870"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真空包装机</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870"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枕式包装机</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870"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智能化杀菌釜</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870"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冻干机</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870"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折叠盘系统</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870"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料理机</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870"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jc w:val="center"/>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0</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风机</w:t>
                  </w:r>
                </w:p>
              </w:tc>
              <w:tc>
                <w:tcPr>
                  <w:tcW w:w="628" w:type="pc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highlight w:val="none"/>
                      <w:lang w:val="en-US" w:eastAsia="zh-CN"/>
                    </w:rPr>
                    <w:t>2</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rPr>
                  </w:pPr>
                </w:p>
              </w:tc>
              <w:tc>
                <w:tcPr>
                  <w:tcW w:w="870"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0"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eastAsiaTheme="minorEastAsia"/>
                      <w:color w:val="auto"/>
                      <w:kern w:val="21"/>
                      <w:sz w:val="21"/>
                      <w:szCs w:val="21"/>
                      <w:lang w:val="en-US" w:eastAsia="zh-CN" w:bidi="ar-SA"/>
                    </w:rPr>
                  </w:pPr>
                  <w:r>
                    <w:rPr>
                      <w:rFonts w:hint="eastAsia" w:ascii="Times New Roman" w:hAnsi="Times New Roman" w:cs="Times New Roman"/>
                      <w:color w:val="auto"/>
                      <w:kern w:val="21"/>
                      <w:sz w:val="21"/>
                      <w:szCs w:val="21"/>
                      <w:lang w:val="en-US" w:eastAsia="zh-CN" w:bidi="ar-SA"/>
                    </w:rPr>
                    <w:t>11</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pStyle w:val="19"/>
                    <w:spacing w:line="280" w:lineRule="exact"/>
                    <w:jc w:val="center"/>
                    <w:rPr>
                      <w:rFonts w:hint="default" w:ascii="Times New Roman" w:hAnsi="Times New Roman" w:cs="Times New Roman" w:eastAsiaTheme="minorEastAsia"/>
                      <w:color w:val="auto"/>
                      <w:kern w:val="21"/>
                      <w:sz w:val="21"/>
                      <w:szCs w:val="21"/>
                      <w:lang w:val="en-US" w:eastAsia="zh-CN" w:bidi="ar-SA"/>
                    </w:rPr>
                  </w:pPr>
                  <w:r>
                    <w:rPr>
                      <w:rFonts w:hint="eastAsia" w:ascii="Times New Roman" w:hAnsi="Times New Roman" w:cs="Times New Roman" w:eastAsiaTheme="minorEastAsia"/>
                      <w:color w:val="auto"/>
                      <w:kern w:val="21"/>
                      <w:sz w:val="21"/>
                      <w:szCs w:val="21"/>
                      <w:lang w:val="en-US" w:eastAsia="zh-CN" w:bidi="ar-SA"/>
                    </w:rPr>
                    <w:t>水泵</w:t>
                  </w:r>
                </w:p>
              </w:tc>
              <w:tc>
                <w:tcPr>
                  <w:tcW w:w="628" w:type="pct"/>
                  <w:tcBorders>
                    <w:top w:val="single" w:color="auto" w:sz="4" w:space="0"/>
                    <w:left w:val="single" w:color="auto" w:sz="4" w:space="0"/>
                    <w:bottom w:val="single" w:color="auto" w:sz="4" w:space="0"/>
                    <w:right w:val="single" w:color="auto" w:sz="4" w:space="0"/>
                  </w:tcBorders>
                  <w:noWrap w:val="0"/>
                  <w:vAlign w:val="center"/>
                </w:tcPr>
                <w:p>
                  <w:pPr>
                    <w:pStyle w:val="19"/>
                    <w:spacing w:line="280" w:lineRule="exact"/>
                    <w:jc w:val="center"/>
                    <w:rPr>
                      <w:rFonts w:hint="default" w:ascii="Times New Roman" w:hAnsi="Times New Roman" w:cs="Times New Roman" w:eastAsiaTheme="minorEastAsia"/>
                      <w:color w:val="auto"/>
                      <w:kern w:val="21"/>
                      <w:sz w:val="21"/>
                      <w:szCs w:val="21"/>
                      <w:lang w:val="en-US" w:eastAsia="zh-CN" w:bidi="ar-SA"/>
                    </w:rPr>
                  </w:pPr>
                  <w:r>
                    <w:rPr>
                      <w:rFonts w:hint="eastAsia" w:ascii="Times New Roman" w:hAnsi="Times New Roman" w:cs="Times New Roman"/>
                      <w:color w:val="auto"/>
                      <w:sz w:val="21"/>
                      <w:szCs w:val="21"/>
                      <w:highlight w:val="none"/>
                      <w:lang w:val="en-US" w:eastAsia="zh-CN" w:bidi="ar"/>
                    </w:rPr>
                    <w:t>2</w:t>
                  </w:r>
                </w:p>
              </w:tc>
              <w:tc>
                <w:tcPr>
                  <w:tcW w:w="988" w:type="pct"/>
                  <w:tcBorders>
                    <w:top w:val="single" w:color="auto" w:sz="4" w:space="0"/>
                    <w:left w:val="single" w:color="auto" w:sz="4" w:space="0"/>
                    <w:bottom w:val="single" w:color="auto" w:sz="4" w:space="0"/>
                    <w:right w:val="single" w:color="auto" w:sz="4" w:space="0"/>
                  </w:tcBorders>
                  <w:noWrap w:val="0"/>
                  <w:vAlign w:val="center"/>
                </w:tcPr>
                <w:p>
                  <w:pPr>
                    <w:pStyle w:val="57"/>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sz w:val="21"/>
                      <w:szCs w:val="21"/>
                      <w:lang w:val="en-US" w:eastAsia="zh-CN"/>
                    </w:rPr>
                    <w:t>75</w:t>
                  </w:r>
                  <w:r>
                    <w:rPr>
                      <w:rFonts w:hint="default" w:ascii="Times New Roman" w:hAnsi="Times New Roman" w:cs="Times New Roman"/>
                      <w:bCs/>
                      <w:color w:val="auto"/>
                      <w:sz w:val="21"/>
                      <w:szCs w:val="21"/>
                    </w:rPr>
                    <w:t>dB（A）</w:t>
                  </w:r>
                </w:p>
              </w:tc>
              <w:tc>
                <w:tcPr>
                  <w:tcW w:w="1094"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870" w:type="pct"/>
                  <w:vMerge w:val="continue"/>
                  <w:tcBorders>
                    <w:left w:val="single" w:color="auto" w:sz="4" w:space="0"/>
                    <w:right w:val="single" w:color="auto" w:sz="4" w:space="0"/>
                  </w:tcBorders>
                  <w:noWrap w:val="0"/>
                  <w:vAlign w:val="center"/>
                </w:tcPr>
                <w:p>
                  <w:pPr>
                    <w:pStyle w:val="57"/>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bl>
          <w:p>
            <w:pPr>
              <w:keepNext w:val="0"/>
              <w:keepLines w:val="0"/>
              <w:pageBreakBefore w:val="0"/>
              <w:widowControl w:val="0"/>
              <w:kinsoku/>
              <w:wordWrap/>
              <w:overflowPunct/>
              <w:topLinePunct w:val="0"/>
              <w:bidi w:val="0"/>
              <w:adjustRightInd w:val="0"/>
              <w:snapToGrid w:val="0"/>
              <w:spacing w:line="360" w:lineRule="auto"/>
              <w:ind w:firstLine="482"/>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噪声</w:t>
            </w:r>
            <w:r>
              <w:rPr>
                <w:rFonts w:hint="default" w:ascii="Times New Roman" w:hAnsi="Times New Roman" w:cs="Times New Roman"/>
                <w:b/>
                <w:bCs/>
                <w:color w:val="auto"/>
                <w:sz w:val="24"/>
              </w:rPr>
              <w:t>达标情况分析</w:t>
            </w:r>
          </w:p>
          <w:p>
            <w:pPr>
              <w:adjustRightInd w:val="0"/>
              <w:snapToGrid w:val="0"/>
              <w:spacing w:line="360" w:lineRule="auto"/>
              <w:ind w:firstLine="480"/>
              <w:rPr>
                <w:rFonts w:ascii="Times New Roman" w:hAnsi="Times New Roman" w:cs="Times New Roman"/>
                <w:color w:val="auto"/>
                <w:sz w:val="24"/>
              </w:rPr>
            </w:pPr>
            <w:r>
              <w:rPr>
                <w:rFonts w:ascii="Times New Roman" w:hAnsi="Times New Roman" w:cs="Times New Roman"/>
                <w:color w:val="auto"/>
                <w:sz w:val="24"/>
              </w:rPr>
              <w:t>项目声环境影响预测使用石家庄环安科技有限公司的噪声环境影响评价系统进行噪声预测，预测过程中，各噪声设备在一定的距离处可以被视作点源，设备所处位置、与墙壁的距离、房间常数、与预测点的距离、隔墙厚度等均按实际布设确定，同时考虑了地形因素的影响。</w:t>
            </w:r>
          </w:p>
          <w:p>
            <w:pPr>
              <w:adjustRightInd w:val="0"/>
              <w:snapToGrid w:val="0"/>
              <w:spacing w:line="360" w:lineRule="auto"/>
              <w:ind w:firstLine="480"/>
              <w:rPr>
                <w:rFonts w:ascii="Times New Roman" w:hAnsi="Times New Roman" w:cs="Times New Roman"/>
                <w:color w:val="auto"/>
                <w:sz w:val="24"/>
                <w:highlight w:val="none"/>
              </w:rPr>
            </w:pPr>
            <w:r>
              <w:rPr>
                <w:rFonts w:ascii="Times New Roman" w:hAnsi="Times New Roman" w:cs="Times New Roman"/>
                <w:color w:val="auto"/>
                <w:sz w:val="24"/>
              </w:rPr>
              <w:t>项目四厂</w:t>
            </w:r>
            <w:r>
              <w:rPr>
                <w:rFonts w:ascii="Times New Roman" w:hAnsi="Times New Roman" w:cs="Times New Roman"/>
                <w:color w:val="auto"/>
                <w:sz w:val="24"/>
                <w:highlight w:val="none"/>
              </w:rPr>
              <w:t>界及敏感点噪声预测结果如下表所示：</w:t>
            </w:r>
          </w:p>
          <w:p>
            <w:pPr>
              <w:snapToGrid w:val="0"/>
              <w:spacing w:line="240" w:lineRule="auto"/>
              <w:jc w:val="center"/>
              <w:rPr>
                <w:rFonts w:hint="eastAsia"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lang w:val="en-US" w:eastAsia="zh-CN"/>
              </w:rPr>
              <w:t xml:space="preserve">表4-17  </w:t>
            </w:r>
            <w:r>
              <w:rPr>
                <w:rFonts w:hint="eastAsia" w:ascii="Times New Roman" w:hAnsi="Times New Roman" w:cs="Times New Roman"/>
                <w:b/>
                <w:bCs/>
                <w:color w:val="auto"/>
                <w:szCs w:val="21"/>
                <w:highlight w:val="none"/>
              </w:rPr>
              <w:t>项目噪声预测结果一览表  单位：dB(A)</w:t>
            </w:r>
          </w:p>
          <w:tbl>
            <w:tblPr>
              <w:tblStyle w:val="23"/>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8"/>
              <w:gridCol w:w="5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pct"/>
                  <w:noWrap w:val="0"/>
                  <w:vAlign w:val="center"/>
                </w:tcPr>
                <w:p>
                  <w:pPr>
                    <w:pStyle w:val="3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点位</w:t>
                  </w:r>
                </w:p>
              </w:tc>
              <w:tc>
                <w:tcPr>
                  <w:tcW w:w="3336" w:type="pct"/>
                  <w:noWrap w:val="0"/>
                  <w:vAlign w:val="center"/>
                </w:tcPr>
                <w:p>
                  <w:pPr>
                    <w:pStyle w:val="3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昼间贡献值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pct"/>
                  <w:noWrap w:val="0"/>
                  <w:vAlign w:val="center"/>
                </w:tcPr>
                <w:p>
                  <w:pPr>
                    <w:pStyle w:val="3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北厂界</w:t>
                  </w:r>
                </w:p>
              </w:tc>
              <w:tc>
                <w:tcPr>
                  <w:tcW w:w="3336" w:type="pct"/>
                  <w:noWrap w:val="0"/>
                  <w:vAlign w:val="center"/>
                </w:tcPr>
                <w:p>
                  <w:pPr>
                    <w:pStyle w:val="32"/>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pct"/>
                  <w:noWrap w:val="0"/>
                  <w:vAlign w:val="center"/>
                </w:tcPr>
                <w:p>
                  <w:pPr>
                    <w:pStyle w:val="3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东厂界</w:t>
                  </w:r>
                </w:p>
              </w:tc>
              <w:tc>
                <w:tcPr>
                  <w:tcW w:w="3336" w:type="pct"/>
                  <w:noWrap w:val="0"/>
                  <w:vAlign w:val="center"/>
                </w:tcPr>
                <w:p>
                  <w:pPr>
                    <w:pStyle w:val="32"/>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pct"/>
                  <w:noWrap w:val="0"/>
                  <w:vAlign w:val="center"/>
                </w:tcPr>
                <w:p>
                  <w:pPr>
                    <w:pStyle w:val="3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南厂界</w:t>
                  </w:r>
                </w:p>
              </w:tc>
              <w:tc>
                <w:tcPr>
                  <w:tcW w:w="3336" w:type="pct"/>
                  <w:noWrap w:val="0"/>
                  <w:vAlign w:val="center"/>
                </w:tcPr>
                <w:p>
                  <w:pPr>
                    <w:pStyle w:val="32"/>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pct"/>
                  <w:noWrap w:val="0"/>
                  <w:vAlign w:val="center"/>
                </w:tcPr>
                <w:p>
                  <w:pPr>
                    <w:pStyle w:val="3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西厂界</w:t>
                  </w:r>
                </w:p>
              </w:tc>
              <w:tc>
                <w:tcPr>
                  <w:tcW w:w="3336" w:type="pct"/>
                  <w:noWrap w:val="0"/>
                  <w:vAlign w:val="center"/>
                </w:tcPr>
                <w:p>
                  <w:pPr>
                    <w:pStyle w:val="32"/>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49.27</w:t>
                  </w:r>
                </w:p>
              </w:tc>
            </w:tr>
          </w:tbl>
          <w:p>
            <w:pPr>
              <w:adjustRightInd w:val="0"/>
              <w:snapToGrid w:val="0"/>
              <w:spacing w:before="156" w:beforeLines="50" w:line="360" w:lineRule="auto"/>
              <w:ind w:firstLine="482"/>
              <w:rPr>
                <w:rFonts w:ascii="Times New Roman" w:hAnsi="Times New Roman" w:cs="Times New Roman"/>
                <w:color w:val="auto"/>
                <w:sz w:val="24"/>
                <w:highlight w:val="none"/>
              </w:rPr>
            </w:pPr>
            <w:r>
              <w:rPr>
                <w:rFonts w:ascii="Times New Roman" w:hAnsi="Times New Roman" w:cs="Times New Roman"/>
                <w:color w:val="auto"/>
                <w:kern w:val="0"/>
                <w:sz w:val="24"/>
                <w:highlight w:val="none"/>
                <w:lang w:val="zh-CN"/>
              </w:rPr>
              <w:t>项目运营期声级等值线（贡献值）</w:t>
            </w:r>
            <w:r>
              <w:rPr>
                <w:rFonts w:ascii="Times New Roman" w:hAnsi="Times New Roman" w:cs="Times New Roman"/>
                <w:color w:val="auto"/>
                <w:sz w:val="24"/>
                <w:highlight w:val="none"/>
              </w:rPr>
              <w:t>见下图。</w:t>
            </w:r>
          </w:p>
          <w:p>
            <w:pPr>
              <w:adjustRightInd w:val="0"/>
              <w:snapToGrid w:val="0"/>
              <w:spacing w:before="156" w:beforeLines="50" w:line="360" w:lineRule="auto"/>
              <w:jc w:val="center"/>
              <w:rPr>
                <w:rFonts w:hint="eastAsia" w:ascii="Times New Roman" w:hAnsi="Times New Roman" w:cs="Times New Roman" w:eastAsiaTheme="minorEastAsia"/>
                <w:color w:val="auto"/>
                <w:sz w:val="24"/>
                <w:highlight w:val="yellow"/>
                <w:lang w:eastAsia="zh-CN"/>
              </w:rPr>
            </w:pPr>
            <w:r>
              <w:drawing>
                <wp:inline distT="0" distB="0" distL="114300" distR="114300">
                  <wp:extent cx="5367020" cy="3406140"/>
                  <wp:effectExtent l="0" t="0" r="5080"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8"/>
                          <a:stretch>
                            <a:fillRect/>
                          </a:stretch>
                        </pic:blipFill>
                        <pic:spPr>
                          <a:xfrm>
                            <a:off x="0" y="0"/>
                            <a:ext cx="5367020" cy="3406140"/>
                          </a:xfrm>
                          <a:prstGeom prst="rect">
                            <a:avLst/>
                          </a:prstGeom>
                          <a:noFill/>
                          <a:ln>
                            <a:noFill/>
                          </a:ln>
                        </pic:spPr>
                      </pic:pic>
                    </a:graphicData>
                  </a:graphic>
                </wp:inline>
              </w:drawing>
            </w:r>
          </w:p>
          <w:p>
            <w:pPr>
              <w:adjustRightInd w:val="0"/>
              <w:snapToGrid w:val="0"/>
              <w:spacing w:line="360" w:lineRule="auto"/>
              <w:ind w:firstLine="482"/>
              <w:jc w:val="center"/>
              <w:rPr>
                <w:rFonts w:hint="default" w:ascii="Times New Roman" w:hAnsi="Times New Roman" w:cs="Times New Roman" w:eastAsiaTheme="minorEastAsia"/>
                <w:color w:val="auto"/>
                <w:sz w:val="24"/>
                <w:highlight w:val="none"/>
                <w:lang w:val="en-US" w:eastAsia="zh-CN"/>
              </w:rPr>
            </w:pPr>
            <w:r>
              <w:rPr>
                <w:rFonts w:ascii="Times New Roman" w:hAnsi="Times New Roman" w:cs="Times New Roman"/>
                <w:b/>
                <w:color w:val="auto"/>
                <w:szCs w:val="21"/>
                <w:highlight w:val="none"/>
              </w:rPr>
              <w:t>图4-1  噪声</w:t>
            </w:r>
            <w:r>
              <w:rPr>
                <w:rFonts w:hint="eastAsia" w:ascii="Times New Roman" w:hAnsi="Times New Roman" w:cs="Times New Roman"/>
                <w:b/>
                <w:color w:val="auto"/>
                <w:szCs w:val="21"/>
                <w:highlight w:val="none"/>
                <w:lang w:val="en-US" w:eastAsia="zh-CN"/>
              </w:rPr>
              <w:t>贡献值等声值线图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rPr>
              <w:t>通过采取上述隔音、减振等降噪措施，可有效的降低噪声对周围环境的影响，</w:t>
            </w:r>
            <w:r>
              <w:rPr>
                <w:rFonts w:hint="default" w:ascii="Times New Roman" w:hAnsi="Times New Roman" w:cs="Times New Roman"/>
                <w:color w:val="auto"/>
                <w:sz w:val="24"/>
                <w:szCs w:val="24"/>
              </w:rPr>
              <w:t>使噪声降低20</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dB(A)左右，再经过距离的衰减、厂界围墙隔声，项目厂界环境可以满足《工业企业厂界环境噪声排放标准》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GB12348-2008</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中的</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类标准要求，实现达标排放。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b/>
                <w:bCs/>
                <w:color w:val="auto"/>
                <w:sz w:val="24"/>
              </w:rPr>
            </w:pPr>
            <w:r>
              <w:rPr>
                <w:rFonts w:hint="eastAsia" w:ascii="Times New Roman" w:hAnsi="Times New Roman" w:cs="Times New Roman"/>
                <w:b/>
                <w:bCs/>
                <w:color w:val="auto"/>
                <w:sz w:val="24"/>
              </w:rPr>
              <w:t>（</w:t>
            </w:r>
            <w:r>
              <w:rPr>
                <w:rFonts w:hint="eastAsia" w:ascii="Times New Roman" w:hAnsi="Times New Roman" w:cs="Times New Roman"/>
                <w:b/>
                <w:bCs/>
                <w:color w:val="auto"/>
                <w:sz w:val="24"/>
                <w:lang w:val="en-US" w:eastAsia="zh-CN"/>
              </w:rPr>
              <w:t>3</w:t>
            </w:r>
            <w:r>
              <w:rPr>
                <w:rFonts w:hint="eastAsia" w:ascii="Times New Roman" w:hAnsi="Times New Roman" w:cs="Times New Roman"/>
                <w:b/>
                <w:bCs/>
                <w:color w:val="auto"/>
                <w:sz w:val="24"/>
              </w:rPr>
              <w:t>）监测要求</w:t>
            </w:r>
          </w:p>
          <w:p>
            <w:pPr>
              <w:adjustRightInd w:val="0"/>
              <w:snapToGrid w:val="0"/>
              <w:spacing w:line="360" w:lineRule="auto"/>
              <w:ind w:firstLine="480"/>
              <w:rPr>
                <w:rFonts w:ascii="Times New Roman" w:hAnsi="Times New Roman" w:cs="Times New Roman"/>
                <w:color w:val="auto"/>
                <w:sz w:val="24"/>
              </w:rPr>
            </w:pPr>
            <w:r>
              <w:rPr>
                <w:rFonts w:ascii="Times New Roman" w:hAnsi="Times New Roman" w:cs="Times New Roman"/>
                <w:color w:val="auto"/>
                <w:sz w:val="24"/>
              </w:rPr>
              <w:t>项目</w:t>
            </w:r>
            <w:r>
              <w:rPr>
                <w:rFonts w:hint="eastAsia" w:ascii="Times New Roman" w:hAnsi="Times New Roman" w:cs="Times New Roman"/>
                <w:color w:val="auto"/>
                <w:sz w:val="24"/>
              </w:rPr>
              <w:t>噪声源</w:t>
            </w:r>
            <w:r>
              <w:rPr>
                <w:rFonts w:ascii="Times New Roman" w:hAnsi="Times New Roman" w:cs="Times New Roman"/>
                <w:color w:val="auto"/>
                <w:sz w:val="24"/>
              </w:rPr>
              <w:t>监测要求详见下表：</w:t>
            </w:r>
          </w:p>
          <w:p>
            <w:pPr>
              <w:snapToGrid w:val="0"/>
              <w:spacing w:line="240" w:lineRule="auto"/>
              <w:jc w:val="center"/>
              <w:rPr>
                <w:rFonts w:ascii="Times New Roman" w:hAnsi="Times New Roman" w:cs="Times New Roman"/>
                <w:b/>
                <w:bCs/>
                <w:color w:val="auto"/>
                <w:szCs w:val="21"/>
              </w:rPr>
            </w:pPr>
            <w:r>
              <w:rPr>
                <w:rFonts w:hint="eastAsia" w:ascii="Times New Roman" w:hAnsi="Times New Roman" w:cs="Times New Roman"/>
                <w:b/>
                <w:bCs/>
                <w:color w:val="auto"/>
                <w:szCs w:val="21"/>
              </w:rPr>
              <w:t>表4-</w:t>
            </w:r>
            <w:r>
              <w:rPr>
                <w:rFonts w:hint="eastAsia" w:ascii="Times New Roman" w:hAnsi="Times New Roman" w:cs="Times New Roman"/>
                <w:b/>
                <w:bCs/>
                <w:color w:val="auto"/>
                <w:szCs w:val="21"/>
                <w:lang w:val="en-US" w:eastAsia="zh-CN"/>
              </w:rPr>
              <w:t>18</w:t>
            </w:r>
            <w:r>
              <w:rPr>
                <w:rFonts w:hint="eastAsia" w:ascii="Times New Roman" w:hAnsi="Times New Roman" w:cs="Times New Roman"/>
                <w:b/>
                <w:bCs/>
                <w:color w:val="auto"/>
                <w:szCs w:val="21"/>
              </w:rPr>
              <w:t xml:space="preserve">  项目噪声源监测要求一览表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370"/>
              <w:gridCol w:w="1148"/>
              <w:gridCol w:w="1162"/>
              <w:gridCol w:w="3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1"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环境要素</w:t>
                  </w:r>
                </w:p>
              </w:tc>
              <w:tc>
                <w:tcPr>
                  <w:tcW w:w="810"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监测位置</w:t>
                  </w:r>
                </w:p>
              </w:tc>
              <w:tc>
                <w:tcPr>
                  <w:tcW w:w="679"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c>
                <w:tcPr>
                  <w:tcW w:w="687"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频次</w:t>
                  </w:r>
                </w:p>
              </w:tc>
              <w:tc>
                <w:tcPr>
                  <w:tcW w:w="2161" w:type="pct"/>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cs="Times New Roman"/>
                      <w:b/>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1"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810"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四厂界外1m处</w:t>
                  </w:r>
                </w:p>
              </w:tc>
              <w:tc>
                <w:tcPr>
                  <w:tcW w:w="679"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Leq</w:t>
                  </w:r>
                </w:p>
              </w:tc>
              <w:tc>
                <w:tcPr>
                  <w:tcW w:w="687" w:type="pct"/>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次</w:t>
                  </w:r>
                  <w:r>
                    <w:rPr>
                      <w:rFonts w:hint="eastAsia" w:ascii="Times New Roman" w:hAnsi="Times New Roman" w:cs="Times New Roman"/>
                      <w:color w:val="auto"/>
                      <w:sz w:val="21"/>
                      <w:szCs w:val="21"/>
                      <w:lang w:val="en-US" w:eastAsia="zh-CN"/>
                    </w:rPr>
                    <w:t>/季度</w:t>
                  </w:r>
                </w:p>
              </w:tc>
              <w:tc>
                <w:tcPr>
                  <w:tcW w:w="2161"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类标准要求</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2" w:firstLineChars="200"/>
              <w:textAlignment w:val="auto"/>
              <w:rPr>
                <w:rFonts w:ascii="Times New Roman" w:hAnsi="Times New Roman" w:cs="Times New Roman"/>
                <w:b/>
                <w:bCs/>
                <w:color w:val="auto"/>
                <w:sz w:val="24"/>
              </w:rPr>
            </w:pPr>
            <w:r>
              <w:rPr>
                <w:rFonts w:ascii="Times New Roman" w:hAnsi="Times New Roman" w:cs="Times New Roman"/>
                <w:b/>
                <w:bCs/>
                <w:color w:val="auto"/>
                <w:sz w:val="24"/>
              </w:rPr>
              <w:t>4、固体废物</w:t>
            </w:r>
          </w:p>
          <w:p>
            <w:pPr>
              <w:snapToGrid w:val="0"/>
              <w:spacing w:line="360" w:lineRule="auto"/>
              <w:ind w:firstLine="482" w:firstLineChars="200"/>
              <w:rPr>
                <w:rFonts w:hint="default" w:ascii="Times New Roman" w:hAnsi="Times New Roman" w:cs="Times New Roman" w:eastAsiaTheme="minorEastAsia"/>
                <w:b/>
                <w:bCs/>
                <w:color w:val="auto"/>
                <w:sz w:val="24"/>
                <w:lang w:val="en-US" w:eastAsia="zh-CN"/>
              </w:rPr>
            </w:pP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1</w:t>
            </w: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固体废物产生情况</w:t>
            </w:r>
          </w:p>
          <w:p>
            <w:pPr>
              <w:snapToGrid w:val="0"/>
              <w:spacing w:line="360" w:lineRule="auto"/>
              <w:ind w:firstLine="480" w:firstLineChars="200"/>
              <w:rPr>
                <w:rFonts w:hint="eastAsia" w:ascii="Times New Roman" w:hAnsi="Times New Roman" w:cs="Times New Roman"/>
                <w:b/>
                <w:bCs/>
                <w:color w:val="auto"/>
                <w:sz w:val="24"/>
                <w:szCs w:val="24"/>
                <w:highlight w:val="yellow"/>
                <w:lang w:val="en-US" w:eastAsia="zh-CN"/>
              </w:rPr>
            </w:pPr>
            <w:r>
              <w:rPr>
                <w:rFonts w:ascii="Times New Roman" w:hAnsi="Times New Roman" w:cs="Times New Roman"/>
                <w:color w:val="auto"/>
                <w:sz w:val="24"/>
              </w:rPr>
              <w:t>项目生产运行阶段产生的</w:t>
            </w:r>
            <w:r>
              <w:rPr>
                <w:rFonts w:hint="eastAsia" w:ascii="Times New Roman" w:hAnsi="Times New Roman" w:cs="Times New Roman"/>
                <w:color w:val="auto"/>
                <w:sz w:val="24"/>
                <w:lang w:val="en-US" w:eastAsia="zh-CN"/>
              </w:rPr>
              <w:t>一般</w:t>
            </w:r>
            <w:r>
              <w:rPr>
                <w:rFonts w:ascii="Times New Roman" w:hAnsi="Times New Roman" w:cs="Times New Roman"/>
                <w:color w:val="auto"/>
                <w:sz w:val="24"/>
              </w:rPr>
              <w:t>固体废物主要为生物质燃烧炉渣、除尘灰</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离子交换树脂、废布袋、废包装材料、栅渣以及污水处理站污泥；危险废物为废润滑油、废油桶</w:t>
            </w:r>
            <w:r>
              <w:rPr>
                <w:rFonts w:ascii="Times New Roman" w:hAnsi="Times New Roman" w:cs="Times New Roman"/>
                <w:color w:val="auto"/>
                <w:sz w:val="24"/>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rPr>
              <w:t>锅炉炉渣</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rPr>
              <w:t>炉渣</w:t>
            </w:r>
            <w:r>
              <w:rPr>
                <w:rFonts w:hint="default" w:ascii="Times New Roman" w:hAnsi="Times New Roman" w:eastAsia="宋体" w:cs="Times New Roman"/>
                <w:color w:val="auto"/>
                <w:sz w:val="24"/>
                <w:szCs w:val="22"/>
                <w:lang w:val="en-US" w:eastAsia="zh-CN"/>
              </w:rPr>
              <w:t>产生量为</w:t>
            </w:r>
            <w:r>
              <w:rPr>
                <w:rFonts w:hint="eastAsia" w:ascii="Times New Roman" w:hAnsi="Times New Roman" w:eastAsia="宋体" w:cs="Times New Roman"/>
                <w:color w:val="auto"/>
                <w:sz w:val="24"/>
                <w:szCs w:val="22"/>
                <w:lang w:val="en-US" w:eastAsia="zh-CN"/>
              </w:rPr>
              <w:t>4.5</w:t>
            </w:r>
            <w:r>
              <w:rPr>
                <w:rFonts w:hint="default" w:ascii="Times New Roman" w:hAnsi="Times New Roman" w:eastAsia="宋体" w:cs="Times New Roman"/>
                <w:color w:val="auto"/>
                <w:sz w:val="24"/>
                <w:szCs w:val="22"/>
                <w:lang w:val="en-US" w:eastAsia="zh-CN"/>
              </w:rPr>
              <w:t>t/a，集中收集后定期由环卫部门清运</w:t>
            </w:r>
            <w:r>
              <w:rPr>
                <w:rFonts w:hint="eastAsia" w:ascii="Times New Roman" w:hAnsi="Times New Roman" w:eastAsia="宋体" w:cs="Times New Roman"/>
                <w:color w:val="auto"/>
                <w:sz w:val="24"/>
                <w:szCs w:val="22"/>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（2）锅炉除尘器粉煤灰</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szCs w:val="22"/>
                <w:lang w:val="en-US" w:eastAsia="zh-CN"/>
              </w:rPr>
            </w:pPr>
            <w:r>
              <w:rPr>
                <w:rFonts w:hint="default" w:ascii="Times New Roman" w:hAnsi="Times New Roman" w:eastAsia="宋体" w:cs="Times New Roman"/>
                <w:color w:val="auto"/>
                <w:sz w:val="24"/>
                <w:szCs w:val="22"/>
                <w:lang w:val="en-US" w:eastAsia="zh-CN"/>
              </w:rPr>
              <w:t>项目烟尘产生量为</w:t>
            </w:r>
            <w:r>
              <w:rPr>
                <w:rFonts w:hint="eastAsia" w:ascii="Times New Roman" w:hAnsi="Times New Roman" w:eastAsia="宋体" w:cs="Times New Roman"/>
                <w:color w:val="auto"/>
                <w:sz w:val="24"/>
                <w:szCs w:val="22"/>
                <w:lang w:val="en-US" w:eastAsia="zh-CN"/>
              </w:rPr>
              <w:t>14.4</w:t>
            </w:r>
            <w:r>
              <w:rPr>
                <w:rFonts w:hint="default" w:ascii="Times New Roman" w:hAnsi="Times New Roman" w:eastAsia="宋体" w:cs="Times New Roman"/>
                <w:color w:val="auto"/>
                <w:sz w:val="24"/>
                <w:szCs w:val="22"/>
                <w:lang w:val="en-US" w:eastAsia="zh-CN"/>
              </w:rPr>
              <w:t>t/a，烟尘排放量为</w:t>
            </w:r>
            <w:r>
              <w:rPr>
                <w:rFonts w:hint="eastAsia" w:ascii="Times New Roman" w:hAnsi="Times New Roman" w:cs="Times New Roman"/>
                <w:color w:val="auto"/>
                <w:sz w:val="24"/>
                <w:szCs w:val="22"/>
                <w:lang w:val="en-US" w:eastAsia="zh-CN"/>
              </w:rPr>
              <w:t>0.072</w:t>
            </w:r>
            <w:r>
              <w:rPr>
                <w:rFonts w:hint="default" w:ascii="Times New Roman" w:hAnsi="Times New Roman" w:eastAsia="宋体" w:cs="Times New Roman"/>
                <w:color w:val="auto"/>
                <w:sz w:val="24"/>
                <w:szCs w:val="22"/>
                <w:lang w:val="en-US" w:eastAsia="zh-CN"/>
              </w:rPr>
              <w:t>t/a，</w:t>
            </w:r>
            <w:r>
              <w:rPr>
                <w:rFonts w:hint="eastAsia" w:ascii="Times New Roman" w:hAnsi="Times New Roman" w:eastAsia="宋体" w:cs="Times New Roman"/>
                <w:color w:val="auto"/>
                <w:sz w:val="24"/>
                <w:szCs w:val="22"/>
                <w:lang w:val="en-US" w:eastAsia="zh-CN"/>
              </w:rPr>
              <w:t>除尘灰</w:t>
            </w:r>
            <w:r>
              <w:rPr>
                <w:rFonts w:hint="default" w:ascii="Times New Roman" w:hAnsi="Times New Roman" w:eastAsia="宋体" w:cs="Times New Roman"/>
                <w:color w:val="auto"/>
                <w:sz w:val="24"/>
                <w:szCs w:val="22"/>
                <w:lang w:val="en-US" w:eastAsia="zh-CN"/>
              </w:rPr>
              <w:t>产生量为</w:t>
            </w:r>
            <w:r>
              <w:rPr>
                <w:rFonts w:hint="eastAsia" w:ascii="Times New Roman" w:hAnsi="Times New Roman" w:eastAsia="宋体" w:cs="Times New Roman"/>
                <w:color w:val="auto"/>
                <w:sz w:val="24"/>
                <w:szCs w:val="22"/>
                <w:lang w:val="en-US" w:eastAsia="zh-CN"/>
              </w:rPr>
              <w:t>14.328</w:t>
            </w:r>
            <w:r>
              <w:rPr>
                <w:rFonts w:hint="default" w:ascii="Times New Roman" w:hAnsi="Times New Roman" w:eastAsia="宋体" w:cs="Times New Roman"/>
                <w:color w:val="auto"/>
                <w:sz w:val="24"/>
                <w:szCs w:val="22"/>
                <w:lang w:val="en-US" w:eastAsia="zh-CN"/>
              </w:rPr>
              <w:t>t/a。集中收集后定期由环卫部门清运</w:t>
            </w:r>
            <w:r>
              <w:rPr>
                <w:rFonts w:hint="eastAsia" w:ascii="Times New Roman" w:hAnsi="Times New Roman" w:eastAsia="宋体" w:cs="Times New Roman"/>
                <w:color w:val="auto"/>
                <w:sz w:val="24"/>
                <w:szCs w:val="22"/>
                <w:lang w:val="en-US" w:eastAsia="zh-CN"/>
              </w:rPr>
              <w:t>。</w:t>
            </w:r>
          </w:p>
          <w:p>
            <w:pPr>
              <w:numPr>
                <w:ilvl w:val="0"/>
                <w:numId w:val="0"/>
              </w:numPr>
              <w:snapToGrid w:val="0"/>
              <w:spacing w:line="360" w:lineRule="auto"/>
              <w:ind w:left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（3）离子交换树脂</w:t>
            </w:r>
          </w:p>
          <w:p>
            <w:pPr>
              <w:numPr>
                <w:ilvl w:val="0"/>
                <w:numId w:val="0"/>
              </w:numPr>
              <w:snapToGrid w:val="0"/>
              <w:spacing w:line="360" w:lineRule="auto"/>
              <w:ind w:left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软水制备产生的离子交换树脂产生量为0.01t/a，定期由厂家更换回收。</w:t>
            </w:r>
          </w:p>
          <w:p>
            <w:pPr>
              <w:numPr>
                <w:ilvl w:val="0"/>
                <w:numId w:val="0"/>
              </w:numPr>
              <w:snapToGrid w:val="0"/>
              <w:spacing w:line="360" w:lineRule="auto"/>
              <w:ind w:left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（4）废布袋</w:t>
            </w:r>
          </w:p>
          <w:p>
            <w:pPr>
              <w:numPr>
                <w:ilvl w:val="0"/>
                <w:numId w:val="0"/>
              </w:numPr>
              <w:snapToGrid w:val="0"/>
              <w:spacing w:line="360" w:lineRule="auto"/>
              <w:ind w:left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废布袋定期更换，产生量为0.005t/a，</w:t>
            </w:r>
            <w:r>
              <w:rPr>
                <w:rFonts w:hint="default" w:ascii="Times New Roman" w:hAnsi="Times New Roman" w:cs="Times New Roman"/>
                <w:color w:val="auto"/>
                <w:sz w:val="24"/>
                <w:highlight w:val="none"/>
                <w:lang w:val="en-US" w:eastAsia="zh-CN"/>
              </w:rPr>
              <w:t>集中收集后定期由环卫部门清运</w:t>
            </w:r>
            <w:r>
              <w:rPr>
                <w:rFonts w:hint="eastAsia" w:ascii="Times New Roman" w:hAnsi="Times New Roman" w:cs="Times New Roman"/>
                <w:color w:val="auto"/>
                <w:sz w:val="24"/>
                <w:highlight w:val="none"/>
                <w:lang w:val="en-US" w:eastAsia="zh-CN"/>
              </w:rPr>
              <w:t>。</w:t>
            </w:r>
          </w:p>
          <w:p>
            <w:pPr>
              <w:numPr>
                <w:ilvl w:val="0"/>
                <w:numId w:val="12"/>
              </w:numPr>
              <w:snapToGrid w:val="0"/>
              <w:spacing w:line="360" w:lineRule="auto"/>
              <w:ind w:left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废包装材料</w:t>
            </w:r>
          </w:p>
          <w:p>
            <w:pPr>
              <w:numPr>
                <w:ilvl w:val="0"/>
                <w:numId w:val="0"/>
              </w:num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废包装材料产生量为0.1t/a，</w:t>
            </w:r>
            <w:r>
              <w:rPr>
                <w:rFonts w:hint="default" w:ascii="Times New Roman" w:hAnsi="Times New Roman" w:cs="Times New Roman"/>
                <w:color w:val="auto"/>
                <w:sz w:val="24"/>
                <w:highlight w:val="none"/>
                <w:lang w:val="en-US" w:eastAsia="zh-CN"/>
              </w:rPr>
              <w:t>集中收集后定期由环卫部门清运</w:t>
            </w:r>
          </w:p>
          <w:p>
            <w:pPr>
              <w:numPr>
                <w:ilvl w:val="0"/>
                <w:numId w:val="0"/>
              </w:numPr>
              <w:snapToGrid w:val="0"/>
              <w:spacing w:line="360" w:lineRule="auto"/>
              <w:ind w:left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（6）污水处理站栅渣</w:t>
            </w:r>
          </w:p>
          <w:p>
            <w:pPr>
              <w:numPr>
                <w:ilvl w:val="0"/>
                <w:numId w:val="0"/>
              </w:numPr>
              <w:snapToGrid w:val="0"/>
              <w:spacing w:line="360" w:lineRule="auto"/>
              <w:ind w:left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栅渣按0.04t/1000t污水量计，栅渣产生量为3.02t/a，</w:t>
            </w:r>
            <w:r>
              <w:rPr>
                <w:rFonts w:hint="default" w:ascii="Times New Roman" w:hAnsi="Times New Roman" w:cs="Times New Roman"/>
                <w:color w:val="auto"/>
                <w:sz w:val="24"/>
                <w:highlight w:val="none"/>
                <w:lang w:val="en-US" w:eastAsia="zh-CN"/>
              </w:rPr>
              <w:t>集中收集后定期由环卫部门清运</w:t>
            </w:r>
            <w:r>
              <w:rPr>
                <w:rFonts w:hint="eastAsia" w:ascii="Times New Roman" w:hAnsi="Times New Roman" w:cs="Times New Roman"/>
                <w:color w:val="auto"/>
                <w:sz w:val="24"/>
                <w:highlight w:val="none"/>
                <w:lang w:val="en-US" w:eastAsia="zh-CN"/>
              </w:rPr>
              <w:t>。</w:t>
            </w:r>
          </w:p>
          <w:p>
            <w:pPr>
              <w:numPr>
                <w:ilvl w:val="0"/>
                <w:numId w:val="0"/>
              </w:numPr>
              <w:snapToGrid w:val="0"/>
              <w:spacing w:line="360" w:lineRule="auto"/>
              <w:ind w:left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（7）污水处理站污泥</w:t>
            </w:r>
          </w:p>
          <w:p>
            <w:pPr>
              <w:numPr>
                <w:ilvl w:val="0"/>
                <w:numId w:val="0"/>
              </w:numPr>
              <w:snapToGrid w:val="0"/>
              <w:spacing w:line="360" w:lineRule="auto"/>
              <w:ind w:left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污泥产生量为0.01t/d（30t/a），委托焚烧处置。</w:t>
            </w:r>
          </w:p>
          <w:p>
            <w:pPr>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8</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危险废物</w:t>
            </w:r>
          </w:p>
          <w:p>
            <w:pPr>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设备维修过程中产生的废润滑油0.1t/a，废油桶0.05t/a，暂存于危险废物贮存间定期交由有资质单位收集、转运。</w:t>
            </w:r>
          </w:p>
          <w:p>
            <w:pPr>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9</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生活垃圾</w:t>
            </w:r>
          </w:p>
          <w:p>
            <w:pPr>
              <w:snapToGrid w:val="0"/>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bCs/>
                <w:color w:val="000000" w:themeColor="text1"/>
                <w:sz w:val="24"/>
                <w14:textFill>
                  <w14:solidFill>
                    <w14:schemeClr w14:val="tx1"/>
                  </w14:solidFill>
                </w14:textFill>
              </w:rPr>
              <w:t>本项目年工作300天，职工总人数</w:t>
            </w:r>
            <w:r>
              <w:rPr>
                <w:rFonts w:hint="eastAsia" w:ascii="Times New Roman" w:hAnsi="Times New Roman" w:cs="Times New Roman"/>
                <w:bCs/>
                <w:color w:val="000000" w:themeColor="text1"/>
                <w:sz w:val="24"/>
                <w:lang w:val="en-US" w:eastAsia="zh-CN"/>
                <w14:textFill>
                  <w14:solidFill>
                    <w14:schemeClr w14:val="tx1"/>
                  </w14:solidFill>
                </w14:textFill>
              </w:rPr>
              <w:t>85</w:t>
            </w:r>
            <w:r>
              <w:rPr>
                <w:rFonts w:ascii="Times New Roman" w:hAnsi="Times New Roman" w:cs="Times New Roman"/>
                <w:bCs/>
                <w:color w:val="000000" w:themeColor="text1"/>
                <w:sz w:val="24"/>
                <w14:textFill>
                  <w14:solidFill>
                    <w14:schemeClr w14:val="tx1"/>
                  </w14:solidFill>
                </w14:textFill>
              </w:rPr>
              <w:t>人。生活垃圾产生量按0.5kg/人•d 计，</w:t>
            </w:r>
            <w:r>
              <w:rPr>
                <w:rFonts w:ascii="Times New Roman" w:hAnsi="Times New Roman" w:eastAsia="宋体" w:cs="Times New Roman"/>
                <w:color w:val="000000" w:themeColor="text1"/>
                <w:kern w:val="0"/>
                <w:sz w:val="24"/>
                <w:lang w:bidi="ar"/>
                <w14:textFill>
                  <w14:solidFill>
                    <w14:schemeClr w14:val="tx1"/>
                  </w14:solidFill>
                </w14:textFill>
              </w:rPr>
              <w:t>则生活垃圾产生量</w:t>
            </w:r>
            <w:r>
              <w:rPr>
                <w:rFonts w:hint="eastAsia" w:ascii="Times New Roman" w:hAnsi="Times New Roman" w:eastAsia="宋体" w:cs="Times New Roman"/>
                <w:color w:val="000000" w:themeColor="text1"/>
                <w:kern w:val="0"/>
                <w:sz w:val="24"/>
                <w:lang w:val="en-US" w:eastAsia="zh-CN" w:bidi="ar"/>
                <w14:textFill>
                  <w14:solidFill>
                    <w14:schemeClr w14:val="tx1"/>
                  </w14:solidFill>
                </w14:textFill>
              </w:rPr>
              <w:t>12.75</w:t>
            </w:r>
            <w:r>
              <w:rPr>
                <w:rFonts w:ascii="Times New Roman" w:hAnsi="Times New Roman" w:eastAsia="宋体" w:cs="Times New Roman"/>
                <w:color w:val="000000" w:themeColor="text1"/>
                <w:kern w:val="0"/>
                <w:sz w:val="24"/>
                <w:lang w:bidi="ar"/>
                <w14:textFill>
                  <w14:solidFill>
                    <w14:schemeClr w14:val="tx1"/>
                  </w14:solidFill>
                </w14:textFill>
              </w:rPr>
              <w:t>t/a，收集后由环卫部门定期清运。</w:t>
            </w:r>
          </w:p>
          <w:p>
            <w:pPr>
              <w:snapToGrid w:val="0"/>
              <w:spacing w:line="360" w:lineRule="auto"/>
              <w:ind w:firstLine="480" w:firstLineChars="200"/>
              <w:rPr>
                <w:rFonts w:hint="eastAsia" w:ascii="Times New Roman" w:hAnsi="Times New Roman" w:cs="Times New Roman"/>
                <w:color w:val="auto"/>
                <w:sz w:val="24"/>
                <w:highlight w:val="none"/>
                <w:lang w:eastAsia="zh-CN"/>
              </w:rPr>
            </w:pPr>
            <w:r>
              <w:rPr>
                <w:rFonts w:ascii="Times New Roman" w:hAnsi="Times New Roman" w:cs="Times New Roman"/>
                <w:color w:val="auto"/>
                <w:sz w:val="24"/>
                <w:highlight w:val="none"/>
              </w:rPr>
              <w:t>项目</w:t>
            </w:r>
            <w:r>
              <w:rPr>
                <w:rFonts w:hint="eastAsia" w:ascii="Times New Roman" w:hAnsi="Times New Roman" w:cs="Times New Roman"/>
                <w:color w:val="auto"/>
                <w:sz w:val="24"/>
                <w:highlight w:val="none"/>
                <w:lang w:eastAsia="zh-CN"/>
              </w:rPr>
              <w:t>运营期</w:t>
            </w:r>
            <w:r>
              <w:rPr>
                <w:rFonts w:ascii="Times New Roman" w:hAnsi="Times New Roman" w:cs="Times New Roman"/>
                <w:color w:val="auto"/>
                <w:sz w:val="24"/>
                <w:highlight w:val="none"/>
              </w:rPr>
              <w:t>固体废物产生情况详见下表</w:t>
            </w:r>
            <w:r>
              <w:rPr>
                <w:rFonts w:hint="eastAsia" w:ascii="Times New Roman" w:hAnsi="Times New Roman" w:cs="Times New Roman"/>
                <w:color w:val="auto"/>
                <w:sz w:val="24"/>
                <w:highlight w:val="none"/>
                <w:lang w:eastAsia="zh-CN"/>
              </w:rPr>
              <w:t>。</w:t>
            </w:r>
          </w:p>
          <w:p>
            <w:pPr>
              <w:snapToGrid w:val="0"/>
              <w:spacing w:line="240" w:lineRule="auto"/>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rPr>
              <w:t>表4-</w:t>
            </w:r>
            <w:r>
              <w:rPr>
                <w:rFonts w:hint="eastAsia" w:ascii="Times New Roman" w:hAnsi="Times New Roman" w:cs="Times New Roman"/>
                <w:b/>
                <w:bCs/>
                <w:color w:val="auto"/>
                <w:szCs w:val="21"/>
                <w:lang w:val="en-US" w:eastAsia="zh-CN"/>
              </w:rPr>
              <w:t>17</w:t>
            </w:r>
            <w:r>
              <w:rPr>
                <w:rFonts w:hint="eastAsia" w:ascii="Times New Roman" w:hAnsi="Times New Roman" w:cs="Times New Roman"/>
                <w:b/>
                <w:bCs/>
                <w:color w:val="auto"/>
                <w:szCs w:val="21"/>
              </w:rPr>
              <w:t xml:space="preserve">  固体废物产生情况一览表</w:t>
            </w:r>
          </w:p>
          <w:tbl>
            <w:tblPr>
              <w:tblStyle w:val="24"/>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690"/>
              <w:gridCol w:w="717"/>
              <w:gridCol w:w="693"/>
              <w:gridCol w:w="795"/>
              <w:gridCol w:w="447"/>
              <w:gridCol w:w="768"/>
              <w:gridCol w:w="927"/>
              <w:gridCol w:w="720"/>
              <w:gridCol w:w="1380"/>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472"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产生环节</w:t>
                  </w:r>
                </w:p>
              </w:tc>
              <w:tc>
                <w:tcPr>
                  <w:tcW w:w="690"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717"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属性</w:t>
                  </w:r>
                </w:p>
              </w:tc>
              <w:tc>
                <w:tcPr>
                  <w:tcW w:w="693" w:type="dxa"/>
                  <w:vAlign w:val="center"/>
                </w:tcPr>
                <w:p>
                  <w:pPr>
                    <w:jc w:val="center"/>
                    <w:rPr>
                      <w:rFonts w:hint="default" w:ascii="Times New Roman" w:hAnsi="Times New Roman" w:cs="Times New Roman"/>
                      <w:b/>
                      <w:bCs/>
                      <w:color w:val="auto"/>
                      <w:sz w:val="21"/>
                      <w:szCs w:val="21"/>
                      <w:highlight w:val="yellow"/>
                    </w:rPr>
                  </w:pPr>
                  <w:r>
                    <w:rPr>
                      <w:rFonts w:hint="default" w:ascii="Times New Roman" w:hAnsi="Times New Roman" w:cs="Times New Roman"/>
                      <w:b/>
                      <w:bCs/>
                      <w:color w:val="auto"/>
                      <w:sz w:val="21"/>
                      <w:szCs w:val="21"/>
                      <w:highlight w:val="none"/>
                    </w:rPr>
                    <w:t>编码</w:t>
                  </w:r>
                </w:p>
              </w:tc>
              <w:tc>
                <w:tcPr>
                  <w:tcW w:w="795"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主要有毒有害物质名称</w:t>
                  </w:r>
                </w:p>
              </w:tc>
              <w:tc>
                <w:tcPr>
                  <w:tcW w:w="447"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物理性状</w:t>
                  </w:r>
                </w:p>
              </w:tc>
              <w:tc>
                <w:tcPr>
                  <w:tcW w:w="768"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环境危险特性</w:t>
                  </w:r>
                </w:p>
              </w:tc>
              <w:tc>
                <w:tcPr>
                  <w:tcW w:w="927" w:type="dxa"/>
                  <w:vAlign w:val="center"/>
                </w:tcPr>
                <w:p>
                  <w:pPr>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b/>
                      <w:bCs/>
                      <w:color w:val="auto"/>
                      <w:sz w:val="21"/>
                      <w:szCs w:val="21"/>
                    </w:rPr>
                    <w:t>年度产生量</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i w:val="0"/>
                      <w:iCs w:val="0"/>
                      <w:color w:val="auto"/>
                      <w:sz w:val="21"/>
                      <w:szCs w:val="21"/>
                    </w:rPr>
                    <w:t>t/a</w:t>
                  </w:r>
                  <w:r>
                    <w:rPr>
                      <w:rFonts w:hint="default" w:ascii="Times New Roman" w:hAnsi="Times New Roman" w:cs="Times New Roman"/>
                      <w:b/>
                      <w:bCs/>
                      <w:color w:val="auto"/>
                      <w:sz w:val="21"/>
                      <w:szCs w:val="21"/>
                      <w:lang w:eastAsia="zh-CN"/>
                    </w:rPr>
                    <w:t>）</w:t>
                  </w:r>
                </w:p>
              </w:tc>
              <w:tc>
                <w:tcPr>
                  <w:tcW w:w="720"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贮存方式</w:t>
                  </w:r>
                </w:p>
              </w:tc>
              <w:tc>
                <w:tcPr>
                  <w:tcW w:w="1380"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处置方式及去向</w:t>
                  </w:r>
                </w:p>
              </w:tc>
              <w:tc>
                <w:tcPr>
                  <w:tcW w:w="778" w:type="dxa"/>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用或处置量</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i w:val="0"/>
                      <w:iCs w:val="0"/>
                      <w:color w:val="auto"/>
                      <w:sz w:val="21"/>
                      <w:szCs w:val="21"/>
                    </w:rPr>
                    <w:t>t/a</w:t>
                  </w:r>
                  <w:r>
                    <w:rPr>
                      <w:rFonts w:hint="default" w:ascii="Times New Roman" w:hAnsi="Times New Roman" w:cs="Times New Roman"/>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47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生产车间</w:t>
                  </w:r>
                </w:p>
              </w:tc>
              <w:tc>
                <w:tcPr>
                  <w:tcW w:w="6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废包装材料</w:t>
                  </w:r>
                </w:p>
              </w:tc>
              <w:tc>
                <w:tcPr>
                  <w:tcW w:w="71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一般固体废物</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135-003-99</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9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38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集中收集后定期由环卫部门清运</w:t>
                  </w:r>
                </w:p>
              </w:tc>
              <w:tc>
                <w:tcPr>
                  <w:tcW w:w="7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w:t>
                  </w:r>
                </w:p>
              </w:tc>
              <w:tc>
                <w:tcPr>
                  <w:tcW w:w="690"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 w:val="21"/>
                      <w:szCs w:val="21"/>
                    </w:rPr>
                    <w:t>锅炉炉渣</w:t>
                  </w:r>
                </w:p>
              </w:tc>
              <w:tc>
                <w:tcPr>
                  <w:tcW w:w="717" w:type="dxa"/>
                  <w:vMerge w:val="continue"/>
                  <w:vAlign w:val="center"/>
                </w:tcPr>
                <w:p>
                  <w:pPr>
                    <w:jc w:val="center"/>
                    <w:rPr>
                      <w:rFonts w:hint="default" w:ascii="Times New Roman" w:hAnsi="Times New Roman" w:cs="Times New Roman" w:eastAsiaTheme="minorEastAsia"/>
                      <w:color w:val="auto"/>
                      <w:sz w:val="21"/>
                      <w:szCs w:val="21"/>
                      <w:lang w:val="en-US" w:eastAsia="zh-CN"/>
                    </w:rPr>
                  </w:pP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443-001-64</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447"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w:t>
                  </w:r>
                </w:p>
              </w:tc>
              <w:tc>
                <w:tcPr>
                  <w:tcW w:w="927"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80" w:type="dxa"/>
                  <w:vMerge w:val="continue"/>
                  <w:vAlign w:val="center"/>
                </w:tcPr>
                <w:p>
                  <w:pPr>
                    <w:jc w:val="center"/>
                    <w:rPr>
                      <w:rFonts w:hint="default" w:ascii="Times New Roman" w:hAnsi="Times New Roman" w:cs="Times New Roman" w:eastAsiaTheme="minorEastAsia"/>
                      <w:color w:val="auto"/>
                      <w:sz w:val="21"/>
                      <w:szCs w:val="21"/>
                      <w:lang w:val="en-US" w:eastAsia="zh-CN"/>
                    </w:rPr>
                  </w:pPr>
                </w:p>
              </w:tc>
              <w:tc>
                <w:tcPr>
                  <w:tcW w:w="778" w:type="dxa"/>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continue"/>
                  <w:vAlign w:val="center"/>
                </w:tcPr>
                <w:p>
                  <w:pPr>
                    <w:jc w:val="center"/>
                    <w:rPr>
                      <w:rFonts w:hint="default" w:ascii="Times New Roman" w:hAnsi="Times New Roman" w:cs="Times New Roman"/>
                      <w:color w:val="auto"/>
                      <w:sz w:val="21"/>
                      <w:szCs w:val="21"/>
                      <w:lang w:val="en-US" w:eastAsia="zh-CN"/>
                    </w:rPr>
                  </w:pPr>
                </w:p>
              </w:tc>
              <w:tc>
                <w:tcPr>
                  <w:tcW w:w="69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锅炉除尘器</w:t>
                  </w:r>
                  <w:r>
                    <w:rPr>
                      <w:rFonts w:hint="eastAsia" w:ascii="Times New Roman" w:hAnsi="Times New Roman" w:eastAsia="宋体" w:cs="Times New Roman"/>
                      <w:color w:val="auto"/>
                      <w:sz w:val="21"/>
                      <w:szCs w:val="21"/>
                      <w:lang w:val="en-US" w:eastAsia="zh-CN"/>
                    </w:rPr>
                    <w:t>除尘灰</w:t>
                  </w:r>
                </w:p>
              </w:tc>
              <w:tc>
                <w:tcPr>
                  <w:tcW w:w="717" w:type="dxa"/>
                  <w:vMerge w:val="continue"/>
                  <w:vAlign w:val="center"/>
                </w:tcPr>
                <w:p>
                  <w:pPr>
                    <w:jc w:val="center"/>
                    <w:rPr>
                      <w:rFonts w:hint="default" w:ascii="Times New Roman" w:hAnsi="Times New Roman" w:cs="Times New Roman"/>
                      <w:color w:val="auto"/>
                      <w:sz w:val="21"/>
                      <w:szCs w:val="21"/>
                    </w:rPr>
                  </w:pP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443-001-66</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447"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w:t>
                  </w:r>
                </w:p>
              </w:tc>
              <w:tc>
                <w:tcPr>
                  <w:tcW w:w="927"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14.328</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80" w:type="dxa"/>
                  <w:vMerge w:val="continue"/>
                  <w:vAlign w:val="center"/>
                </w:tcPr>
                <w:p>
                  <w:pPr>
                    <w:jc w:val="center"/>
                    <w:rPr>
                      <w:rFonts w:hint="default" w:ascii="Times New Roman" w:hAnsi="Times New Roman" w:cs="Times New Roman"/>
                      <w:color w:val="auto"/>
                      <w:sz w:val="21"/>
                      <w:szCs w:val="21"/>
                    </w:rPr>
                  </w:pPr>
                </w:p>
              </w:tc>
              <w:tc>
                <w:tcPr>
                  <w:tcW w:w="778" w:type="dxa"/>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14.328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continue"/>
                  <w:vAlign w:val="center"/>
                </w:tcPr>
                <w:p>
                  <w:pPr>
                    <w:jc w:val="center"/>
                    <w:rPr>
                      <w:rFonts w:hint="default" w:ascii="Times New Roman" w:hAnsi="Times New Roman" w:cs="Times New Roman"/>
                      <w:color w:val="auto"/>
                      <w:sz w:val="21"/>
                      <w:szCs w:val="21"/>
                      <w:lang w:val="en-US" w:eastAsia="zh-CN"/>
                    </w:rPr>
                  </w:pPr>
                </w:p>
              </w:tc>
              <w:tc>
                <w:tcPr>
                  <w:tcW w:w="690"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离子交换树脂</w:t>
                  </w:r>
                </w:p>
              </w:tc>
              <w:tc>
                <w:tcPr>
                  <w:tcW w:w="717" w:type="dxa"/>
                  <w:vMerge w:val="continue"/>
                  <w:vAlign w:val="center"/>
                </w:tcPr>
                <w:p>
                  <w:pPr>
                    <w:jc w:val="center"/>
                    <w:rPr>
                      <w:rFonts w:hint="default" w:ascii="Times New Roman" w:hAnsi="Times New Roman" w:cs="Times New Roman"/>
                      <w:color w:val="auto"/>
                      <w:sz w:val="21"/>
                      <w:szCs w:val="21"/>
                    </w:rPr>
                  </w:pP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443-001-99</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4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27"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0.01</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80"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定期由厂家更换回收</w:t>
                  </w:r>
                </w:p>
              </w:tc>
              <w:tc>
                <w:tcPr>
                  <w:tcW w:w="778"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continue"/>
                  <w:vAlign w:val="center"/>
                </w:tcPr>
                <w:p>
                  <w:pPr>
                    <w:jc w:val="center"/>
                    <w:rPr>
                      <w:rFonts w:hint="default" w:ascii="Times New Roman" w:hAnsi="Times New Roman" w:cs="Times New Roman"/>
                      <w:color w:val="auto"/>
                      <w:sz w:val="21"/>
                      <w:szCs w:val="21"/>
                      <w:lang w:val="en-US" w:eastAsia="zh-CN"/>
                    </w:rPr>
                  </w:pPr>
                </w:p>
              </w:tc>
              <w:tc>
                <w:tcPr>
                  <w:tcW w:w="690"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废布袋</w:t>
                  </w:r>
                </w:p>
              </w:tc>
              <w:tc>
                <w:tcPr>
                  <w:tcW w:w="717" w:type="dxa"/>
                  <w:vMerge w:val="continue"/>
                  <w:vAlign w:val="center"/>
                </w:tcPr>
                <w:p>
                  <w:pPr>
                    <w:jc w:val="center"/>
                    <w:rPr>
                      <w:rFonts w:hint="default" w:ascii="Times New Roman" w:hAnsi="Times New Roman" w:cs="Times New Roman"/>
                      <w:color w:val="auto"/>
                      <w:sz w:val="21"/>
                      <w:szCs w:val="21"/>
                    </w:rPr>
                  </w:pP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443-001-99</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4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2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80" w:type="dxa"/>
                  <w:vMerge w:val="restart"/>
                  <w:vAlign w:val="center"/>
                </w:tcPr>
                <w:p>
                  <w:pPr>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rPr>
                    <w:t>集中收集后定期由环卫部门清运</w:t>
                  </w:r>
                </w:p>
              </w:tc>
              <w:tc>
                <w:tcPr>
                  <w:tcW w:w="778"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restar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690" w:type="dxa"/>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Cs w:val="21"/>
                      <w:lang w:val="en-US" w:eastAsia="zh-CN"/>
                    </w:rPr>
                    <w:t>栅渣</w:t>
                  </w:r>
                </w:p>
              </w:tc>
              <w:tc>
                <w:tcPr>
                  <w:tcW w:w="717" w:type="dxa"/>
                  <w:vMerge w:val="continue"/>
                  <w:vAlign w:val="center"/>
                </w:tcPr>
                <w:p>
                  <w:pPr>
                    <w:jc w:val="center"/>
                    <w:rPr>
                      <w:rFonts w:hint="default" w:ascii="Times New Roman" w:hAnsi="Times New Roman" w:cs="Times New Roman"/>
                      <w:color w:val="auto"/>
                      <w:sz w:val="21"/>
                      <w:szCs w:val="21"/>
                    </w:rPr>
                  </w:pP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443-001-99</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4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2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3.02</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80" w:type="dxa"/>
                  <w:vMerge w:val="continue"/>
                  <w:vAlign w:val="center"/>
                </w:tcPr>
                <w:p>
                  <w:pPr>
                    <w:jc w:val="center"/>
                    <w:rPr>
                      <w:rFonts w:hint="eastAsia" w:ascii="Times New Roman" w:hAnsi="Times New Roman" w:cs="Times New Roman"/>
                      <w:color w:val="auto"/>
                      <w:sz w:val="21"/>
                      <w:szCs w:val="21"/>
                      <w:lang w:val="en-US" w:eastAsia="zh-CN"/>
                    </w:rPr>
                  </w:pPr>
                </w:p>
              </w:tc>
              <w:tc>
                <w:tcPr>
                  <w:tcW w:w="77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continue"/>
                  <w:vAlign w:val="center"/>
                </w:tcPr>
                <w:p>
                  <w:pPr>
                    <w:jc w:val="center"/>
                    <w:rPr>
                      <w:rFonts w:hint="default" w:ascii="Times New Roman" w:hAnsi="Times New Roman" w:cs="Times New Roman"/>
                      <w:color w:val="auto"/>
                      <w:sz w:val="21"/>
                      <w:szCs w:val="21"/>
                      <w:lang w:val="en-US" w:eastAsia="zh-CN"/>
                    </w:rPr>
                  </w:pPr>
                </w:p>
              </w:tc>
              <w:tc>
                <w:tcPr>
                  <w:tcW w:w="690" w:type="dxa"/>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Cs w:val="21"/>
                      <w:lang w:val="en-US" w:eastAsia="zh-CN"/>
                    </w:rPr>
                    <w:t>污泥</w:t>
                  </w:r>
                </w:p>
              </w:tc>
              <w:tc>
                <w:tcPr>
                  <w:tcW w:w="717" w:type="dxa"/>
                  <w:vMerge w:val="continue"/>
                  <w:vAlign w:val="center"/>
                </w:tcPr>
                <w:p>
                  <w:pPr>
                    <w:jc w:val="center"/>
                    <w:rPr>
                      <w:rFonts w:hint="default" w:ascii="Times New Roman" w:hAnsi="Times New Roman" w:cs="Times New Roman"/>
                      <w:color w:val="auto"/>
                      <w:sz w:val="21"/>
                      <w:szCs w:val="21"/>
                    </w:rPr>
                  </w:pP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443-001-61</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4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半</w:t>
                  </w:r>
                  <w:r>
                    <w:rPr>
                      <w:rFonts w:hint="default"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2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80"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lang w:val="en-US" w:eastAsia="zh-CN"/>
                    </w:rPr>
                    <w:t>外售作为肥料</w:t>
                  </w:r>
                </w:p>
              </w:tc>
              <w:tc>
                <w:tcPr>
                  <w:tcW w:w="77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职工生活</w:t>
                  </w:r>
                </w:p>
              </w:tc>
              <w:tc>
                <w:tcPr>
                  <w:tcW w:w="690" w:type="dxa"/>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生活垃圾</w:t>
                  </w:r>
                </w:p>
              </w:tc>
              <w:tc>
                <w:tcPr>
                  <w:tcW w:w="717" w:type="dxa"/>
                  <w:vAlign w:val="center"/>
                </w:tcPr>
                <w:p>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4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2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12.75</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80" w:type="dxa"/>
                  <w:vAlign w:val="center"/>
                </w:tcPr>
                <w:p>
                  <w:pPr>
                    <w:jc w:val="center"/>
                    <w:rPr>
                      <w:rFonts w:hint="eastAsia" w:ascii="Times New Roman" w:hAnsi="Times New Roman" w:cs="Times New Roman"/>
                      <w:color w:val="auto"/>
                      <w:lang w:val="en-US" w:eastAsia="zh-CN"/>
                    </w:rPr>
                  </w:pPr>
                  <w:r>
                    <w:rPr>
                      <w:rFonts w:ascii="Times New Roman" w:hAnsi="Times New Roman" w:cs="Times New Roman"/>
                      <w:color w:val="auto"/>
                    </w:rPr>
                    <w:t>集中收集后定期由环卫部门清运</w:t>
                  </w:r>
                </w:p>
              </w:tc>
              <w:tc>
                <w:tcPr>
                  <w:tcW w:w="77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restar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设备维修</w:t>
                  </w:r>
                </w:p>
              </w:tc>
              <w:tc>
                <w:tcPr>
                  <w:tcW w:w="690" w:type="dxa"/>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废润滑油</w:t>
                  </w:r>
                </w:p>
              </w:tc>
              <w:tc>
                <w:tcPr>
                  <w:tcW w:w="717" w:type="dxa"/>
                  <w:vMerge w:val="restart"/>
                  <w:vAlign w:val="center"/>
                </w:tcPr>
                <w:p>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危险废物</w:t>
                  </w:r>
                </w:p>
              </w:tc>
              <w:tc>
                <w:tcPr>
                  <w:tcW w:w="693" w:type="dxa"/>
                  <w:vAlign w:val="center"/>
                </w:tcPr>
                <w:p>
                  <w:pPr>
                    <w:adjustRightInd/>
                    <w:snapToGrid/>
                    <w:spacing w:line="0" w:lineRule="atLeast"/>
                    <w:jc w:val="center"/>
                    <w:rPr>
                      <w:rFonts w:hint="eastAsia" w:ascii="Times New Roman" w:hAnsi="Times New Roman" w:cs="Times New Roman"/>
                      <w:color w:val="auto"/>
                      <w:sz w:val="21"/>
                      <w:szCs w:val="21"/>
                      <w:highlight w:val="none"/>
                      <w:lang w:val="en-US" w:eastAsia="zh-CN"/>
                    </w:rPr>
                  </w:pPr>
                  <w:r>
                    <w:rPr>
                      <w:rFonts w:ascii="Times New Roman" w:hAnsi="Times New Roman" w:eastAsia="宋体" w:cs="Times New Roman"/>
                      <w:color w:val="000000"/>
                      <w:kern w:val="2"/>
                      <w:sz w:val="21"/>
                      <w:szCs w:val="21"/>
                      <w:lang w:val="en-US" w:eastAsia="zh-CN" w:bidi="ar-SA"/>
                    </w:rPr>
                    <w:t>900-21</w:t>
                  </w:r>
                  <w:r>
                    <w:rPr>
                      <w:rFonts w:hint="eastAsia" w:ascii="Times New Roman" w:hAnsi="Times New Roman" w:eastAsia="宋体" w:cs="Times New Roman"/>
                      <w:color w:val="000000"/>
                      <w:kern w:val="2"/>
                      <w:sz w:val="21"/>
                      <w:szCs w:val="21"/>
                      <w:lang w:val="en-US" w:eastAsia="zh-CN" w:bidi="ar-SA"/>
                    </w:rPr>
                    <w:t>7</w:t>
                  </w:r>
                  <w:r>
                    <w:rPr>
                      <w:rFonts w:ascii="Times New Roman" w:hAnsi="Times New Roman" w:eastAsia="宋体" w:cs="Times New Roman"/>
                      <w:color w:val="000000"/>
                      <w:kern w:val="2"/>
                      <w:sz w:val="21"/>
                      <w:szCs w:val="21"/>
                      <w:lang w:val="en-US" w:eastAsia="zh-CN" w:bidi="ar-SA"/>
                    </w:rPr>
                    <w:t>-08</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废润滑油</w:t>
                  </w:r>
                </w:p>
              </w:tc>
              <w:tc>
                <w:tcPr>
                  <w:tcW w:w="44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液态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T，I</w:t>
                  </w:r>
                </w:p>
              </w:tc>
              <w:tc>
                <w:tcPr>
                  <w:tcW w:w="92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桶装</w:t>
                  </w:r>
                </w:p>
              </w:tc>
              <w:tc>
                <w:tcPr>
                  <w:tcW w:w="1380" w:type="dxa"/>
                  <w:vMerge w:val="restart"/>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暂存于危险废物贮存间定期交由有资质单位收集转运</w:t>
                  </w:r>
                </w:p>
              </w:tc>
              <w:tc>
                <w:tcPr>
                  <w:tcW w:w="77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vMerge w:val="continue"/>
                  <w:vAlign w:val="center"/>
                </w:tcPr>
                <w:p>
                  <w:pPr>
                    <w:jc w:val="center"/>
                    <w:rPr>
                      <w:rFonts w:hint="default" w:ascii="Times New Roman" w:hAnsi="Times New Roman" w:cs="Times New Roman"/>
                      <w:color w:val="auto"/>
                      <w:sz w:val="21"/>
                      <w:szCs w:val="21"/>
                      <w:lang w:val="en-US" w:eastAsia="zh-CN"/>
                    </w:rPr>
                  </w:pPr>
                </w:p>
              </w:tc>
              <w:tc>
                <w:tcPr>
                  <w:tcW w:w="690" w:type="dxa"/>
                  <w:vAlign w:val="center"/>
                </w:tcPr>
                <w:p>
                  <w:pPr>
                    <w:spacing w:line="28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废油桶</w:t>
                  </w:r>
                </w:p>
              </w:tc>
              <w:tc>
                <w:tcPr>
                  <w:tcW w:w="717" w:type="dxa"/>
                  <w:vMerge w:val="continue"/>
                  <w:vAlign w:val="center"/>
                </w:tcPr>
                <w:p>
                  <w:pPr>
                    <w:jc w:val="center"/>
                    <w:rPr>
                      <w:rFonts w:hint="default" w:ascii="Times New Roman" w:hAnsi="Times New Roman" w:cs="Times New Roman"/>
                      <w:color w:val="auto"/>
                      <w:sz w:val="21"/>
                      <w:szCs w:val="21"/>
                    </w:rPr>
                  </w:pPr>
                </w:p>
              </w:tc>
              <w:tc>
                <w:tcPr>
                  <w:tcW w:w="693" w:type="dxa"/>
                  <w:vAlign w:val="center"/>
                </w:tcPr>
                <w:p>
                  <w:pPr>
                    <w:adjustRightInd/>
                    <w:snapToGrid/>
                    <w:spacing w:line="0" w:lineRule="atLeast"/>
                    <w:jc w:val="center"/>
                    <w:rPr>
                      <w:rFonts w:hint="eastAsia" w:ascii="Times New Roman" w:hAnsi="Times New Roman" w:cs="Times New Roman"/>
                      <w:color w:val="auto"/>
                      <w:sz w:val="21"/>
                      <w:szCs w:val="21"/>
                      <w:highlight w:val="none"/>
                      <w:lang w:val="en-US" w:eastAsia="zh-CN"/>
                    </w:rPr>
                  </w:pPr>
                  <w:r>
                    <w:rPr>
                      <w:rFonts w:ascii="Times New Roman" w:hAnsi="Times New Roman" w:eastAsia="宋体" w:cs="Times New Roman"/>
                      <w:color w:val="000000"/>
                      <w:kern w:val="2"/>
                      <w:sz w:val="21"/>
                      <w:szCs w:val="21"/>
                      <w:lang w:val="en-US" w:eastAsia="zh-CN" w:bidi="ar-SA"/>
                    </w:rPr>
                    <w:t>900-249-08</w:t>
                  </w:r>
                </w:p>
              </w:tc>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废润滑油</w:t>
                  </w:r>
                </w:p>
              </w:tc>
              <w:tc>
                <w:tcPr>
                  <w:tcW w:w="44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固态</w:t>
                  </w:r>
                </w:p>
              </w:tc>
              <w:tc>
                <w:tcPr>
                  <w:tcW w:w="7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T，I</w:t>
                  </w:r>
                </w:p>
              </w:tc>
              <w:tc>
                <w:tcPr>
                  <w:tcW w:w="92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7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80" w:type="dxa"/>
                  <w:vMerge w:val="continue"/>
                  <w:vAlign w:val="center"/>
                </w:tcPr>
                <w:p>
                  <w:pPr>
                    <w:jc w:val="center"/>
                    <w:rPr>
                      <w:rFonts w:hint="eastAsia" w:ascii="Times New Roman" w:hAnsi="Times New Roman" w:cs="Times New Roman"/>
                      <w:color w:val="auto"/>
                      <w:lang w:val="en-US" w:eastAsia="zh-CN"/>
                    </w:rPr>
                  </w:pPr>
                </w:p>
              </w:tc>
              <w:tc>
                <w:tcPr>
                  <w:tcW w:w="778" w:type="dxa"/>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r>
          </w:tbl>
          <w:p>
            <w:pPr>
              <w:snapToGrid w:val="0"/>
              <w:spacing w:line="360" w:lineRule="auto"/>
              <w:ind w:firstLine="482" w:firstLineChars="200"/>
              <w:rPr>
                <w:rFonts w:ascii="Times New Roman" w:hAnsi="宋体"/>
                <w:b/>
                <w:bCs/>
                <w:color w:val="auto"/>
                <w:sz w:val="24"/>
                <w:highlight w:val="none"/>
              </w:rPr>
            </w:pPr>
            <w:r>
              <w:rPr>
                <w:rFonts w:ascii="Times New Roman" w:hAnsi="宋体"/>
                <w:b/>
                <w:bCs/>
                <w:color w:val="auto"/>
                <w:sz w:val="24"/>
                <w:highlight w:val="none"/>
              </w:rPr>
              <w:t>（2）固体废物环境管理要求</w:t>
            </w:r>
          </w:p>
          <w:p>
            <w:pPr>
              <w:snapToGrid w:val="0"/>
              <w:spacing w:line="360" w:lineRule="auto"/>
              <w:ind w:firstLine="480" w:firstLineChars="200"/>
              <w:rPr>
                <w:rFonts w:ascii="Times New Roman" w:hAnsi="宋体"/>
                <w:color w:val="auto"/>
                <w:sz w:val="24"/>
                <w:highlight w:val="none"/>
              </w:rPr>
            </w:pPr>
            <w:r>
              <w:rPr>
                <w:rFonts w:hint="eastAsia" w:ascii="Times New Roman" w:hAnsi="宋体"/>
                <w:color w:val="auto"/>
                <w:sz w:val="24"/>
                <w:highlight w:val="none"/>
              </w:rPr>
              <w:t>①</w:t>
            </w:r>
            <w:r>
              <w:rPr>
                <w:rFonts w:ascii="Times New Roman" w:hAnsi="宋体"/>
                <w:color w:val="auto"/>
                <w:sz w:val="24"/>
                <w:highlight w:val="none"/>
              </w:rPr>
              <w:t>项目运营期固体废物的产生、贮存、利用和处置全过程应严格遵守国家有关建设项目环境保护管理的规定。</w:t>
            </w:r>
          </w:p>
          <w:p>
            <w:pPr>
              <w:snapToGrid w:val="0"/>
              <w:spacing w:line="360" w:lineRule="auto"/>
              <w:ind w:firstLine="480" w:firstLineChars="200"/>
              <w:rPr>
                <w:rFonts w:ascii="Times New Roman" w:hAnsi="宋体"/>
                <w:color w:val="auto"/>
                <w:sz w:val="24"/>
              </w:rPr>
            </w:pPr>
            <w:r>
              <w:rPr>
                <w:rFonts w:hint="eastAsia" w:ascii="Times New Roman" w:hAnsi="宋体"/>
                <w:color w:val="auto"/>
                <w:sz w:val="24"/>
              </w:rPr>
              <w:t>②</w:t>
            </w:r>
            <w:r>
              <w:rPr>
                <w:rFonts w:ascii="Times New Roman" w:hAnsi="宋体"/>
                <w:color w:val="auto"/>
                <w:sz w:val="24"/>
              </w:rPr>
              <w:t>项目运营期产生、收集、贮存、运输、利用、处置固体废物时，应当采取防扬散、防流失、防渗漏或者其他纺织污染环境的措施，不得擅自倾倒、堆放、丢弃、遗撒固体废物；</w:t>
            </w:r>
          </w:p>
          <w:p>
            <w:pPr>
              <w:snapToGrid w:val="0"/>
              <w:spacing w:line="360" w:lineRule="auto"/>
              <w:ind w:firstLine="480" w:firstLineChars="200"/>
              <w:rPr>
                <w:rFonts w:ascii="Times New Roman" w:hAnsi="宋体"/>
                <w:color w:val="auto"/>
                <w:sz w:val="24"/>
              </w:rPr>
            </w:pPr>
            <w:r>
              <w:rPr>
                <w:rFonts w:hint="eastAsia" w:ascii="Times New Roman" w:hAnsi="宋体"/>
                <w:color w:val="auto"/>
                <w:sz w:val="24"/>
              </w:rPr>
              <w:t>③</w:t>
            </w:r>
            <w:r>
              <w:rPr>
                <w:rFonts w:ascii="Times New Roman" w:hAnsi="宋体"/>
                <w:color w:val="auto"/>
                <w:sz w:val="24"/>
              </w:rPr>
              <w:t>建设单位运营期应当建立健全工业固体废物产生、收集、贮存、运输、利用、处置全过程的污染环境</w:t>
            </w:r>
            <w:r>
              <w:rPr>
                <w:rFonts w:hint="eastAsia" w:ascii="Times New Roman" w:hAnsi="宋体"/>
                <w:color w:val="auto"/>
                <w:sz w:val="24"/>
                <w:lang w:eastAsia="zh-CN"/>
              </w:rPr>
              <w:t>防治</w:t>
            </w:r>
            <w:r>
              <w:rPr>
                <w:rFonts w:ascii="Times New Roman" w:hAnsi="宋体"/>
                <w:color w:val="auto"/>
                <w:sz w:val="24"/>
              </w:rPr>
              <w:t>责任制度，建立工业固体废物管理台账，如实记录产生工业固体废物的种类、数量、流向、贮存、利用、处置等信息，实现工业固体废物可追溯，可查询，并采取防治工业固体废物污染环境的措施；</w:t>
            </w:r>
          </w:p>
          <w:p>
            <w:pPr>
              <w:snapToGrid w:val="0"/>
              <w:spacing w:line="360" w:lineRule="auto"/>
              <w:ind w:firstLine="480" w:firstLineChars="200"/>
              <w:rPr>
                <w:rFonts w:ascii="Times New Roman" w:hAnsi="宋体"/>
                <w:color w:val="auto"/>
                <w:sz w:val="24"/>
              </w:rPr>
            </w:pPr>
            <w:r>
              <w:rPr>
                <w:rFonts w:hint="eastAsia" w:ascii="Times New Roman" w:hAnsi="宋体"/>
                <w:color w:val="auto"/>
                <w:sz w:val="24"/>
              </w:rPr>
              <w:t>④</w:t>
            </w:r>
            <w:r>
              <w:rPr>
                <w:rFonts w:ascii="Times New Roman" w:hAnsi="宋体"/>
                <w:color w:val="auto"/>
                <w:sz w:val="24"/>
              </w:rPr>
              <w:t>企业对收集、贮存、运输、处置一般工业固体废物的设施、设备和场所，应当加强管理和维护，保证其正常运行和使用。</w:t>
            </w:r>
          </w:p>
          <w:p>
            <w:pPr>
              <w:snapToGrid w:val="0"/>
              <w:spacing w:line="360" w:lineRule="auto"/>
              <w:ind w:firstLine="480" w:firstLineChars="200"/>
              <w:rPr>
                <w:rFonts w:ascii="Times New Roman" w:hAnsi="宋体"/>
                <w:color w:val="auto"/>
                <w:sz w:val="24"/>
              </w:rPr>
            </w:pPr>
            <w:r>
              <w:rPr>
                <w:rFonts w:hint="eastAsia" w:ascii="Times New Roman" w:hAnsi="宋体"/>
                <w:color w:val="auto"/>
                <w:sz w:val="24"/>
                <w:lang w:val="en-US" w:eastAsia="zh-CN"/>
              </w:rPr>
              <w:t>⑤</w:t>
            </w:r>
            <w:r>
              <w:rPr>
                <w:rFonts w:ascii="Times New Roman" w:hAnsi="宋体"/>
                <w:color w:val="auto"/>
                <w:sz w:val="24"/>
              </w:rPr>
              <w:t>严禁将生活垃圾与一般工业固体废物混合处置。</w:t>
            </w:r>
          </w:p>
          <w:p>
            <w:pPr>
              <w:snapToGrid w:val="0"/>
              <w:spacing w:line="360" w:lineRule="auto"/>
              <w:ind w:firstLine="480" w:firstLineChars="200"/>
              <w:rPr>
                <w:rFonts w:ascii="Times New Roman" w:hAnsi="宋体"/>
                <w:color w:val="auto"/>
                <w:sz w:val="24"/>
              </w:rPr>
            </w:pPr>
            <w:r>
              <w:rPr>
                <w:rFonts w:hint="eastAsia" w:ascii="Times New Roman" w:hAnsi="宋体"/>
                <w:color w:val="auto"/>
                <w:sz w:val="24"/>
              </w:rPr>
              <w:t>⑥</w:t>
            </w:r>
            <w:r>
              <w:rPr>
                <w:rFonts w:ascii="Times New Roman" w:hAnsi="宋体"/>
                <w:color w:val="auto"/>
                <w:sz w:val="24"/>
              </w:rPr>
              <w:t>项目运营期需要终止生产的，应当事先对工业固体废物的贮存、处置设施、场所采取污染防治措施，并对未处置的工业固体废物</w:t>
            </w:r>
            <w:r>
              <w:rPr>
                <w:rFonts w:hint="eastAsia" w:ascii="Times New Roman" w:hAnsi="宋体"/>
                <w:color w:val="auto"/>
                <w:sz w:val="24"/>
                <w:lang w:eastAsia="zh-CN"/>
              </w:rPr>
              <w:t>作出</w:t>
            </w:r>
            <w:r>
              <w:rPr>
                <w:rFonts w:ascii="Times New Roman" w:hAnsi="宋体"/>
                <w:color w:val="auto"/>
                <w:sz w:val="24"/>
              </w:rPr>
              <w:t>妥善处置，防止污染环境。</w:t>
            </w:r>
          </w:p>
          <w:p>
            <w:pPr>
              <w:ind w:firstLine="482"/>
              <w:rPr>
                <w:color w:val="auto"/>
                <w:sz w:val="24"/>
              </w:rPr>
            </w:pPr>
            <w:r>
              <w:rPr>
                <w:rFonts w:ascii="Times New Roman" w:hAnsi="Times New Roman" w:cs="Times New Roman"/>
                <w:color w:val="auto"/>
                <w:sz w:val="24"/>
              </w:rPr>
              <w:t>综上所述，项目生产运行阶段固体废物均得到合理处置，对区域环境影响较小。</w:t>
            </w:r>
          </w:p>
          <w:p>
            <w:pPr>
              <w:spacing w:line="360" w:lineRule="auto"/>
              <w:ind w:firstLine="482"/>
              <w:rPr>
                <w:rFonts w:hint="eastAsia" w:ascii="Times New Roman" w:hAnsi="Times New Roman" w:eastAsiaTheme="minorEastAsia"/>
                <w:b/>
                <w:bCs/>
                <w:sz w:val="24"/>
                <w:lang w:val="en-US" w:eastAsia="zh-CN"/>
              </w:rPr>
            </w:pPr>
            <w:r>
              <w:rPr>
                <w:rFonts w:hint="eastAsia" w:ascii="Times New Roman" w:hAnsi="Times New Roman" w:cs="Times New Roman"/>
                <w:b/>
                <w:bCs/>
                <w:sz w:val="24"/>
              </w:rPr>
              <w:t>（3</w:t>
            </w:r>
            <w:r>
              <w:rPr>
                <w:rFonts w:hint="eastAsia" w:ascii="Times New Roman" w:hAnsi="Times New Roman"/>
                <w:b/>
                <w:bCs/>
                <w:sz w:val="24"/>
              </w:rPr>
              <w:t>）危险废物管理</w:t>
            </w:r>
            <w:r>
              <w:rPr>
                <w:rFonts w:hint="eastAsia" w:ascii="Times New Roman" w:hAnsi="Times New Roman"/>
                <w:b/>
                <w:bCs/>
                <w:sz w:val="24"/>
                <w:lang w:val="en-US" w:eastAsia="zh-CN"/>
              </w:rPr>
              <w:t>要求</w:t>
            </w:r>
          </w:p>
          <w:p>
            <w:pPr>
              <w:spacing w:line="360" w:lineRule="auto"/>
              <w:ind w:firstLine="480"/>
              <w:rPr>
                <w:rFonts w:ascii="Times New Roman" w:hAnsi="Times New Roman" w:cs="Times New Roman"/>
                <w:sz w:val="24"/>
              </w:rPr>
            </w:pPr>
            <w:r>
              <w:rPr>
                <w:rFonts w:ascii="Times New Roman" w:hAnsi="Times New Roman" w:cs="Times New Roman"/>
                <w:kern w:val="0"/>
                <w:sz w:val="24"/>
              </w:rPr>
              <w:t>1）危险废物贮存场所（设施）</w:t>
            </w:r>
          </w:p>
          <w:p>
            <w:pPr>
              <w:spacing w:line="360" w:lineRule="auto"/>
              <w:ind w:firstLine="480"/>
              <w:rPr>
                <w:rFonts w:ascii="Times New Roman" w:hAnsi="Times New Roman"/>
                <w:sz w:val="24"/>
              </w:rPr>
            </w:pPr>
            <w:r>
              <w:rPr>
                <w:rFonts w:hint="eastAsia" w:ascii="Times New Roman" w:hAnsi="Times New Roman"/>
                <w:sz w:val="24"/>
                <w:lang w:val="en-US" w:eastAsia="zh-CN"/>
              </w:rPr>
              <w:t>依托现有</w:t>
            </w:r>
            <w:r>
              <w:rPr>
                <w:rFonts w:ascii="Times New Roman" w:hAnsi="Times New Roman"/>
                <w:sz w:val="24"/>
              </w:rPr>
              <w:t>危险废物贮存间</w:t>
            </w:r>
            <w:r>
              <w:rPr>
                <w:rFonts w:hint="eastAsia" w:ascii="Times New Roman" w:hAnsi="Times New Roman"/>
                <w:sz w:val="24"/>
              </w:rPr>
              <w:t>1处</w:t>
            </w:r>
            <w:r>
              <w:rPr>
                <w:rFonts w:ascii="Times New Roman" w:hAnsi="Times New Roman"/>
                <w:sz w:val="24"/>
              </w:rPr>
              <w:t>，</w:t>
            </w:r>
            <w:r>
              <w:rPr>
                <w:rFonts w:hint="eastAsia" w:ascii="Times New Roman" w:hAnsi="Times New Roman" w:eastAsia="宋体" w:cs="Times New Roman"/>
                <w:sz w:val="24"/>
              </w:rPr>
              <w:t>现状</w:t>
            </w:r>
            <w:r>
              <w:rPr>
                <w:rFonts w:ascii="Times New Roman" w:hAnsi="Times New Roman" w:cs="Times New Roman"/>
                <w:sz w:val="24"/>
              </w:rPr>
              <w:t>地面防渗、防腐</w:t>
            </w:r>
            <w:r>
              <w:rPr>
                <w:rFonts w:hint="eastAsia" w:ascii="Times New Roman" w:hAnsi="Times New Roman" w:cs="Times New Roman"/>
                <w:sz w:val="24"/>
              </w:rPr>
              <w:t>、</w:t>
            </w:r>
            <w:r>
              <w:rPr>
                <w:rFonts w:ascii="Times New Roman" w:hAnsi="Times New Roman" w:cs="Times New Roman"/>
                <w:sz w:val="24"/>
              </w:rPr>
              <w:t>标识</w:t>
            </w:r>
            <w:r>
              <w:rPr>
                <w:rFonts w:hint="eastAsia" w:ascii="Times New Roman" w:hAnsi="Times New Roman" w:cs="Times New Roman"/>
                <w:sz w:val="24"/>
              </w:rPr>
              <w:t>等</w:t>
            </w:r>
            <w:r>
              <w:rPr>
                <w:rFonts w:hint="eastAsia" w:ascii="Times New Roman" w:hAnsi="Times New Roman" w:eastAsia="宋体" w:cs="Times New Roman"/>
                <w:sz w:val="24"/>
              </w:rPr>
              <w:t>满足</w:t>
            </w:r>
            <w:r>
              <w:rPr>
                <w:rFonts w:ascii="Times New Roman" w:hAnsi="Times New Roman"/>
                <w:sz w:val="24"/>
              </w:rPr>
              <w:t>相关要求</w:t>
            </w:r>
            <w:r>
              <w:rPr>
                <w:rFonts w:hint="eastAsia" w:ascii="Times New Roman" w:hAnsi="Times New Roman"/>
                <w:sz w:val="24"/>
              </w:rPr>
              <w:t>，需</w:t>
            </w:r>
            <w:r>
              <w:rPr>
                <w:rFonts w:ascii="Times New Roman" w:hAnsi="Times New Roman"/>
                <w:sz w:val="24"/>
              </w:rPr>
              <w:t>按照《危险废物收集、贮存、运输技术规范》（HJ2025-2012）及《危险废物贮存污染控制标准》（GB18597-</w:t>
            </w:r>
            <w:r>
              <w:rPr>
                <w:rFonts w:hint="eastAsia" w:ascii="Times New Roman" w:hAnsi="Times New Roman"/>
                <w:sz w:val="24"/>
                <w:lang w:val="en-US" w:eastAsia="zh-CN"/>
              </w:rPr>
              <w:t>2023</w:t>
            </w:r>
            <w:r>
              <w:rPr>
                <w:rFonts w:ascii="Times New Roman" w:hAnsi="Times New Roman"/>
                <w:sz w:val="24"/>
              </w:rPr>
              <w:t>）相关要求制定相应危险废物管理制度。具体如下：</w:t>
            </w:r>
          </w:p>
          <w:p>
            <w:pPr>
              <w:spacing w:line="360" w:lineRule="auto"/>
              <w:ind w:firstLine="480"/>
              <w:rPr>
                <w:rFonts w:ascii="Times New Roman" w:hAnsi="Times New Roman"/>
                <w:sz w:val="24"/>
              </w:rPr>
            </w:pPr>
            <w:r>
              <w:rPr>
                <w:rFonts w:hint="eastAsia" w:ascii="Times New Roman" w:hAnsi="Times New Roman"/>
                <w:sz w:val="24"/>
              </w:rPr>
              <w:t>①</w:t>
            </w:r>
            <w:r>
              <w:rPr>
                <w:rFonts w:ascii="Times New Roman" w:hAnsi="Times New Roman"/>
                <w:sz w:val="24"/>
              </w:rPr>
              <w:t>危险废物贮存设施的选址、设计、建设、运行管理应满足GB18597、GBZ1和GBZ2的有关要求。</w:t>
            </w:r>
          </w:p>
          <w:p>
            <w:pPr>
              <w:spacing w:line="360" w:lineRule="auto"/>
              <w:ind w:firstLine="480"/>
              <w:rPr>
                <w:rFonts w:ascii="Times New Roman" w:hAnsi="Times New Roman"/>
                <w:sz w:val="24"/>
              </w:rPr>
            </w:pPr>
            <w:r>
              <w:rPr>
                <w:rFonts w:hint="eastAsia" w:ascii="Times New Roman" w:hAnsi="Times New Roman"/>
                <w:sz w:val="24"/>
              </w:rPr>
              <w:t>②</w:t>
            </w:r>
            <w:r>
              <w:rPr>
                <w:rFonts w:ascii="Times New Roman" w:hAnsi="Times New Roman"/>
                <w:sz w:val="24"/>
              </w:rPr>
              <w:t>危险废物贮存设施已配备通讯设备、照明设施和消防设施。</w:t>
            </w:r>
          </w:p>
          <w:p>
            <w:pPr>
              <w:spacing w:line="360" w:lineRule="auto"/>
              <w:ind w:firstLine="480"/>
              <w:rPr>
                <w:rFonts w:ascii="Times New Roman" w:hAnsi="Times New Roman"/>
                <w:sz w:val="24"/>
              </w:rPr>
            </w:pPr>
            <w:r>
              <w:rPr>
                <w:rFonts w:hint="eastAsia" w:ascii="Times New Roman" w:hAnsi="Times New Roman"/>
                <w:sz w:val="24"/>
              </w:rPr>
              <w:t>③危废间应设置双人双锁制；危废间应做到全封闭，应设置防盗门；危废间须设置通风口（安装排风扇）及防爆灯；危废间应设置收集池（根据企业产生危废量建设收集池尺寸）及导流渠；危废间进出口应设置拦挡，高度要求20cm至30cm。</w:t>
            </w:r>
          </w:p>
          <w:p>
            <w:pPr>
              <w:spacing w:line="360" w:lineRule="auto"/>
              <w:ind w:firstLine="480"/>
              <w:rPr>
                <w:rFonts w:ascii="Times New Roman" w:hAnsi="Times New Roman"/>
                <w:sz w:val="24"/>
              </w:rPr>
            </w:pPr>
            <w:r>
              <w:rPr>
                <w:rFonts w:hint="eastAsia" w:ascii="Times New Roman" w:hAnsi="Times New Roman"/>
                <w:sz w:val="24"/>
              </w:rPr>
              <w:t>④</w:t>
            </w:r>
            <w:r>
              <w:rPr>
                <w:rFonts w:ascii="Times New Roman" w:hAnsi="Times New Roman"/>
                <w:sz w:val="24"/>
              </w:rPr>
              <w:t>贮存危险废物时应按危险废物的种类和特性进行分区贮存，每个贮存区域之间宜设置挡墙间隔，并设置防风、防雨、防晒、防渗</w:t>
            </w:r>
            <w:r>
              <w:rPr>
                <w:rFonts w:hint="eastAsia" w:ascii="Times New Roman" w:hAnsi="Times New Roman"/>
                <w:sz w:val="24"/>
              </w:rPr>
              <w:t>（</w:t>
            </w:r>
            <w:r>
              <w:rPr>
                <w:rFonts w:ascii="Times New Roman" w:hAnsi="Times New Roman"/>
                <w:sz w:val="24"/>
              </w:rPr>
              <w:t>渗透系数≤10</w:t>
            </w:r>
            <w:r>
              <w:rPr>
                <w:rFonts w:ascii="Times New Roman" w:hAnsi="Times New Roman"/>
                <w:sz w:val="24"/>
                <w:vertAlign w:val="superscript"/>
              </w:rPr>
              <w:t>-10</w:t>
            </w:r>
            <w:r>
              <w:rPr>
                <w:rFonts w:ascii="Times New Roman" w:hAnsi="Times New Roman"/>
                <w:sz w:val="24"/>
              </w:rPr>
              <w:t>cm/s）</w:t>
            </w:r>
            <w:r>
              <w:rPr>
                <w:rFonts w:hint="eastAsia" w:ascii="Times New Roman" w:hAnsi="Times New Roman"/>
                <w:sz w:val="24"/>
              </w:rPr>
              <w:t>。</w:t>
            </w:r>
          </w:p>
          <w:p>
            <w:pPr>
              <w:spacing w:line="360" w:lineRule="auto"/>
              <w:ind w:firstLine="480"/>
              <w:rPr>
                <w:rFonts w:ascii="Times New Roman" w:hAnsi="Times New Roman"/>
                <w:sz w:val="24"/>
              </w:rPr>
            </w:pPr>
            <w:r>
              <w:rPr>
                <w:rFonts w:hint="eastAsia" w:ascii="Times New Roman" w:hAnsi="Times New Roman"/>
                <w:sz w:val="24"/>
              </w:rPr>
              <w:t>⑤危废间地面、裙脚（1.2m高）、拦挡及收集池应采取防渗措施（防渗层厚度不小于2mm 厚）</w:t>
            </w:r>
            <w:r>
              <w:rPr>
                <w:rFonts w:ascii="Times New Roman" w:hAnsi="Times New Roman"/>
                <w:sz w:val="24"/>
              </w:rPr>
              <w:t>。</w:t>
            </w:r>
          </w:p>
          <w:p>
            <w:pPr>
              <w:spacing w:line="360" w:lineRule="auto"/>
              <w:ind w:firstLine="480"/>
              <w:rPr>
                <w:rFonts w:ascii="Times New Roman" w:hAnsi="Times New Roman"/>
                <w:sz w:val="24"/>
              </w:rPr>
            </w:pPr>
            <w:r>
              <w:rPr>
                <w:rFonts w:hint="eastAsia" w:ascii="Times New Roman" w:hAnsi="Times New Roman"/>
                <w:sz w:val="24"/>
              </w:rPr>
              <w:t>⑥</w:t>
            </w:r>
            <w:r>
              <w:rPr>
                <w:rFonts w:ascii="Times New Roman" w:hAnsi="Times New Roman"/>
                <w:sz w:val="24"/>
              </w:rPr>
              <w:t>危险废物贮存期限按《中华人民共和国固体废物污染环境防治法》的有关规定，及时交由资质单位集中处置。</w:t>
            </w:r>
          </w:p>
          <w:p>
            <w:pPr>
              <w:spacing w:line="360" w:lineRule="auto"/>
              <w:ind w:firstLine="480"/>
              <w:rPr>
                <w:rFonts w:ascii="Times New Roman" w:hAnsi="Times New Roman"/>
                <w:sz w:val="24"/>
              </w:rPr>
            </w:pPr>
            <w:r>
              <w:rPr>
                <w:rFonts w:hint="eastAsia" w:ascii="Times New Roman" w:hAnsi="Times New Roman"/>
                <w:sz w:val="24"/>
              </w:rPr>
              <w:t>⑦</w:t>
            </w:r>
            <w:r>
              <w:rPr>
                <w:rFonts w:ascii="Times New Roman" w:hAnsi="Times New Roman"/>
                <w:sz w:val="24"/>
              </w:rPr>
              <w:t>危险废物贮存单位应建立危险废物贮存的台帐制度，并做好危险废物出入库交接记录。</w:t>
            </w:r>
          </w:p>
          <w:p>
            <w:pPr>
              <w:spacing w:line="360" w:lineRule="auto"/>
              <w:ind w:firstLine="480"/>
              <w:rPr>
                <w:rFonts w:ascii="Times New Roman" w:hAnsi="Times New Roman"/>
                <w:sz w:val="24"/>
              </w:rPr>
            </w:pPr>
            <w:r>
              <w:rPr>
                <w:rFonts w:hint="eastAsia" w:ascii="Times New Roman" w:hAnsi="Times New Roman"/>
                <w:sz w:val="24"/>
              </w:rPr>
              <w:t>⑧</w:t>
            </w:r>
            <w:r>
              <w:rPr>
                <w:rFonts w:ascii="Times New Roman" w:hAnsi="Times New Roman"/>
                <w:sz w:val="24"/>
              </w:rPr>
              <w:t>存放装载液体、半固体危险废物容器位置，有耐腐蚀的硬化地面，且表面无裂隙。</w:t>
            </w:r>
          </w:p>
          <w:p>
            <w:pPr>
              <w:spacing w:line="360" w:lineRule="auto"/>
              <w:ind w:firstLine="480"/>
              <w:rPr>
                <w:rFonts w:hint="eastAsia" w:ascii="Times New Roman" w:hAnsi="Times New Roman"/>
                <w:sz w:val="24"/>
              </w:rPr>
            </w:pPr>
            <w:r>
              <w:rPr>
                <w:rFonts w:hint="eastAsia" w:ascii="Times New Roman" w:hAnsi="Times New Roman"/>
                <w:sz w:val="24"/>
              </w:rPr>
              <w:t>⑨</w:t>
            </w:r>
            <w:r>
              <w:rPr>
                <w:rFonts w:ascii="Times New Roman" w:hAnsi="Times New Roman"/>
                <w:sz w:val="24"/>
              </w:rPr>
              <w:t>危险废物暂存场所设置符</w:t>
            </w:r>
            <w:r>
              <w:rPr>
                <w:rFonts w:hint="eastAsia" w:ascii="Times New Roman" w:hAnsi="Times New Roman"/>
                <w:sz w:val="24"/>
              </w:rPr>
              <w:t>合《危险废物识别标志设置技术规范》（HJ 1276-2022）所示标签设置危险废物标志。</w:t>
            </w:r>
          </w:p>
          <w:p>
            <w:pPr>
              <w:spacing w:line="360" w:lineRule="auto"/>
              <w:ind w:firstLine="480"/>
              <w:rPr>
                <w:rFonts w:ascii="Times New Roman" w:hAnsi="Times New Roman"/>
                <w:sz w:val="24"/>
              </w:rPr>
            </w:pPr>
            <w:r>
              <w:rPr>
                <w:rFonts w:ascii="Times New Roman" w:hAnsi="Times New Roman"/>
                <w:sz w:val="24"/>
              </w:rPr>
              <w:t>危险废物贮存间基本情况列表如下。</w:t>
            </w:r>
          </w:p>
          <w:p>
            <w:pPr>
              <w:snapToGrid w:val="0"/>
              <w:spacing w:line="240" w:lineRule="auto"/>
              <w:jc w:val="center"/>
              <w:rPr>
                <w:rFonts w:hint="eastAsia" w:ascii="Times New Roman" w:hAnsi="Times New Roman" w:cs="Times New Roman"/>
                <w:b/>
                <w:bCs/>
                <w:szCs w:val="21"/>
              </w:rPr>
            </w:pPr>
            <w:r>
              <w:rPr>
                <w:rFonts w:hint="eastAsia" w:ascii="Times New Roman" w:hAnsi="Times New Roman" w:cs="Times New Roman"/>
                <w:b/>
                <w:bCs/>
                <w:szCs w:val="21"/>
                <w:lang w:val="en-US" w:eastAsia="zh-CN"/>
              </w:rPr>
              <w:t xml:space="preserve">表4-18  </w:t>
            </w:r>
            <w:r>
              <w:rPr>
                <w:rFonts w:hint="eastAsia" w:ascii="Times New Roman" w:hAnsi="Times New Roman" w:cs="Times New Roman"/>
                <w:b/>
                <w:bCs/>
                <w:szCs w:val="21"/>
              </w:rPr>
              <w:t>危险废物贮存场所基本情况一览表</w:t>
            </w:r>
          </w:p>
          <w:tbl>
            <w:tblPr>
              <w:tblStyle w:val="2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180"/>
              <w:gridCol w:w="935"/>
              <w:gridCol w:w="952"/>
              <w:gridCol w:w="791"/>
              <w:gridCol w:w="717"/>
              <w:gridCol w:w="1102"/>
              <w:gridCol w:w="987"/>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贮存场所（设施）名称</w:t>
                  </w:r>
                </w:p>
              </w:tc>
              <w:tc>
                <w:tcPr>
                  <w:tcW w:w="698"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废物名称</w:t>
                  </w:r>
                </w:p>
              </w:tc>
              <w:tc>
                <w:tcPr>
                  <w:tcW w:w="553"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危险废物类别</w:t>
                  </w:r>
                </w:p>
              </w:tc>
              <w:tc>
                <w:tcPr>
                  <w:tcW w:w="563"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危险废物代码</w:t>
                  </w:r>
                </w:p>
              </w:tc>
              <w:tc>
                <w:tcPr>
                  <w:tcW w:w="468"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位置</w:t>
                  </w:r>
                </w:p>
              </w:tc>
              <w:tc>
                <w:tcPr>
                  <w:tcW w:w="424"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占地面积</w:t>
                  </w:r>
                </w:p>
              </w:tc>
              <w:tc>
                <w:tcPr>
                  <w:tcW w:w="652"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贮存方式</w:t>
                  </w:r>
                </w:p>
              </w:tc>
              <w:tc>
                <w:tcPr>
                  <w:tcW w:w="584"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贮存能力</w:t>
                  </w:r>
                  <w:r>
                    <w:rPr>
                      <w:rFonts w:hint="eastAsia" w:ascii="Times New Roman" w:hAnsi="Times New Roman" w:cs="Times New Roman"/>
                      <w:b/>
                      <w:szCs w:val="21"/>
                    </w:rPr>
                    <w:t>（t</w:t>
                  </w:r>
                  <w:r>
                    <w:rPr>
                      <w:rFonts w:ascii="Times New Roman" w:hAnsi="Times New Roman" w:cs="Times New Roman"/>
                      <w:b/>
                      <w:szCs w:val="21"/>
                    </w:rPr>
                    <w:t>/a</w:t>
                  </w:r>
                  <w:r>
                    <w:rPr>
                      <w:rFonts w:hint="eastAsia" w:ascii="Times New Roman" w:hAnsi="Times New Roman" w:cs="Times New Roman"/>
                      <w:b/>
                      <w:szCs w:val="21"/>
                    </w:rPr>
                    <w:t>）</w:t>
                  </w:r>
                </w:p>
              </w:tc>
              <w:tc>
                <w:tcPr>
                  <w:tcW w:w="396"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危险废物贮存间</w:t>
                  </w:r>
                </w:p>
              </w:tc>
              <w:tc>
                <w:tcPr>
                  <w:tcW w:w="698" w:type="pct"/>
                  <w:vAlign w:val="center"/>
                </w:tcPr>
                <w:p>
                  <w:pPr>
                    <w:jc w:val="center"/>
                    <w:rPr>
                      <w:rFonts w:ascii="Times New Roman" w:hAnsi="Times New Roman" w:cs="Times New Roman"/>
                      <w:szCs w:val="21"/>
                    </w:rPr>
                  </w:pPr>
                  <w:r>
                    <w:rPr>
                      <w:rFonts w:ascii="Times New Roman" w:hAnsi="Times New Roman" w:cs="Times New Roman"/>
                      <w:szCs w:val="21"/>
                    </w:rPr>
                    <w:t>废润滑油</w:t>
                  </w:r>
                </w:p>
              </w:tc>
              <w:tc>
                <w:tcPr>
                  <w:tcW w:w="553"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HW08废矿物油与含矿物油废物</w:t>
                  </w:r>
                </w:p>
              </w:tc>
              <w:tc>
                <w:tcPr>
                  <w:tcW w:w="563" w:type="pct"/>
                  <w:vAlign w:val="center"/>
                </w:tcPr>
                <w:p>
                  <w:pPr>
                    <w:pStyle w:val="47"/>
                    <w:spacing w:line="240" w:lineRule="auto"/>
                    <w:rPr>
                      <w:rFonts w:ascii="Times New Roman" w:hAnsi="Times New Roman" w:cs="Times New Roman"/>
                      <w:szCs w:val="21"/>
                    </w:rPr>
                  </w:pPr>
                  <w:r>
                    <w:t>900-217-08</w:t>
                  </w:r>
                </w:p>
              </w:tc>
              <w:tc>
                <w:tcPr>
                  <w:tcW w:w="468" w:type="pct"/>
                  <w:vMerge w:val="restart"/>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厂区西侧</w:t>
                  </w:r>
                </w:p>
              </w:tc>
              <w:tc>
                <w:tcPr>
                  <w:tcW w:w="424" w:type="pct"/>
                  <w:vMerge w:val="restart"/>
                  <w:vAlign w:val="center"/>
                </w:tcPr>
                <w:p>
                  <w:pPr>
                    <w:adjustRightInd w:val="0"/>
                    <w:snapToGrid w:val="0"/>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10</w:t>
                  </w:r>
                  <w:r>
                    <w:rPr>
                      <w:rFonts w:ascii="Times New Roman" w:hAnsi="Times New Roman" w:cs="Times New Roman"/>
                      <w:szCs w:val="21"/>
                      <w:highlight w:val="none"/>
                    </w:rPr>
                    <w:t>m</w:t>
                  </w:r>
                  <w:r>
                    <w:rPr>
                      <w:rFonts w:ascii="Times New Roman" w:hAnsi="Times New Roman" w:cs="Times New Roman"/>
                      <w:szCs w:val="21"/>
                      <w:highlight w:val="none"/>
                      <w:vertAlign w:val="superscript"/>
                    </w:rPr>
                    <w:t>2</w:t>
                  </w:r>
                </w:p>
              </w:tc>
              <w:tc>
                <w:tcPr>
                  <w:tcW w:w="652" w:type="pct"/>
                  <w:vMerge w:val="restart"/>
                  <w:vAlign w:val="center"/>
                </w:tcPr>
                <w:p>
                  <w:pPr>
                    <w:jc w:val="center"/>
                    <w:rPr>
                      <w:rFonts w:ascii="Times New Roman" w:hAnsi="Times New Roman" w:cs="Times New Roman"/>
                      <w:szCs w:val="21"/>
                    </w:rPr>
                  </w:pPr>
                  <w:r>
                    <w:rPr>
                      <w:rFonts w:ascii="Times New Roman" w:hAnsi="Times New Roman" w:cs="Times New Roman"/>
                      <w:szCs w:val="21"/>
                    </w:rPr>
                    <w:t>液态</w:t>
                  </w:r>
                </w:p>
                <w:p>
                  <w:pPr>
                    <w:adjustRightInd w:val="0"/>
                    <w:snapToGrid w:val="0"/>
                    <w:jc w:val="center"/>
                    <w:rPr>
                      <w:rFonts w:ascii="Times New Roman" w:hAnsi="Times New Roman" w:cs="Times New Roman"/>
                      <w:szCs w:val="21"/>
                    </w:rPr>
                  </w:pPr>
                  <w:r>
                    <w:rPr>
                      <w:rFonts w:ascii="Times New Roman" w:hAnsi="Times New Roman" w:cs="Times New Roman"/>
                      <w:szCs w:val="21"/>
                    </w:rPr>
                    <w:t>桶装，然后和其他固态危废分区存放于危险废物贮存间中</w:t>
                  </w:r>
                </w:p>
              </w:tc>
              <w:tc>
                <w:tcPr>
                  <w:tcW w:w="584" w:type="pct"/>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0.1</w:t>
                  </w:r>
                </w:p>
              </w:tc>
              <w:tc>
                <w:tcPr>
                  <w:tcW w:w="396"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vAlign w:val="center"/>
                </w:tcPr>
                <w:p>
                  <w:pPr>
                    <w:adjustRightInd w:val="0"/>
                    <w:snapToGrid w:val="0"/>
                    <w:jc w:val="center"/>
                    <w:rPr>
                      <w:rFonts w:ascii="Times New Roman" w:hAnsi="Times New Roman" w:cs="Times New Roman"/>
                      <w:szCs w:val="21"/>
                    </w:rPr>
                  </w:pPr>
                </w:p>
              </w:tc>
              <w:tc>
                <w:tcPr>
                  <w:tcW w:w="698" w:type="pct"/>
                  <w:vAlign w:val="center"/>
                </w:tcPr>
                <w:p>
                  <w:pPr>
                    <w:jc w:val="center"/>
                    <w:rPr>
                      <w:rFonts w:ascii="Times New Roman" w:hAnsi="Times New Roman" w:cs="Times New Roman"/>
                      <w:szCs w:val="21"/>
                    </w:rPr>
                  </w:pPr>
                  <w:r>
                    <w:rPr>
                      <w:rFonts w:ascii="Times New Roman" w:hAnsi="Times New Roman" w:cs="Times New Roman"/>
                      <w:szCs w:val="21"/>
                    </w:rPr>
                    <w:t>废油桶</w:t>
                  </w:r>
                </w:p>
              </w:tc>
              <w:tc>
                <w:tcPr>
                  <w:tcW w:w="553" w:type="pct"/>
                  <w:vMerge w:val="continue"/>
                  <w:vAlign w:val="center"/>
                </w:tcPr>
                <w:p>
                  <w:pPr>
                    <w:adjustRightInd w:val="0"/>
                    <w:snapToGrid w:val="0"/>
                    <w:jc w:val="center"/>
                    <w:rPr>
                      <w:rFonts w:ascii="Times New Roman" w:hAnsi="Times New Roman" w:cs="Times New Roman"/>
                      <w:szCs w:val="21"/>
                    </w:rPr>
                  </w:pPr>
                </w:p>
              </w:tc>
              <w:tc>
                <w:tcPr>
                  <w:tcW w:w="563" w:type="pct"/>
                  <w:vAlign w:val="center"/>
                </w:tcPr>
                <w:p>
                  <w:pPr>
                    <w:pStyle w:val="47"/>
                    <w:spacing w:line="240" w:lineRule="auto"/>
                    <w:rPr>
                      <w:rFonts w:ascii="Times New Roman" w:hAnsi="Times New Roman" w:eastAsia="宋体" w:cs="Times New Roman"/>
                      <w:szCs w:val="21"/>
                    </w:rPr>
                  </w:pPr>
                  <w:r>
                    <w:t>900-249-08</w:t>
                  </w:r>
                </w:p>
              </w:tc>
              <w:tc>
                <w:tcPr>
                  <w:tcW w:w="468" w:type="pct"/>
                  <w:vMerge w:val="continue"/>
                  <w:vAlign w:val="center"/>
                </w:tcPr>
                <w:p>
                  <w:pPr>
                    <w:adjustRightInd w:val="0"/>
                    <w:snapToGrid w:val="0"/>
                    <w:jc w:val="center"/>
                    <w:rPr>
                      <w:rFonts w:ascii="Times New Roman" w:hAnsi="Times New Roman" w:cs="Times New Roman"/>
                      <w:szCs w:val="21"/>
                    </w:rPr>
                  </w:pPr>
                </w:p>
              </w:tc>
              <w:tc>
                <w:tcPr>
                  <w:tcW w:w="424" w:type="pct"/>
                  <w:vMerge w:val="continue"/>
                  <w:vAlign w:val="center"/>
                </w:tcPr>
                <w:p>
                  <w:pPr>
                    <w:adjustRightInd w:val="0"/>
                    <w:snapToGrid w:val="0"/>
                    <w:jc w:val="center"/>
                    <w:rPr>
                      <w:rFonts w:ascii="Times New Roman" w:hAnsi="Times New Roman" w:cs="Times New Roman"/>
                      <w:szCs w:val="21"/>
                    </w:rPr>
                  </w:pPr>
                </w:p>
              </w:tc>
              <w:tc>
                <w:tcPr>
                  <w:tcW w:w="652" w:type="pct"/>
                  <w:vMerge w:val="continue"/>
                  <w:vAlign w:val="center"/>
                </w:tcPr>
                <w:p>
                  <w:pPr>
                    <w:adjustRightInd w:val="0"/>
                    <w:snapToGrid w:val="0"/>
                    <w:jc w:val="center"/>
                    <w:rPr>
                      <w:rFonts w:ascii="Times New Roman" w:hAnsi="Times New Roman" w:cs="Times New Roman"/>
                      <w:szCs w:val="21"/>
                    </w:rPr>
                  </w:pPr>
                </w:p>
              </w:tc>
              <w:tc>
                <w:tcPr>
                  <w:tcW w:w="584" w:type="pct"/>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0.05</w:t>
                  </w:r>
                </w:p>
              </w:tc>
              <w:tc>
                <w:tcPr>
                  <w:tcW w:w="396" w:type="pct"/>
                  <w:vMerge w:val="continue"/>
                  <w:vAlign w:val="center"/>
                </w:tcPr>
                <w:p>
                  <w:pPr>
                    <w:adjustRightInd w:val="0"/>
                    <w:snapToGrid w:val="0"/>
                    <w:jc w:val="center"/>
                    <w:rPr>
                      <w:rFonts w:ascii="Times New Roman" w:hAnsi="Times New Roman" w:cs="Times New Roman"/>
                      <w:szCs w:val="21"/>
                    </w:rPr>
                  </w:pPr>
                </w:p>
              </w:tc>
            </w:tr>
          </w:tbl>
          <w:p>
            <w:pPr>
              <w:autoSpaceDE w:val="0"/>
              <w:autoSpaceDN w:val="0"/>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bCs/>
                <w:kern w:val="0"/>
                <w:sz w:val="24"/>
              </w:rPr>
              <w:t>2</w:t>
            </w:r>
            <w:r>
              <w:rPr>
                <w:rFonts w:ascii="Times New Roman" w:hAnsi="Times New Roman" w:cs="Times New Roman"/>
                <w:kern w:val="0"/>
                <w:sz w:val="24"/>
              </w:rPr>
              <w:t>）运输过程的环境影响分析</w:t>
            </w:r>
          </w:p>
          <w:p>
            <w:pPr>
              <w:autoSpaceDE w:val="0"/>
              <w:autoSpaceDN w:val="0"/>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从厂区内产生工艺环节运输到危险</w:t>
            </w:r>
            <w:r>
              <w:rPr>
                <w:rFonts w:hint="eastAsia" w:ascii="Times New Roman" w:hAnsi="Times New Roman" w:cs="Times New Roman"/>
                <w:kern w:val="0"/>
                <w:sz w:val="24"/>
              </w:rPr>
              <w:t>贮</w:t>
            </w:r>
            <w:r>
              <w:rPr>
                <w:rFonts w:ascii="Times New Roman" w:hAnsi="Times New Roman" w:cs="Times New Roman"/>
                <w:kern w:val="0"/>
                <w:sz w:val="24"/>
              </w:rPr>
              <w:t>存间可能产生散落、泄漏，有可能污染土壤和地下水，因此从厂区内产生的环节运输到危险废物贮存间，采用专用设备进行运输，并派专人负责运输转运，加强对运输人员的培训，减少运输过程的散落、泄露。从厂区内产生工艺环节运输到危险暂存间运输路线沿线已经进行硬化，没有耕地、园地、牧草地、饮用水源地或居民区、学校、医院、疗养院、养老院等环境敏感点。</w:t>
            </w:r>
          </w:p>
          <w:p>
            <w:pPr>
              <w:autoSpaceDE w:val="0"/>
              <w:autoSpaceDN w:val="0"/>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本项目危险废物运输由建设单位委托有资质的危险废物处置单位进行运输，建设单位应配合运输单位员工进行危险废物中转作业，中转装卸及运输过程应遵守如下技术要求：</w:t>
            </w:r>
          </w:p>
          <w:p>
            <w:pPr>
              <w:autoSpaceDE w:val="0"/>
              <w:autoSpaceDN w:val="0"/>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①装卸危险废物的工作人员应熟悉危险废物的属性，并配备适当的个人防护装备，装卸剧毒废物应配备特殊的防护装备。</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②装卸区应配备必要的消防设备和设施，并设置明显的指示标志。</w:t>
            </w:r>
          </w:p>
          <w:p>
            <w:pPr>
              <w:autoSpaceDE w:val="0"/>
              <w:autoSpaceDN w:val="0"/>
              <w:adjustRightIn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③危险废物装卸区应设置必要的隔离设施，液态废物卸载区应设置收集槽和缓冲罐等必要的应急设施。</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3）委托利用或者处置的环境影响分析</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本项目产生的危险废物分类收集暂存于危险废物贮存间内，定期交由</w:t>
            </w:r>
            <w:r>
              <w:rPr>
                <w:rFonts w:hint="eastAsia" w:ascii="Times New Roman" w:hAnsi="Times New Roman" w:cs="Times New Roman"/>
                <w:sz w:val="24"/>
                <w:highlight w:val="none"/>
              </w:rPr>
              <w:t>承德双然环保科技有限公司签署危险废物委托运输合同，根据承德市生态</w:t>
            </w:r>
            <w:r>
              <w:rPr>
                <w:rFonts w:hint="eastAsia" w:ascii="Times New Roman" w:hAnsi="Times New Roman" w:cs="Times New Roman"/>
                <w:sz w:val="24"/>
              </w:rPr>
              <w:t>环境局“关于同意承德双然环保科技有限公司危险废物收集试点投入运营的函（承环函[2021]21号）”，承德市生态环境局同意该公司开展危险废物收集经营活动。该公司可收集的危险废物类别涵盖本项目危险废物类别，其中，HW08类收集规模为12000t/a，其他类危废收集规模为10000t/a。双然环保科技有限公司于2021年10月下旬开始试运行，收集危险废物属于起步阶段，可充分接纳本项目所产生的危险废物。</w:t>
            </w:r>
          </w:p>
          <w:p>
            <w:pPr>
              <w:spacing w:line="360" w:lineRule="auto"/>
              <w:ind w:firstLine="480" w:firstLineChars="200"/>
              <w:jc w:val="left"/>
              <w:rPr>
                <w:rFonts w:ascii="Times New Roman" w:hAnsi="Times New Roman"/>
                <w:sz w:val="24"/>
              </w:rPr>
            </w:pPr>
            <w:r>
              <w:rPr>
                <w:rFonts w:hint="eastAsia" w:ascii="Times New Roman" w:hAnsi="Times New Roman"/>
                <w:sz w:val="24"/>
              </w:rPr>
              <w:t>据调查，承德双然环保科技有限公司已分别和唐山浩昌杰环保科技发展有限公司、承德金隅水泥有限责任公司、乐亭县海畅环保科技有限公司签订危险废物委托处置合同，各委托处置单位情况如下：</w:t>
            </w:r>
          </w:p>
          <w:p>
            <w:pPr>
              <w:spacing w:line="360" w:lineRule="auto"/>
              <w:ind w:firstLine="480" w:firstLineChars="200"/>
              <w:jc w:val="left"/>
              <w:rPr>
                <w:rFonts w:ascii="Times New Roman" w:hAnsi="Times New Roman"/>
                <w:sz w:val="24"/>
              </w:rPr>
            </w:pPr>
            <w:r>
              <w:rPr>
                <w:rFonts w:hint="eastAsia" w:ascii="Times New Roman" w:hAnsi="Times New Roman"/>
                <w:sz w:val="24"/>
              </w:rPr>
              <w:t>a.</w:t>
            </w:r>
            <w:r>
              <w:rPr>
                <w:rFonts w:hint="eastAsia" w:ascii="Times New Roman" w:hAnsi="Times New Roman"/>
                <w:sz w:val="24"/>
              </w:rPr>
              <w:tab/>
            </w:r>
            <w:r>
              <w:rPr>
                <w:rFonts w:hint="eastAsia" w:ascii="Times New Roman" w:hAnsi="Times New Roman"/>
                <w:sz w:val="24"/>
              </w:rPr>
              <w:t>唐山浩昌杰环保科技发展有限公司</w:t>
            </w:r>
          </w:p>
          <w:p>
            <w:pPr>
              <w:spacing w:line="360" w:lineRule="auto"/>
              <w:ind w:firstLine="480" w:firstLineChars="200"/>
              <w:jc w:val="left"/>
              <w:rPr>
                <w:rFonts w:ascii="Times New Roman" w:hAnsi="Times New Roman"/>
                <w:sz w:val="24"/>
              </w:rPr>
            </w:pPr>
            <w:r>
              <w:rPr>
                <w:rFonts w:hint="eastAsia" w:ascii="Times New Roman" w:hAnsi="Times New Roman"/>
                <w:sz w:val="24"/>
              </w:rPr>
              <w:t>年度核准经营规模为：焚烧6592t/年；综合利用140100t/年，可处理承德双然环保科技有限公司收集的HW02、HW03、HW04、HW05、HW06、HW08、HW09、HW12、HW13、HW16、HW49类废物。</w:t>
            </w:r>
          </w:p>
          <w:p>
            <w:pPr>
              <w:spacing w:line="360" w:lineRule="auto"/>
              <w:ind w:firstLine="480" w:firstLineChars="200"/>
              <w:jc w:val="left"/>
              <w:rPr>
                <w:rFonts w:ascii="Times New Roman" w:hAnsi="Times New Roman"/>
                <w:sz w:val="24"/>
              </w:rPr>
            </w:pPr>
            <w:r>
              <w:rPr>
                <w:rFonts w:hint="eastAsia" w:ascii="Times New Roman" w:hAnsi="Times New Roman"/>
                <w:sz w:val="24"/>
              </w:rPr>
              <w:t>b.</w:t>
            </w:r>
            <w:r>
              <w:rPr>
                <w:rFonts w:hint="eastAsia" w:ascii="Times New Roman" w:hAnsi="Times New Roman"/>
                <w:sz w:val="24"/>
              </w:rPr>
              <w:tab/>
            </w:r>
            <w:r>
              <w:rPr>
                <w:rFonts w:hint="eastAsia" w:ascii="Times New Roman" w:hAnsi="Times New Roman"/>
                <w:sz w:val="24"/>
              </w:rPr>
              <w:t>承德金隅水泥有限责任公司</w:t>
            </w:r>
          </w:p>
          <w:p>
            <w:pPr>
              <w:spacing w:line="360" w:lineRule="auto"/>
              <w:ind w:firstLine="480" w:firstLineChars="200"/>
              <w:jc w:val="left"/>
              <w:rPr>
                <w:rFonts w:ascii="Times New Roman" w:hAnsi="Times New Roman"/>
                <w:sz w:val="24"/>
              </w:rPr>
            </w:pPr>
            <w:r>
              <w:rPr>
                <w:rFonts w:hint="eastAsia" w:ascii="Times New Roman" w:hAnsi="Times New Roman"/>
                <w:sz w:val="24"/>
              </w:rPr>
              <w:t>年度核准经营规模为：30000t/年；可处理承德双然环保科技有限公司收集的HW02、HW03、HW04、HW05、HW06、HW08、HW09、HW11、HW12、HW13、HW16、HW17、HW32、HW34、HW35、HW37、HW49、HW50类废物。</w:t>
            </w:r>
          </w:p>
          <w:p>
            <w:pPr>
              <w:spacing w:line="360" w:lineRule="auto"/>
              <w:ind w:firstLine="480" w:firstLineChars="200"/>
              <w:jc w:val="left"/>
              <w:rPr>
                <w:rFonts w:ascii="Times New Roman" w:hAnsi="Times New Roman"/>
                <w:sz w:val="24"/>
              </w:rPr>
            </w:pPr>
            <w:r>
              <w:rPr>
                <w:rFonts w:hint="eastAsia" w:ascii="Times New Roman" w:hAnsi="Times New Roman"/>
                <w:sz w:val="24"/>
              </w:rPr>
              <w:t>c.</w:t>
            </w:r>
            <w:r>
              <w:rPr>
                <w:rFonts w:hint="eastAsia" w:ascii="Times New Roman" w:hAnsi="Times New Roman"/>
                <w:sz w:val="24"/>
              </w:rPr>
              <w:tab/>
            </w:r>
            <w:r>
              <w:rPr>
                <w:rFonts w:hint="eastAsia" w:ascii="Times New Roman" w:hAnsi="Times New Roman"/>
                <w:sz w:val="24"/>
              </w:rPr>
              <w:t>乐亭县海畅环保科技有限公司</w:t>
            </w:r>
          </w:p>
          <w:p>
            <w:pPr>
              <w:adjustRightIn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年度核准经营规模为：焚烧处置规模9000t；可处理承德双然环保科技有限公司收集的HW08、HW09、HW49类废物。</w:t>
            </w:r>
          </w:p>
          <w:p>
            <w:pPr>
              <w:adjustRightIn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综合上述分析，本项目危险废物由承德双然环保科技有限公司负责转运，承德双然环保科技有限公司分别与集中处置单位签署委托处置协议，本项目危废转运单位已取得运营许可，处置去向合理、稳定。</w:t>
            </w:r>
          </w:p>
          <w:p>
            <w:pPr>
              <w:adjustRightIn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4）危险废物收集、储存、转运过程应急预案</w:t>
            </w:r>
          </w:p>
          <w:p>
            <w:pPr>
              <w:adjustRightIn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危险废物收集、储存、转运过程应编制相应的应急预案及意外事故风险防范措施，针对危险废物收集、储运、中转过程产生的事故易发环节应定期组织应急演练。</w:t>
            </w:r>
          </w:p>
          <w:p>
            <w:pPr>
              <w:adjustRightIn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危险废物收集、储运、中转过程一旦发生意外事故，建设单位应根据风险应急预案立即采取如下措施：</w:t>
            </w:r>
          </w:p>
          <w:p>
            <w:pPr>
              <w:adjustRightIn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①设立事故警戒线，启动应急预案，并按要求向环保主管部门进行报告。</w:t>
            </w:r>
          </w:p>
          <w:p>
            <w:pPr>
              <w:adjustRightIn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②对事故受到污染的土壤和水体等进行相应的清理和修复。</w:t>
            </w:r>
          </w:p>
          <w:p>
            <w:pPr>
              <w:adjustRightIn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③清理过程产生的所有废物均应按危险废物进行管理和处置。</w:t>
            </w:r>
          </w:p>
          <w:p>
            <w:pPr>
              <w:adjustRightIn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④进入现场清理和包装危险废物的人员应受过专业培训，穿着防护服，佩戴防护用具。</w:t>
            </w:r>
          </w:p>
          <w:p>
            <w:pPr>
              <w:spacing w:line="360" w:lineRule="auto"/>
              <w:ind w:firstLine="480" w:firstLineChars="200"/>
              <w:rPr>
                <w:rFonts w:hint="eastAsia" w:ascii="Times New Roman" w:hAnsi="Times New Roman" w:cs="Times New Roman"/>
                <w:b/>
                <w:bCs/>
                <w:color w:val="auto"/>
                <w:sz w:val="24"/>
                <w:shd w:val="clear" w:color="auto" w:fill="FFFFFF"/>
                <w:lang w:val="en-US" w:eastAsia="zh-CN"/>
              </w:rPr>
            </w:pPr>
            <w:r>
              <w:rPr>
                <w:rFonts w:ascii="Times New Roman" w:hAnsi="Times New Roman" w:cs="Times New Roman"/>
                <w:sz w:val="24"/>
              </w:rPr>
              <w:t>综上所述，项目生产运行阶段固体废物均得到合理处置，对区域环境影响较小。</w:t>
            </w:r>
          </w:p>
          <w:p>
            <w:pPr>
              <w:spacing w:line="360" w:lineRule="auto"/>
              <w:ind w:firstLine="482" w:firstLineChars="200"/>
              <w:rPr>
                <w:rFonts w:hint="eastAsia" w:ascii="Times New Roman" w:hAnsi="Times New Roman" w:cs="Times New Roman"/>
                <w:b/>
                <w:bCs/>
                <w:color w:val="auto"/>
                <w:sz w:val="24"/>
                <w:shd w:val="clear" w:color="auto" w:fill="FFFFFF"/>
                <w:lang w:val="en-US" w:eastAsia="zh-CN"/>
              </w:rPr>
            </w:pPr>
            <w:r>
              <w:rPr>
                <w:rFonts w:hint="eastAsia" w:ascii="Times New Roman" w:hAnsi="Times New Roman" w:cs="Times New Roman"/>
                <w:b/>
                <w:bCs/>
                <w:color w:val="auto"/>
                <w:sz w:val="24"/>
                <w:shd w:val="clear" w:color="auto" w:fill="FFFFFF"/>
                <w:lang w:val="en-US" w:eastAsia="zh-CN"/>
              </w:rPr>
              <w:t>5、环境风险</w:t>
            </w:r>
          </w:p>
          <w:p>
            <w:pPr>
              <w:spacing w:line="360" w:lineRule="auto"/>
              <w:ind w:firstLine="482" w:firstLineChars="200"/>
              <w:rPr>
                <w:rFonts w:hint="eastAsia" w:ascii="Times New Roman" w:hAnsi="Times New Roman" w:cs="Times New Roman" w:eastAsiaTheme="minorEastAsia"/>
                <w:b/>
                <w:bCs/>
                <w:color w:val="auto"/>
                <w:sz w:val="24"/>
                <w:lang w:eastAsia="zh-CN"/>
              </w:rPr>
            </w:pP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）风险</w:t>
            </w:r>
            <w:r>
              <w:rPr>
                <w:rFonts w:hint="eastAsia" w:ascii="Times New Roman" w:hAnsi="Times New Roman" w:cs="Times New Roman"/>
                <w:b/>
                <w:bCs/>
                <w:color w:val="auto"/>
                <w:sz w:val="24"/>
                <w:lang w:val="en-US" w:eastAsia="zh-CN"/>
              </w:rPr>
              <w:t>源</w:t>
            </w:r>
          </w:p>
          <w:p>
            <w:pPr>
              <w:spacing w:line="360" w:lineRule="auto"/>
              <w:ind w:firstLine="480" w:firstLineChars="200"/>
              <w:rPr>
                <w:rFonts w:hint="default" w:ascii="Times New Roman" w:hAnsi="Times New Roman" w:cs="Times New Roman"/>
                <w:color w:val="auto"/>
                <w:sz w:val="24"/>
              </w:rPr>
            </w:pPr>
            <w:r>
              <w:rPr>
                <w:rFonts w:ascii="Times New Roman" w:hAnsi="Times New Roman" w:cs="Times New Roman"/>
                <w:sz w:val="24"/>
              </w:rPr>
              <w:t>本项目涉及环境风险的物质主要为废润滑油、废油桶</w:t>
            </w:r>
            <w:r>
              <w:rPr>
                <w:rFonts w:hint="eastAsia" w:ascii="Times New Roman" w:hAnsi="Times New Roman" w:cs="Times New Roman"/>
                <w:sz w:val="24"/>
                <w:lang w:eastAsia="zh-CN"/>
              </w:rPr>
              <w:t>，</w:t>
            </w:r>
            <w:r>
              <w:rPr>
                <w:rFonts w:ascii="Times New Roman" w:hAnsi="Times New Roman" w:cs="Times New Roman"/>
                <w:sz w:val="24"/>
              </w:rPr>
              <w:t>产生量分别为0.1t/a、</w:t>
            </w:r>
            <w:r>
              <w:rPr>
                <w:rFonts w:hint="eastAsia" w:ascii="Times New Roman" w:hAnsi="Times New Roman" w:cs="Times New Roman"/>
                <w:sz w:val="24"/>
                <w:lang w:val="en-US" w:eastAsia="zh-CN"/>
              </w:rPr>
              <w:t>0.05</w:t>
            </w:r>
            <w:r>
              <w:rPr>
                <w:rFonts w:ascii="Times New Roman" w:hAnsi="Times New Roman" w:cs="Times New Roman"/>
                <w:sz w:val="24"/>
              </w:rPr>
              <w:t>t/a。</w:t>
            </w:r>
          </w:p>
          <w:p>
            <w:pPr>
              <w:autoSpaceDE w:val="0"/>
              <w:autoSpaceDN w:val="0"/>
              <w:adjustRightInd w:val="0"/>
              <w:spacing w:line="360" w:lineRule="auto"/>
              <w:ind w:firstLine="482" w:firstLineChars="200"/>
              <w:rPr>
                <w:rFonts w:hint="default" w:ascii="Times New Roman" w:hAnsi="Times New Roman" w:cs="Times New Roman" w:eastAsiaTheme="minorEastAsia"/>
                <w:b/>
                <w:bCs/>
                <w:color w:val="auto"/>
                <w:kern w:val="0"/>
                <w:sz w:val="24"/>
                <w:lang w:val="en-US" w:eastAsia="zh-CN"/>
              </w:rPr>
            </w:pP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2</w:t>
            </w: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可能存在的风险事故</w:t>
            </w:r>
          </w:p>
          <w:p>
            <w:pPr>
              <w:autoSpaceDE w:val="0"/>
              <w:autoSpaceDN w:val="0"/>
              <w:adjustRightIn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废润滑油中含有致癌，致突变，致变形物质及废酸，重金属等物质，对人体危害极大，其中有机化合物如芳香族类很多对身体有毒害作用，这些物质不但会停留在肺，还会进入血液运行全身，会干扰人的造血系统。神经系统等等，导致血液病，重金属如铅镉等很难排除体外，严重影响神经系统。</w:t>
            </w:r>
          </w:p>
          <w:p>
            <w:pPr>
              <w:autoSpaceDE w:val="0"/>
              <w:autoSpaceDN w:val="0"/>
              <w:adjustRightIn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1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①</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泄露事故引发的次生污染</w:t>
            </w:r>
          </w:p>
          <w:p>
            <w:pPr>
              <w:autoSpaceDE w:val="0"/>
              <w:autoSpaceDN w:val="0"/>
              <w:adjustRightIn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本项目废润滑油和废油桶贮存于危险废物暂存间内，可能因为容器损坏，防渗层破裂、管理疏忽等原因导致泄漏，可能造成地下水、河流及土壤污染。</w:t>
            </w:r>
          </w:p>
          <w:p>
            <w:pPr>
              <w:autoSpaceDE w:val="0"/>
              <w:autoSpaceDN w:val="0"/>
              <w:adjustRightIn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fldChar w:fldCharType="begin"/>
            </w:r>
            <w:r>
              <w:rPr>
                <w:rFonts w:hint="default" w:ascii="Times New Roman" w:hAnsi="Times New Roman" w:cs="Times New Roman"/>
                <w:color w:val="000000"/>
                <w:kern w:val="0"/>
                <w:sz w:val="24"/>
              </w:rPr>
              <w:instrText xml:space="preserve"> = 2 \* GB3 </w:instrText>
            </w:r>
            <w:r>
              <w:rPr>
                <w:rFonts w:hint="default" w:ascii="Times New Roman" w:hAnsi="Times New Roman" w:cs="Times New Roman"/>
                <w:color w:val="000000"/>
                <w:kern w:val="0"/>
                <w:sz w:val="24"/>
              </w:rPr>
              <w:fldChar w:fldCharType="separate"/>
            </w:r>
            <w:r>
              <w:rPr>
                <w:rFonts w:hint="default" w:ascii="Times New Roman" w:hAnsi="Times New Roman" w:cs="Times New Roman"/>
                <w:color w:val="000000"/>
                <w:kern w:val="0"/>
                <w:sz w:val="24"/>
              </w:rPr>
              <w:t>②</w:t>
            </w:r>
            <w:r>
              <w:rPr>
                <w:rFonts w:hint="default" w:ascii="Times New Roman" w:hAnsi="Times New Roman" w:cs="Times New Roman"/>
                <w:color w:val="000000"/>
                <w:kern w:val="0"/>
                <w:sz w:val="24"/>
              </w:rPr>
              <w:fldChar w:fldCharType="end"/>
            </w:r>
            <w:r>
              <w:rPr>
                <w:rFonts w:hint="default" w:ascii="Times New Roman" w:hAnsi="Times New Roman" w:cs="Times New Roman"/>
                <w:color w:val="000000"/>
                <w:kern w:val="0"/>
                <w:sz w:val="24"/>
              </w:rPr>
              <w:t>火灾事故引发的次生污染</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sz w:val="24"/>
                <w:lang w:bidi="ar"/>
              </w:rPr>
              <w:t>泄漏的废润滑油遇明火、高热可能引起火灾燃烧，</w:t>
            </w:r>
            <w:r>
              <w:rPr>
                <w:rFonts w:hint="eastAsia" w:ascii="Times New Roman" w:hAnsi="Times New Roman"/>
                <w:sz w:val="24"/>
                <w:szCs w:val="24"/>
              </w:rPr>
              <w:t>发生火灾、爆炸危害事故，进而引发的次生污染物的排放，造成的次生环境污染事故</w:t>
            </w:r>
            <w:r>
              <w:rPr>
                <w:rFonts w:hint="default" w:ascii="Times New Roman" w:hAnsi="Times New Roman" w:cs="Times New Roman"/>
                <w:sz w:val="24"/>
                <w:lang w:bidi="ar"/>
              </w:rPr>
              <w:t>，产生的污染物主要为燃烧烟气和消防废水</w:t>
            </w:r>
            <w:r>
              <w:rPr>
                <w:rFonts w:hint="eastAsia" w:ascii="Times New Roman" w:hAnsi="Times New Roman" w:cs="Times New Roman"/>
                <w:sz w:val="24"/>
                <w:lang w:eastAsia="zh-CN" w:bidi="ar"/>
              </w:rPr>
              <w:t>，</w:t>
            </w:r>
            <w:r>
              <w:rPr>
                <w:rFonts w:hint="default" w:ascii="Times New Roman" w:hAnsi="Times New Roman" w:cs="Times New Roman"/>
                <w:sz w:val="24"/>
                <w:lang w:bidi="ar"/>
              </w:rPr>
              <w:t>将造成区域大气、地表水环境污染。</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bidi="ar"/>
              </w:rPr>
              <w:t>环境风险防范措施及应急要求</w:t>
            </w:r>
          </w:p>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废润滑油和废油桶贮存于危险废物暂存间内，配备规定数量、质量要求的灭火器材，并有专人负责监督；贴有危险废物标识，加强对危险废物暂存间的日常检查和定期检查。</w:t>
            </w:r>
          </w:p>
          <w:p>
            <w:pPr>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项目润滑油发生泄露遗撒事故时，短时间内溢流将存于危险废物贮存间内，长时间未发现时才溢流到危险废物贮存间外，短时间不会对环境造成污染</w:t>
            </w:r>
            <w:r>
              <w:rPr>
                <w:rFonts w:hint="eastAsia" w:ascii="Times New Roman" w:hAnsi="Times New Roman"/>
                <w:sz w:val="24"/>
                <w:szCs w:val="24"/>
                <w:lang w:eastAsia="zh-CN"/>
              </w:rPr>
              <w:t>，</w:t>
            </w:r>
            <w:r>
              <w:rPr>
                <w:rFonts w:hint="eastAsia" w:ascii="Times New Roman" w:hAnsi="Times New Roman"/>
                <w:sz w:val="24"/>
                <w:szCs w:val="24"/>
              </w:rPr>
              <w:t>及时收集</w:t>
            </w:r>
            <w:r>
              <w:rPr>
                <w:rFonts w:hint="eastAsia" w:ascii="Times New Roman" w:hAnsi="Times New Roman"/>
                <w:sz w:val="24"/>
                <w:szCs w:val="24"/>
                <w:lang w:val="en-US" w:eastAsia="zh-CN"/>
              </w:rPr>
              <w:t>废润滑油，</w:t>
            </w:r>
            <w:r>
              <w:rPr>
                <w:rFonts w:hint="eastAsia" w:ascii="Times New Roman" w:hAnsi="Times New Roman"/>
                <w:sz w:val="24"/>
                <w:szCs w:val="24"/>
              </w:rPr>
              <w:t>用吸附物质围堵，采用专门的收集装置进行收集，交由资质单位</w:t>
            </w:r>
            <w:r>
              <w:rPr>
                <w:rFonts w:hint="eastAsia" w:ascii="Times New Roman" w:hAnsi="Times New Roman"/>
                <w:sz w:val="24"/>
                <w:szCs w:val="24"/>
                <w:lang w:val="en-US" w:eastAsia="zh-CN"/>
              </w:rPr>
              <w:t>处置</w:t>
            </w:r>
            <w:r>
              <w:rPr>
                <w:rFonts w:hint="eastAsia" w:ascii="Times New Roman" w:hAnsi="Times New Roman"/>
                <w:sz w:val="24"/>
                <w:szCs w:val="24"/>
              </w:rPr>
              <w:t>。</w:t>
            </w:r>
          </w:p>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提高工作人员环境风险意识，制定各项环保制度。对从业人员进行岗位职工教育与培训，使他们均具备危险意识及如何应对危险的知识，并进行相关泄露事故的教育。设立应急事故专门记录，建立档案和报告制度，由专门部门或人员负责管理。</w:t>
            </w:r>
          </w:p>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执行环保事故报告制度，一经发现环保事故，立即向企业负责人、当地政府或上级有关部门报告，不瞒报、漏报，及时组织进行处置。具体负责人员或部门统一指挥对事故现场的应急救援，并立即查明原因，提出对策，及时组织各方面力量处理泄露事故，控制事故的蔓延和扩大。</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sz w:val="24"/>
              </w:rPr>
              <w:t>项目主体单位应成立本厂的突发环境事件应急小组指挥部，责任到人，确保应急小组分工明确，以有效应对突发事件的发生，同时，项目应依据《中华人民共和国突发事件应对法》、《企业事业单位突发环境事件应急预案备案管理办法》（试行）的相关要求，进行《突发环境事件应急预案》的编制及备案工作。对于本项目可能造成环境风险的突发性事故制定应急预案纲要，供项目决策人参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）环境风险分析结论</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建设单位</w:t>
            </w:r>
            <w:r>
              <w:rPr>
                <w:rFonts w:hint="default" w:ascii="Times New Roman" w:hAnsi="Times New Roman" w:cs="Times New Roman"/>
                <w:color w:val="auto"/>
                <w:sz w:val="24"/>
              </w:rPr>
              <w:t>在加强厂区风险管理、制定事故应急预案的基础上，事故发生概率较低。基于完善风险防范措施和应急预案的前提下，环境风险水平是可以接受的</w:t>
            </w:r>
            <w:r>
              <w:rPr>
                <w:rFonts w:hint="eastAsia" w:ascii="Times New Roman" w:hAnsi="Times New Roman" w:cs="Times New Roman"/>
                <w:color w:val="auto"/>
                <w:sz w:val="24"/>
                <w:lang w:eastAsia="zh-CN"/>
              </w:rPr>
              <w:t>。</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eastAsia="zh-CN"/>
              </w:rPr>
            </w:pPr>
          </w:p>
          <w:p>
            <w:pPr>
              <w:keepNext w:val="0"/>
              <w:keepLines w:val="0"/>
              <w:pageBreakBefore w:val="0"/>
              <w:widowControl w:val="0"/>
              <w:kinsoku/>
              <w:wordWrap/>
              <w:overflowPunct/>
              <w:topLinePunct w:val="0"/>
              <w:bidi w:val="0"/>
              <w:snapToGrid w:val="0"/>
              <w:spacing w:line="360" w:lineRule="auto"/>
              <w:textAlignment w:val="auto"/>
              <w:rPr>
                <w:rFonts w:ascii="Times New Roman" w:hAnsi="Times New Roman" w:eastAsia="宋体" w:cs="Times New Roman"/>
                <w:bCs/>
                <w:color w:val="auto"/>
                <w:spacing w:val="-10"/>
                <w:szCs w:val="21"/>
              </w:rPr>
            </w:pPr>
          </w:p>
        </w:tc>
      </w:tr>
    </w:tbl>
    <w:p>
      <w:pPr>
        <w:spacing w:line="360" w:lineRule="auto"/>
        <w:rPr>
          <w:rFonts w:ascii="Times New Roman" w:hAnsi="Times New Roman" w:eastAsia="宋体" w:cs="Times New Roman"/>
          <w:b/>
          <w:color w:val="auto"/>
          <w:sz w:val="28"/>
          <w:szCs w:val="28"/>
        </w:rPr>
        <w:sectPr>
          <w:pgSz w:w="11915" w:h="16840"/>
          <w:pgMar w:top="1702" w:right="1531" w:bottom="1701" w:left="1531" w:header="851" w:footer="851" w:gutter="0"/>
          <w:pgBorders>
            <w:top w:val="none" w:sz="0" w:space="0"/>
            <w:left w:val="none" w:sz="0" w:space="0"/>
            <w:bottom w:val="none" w:sz="0" w:space="0"/>
            <w:right w:val="none" w:sz="0" w:space="0"/>
          </w:pgBorders>
          <w:cols w:space="425" w:num="1"/>
          <w:docGrid w:type="lines" w:linePitch="312" w:charSpace="0"/>
        </w:sectPr>
      </w:pPr>
    </w:p>
    <w:p>
      <w:pPr>
        <w:pStyle w:val="19"/>
        <w:spacing w:beforeAutospacing="0" w:afterAutospacing="0" w:line="360" w:lineRule="auto"/>
        <w:jc w:val="center"/>
        <w:outlineLvl w:val="0"/>
        <w:rPr>
          <w:rFonts w:hint="default" w:ascii="Times New Roman" w:hAnsi="Times New Roman" w:eastAsia="黑体"/>
          <w:snapToGrid w:val="0"/>
          <w:color w:val="auto"/>
          <w:sz w:val="30"/>
          <w:szCs w:val="30"/>
        </w:rPr>
      </w:pPr>
      <w:r>
        <w:rPr>
          <w:rFonts w:hint="default" w:ascii="Times New Roman" w:hAnsi="Times New Roman" w:eastAsia="黑体"/>
          <w:snapToGrid w:val="0"/>
          <w:color w:val="auto"/>
          <w:sz w:val="30"/>
          <w:szCs w:val="30"/>
        </w:rPr>
        <w:t>五、</w:t>
      </w:r>
      <w:bookmarkStart w:id="30" w:name="_Hlk54167917"/>
      <w:r>
        <w:rPr>
          <w:rFonts w:hint="default" w:ascii="Times New Roman" w:hAnsi="Times New Roman" w:eastAsia="黑体"/>
          <w:snapToGrid w:val="0"/>
          <w:color w:val="auto"/>
          <w:sz w:val="30"/>
          <w:szCs w:val="30"/>
        </w:rPr>
        <w:t>环境保护措施监督检查清单</w:t>
      </w:r>
      <w:bookmarkEnd w:id="30"/>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380"/>
        <w:gridCol w:w="1636"/>
        <w:gridCol w:w="2260"/>
        <w:gridCol w:w="24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tcBorders>
              <w:top w:val="single" w:color="auto" w:sz="8" w:space="0"/>
              <w:left w:val="single" w:color="auto" w:sz="8" w:space="0"/>
              <w:bottom w:val="single" w:color="auto" w:sz="4" w:space="0"/>
              <w:right w:val="single" w:color="auto" w:sz="4" w:space="0"/>
              <w:tl2br w:val="single" w:color="auto" w:sz="4" w:space="0"/>
            </w:tcBorders>
            <w:shd w:val="clear" w:color="auto" w:fill="auto"/>
          </w:tcPr>
          <w:p>
            <w:pPr>
              <w:adjustRightInd w:val="0"/>
              <w:snapToGrid w:val="0"/>
              <w:spacing w:line="240" w:lineRule="atLeas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380"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排放口(编号、名称)/污染源</w:t>
            </w:r>
          </w:p>
        </w:tc>
        <w:tc>
          <w:tcPr>
            <w:tcW w:w="1636"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260"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450"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restart"/>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卤煮过程</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臭气浓度</w:t>
            </w:r>
          </w:p>
        </w:tc>
        <w:tc>
          <w:tcPr>
            <w:tcW w:w="2260" w:type="dxa"/>
            <w:tcBorders>
              <w:top w:val="single" w:color="auto" w:sz="4" w:space="0"/>
              <w:left w:val="single" w:color="auto" w:sz="4" w:space="0"/>
              <w:right w:val="single" w:color="auto" w:sz="4" w:space="0"/>
            </w:tcBorders>
            <w:shd w:val="clear" w:color="auto" w:fill="auto"/>
            <w:vAlign w:val="center"/>
          </w:tcPr>
          <w:p>
            <w:pPr>
              <w:widowControl/>
              <w:snapToGrid w:val="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高效油烟净化器+20m高排气筒（DA001）</w:t>
            </w:r>
          </w:p>
        </w:tc>
        <w:tc>
          <w:tcPr>
            <w:tcW w:w="2450" w:type="dxa"/>
            <w:tcBorders>
              <w:left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rPr>
              <w:t>《恶臭污染物排放标准》中排放标准值</w:t>
            </w:r>
            <w:r>
              <w:rPr>
                <w:rFonts w:hint="eastAsia" w:ascii="Times New Roman" w:hAnsi="Times New Roman" w:cs="Times New Roman"/>
                <w:color w:val="auto"/>
                <w:lang w:val="en-US" w:eastAsia="zh-CN"/>
              </w:rPr>
              <w:t>表2标准限值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蒸汽</w:t>
            </w:r>
            <w:r>
              <w:rPr>
                <w:rFonts w:hint="default" w:ascii="Times New Roman" w:hAnsi="Times New Roman" w:cs="Times New Roman"/>
                <w:color w:val="auto"/>
                <w:sz w:val="21"/>
                <w:szCs w:val="21"/>
                <w:lang w:val="en-US" w:eastAsia="zh-CN"/>
              </w:rPr>
              <w:t>锅炉</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SO</w:t>
            </w:r>
            <w:r>
              <w:rPr>
                <w:rFonts w:hint="default" w:ascii="Times New Roman" w:hAnsi="Times New Roman" w:cs="Times New Roman"/>
                <w:color w:val="auto"/>
                <w:kern w:val="2"/>
                <w:sz w:val="21"/>
                <w:szCs w:val="21"/>
                <w:vertAlign w:val="subscript"/>
                <w:lang w:val="en-US" w:eastAsia="zh-CN" w:bidi="ar-SA"/>
              </w:rPr>
              <w:t>2</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NO</w:t>
            </w:r>
            <w:r>
              <w:rPr>
                <w:rFonts w:hint="default" w:ascii="Times New Roman" w:hAnsi="Times New Roman" w:cs="Times New Roman"/>
                <w:color w:val="auto"/>
                <w:sz w:val="21"/>
                <w:szCs w:val="21"/>
                <w:vertAlign w:val="subscript"/>
                <w:lang w:val="en-US" w:eastAsia="zh-CN"/>
              </w:rPr>
              <w:t>X</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烟气黑度</w:t>
            </w:r>
          </w:p>
        </w:tc>
        <w:tc>
          <w:tcPr>
            <w:tcW w:w="2260" w:type="dxa"/>
            <w:vMerge w:val="restart"/>
            <w:tcBorders>
              <w:top w:val="single" w:color="auto" w:sz="4" w:space="0"/>
              <w:left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宋体" w:cs="Times New Roman"/>
                <w:color w:val="auto"/>
                <w:sz w:val="21"/>
                <w:szCs w:val="21"/>
                <w:highlight w:val="yellow"/>
                <w:lang w:val="en-US"/>
              </w:rPr>
            </w:pPr>
            <w:r>
              <w:rPr>
                <w:rFonts w:hint="eastAsia" w:ascii="Times New Roman" w:hAnsi="Times New Roman" w:cs="Times New Roman"/>
                <w:b w:val="0"/>
                <w:bCs/>
                <w:color w:val="auto"/>
                <w:sz w:val="21"/>
                <w:szCs w:val="21"/>
                <w:highlight w:val="none"/>
                <w:lang w:val="en-US" w:eastAsia="zh-CN"/>
              </w:rPr>
              <w:t>布袋除尘器+SNCR烟气脱硝设施+35m高排气筒（DA002）</w:t>
            </w:r>
          </w:p>
        </w:tc>
        <w:tc>
          <w:tcPr>
            <w:tcW w:w="2450" w:type="dxa"/>
            <w:vMerge w:val="restart"/>
            <w:tcBorders>
              <w:left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《锅炉大气污染物排放标准》（</w:t>
            </w:r>
            <w:r>
              <w:rPr>
                <w:rFonts w:hint="default" w:ascii="Times New Roman" w:hAnsi="Times New Roman" w:cs="Times New Roman"/>
                <w:color w:val="auto"/>
                <w:kern w:val="2"/>
                <w:sz w:val="21"/>
                <w:szCs w:val="21"/>
                <w:lang w:val="en-US" w:eastAsia="zh-CN" w:bidi="ar-SA"/>
              </w:rPr>
              <w:t>D</w:t>
            </w:r>
            <w:r>
              <w:rPr>
                <w:rFonts w:hint="default" w:ascii="Times New Roman" w:hAnsi="Times New Roman" w:eastAsia="宋体" w:cs="Times New Roman"/>
                <w:color w:val="auto"/>
                <w:kern w:val="2"/>
                <w:sz w:val="21"/>
                <w:szCs w:val="21"/>
                <w:lang w:val="en-US" w:eastAsia="zh-CN" w:bidi="ar-SA"/>
              </w:rPr>
              <w:t>B13/5161-2020）中表1中限值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热水锅炉</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SO</w:t>
            </w:r>
            <w:r>
              <w:rPr>
                <w:rFonts w:hint="default" w:ascii="Times New Roman" w:hAnsi="Times New Roman" w:cs="Times New Roman"/>
                <w:color w:val="auto"/>
                <w:kern w:val="2"/>
                <w:sz w:val="21"/>
                <w:szCs w:val="21"/>
                <w:vertAlign w:val="subscript"/>
                <w:lang w:val="en-US" w:eastAsia="zh-CN" w:bidi="ar-SA"/>
              </w:rPr>
              <w:t>2</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NO</w:t>
            </w:r>
            <w:r>
              <w:rPr>
                <w:rFonts w:hint="default" w:ascii="Times New Roman" w:hAnsi="Times New Roman" w:cs="Times New Roman"/>
                <w:color w:val="auto"/>
                <w:sz w:val="21"/>
                <w:szCs w:val="21"/>
                <w:vertAlign w:val="subscript"/>
                <w:lang w:val="en-US" w:eastAsia="zh-CN"/>
              </w:rPr>
              <w:t>X</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烟气黑度</w:t>
            </w:r>
          </w:p>
        </w:tc>
        <w:tc>
          <w:tcPr>
            <w:tcW w:w="2260" w:type="dxa"/>
            <w:vMerge w:val="continue"/>
            <w:tcBorders>
              <w:left w:val="single" w:color="auto" w:sz="4" w:space="0"/>
              <w:bottom w:val="single" w:color="auto" w:sz="4" w:space="0"/>
              <w:right w:val="single" w:color="auto" w:sz="4" w:space="0"/>
            </w:tcBorders>
            <w:shd w:val="clear" w:color="auto" w:fill="auto"/>
            <w:vAlign w:val="center"/>
          </w:tcPr>
          <w:p>
            <w:pPr>
              <w:widowControl/>
              <w:snapToGrid w:val="0"/>
              <w:jc w:val="center"/>
              <w:rPr>
                <w:rFonts w:hint="eastAsia" w:ascii="Times New Roman" w:hAnsi="Times New Roman" w:cs="Times New Roman"/>
                <w:b w:val="0"/>
                <w:bCs/>
                <w:color w:val="auto"/>
                <w:sz w:val="21"/>
                <w:szCs w:val="21"/>
                <w:highlight w:val="yellow"/>
                <w:lang w:val="en-US" w:eastAsia="zh-CN"/>
              </w:rPr>
            </w:pPr>
          </w:p>
        </w:tc>
        <w:tc>
          <w:tcPr>
            <w:tcW w:w="2450" w:type="dxa"/>
            <w:vMerge w:val="continue"/>
            <w:tcBorders>
              <w:left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氨、硫化氢、臭气浓度</w:t>
            </w:r>
          </w:p>
        </w:tc>
        <w:tc>
          <w:tcPr>
            <w:tcW w:w="2260" w:type="dxa"/>
            <w:tcBorders>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除臭系统+20m高排气筒（DA003）</w:t>
            </w:r>
          </w:p>
        </w:tc>
        <w:tc>
          <w:tcPr>
            <w:tcW w:w="2450" w:type="dxa"/>
            <w:tcBorders>
              <w:left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rPr>
              <w:t>《恶臭污染物排放标准》中排放标准值</w:t>
            </w:r>
            <w:r>
              <w:rPr>
                <w:rFonts w:hint="eastAsia" w:ascii="Times New Roman" w:hAnsi="Times New Roman" w:cs="Times New Roman"/>
                <w:color w:val="auto"/>
                <w:lang w:val="en-US" w:eastAsia="zh-CN"/>
              </w:rPr>
              <w:t>表2标准限值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 w:val="21"/>
                <w:szCs w:val="21"/>
                <w:lang w:val="en-US" w:eastAsia="zh-CN"/>
              </w:rPr>
              <w:t>生物质库</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颗粒物</w:t>
            </w:r>
          </w:p>
        </w:tc>
        <w:tc>
          <w:tcPr>
            <w:tcW w:w="22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val="0"/>
                <w:bCs/>
                <w:color w:val="auto"/>
                <w:sz w:val="21"/>
                <w:szCs w:val="21"/>
                <w:lang w:val="en-US" w:eastAsia="zh-CN"/>
              </w:rPr>
              <w:t>封闭</w:t>
            </w:r>
            <w:r>
              <w:rPr>
                <w:rFonts w:hint="eastAsia" w:ascii="Times New Roman" w:hAnsi="Times New Roman" w:eastAsia="宋体" w:cs="Times New Roman"/>
                <w:b w:val="0"/>
                <w:bCs/>
                <w:color w:val="auto"/>
                <w:sz w:val="21"/>
                <w:szCs w:val="21"/>
                <w:lang w:val="en-US" w:eastAsia="zh-CN"/>
              </w:rPr>
              <w:t>库房</w:t>
            </w:r>
          </w:p>
        </w:tc>
        <w:tc>
          <w:tcPr>
            <w:tcW w:w="2450" w:type="dxa"/>
            <w:tcBorders>
              <w:left w:val="single" w:color="auto" w:sz="4" w:space="0"/>
              <w:right w:val="single" w:color="auto" w:sz="8" w:space="0"/>
            </w:tcBorders>
            <w:shd w:val="clear" w:color="auto" w:fill="auto"/>
            <w:vAlign w:val="center"/>
          </w:tcPr>
          <w:p>
            <w:pPr>
              <w:snapToGrid w:val="0"/>
              <w:spacing w:line="29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rPr>
              <w:t>《大气污染物综合排放标准》（GB16297-1996）表2无组织排放监控浓度限值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1074" w:type="dxa"/>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38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b w:val="0"/>
                <w:bCs/>
                <w:color w:val="auto"/>
                <w:sz w:val="21"/>
                <w:szCs w:val="21"/>
                <w:lang w:val="en-US" w:eastAsia="zh-CN"/>
              </w:rPr>
              <w:t>综合废水</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rPr>
            </w:pPr>
            <w:r>
              <w:rPr>
                <w:rFonts w:hint="eastAsia" w:ascii="Times New Roman" w:hAnsi="Times New Roman" w:eastAsia="宋体" w:cs="Times New Roman"/>
                <w:color w:val="auto"/>
                <w:kern w:val="24"/>
                <w:szCs w:val="21"/>
                <w:lang w:val="en-US" w:eastAsia="zh-CN"/>
              </w:rPr>
              <w:t>pH</w:t>
            </w:r>
            <w:r>
              <w:rPr>
                <w:rFonts w:ascii="Times New Roman" w:hAnsi="Times New Roman" w:eastAsia="宋体" w:cs="Times New Roman"/>
                <w:color w:val="auto"/>
                <w:kern w:val="24"/>
                <w:szCs w:val="21"/>
              </w:rPr>
              <w:t>、COD、</w:t>
            </w:r>
            <w:r>
              <w:rPr>
                <w:rFonts w:hint="eastAsia" w:ascii="Times New Roman" w:hAnsi="Times New Roman" w:eastAsia="宋体" w:cs="Times New Roman"/>
                <w:color w:val="auto"/>
                <w:kern w:val="24"/>
                <w:szCs w:val="21"/>
                <w:lang w:val="en-US" w:eastAsia="zh-CN"/>
              </w:rPr>
              <w:t>氨氮、悬浮物、总溶解性固体（全盐量）、动植物油、BOD</w:t>
            </w:r>
            <w:r>
              <w:rPr>
                <w:rFonts w:hint="eastAsia" w:ascii="Times New Roman" w:hAnsi="Times New Roman" w:eastAsia="宋体" w:cs="Times New Roman"/>
                <w:color w:val="auto"/>
                <w:kern w:val="24"/>
                <w:szCs w:val="21"/>
                <w:vertAlign w:val="subscript"/>
                <w:lang w:val="en-US" w:eastAsia="zh-CN"/>
              </w:rPr>
              <w:t>5</w:t>
            </w:r>
            <w:r>
              <w:rPr>
                <w:rFonts w:hint="eastAsia" w:ascii="Times New Roman" w:hAnsi="Times New Roman" w:eastAsia="宋体" w:cs="Times New Roman"/>
                <w:color w:val="auto"/>
                <w:kern w:val="24"/>
                <w:szCs w:val="21"/>
                <w:vertAlign w:val="baseline"/>
                <w:lang w:val="en-US" w:eastAsia="zh-CN"/>
              </w:rPr>
              <w:t>、</w:t>
            </w:r>
            <w:r>
              <w:rPr>
                <w:rFonts w:hint="eastAsia" w:ascii="Times New Roman" w:hAnsi="Times New Roman" w:eastAsia="宋体" w:cs="Times New Roman"/>
                <w:color w:val="auto"/>
                <w:kern w:val="24"/>
                <w:szCs w:val="21"/>
                <w:lang w:val="en-US" w:eastAsia="zh-CN"/>
              </w:rPr>
              <w:t>磷酸盐</w:t>
            </w:r>
          </w:p>
        </w:tc>
        <w:tc>
          <w:tcPr>
            <w:tcW w:w="22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lang w:val="en-US"/>
              </w:rPr>
            </w:pPr>
            <w:r>
              <w:rPr>
                <w:rFonts w:hint="eastAsia" w:ascii="Times New Roman" w:hAnsi="Times New Roman" w:cs="Times New Roman"/>
                <w:color w:val="auto"/>
                <w:szCs w:val="21"/>
                <w:lang w:val="en-US" w:eastAsia="zh-CN"/>
              </w:rPr>
              <w:t>食堂废水经隔油池处理后与生活污水一同进入化粪池进行预处理，生产废水与预处理后的生活污水一同经厂区污水处理站处理后</w:t>
            </w:r>
            <w:r>
              <w:rPr>
                <w:rFonts w:hint="eastAsia" w:ascii="Times New Roman" w:hAnsi="Times New Roman" w:eastAsia="宋体" w:cs="Times New Roman"/>
                <w:color w:val="auto"/>
                <w:kern w:val="2"/>
                <w:sz w:val="21"/>
                <w:szCs w:val="21"/>
                <w:highlight w:val="none"/>
                <w:lang w:val="en-US" w:eastAsia="zh-CN" w:bidi="ar-SA"/>
              </w:rPr>
              <w:t>通过</w:t>
            </w:r>
            <w:r>
              <w:rPr>
                <w:rFonts w:hint="default" w:ascii="Times New Roman" w:hAnsi="Times New Roman" w:eastAsia="宋体" w:cs="Times New Roman"/>
                <w:color w:val="auto"/>
                <w:kern w:val="2"/>
                <w:sz w:val="21"/>
                <w:szCs w:val="21"/>
                <w:highlight w:val="none"/>
                <w:lang w:val="en-US" w:eastAsia="zh-CN" w:bidi="ar-SA"/>
              </w:rPr>
              <w:t>管网排放至半截塔污水处理厂</w:t>
            </w:r>
            <w:r>
              <w:rPr>
                <w:rFonts w:hint="eastAsia" w:ascii="Times New Roman" w:hAnsi="Times New Roman" w:eastAsia="宋体" w:cs="Times New Roman"/>
                <w:color w:val="auto"/>
                <w:kern w:val="2"/>
                <w:sz w:val="21"/>
                <w:szCs w:val="21"/>
                <w:highlight w:val="none"/>
                <w:lang w:val="en-US" w:eastAsia="zh-CN" w:bidi="ar-SA"/>
              </w:rPr>
              <w:t>，污水处理站采用“</w:t>
            </w:r>
            <w:r>
              <w:rPr>
                <w:rFonts w:hint="eastAsia" w:ascii="Times New Roman" w:hAnsi="Times New Roman" w:cs="Times New Roman"/>
                <w:color w:val="auto"/>
                <w:sz w:val="21"/>
                <w:szCs w:val="21"/>
                <w:lang w:val="en-US" w:eastAsia="zh-CN"/>
              </w:rPr>
              <w:t>机械格栅</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调节池+气浮+固液分离+A2O+MBR+消毒</w:t>
            </w:r>
            <w:r>
              <w:rPr>
                <w:rFonts w:hint="eastAsia" w:ascii="Times New Roman" w:hAnsi="Times New Roman" w:eastAsia="宋体" w:cs="Times New Roman"/>
                <w:color w:val="auto"/>
                <w:kern w:val="2"/>
                <w:sz w:val="21"/>
                <w:szCs w:val="21"/>
                <w:highlight w:val="none"/>
                <w:lang w:val="en-US" w:eastAsia="zh-CN" w:bidi="ar-SA"/>
              </w:rPr>
              <w:t>”工艺</w:t>
            </w:r>
          </w:p>
        </w:tc>
        <w:tc>
          <w:tcPr>
            <w:tcW w:w="2450" w:type="dxa"/>
            <w:tcBorders>
              <w:left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《污水综合排放标准》（GB2978-1996）表4中三级标准</w:t>
            </w:r>
            <w:r>
              <w:rPr>
                <w:rFonts w:hint="eastAsia" w:ascii="Times New Roman" w:hAnsi="Times New Roman" w:eastAsia="宋体" w:cs="Times New Roman"/>
                <w:color w:val="auto"/>
                <w:szCs w:val="21"/>
                <w:lang w:val="en-US" w:eastAsia="zh-CN"/>
              </w:rPr>
              <w:t>及</w:t>
            </w:r>
            <w:r>
              <w:rPr>
                <w:rFonts w:hint="eastAsia" w:ascii="Times New Roman" w:hAnsi="Times New Roman" w:eastAsia="宋体" w:cs="Times New Roman"/>
                <w:color w:val="auto"/>
                <w:szCs w:val="21"/>
                <w:lang w:eastAsia="zh-CN"/>
              </w:rPr>
              <w:t>半截塔污水处理厂</w:t>
            </w:r>
            <w:r>
              <w:rPr>
                <w:rFonts w:hint="default" w:ascii="Times New Roman" w:hAnsi="Times New Roman" w:eastAsia="宋体" w:cs="Times New Roman"/>
                <w:color w:val="auto"/>
                <w:szCs w:val="21"/>
                <w:lang w:val="en-US" w:eastAsia="zh-CN"/>
              </w:rPr>
              <w:t>进水水质标准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生产设备</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A声级</w:t>
            </w:r>
          </w:p>
        </w:tc>
        <w:tc>
          <w:tcPr>
            <w:tcW w:w="226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锅炉房</w:t>
            </w:r>
            <w:r>
              <w:rPr>
                <w:rFonts w:hint="default" w:ascii="Times New Roman" w:hAnsi="Times New Roman" w:cs="Times New Roman"/>
                <w:color w:val="auto"/>
                <w:sz w:val="21"/>
                <w:szCs w:val="21"/>
              </w:rPr>
              <w:t>封闭、设备基础减振</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合理布局</w:t>
            </w:r>
            <w:r>
              <w:rPr>
                <w:rFonts w:hint="default" w:ascii="Times New Roman" w:hAnsi="Times New Roman" w:cs="Times New Roman"/>
                <w:color w:val="auto"/>
                <w:sz w:val="21"/>
                <w:szCs w:val="21"/>
              </w:rPr>
              <w:t>等措施</w:t>
            </w:r>
          </w:p>
        </w:tc>
        <w:tc>
          <w:tcPr>
            <w:tcW w:w="2450" w:type="dxa"/>
            <w:tcBorders>
              <w:top w:val="single" w:color="auto" w:sz="4" w:space="0"/>
              <w:left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《工业企业厂界环境噪声排放标准》（GB12348-2008）中</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运输车辆</w:t>
            </w:r>
          </w:p>
        </w:tc>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A声级</w:t>
            </w:r>
          </w:p>
        </w:tc>
        <w:tc>
          <w:tcPr>
            <w:tcW w:w="226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车辆减速慢行，禁止鸣笛</w:t>
            </w:r>
          </w:p>
        </w:tc>
        <w:tc>
          <w:tcPr>
            <w:tcW w:w="2450" w:type="dxa"/>
            <w:tcBorders>
              <w:top w:val="single" w:color="auto" w:sz="4" w:space="0"/>
              <w:left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380" w:type="dxa"/>
            <w:tcBorders>
              <w:top w:val="single" w:color="auto" w:sz="4" w:space="0"/>
              <w:left w:val="single" w:color="auto" w:sz="4" w:space="0"/>
              <w:bottom w:val="single" w:color="auto" w:sz="4" w:space="0"/>
              <w:right w:val="single" w:color="auto" w:sz="8" w:space="0"/>
            </w:tcBorders>
            <w:shd w:val="clear" w:color="auto" w:fill="auto"/>
            <w:vAlign w:val="center"/>
          </w:tcPr>
          <w:p>
            <w:pPr>
              <w:widowControl/>
              <w:snapToGrid w:val="0"/>
              <w:jc w:val="center"/>
              <w:rPr>
                <w:rFonts w:hint="default" w:ascii="Times New Roman" w:hAnsi="Times New Roman" w:cs="Times New Roman"/>
                <w:color w:val="auto"/>
                <w:sz w:val="21"/>
                <w:szCs w:val="21"/>
              </w:rPr>
            </w:pPr>
            <w:r>
              <w:rPr>
                <w:rFonts w:hint="default" w:ascii="Times New Roman" w:hAnsi="Times New Roman" w:cs="Times New Roman"/>
                <w:snapToGrid w:val="0"/>
                <w:color w:val="auto"/>
                <w:kern w:val="0"/>
                <w:sz w:val="21"/>
                <w:szCs w:val="21"/>
                <w:highlight w:val="none"/>
              </w:rPr>
              <w:t>一般工业固体废物</w:t>
            </w:r>
          </w:p>
        </w:tc>
        <w:tc>
          <w:tcPr>
            <w:tcW w:w="6346"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cs="Times New Roman" w:eastAsiaTheme="minorEastAsia"/>
                <w:bCs/>
                <w:color w:val="auto"/>
                <w:spacing w:val="9"/>
                <w:sz w:val="21"/>
                <w:szCs w:val="21"/>
                <w:lang w:val="en-US" w:eastAsia="zh-CN"/>
              </w:rPr>
            </w:pPr>
            <w:r>
              <w:rPr>
                <w:rFonts w:hint="eastAsia" w:ascii="Times New Roman" w:hAnsi="Times New Roman" w:cs="Times New Roman"/>
                <w:color w:val="auto"/>
                <w:lang w:val="en-US" w:eastAsia="zh-CN"/>
              </w:rPr>
              <w:t>燃</w:t>
            </w:r>
            <w:r>
              <w:rPr>
                <w:rFonts w:ascii="Times New Roman" w:hAnsi="Times New Roman" w:cs="Times New Roman"/>
                <w:color w:val="auto"/>
              </w:rPr>
              <w:t>烧的生物质炉渣和布袋除尘灰</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废布袋、废包装材料、栅渣</w:t>
            </w:r>
            <w:r>
              <w:rPr>
                <w:rFonts w:ascii="Times New Roman" w:hAnsi="Times New Roman" w:cs="Times New Roman"/>
                <w:color w:val="auto"/>
              </w:rPr>
              <w:t>集中收集后定期由环卫部门清运</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离子交换树脂定期由厂家更换回收；污水处理站污泥集中收集后委托焚烧处置；生活垃圾</w:t>
            </w:r>
            <w:r>
              <w:rPr>
                <w:rFonts w:ascii="Times New Roman" w:hAnsi="Times New Roman" w:cs="Times New Roman"/>
                <w:color w:val="auto"/>
              </w:rPr>
              <w:t>收集后定期由环卫部门清运</w:t>
            </w:r>
            <w:r>
              <w:rPr>
                <w:rFonts w:hint="eastAsia" w:ascii="Times New Roman" w:hAnsi="Times New Roman" w:cs="Times New Roman"/>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p>
        </w:tc>
        <w:tc>
          <w:tcPr>
            <w:tcW w:w="1380" w:type="dxa"/>
            <w:tcBorders>
              <w:top w:val="single" w:color="auto" w:sz="4" w:space="0"/>
              <w:left w:val="single" w:color="auto" w:sz="4" w:space="0"/>
              <w:bottom w:val="single" w:color="auto" w:sz="4" w:space="0"/>
              <w:right w:val="single" w:color="auto" w:sz="8" w:space="0"/>
            </w:tcBorders>
            <w:shd w:val="clear" w:color="auto" w:fill="auto"/>
            <w:vAlign w:val="center"/>
          </w:tcPr>
          <w:p>
            <w:pPr>
              <w:widowControl/>
              <w:snapToGrid w:val="0"/>
              <w:jc w:val="center"/>
              <w:rPr>
                <w:rFonts w:hint="eastAsia" w:ascii="Times New Roman" w:hAnsi="Times New Roman" w:cs="Times New Roman" w:eastAsiaTheme="minorEastAsia"/>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危险废物</w:t>
            </w:r>
          </w:p>
        </w:tc>
        <w:tc>
          <w:tcPr>
            <w:tcW w:w="6346"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废润滑油、废油桶暂存于危险废物贮存间，定期交由有资质单位收集转运。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7726"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default" w:ascii="Times New Roman" w:hAnsi="Times New Roman" w:cs="Times New Roman"/>
                <w:bCs/>
                <w:color w:val="auto"/>
                <w:spacing w:val="9"/>
                <w:sz w:val="21"/>
                <w:szCs w:val="21"/>
              </w:rPr>
            </w:pPr>
            <w:r>
              <w:rPr>
                <w:rFonts w:hint="default" w:ascii="Times New Roman" w:hAnsi="Times New Roman" w:cs="Times New Roman"/>
                <w:color w:val="auto"/>
                <w:sz w:val="21"/>
                <w:szCs w:val="21"/>
              </w:rPr>
              <w:t>建设单位在加强厂区风险管理、采取有效防范措施的基础上，事故发生概率较低，本项目环境风险可防控</w:t>
            </w:r>
          </w:p>
        </w:tc>
      </w:tr>
    </w:tbl>
    <w:p>
      <w:pPr>
        <w:pStyle w:val="19"/>
        <w:spacing w:beforeAutospacing="0" w:afterAutospacing="0" w:line="360" w:lineRule="auto"/>
        <w:jc w:val="center"/>
        <w:outlineLvl w:val="0"/>
        <w:rPr>
          <w:rFonts w:hint="default" w:ascii="Times New Roman" w:hAnsi="Times New Roman" w:eastAsia="黑体"/>
          <w:color w:val="auto"/>
          <w:sz w:val="30"/>
          <w:szCs w:val="30"/>
        </w:rPr>
      </w:pPr>
      <w:r>
        <w:rPr>
          <w:rFonts w:hint="default" w:ascii="Times New Roman" w:hAnsi="Times New Roman"/>
          <w:snapToGrid w:val="0"/>
          <w:color w:val="auto"/>
        </w:rPr>
        <w:br w:type="page"/>
      </w:r>
      <w:r>
        <w:rPr>
          <w:rFonts w:hint="default" w:ascii="Times New Roman" w:hAnsi="Times New Roman" w:eastAsia="黑体"/>
          <w:snapToGrid w:val="0"/>
          <w:color w:val="auto"/>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center"/>
          </w:tcPr>
          <w:p>
            <w:pPr>
              <w:snapToGrid w:val="0"/>
              <w:spacing w:before="156" w:beforeLines="50" w:line="360" w:lineRule="auto"/>
              <w:rPr>
                <w:rFonts w:ascii="Times New Roman" w:hAnsi="Times New Roman" w:cs="Times New Roman"/>
                <w:b/>
                <w:bCs/>
                <w:color w:val="auto"/>
                <w:sz w:val="24"/>
              </w:rPr>
            </w:pPr>
            <w:r>
              <w:rPr>
                <w:rFonts w:ascii="Times New Roman" w:hAnsi="Times New Roman" w:cs="Times New Roman"/>
                <w:b/>
                <w:bCs/>
                <w:color w:val="auto"/>
                <w:sz w:val="24"/>
              </w:rPr>
              <w:t>结论：</w:t>
            </w:r>
          </w:p>
          <w:p>
            <w:pPr>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从环境保护的角度，建设项目环境影响可行。</w:t>
            </w: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napToGrid w:val="0"/>
              <w:spacing w:line="360" w:lineRule="auto"/>
              <w:rPr>
                <w:rFonts w:ascii="Times New Roman" w:hAnsi="Times New Roman" w:cs="Times New Roman"/>
                <w:color w:val="auto"/>
                <w:sz w:val="24"/>
              </w:rPr>
            </w:pPr>
          </w:p>
          <w:p>
            <w:pPr>
              <w:spacing w:line="360" w:lineRule="auto"/>
              <w:rPr>
                <w:rFonts w:ascii="Times New Roman" w:hAnsi="Times New Roman" w:eastAsia="宋体" w:cs="Times New Roman"/>
                <w:color w:val="auto"/>
                <w:sz w:val="24"/>
              </w:rPr>
            </w:pPr>
          </w:p>
        </w:tc>
      </w:tr>
    </w:tbl>
    <w:p>
      <w:pPr>
        <w:rPr>
          <w:rFonts w:ascii="Times New Roman" w:hAnsi="Times New Roman" w:eastAsia="宋体" w:cs="Times New Roman"/>
          <w:color w:val="auto"/>
        </w:rPr>
        <w:sectPr>
          <w:pgSz w:w="11906" w:h="16838"/>
          <w:pgMar w:top="1702" w:right="1531" w:bottom="1702" w:left="1531" w:header="851" w:footer="851" w:gutter="0"/>
          <w:pgBorders>
            <w:top w:val="none" w:sz="0" w:space="0"/>
            <w:left w:val="none" w:sz="0" w:space="0"/>
            <w:bottom w:val="none" w:sz="0" w:space="0"/>
            <w:right w:val="none" w:sz="0" w:space="0"/>
          </w:pgBorders>
          <w:cols w:space="425" w:num="1"/>
          <w:docGrid w:type="lines" w:linePitch="312" w:charSpace="0"/>
        </w:sectPr>
      </w:pPr>
    </w:p>
    <w:p>
      <w:pPr>
        <w:rPr>
          <w:rFonts w:ascii="Times New Roman" w:hAnsi="Times New Roman" w:eastAsia="黑体" w:cs="Times New Roman"/>
          <w:color w:val="auto"/>
          <w:sz w:val="32"/>
          <w:szCs w:val="40"/>
        </w:rPr>
      </w:pPr>
      <w:r>
        <w:rPr>
          <w:rFonts w:ascii="Times New Roman" w:hAnsi="Times New Roman" w:eastAsia="黑体" w:cs="Times New Roman"/>
          <w:color w:val="auto"/>
          <w:sz w:val="32"/>
          <w:szCs w:val="40"/>
        </w:rPr>
        <w:t>附表</w:t>
      </w:r>
    </w:p>
    <w:p>
      <w:pPr>
        <w:pStyle w:val="19"/>
        <w:adjustRightInd w:val="0"/>
        <w:snapToGrid w:val="0"/>
        <w:spacing w:beforeAutospacing="0" w:afterAutospacing="0"/>
        <w:jc w:val="center"/>
        <w:outlineLvl w:val="0"/>
        <w:rPr>
          <w:rFonts w:hint="default" w:ascii="Times New Roman" w:hAnsi="Times New Roman" w:eastAsia="方正小标宋_GBK"/>
          <w:color w:val="auto"/>
          <w:sz w:val="38"/>
          <w:szCs w:val="38"/>
        </w:rPr>
      </w:pPr>
      <w:r>
        <w:rPr>
          <w:rFonts w:hint="default" w:ascii="Times New Roman" w:hAnsi="Times New Roman" w:eastAsia="方正小标宋_GBK"/>
          <w:snapToGrid w:val="0"/>
          <w:color w:val="auto"/>
          <w:sz w:val="38"/>
          <w:szCs w:val="38"/>
        </w:rPr>
        <w:t>建设项目污染物排放量汇总表</w:t>
      </w:r>
    </w:p>
    <w:tbl>
      <w:tblPr>
        <w:tblStyle w:val="23"/>
        <w:tblW w:w="1379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2"/>
        <w:gridCol w:w="1276"/>
        <w:gridCol w:w="1702"/>
        <w:gridCol w:w="1559"/>
        <w:gridCol w:w="1382"/>
        <w:gridCol w:w="1689"/>
        <w:gridCol w:w="14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37"/>
              <w:widowControl/>
              <w:spacing w:before="31" w:after="31" w:line="240" w:lineRule="auto"/>
              <w:jc w:val="right"/>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pStyle w:val="37"/>
              <w:widowControl/>
              <w:spacing w:before="31" w:after="31" w:line="240" w:lineRule="auto"/>
              <w:jc w:val="left"/>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417"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7"/>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7"/>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37"/>
              <w:widowControl/>
              <w:spacing w:before="31" w:after="31"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color w:val="auto"/>
                <w:spacing w:val="-6"/>
                <w:kern w:val="21"/>
                <w:szCs w:val="21"/>
              </w:rPr>
              <w:fldChar w:fldCharType="separate"/>
            </w:r>
            <w:r>
              <w:rPr>
                <w:rFonts w:hint="default" w:ascii="Times New Roman" w:hAnsi="Times New Roman" w:cs="Times New Roman"/>
                <w:color w:val="auto"/>
                <w:kern w:val="2"/>
                <w:szCs w:val="21"/>
              </w:rPr>
              <w:t>①</w:t>
            </w:r>
            <w:r>
              <w:rPr>
                <w:rFonts w:hint="default" w:ascii="Times New Roman" w:hAnsi="Times New Roman" w:eastAsia="黑体" w:cs="Times New Roman"/>
                <w:color w:val="auto"/>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7"/>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37"/>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37"/>
              <w:widowControl/>
              <w:spacing w:before="31" w:after="31"/>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2 \* GB3 \* MERGEFORMAT </w:instrText>
            </w:r>
            <w:r>
              <w:rPr>
                <w:rFonts w:hint="default" w:ascii="Times New Roman" w:hAnsi="Times New Roman" w:eastAsia="黑体" w:cs="Times New Roman"/>
                <w:color w:val="auto"/>
                <w:spacing w:val="-6"/>
                <w:kern w:val="21"/>
                <w:szCs w:val="21"/>
              </w:rPr>
              <w:fldChar w:fldCharType="separate"/>
            </w:r>
            <w:r>
              <w:rPr>
                <w:rFonts w:hint="default" w:ascii="Times New Roman" w:hAnsi="Times New Roman" w:cs="Times New Roman"/>
                <w:snapToGrid w:val="0"/>
                <w:color w:val="auto"/>
                <w:spacing w:val="-6"/>
                <w:kern w:val="21"/>
                <w:szCs w:val="21"/>
              </w:rPr>
              <w:t>②</w:t>
            </w:r>
            <w:r>
              <w:rPr>
                <w:rFonts w:hint="default" w:ascii="Times New Roman" w:hAnsi="Times New Roman" w:eastAsia="黑体" w:cs="Times New Roman"/>
                <w:color w:val="auto"/>
                <w:spacing w:val="-6"/>
                <w:kern w:val="21"/>
                <w:szCs w:val="21"/>
              </w:rPr>
              <w:fldChar w:fldCharType="end"/>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7"/>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37"/>
              <w:widowControl/>
              <w:spacing w:before="31" w:after="31"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color w:val="auto"/>
                <w:spacing w:val="-6"/>
                <w:kern w:val="21"/>
                <w:szCs w:val="21"/>
              </w:rPr>
              <w:fldChar w:fldCharType="separate"/>
            </w:r>
            <w:r>
              <w:rPr>
                <w:rFonts w:hint="default" w:ascii="Times New Roman" w:hAnsi="Times New Roman" w:cs="Times New Roman"/>
                <w:color w:val="auto"/>
                <w:kern w:val="2"/>
                <w:szCs w:val="21"/>
              </w:rPr>
              <w:t>③</w:t>
            </w:r>
            <w:r>
              <w:rPr>
                <w:rFonts w:hint="default" w:ascii="Times New Roman" w:hAnsi="Times New Roman" w:eastAsia="黑体" w:cs="Times New Roman"/>
                <w:color w:val="auto"/>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7"/>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37"/>
              <w:widowControl/>
              <w:spacing w:before="31" w:after="31"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color w:val="auto"/>
                <w:spacing w:val="-6"/>
                <w:kern w:val="21"/>
                <w:szCs w:val="21"/>
              </w:rPr>
              <w:fldChar w:fldCharType="separate"/>
            </w:r>
            <w:r>
              <w:rPr>
                <w:rFonts w:hint="default" w:ascii="Times New Roman" w:hAnsi="Times New Roman" w:cs="Times New Roman"/>
                <w:color w:val="auto"/>
                <w:kern w:val="2"/>
                <w:szCs w:val="21"/>
              </w:rPr>
              <w:t>④</w:t>
            </w:r>
            <w:r>
              <w:rPr>
                <w:rFonts w:hint="default" w:ascii="Times New Roman" w:hAnsi="Times New Roman" w:eastAsia="黑体" w:cs="Times New Roman"/>
                <w:color w:val="auto"/>
                <w:spacing w:val="-6"/>
                <w:kern w:val="21"/>
                <w:szCs w:val="21"/>
              </w:rPr>
              <w:fldChar w:fldCharType="end"/>
            </w:r>
          </w:p>
        </w:tc>
        <w:tc>
          <w:tcPr>
            <w:tcW w:w="138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7"/>
              <w:widowControl/>
              <w:spacing w:before="31" w:after="31" w:line="240" w:lineRule="auto"/>
              <w:rPr>
                <w:rFonts w:hint="default" w:ascii="Times New Roman" w:hAnsi="Times New Roman" w:eastAsia="黑体" w:cs="Times New Roman"/>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37"/>
              <w:widowControl/>
              <w:spacing w:before="31" w:after="31"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color w:val="auto"/>
                <w:spacing w:val="-16"/>
                <w:kern w:val="21"/>
                <w:szCs w:val="21"/>
              </w:rPr>
              <w:fldChar w:fldCharType="separate"/>
            </w:r>
            <w:r>
              <w:rPr>
                <w:rFonts w:hint="default" w:ascii="Times New Roman" w:hAnsi="Times New Roman" w:cs="Times New Roman"/>
                <w:color w:val="auto"/>
                <w:kern w:val="2"/>
                <w:szCs w:val="21"/>
              </w:rPr>
              <w:t>⑤</w:t>
            </w:r>
            <w:r>
              <w:rPr>
                <w:rFonts w:hint="default" w:ascii="Times New Roman" w:hAnsi="Times New Roman" w:eastAsia="黑体" w:cs="Times New Roman"/>
                <w:color w:val="auto"/>
                <w:spacing w:val="-16"/>
                <w:kern w:val="21"/>
                <w:szCs w:val="21"/>
              </w:rPr>
              <w:fldChar w:fldCharType="end"/>
            </w:r>
          </w:p>
        </w:tc>
        <w:tc>
          <w:tcPr>
            <w:tcW w:w="168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7"/>
              <w:widowControl/>
              <w:spacing w:before="31" w:after="31" w:line="240" w:lineRule="auto"/>
              <w:rPr>
                <w:rFonts w:hint="default" w:ascii="Times New Roman" w:hAnsi="Times New Roman" w:eastAsia="黑体" w:cs="Times New Roman"/>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37"/>
              <w:widowControl/>
              <w:spacing w:before="31" w:after="31"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color w:val="auto"/>
                <w:spacing w:val="-16"/>
                <w:kern w:val="21"/>
                <w:szCs w:val="21"/>
              </w:rPr>
              <w:fldChar w:fldCharType="separate"/>
            </w:r>
            <w:r>
              <w:rPr>
                <w:rFonts w:hint="default" w:ascii="Times New Roman" w:hAnsi="Times New Roman" w:cs="Times New Roman"/>
                <w:color w:val="auto"/>
                <w:kern w:val="2"/>
                <w:szCs w:val="21"/>
              </w:rPr>
              <w:t>⑥</w:t>
            </w:r>
            <w:r>
              <w:rPr>
                <w:rFonts w:hint="default" w:ascii="Times New Roman" w:hAnsi="Times New Roman" w:eastAsia="黑体" w:cs="Times New Roman"/>
                <w:color w:val="auto"/>
                <w:spacing w:val="-16"/>
                <w:kern w:val="21"/>
                <w:szCs w:val="21"/>
              </w:rPr>
              <w:fldChar w:fldCharType="end"/>
            </w:r>
          </w:p>
        </w:tc>
        <w:tc>
          <w:tcPr>
            <w:tcW w:w="1475"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37"/>
              <w:widowControl/>
              <w:spacing w:before="31" w:after="31" w:line="240" w:lineRule="auto"/>
              <w:rPr>
                <w:rFonts w:hint="default" w:ascii="Times New Roman" w:hAnsi="Times New Roman" w:eastAsia="黑体" w:cs="Times New Roman"/>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37"/>
              <w:widowControl/>
              <w:spacing w:before="31" w:after="31"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7 \* GB3 \* MERGEFORMAT </w:instrText>
            </w:r>
            <w:r>
              <w:rPr>
                <w:rFonts w:hint="default" w:ascii="Times New Roman" w:hAnsi="Times New Roman" w:eastAsia="黑体" w:cs="Times New Roman"/>
                <w:color w:val="auto"/>
                <w:spacing w:val="-6"/>
                <w:kern w:val="21"/>
                <w:szCs w:val="21"/>
              </w:rPr>
              <w:fldChar w:fldCharType="separate"/>
            </w:r>
            <w:r>
              <w:rPr>
                <w:rFonts w:hint="default" w:ascii="Times New Roman" w:hAnsi="Times New Roman" w:cs="Times New Roman"/>
                <w:color w:val="auto"/>
                <w:kern w:val="2"/>
                <w:szCs w:val="21"/>
              </w:rPr>
              <w:t>⑦</w:t>
            </w:r>
            <w:r>
              <w:rPr>
                <w:rFonts w:hint="default" w:ascii="Times New Roman" w:hAnsi="Times New Roman" w:eastAsia="黑体" w:cs="Times New Roman"/>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color w:val="auto"/>
                <w:kern w:val="21"/>
                <w:szCs w:val="21"/>
              </w:rPr>
            </w:pPr>
            <w:r>
              <w:rPr>
                <w:rFonts w:hint="default" w:ascii="Times New Roman" w:hAnsi="Times New Roman" w:cs="Times New Roman"/>
                <w:snapToGrid w:val="0"/>
                <w:color w:val="auto"/>
                <w:kern w:val="21"/>
                <w:szCs w:val="21"/>
              </w:rPr>
              <w:t>废气</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颗粒物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0.112t/a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 w:val="21"/>
                <w:szCs w:val="21"/>
                <w:lang w:val="en-US" w:eastAsia="zh-CN"/>
              </w:rPr>
              <w:t>0.112t/a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 w:val="21"/>
                <w:szCs w:val="21"/>
                <w:lang w:val="en-US" w:eastAsia="zh-CN"/>
              </w:rPr>
              <w:t>+0.112t/a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二氧化硫</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color w:val="auto"/>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0.168t/a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color w:val="auto"/>
                <w:szCs w:val="21"/>
              </w:rPr>
            </w:pPr>
            <w:r>
              <w:rPr>
                <w:rFonts w:hint="eastAsia" w:ascii="Times New Roman" w:cs="Times New Roman"/>
                <w:snapToGrid w:val="0"/>
                <w:color w:val="auto"/>
                <w:kern w:val="21"/>
                <w:sz w:val="21"/>
                <w:szCs w:val="21"/>
                <w:lang w:val="en-US" w:eastAsia="zh-CN"/>
              </w:rPr>
              <w:t>0.168t/a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 w:val="21"/>
                <w:szCs w:val="21"/>
                <w:lang w:val="en-US" w:eastAsia="zh-CN"/>
              </w:rPr>
              <w:t>+0.168t/a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氮氧化物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0.842t/a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 w:val="21"/>
                <w:szCs w:val="21"/>
                <w:lang w:val="en-US" w:eastAsia="zh-CN"/>
              </w:rPr>
              <w:t>0.842t/a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 w:val="21"/>
                <w:szCs w:val="21"/>
                <w:lang w:val="en-US" w:eastAsia="zh-CN"/>
              </w:rPr>
              <w:t>+0.842t/a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烟气黑度</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 w:val="21"/>
                <w:szCs w:val="21"/>
                <w:lang w:val="en-US" w:eastAsia="zh-CN"/>
              </w:rPr>
              <w:t>/</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color w:val="auto"/>
                <w:kern w:val="21"/>
                <w:szCs w:val="21"/>
              </w:rPr>
            </w:pPr>
            <w:r>
              <w:rPr>
                <w:rFonts w:hint="default" w:ascii="Times New Roman" w:hAnsi="Times New Roman" w:cs="Times New Roman"/>
                <w:snapToGrid w:val="0"/>
                <w:color w:val="auto"/>
                <w:kern w:val="21"/>
                <w:szCs w:val="21"/>
              </w:rPr>
              <w:t>废水</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COD</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lang w:val="en-US"/>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Cs w:val="21"/>
                <w:lang w:val="en-US" w:eastAsia="zh-CN"/>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3.730t/a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lang w:val="en-US"/>
              </w:rPr>
            </w:pPr>
            <w:r>
              <w:rPr>
                <w:rFonts w:hint="eastAsia" w:ascii="Times New Roman" w:cs="Times New Roman"/>
                <w:snapToGrid w:val="0"/>
                <w:color w:val="auto"/>
                <w:kern w:val="21"/>
                <w:sz w:val="21"/>
                <w:szCs w:val="21"/>
                <w:lang w:val="en-US" w:eastAsia="zh-CN"/>
              </w:rPr>
              <w:t>3.730t/a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 w:val="21"/>
                <w:szCs w:val="21"/>
                <w:lang w:val="en-US" w:eastAsia="zh-CN"/>
              </w:rPr>
              <w:t>+3.730t/a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rPr>
                <w:rFonts w:hint="default"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氨氮</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Cs w:val="21"/>
                <w:lang w:val="en-US" w:eastAsia="zh-CN"/>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Cs w:val="21"/>
                <w:lang w:val="en-US" w:eastAsia="zh-CN"/>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0.464t/a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lang w:val="en-US"/>
              </w:rPr>
            </w:pPr>
            <w:r>
              <w:rPr>
                <w:rFonts w:hint="eastAsia" w:ascii="Times New Roman" w:cs="Times New Roman"/>
                <w:snapToGrid w:val="0"/>
                <w:color w:val="auto"/>
                <w:kern w:val="21"/>
                <w:sz w:val="21"/>
                <w:szCs w:val="21"/>
                <w:lang w:val="en-US" w:eastAsia="zh-CN"/>
              </w:rPr>
              <w:t>0.464t/a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 w:val="21"/>
                <w:szCs w:val="21"/>
                <w:lang w:val="en-US" w:eastAsia="zh-CN"/>
              </w:rPr>
              <w:t>+0.464t/a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color w:val="auto"/>
                <w:kern w:val="21"/>
                <w:szCs w:val="21"/>
              </w:rPr>
            </w:pPr>
            <w:r>
              <w:rPr>
                <w:rFonts w:hint="default" w:ascii="Times New Roman" w:hAnsi="Times New Roman" w:cs="Times New Roman"/>
                <w:snapToGrid w:val="0"/>
                <w:color w:val="auto"/>
                <w:kern w:val="21"/>
                <w:szCs w:val="21"/>
              </w:rPr>
              <w:t>一般工业</w:t>
            </w:r>
          </w:p>
          <w:p>
            <w:pPr>
              <w:pStyle w:val="37"/>
              <w:widowControl/>
              <w:spacing w:before="31" w:after="31" w:line="240" w:lineRule="auto"/>
              <w:rPr>
                <w:rFonts w:hint="default" w:ascii="Times New Roman" w:hAnsi="Times New Roman" w:cs="Times New Roman"/>
                <w:color w:val="auto"/>
                <w:kern w:val="21"/>
                <w:szCs w:val="21"/>
              </w:rPr>
            </w:pPr>
            <w:r>
              <w:rPr>
                <w:rFonts w:hint="default" w:ascii="Times New Roman" w:hAnsi="Times New Roman" w:cs="Times New Roman"/>
                <w:snapToGrid w:val="0"/>
                <w:color w:val="auto"/>
                <w:kern w:val="21"/>
                <w:szCs w:val="21"/>
              </w:rPr>
              <w:t>固体废物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生活垃圾</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cs="Times New Roman"/>
                <w:snapToGrid w:val="0"/>
                <w:color w:val="auto"/>
                <w:kern w:val="21"/>
                <w:szCs w:val="21"/>
                <w:lang w:val="en-US" w:eastAsia="zh-CN"/>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eastAsia="宋体" w:cs="Times New Roman"/>
                <w:snapToGrid w:val="0"/>
                <w:color w:val="auto"/>
                <w:kern w:val="21"/>
                <w:szCs w:val="21"/>
                <w:lang w:val="en-US" w:eastAsia="zh-CN"/>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Cs w:val="21"/>
                <w:lang w:val="en-US" w:eastAsia="zh-CN"/>
              </w:rPr>
              <w:t>12.75</w:t>
            </w:r>
            <w:r>
              <w:rPr>
                <w:rFonts w:hint="eastAsia" w:ascii="Times New Roman" w:cs="Times New Roman"/>
                <w:snapToGrid w:val="0"/>
                <w:color w:val="auto"/>
                <w:kern w:val="21"/>
                <w:sz w:val="21"/>
                <w:szCs w:val="21"/>
                <w:lang w:val="en-US" w:eastAsia="zh-C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12.75</w:t>
            </w:r>
            <w:r>
              <w:rPr>
                <w:rFonts w:hint="eastAsia" w:ascii="Times New Roman" w:cs="Times New Roman"/>
                <w:snapToGrid w:val="0"/>
                <w:color w:val="auto"/>
                <w:kern w:val="21"/>
                <w:sz w:val="21"/>
                <w:szCs w:val="21"/>
                <w:lang w:val="en-US" w:eastAsia="zh-C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7"/>
              <w:widowControl/>
              <w:spacing w:before="31" w:after="31" w:line="240" w:lineRule="auto"/>
              <w:rPr>
                <w:rFonts w:hint="default"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+12.75t/a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炉渣</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eastAsiaTheme="minorEastAsia"/>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4.5</w:t>
            </w:r>
            <w:r>
              <w:rPr>
                <w:rFonts w:hint="eastAsia" w:ascii="Times New Roman" w:cs="Times New Roman"/>
                <w:snapToGrid w:val="0"/>
                <w:color w:val="auto"/>
                <w:kern w:val="21"/>
                <w:sz w:val="21"/>
                <w:szCs w:val="21"/>
                <w:lang w:val="en-US" w:eastAsia="zh-C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 w:val="21"/>
                <w:szCs w:val="21"/>
                <w:lang w:val="en-US" w:eastAsia="zh-CN"/>
              </w:rPr>
              <w:t>4.5</w:t>
            </w:r>
            <w:r>
              <w:rPr>
                <w:rFonts w:hint="eastAsia" w:ascii="Times New Roman" w:cs="Times New Roman"/>
                <w:snapToGrid w:val="0"/>
                <w:color w:val="auto"/>
                <w:kern w:val="21"/>
                <w:sz w:val="21"/>
                <w:szCs w:val="21"/>
                <w:lang w:val="en-US" w:eastAsia="zh-C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 w:val="21"/>
                <w:szCs w:val="21"/>
                <w:lang w:val="en-US" w:eastAsia="zh-CN"/>
              </w:rPr>
              <w:t>+</w:t>
            </w:r>
            <w:r>
              <w:rPr>
                <w:rFonts w:hint="eastAsia" w:ascii="Times New Roman" w:hAnsi="Times New Roman" w:cs="Times New Roman"/>
                <w:snapToGrid w:val="0"/>
                <w:color w:val="auto"/>
                <w:kern w:val="21"/>
                <w:sz w:val="21"/>
                <w:szCs w:val="21"/>
                <w:lang w:val="en-US" w:eastAsia="zh-CN"/>
              </w:rPr>
              <w:t>4.5</w:t>
            </w:r>
            <w:r>
              <w:rPr>
                <w:rFonts w:hint="eastAsia" w:ascii="Times New Roman" w:cs="Times New Roman"/>
                <w:snapToGrid w:val="0"/>
                <w:color w:val="auto"/>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离子交换树脂</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0.01</w:t>
            </w:r>
            <w:r>
              <w:rPr>
                <w:rFonts w:hint="eastAsia" w:ascii="Times New Roman" w:cs="Times New Roman"/>
                <w:snapToGrid w:val="0"/>
                <w:color w:val="auto"/>
                <w:kern w:val="21"/>
                <w:sz w:val="21"/>
                <w:szCs w:val="21"/>
                <w:lang w:val="en-US" w:eastAsia="zh-C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0.01</w:t>
            </w:r>
            <w:r>
              <w:rPr>
                <w:rFonts w:hint="eastAsia" w:ascii="Times New Roman" w:cs="Times New Roman"/>
                <w:snapToGrid w:val="0"/>
                <w:color w:val="auto"/>
                <w:kern w:val="21"/>
                <w:sz w:val="21"/>
                <w:szCs w:val="21"/>
                <w:lang w:val="en-US" w:eastAsia="zh-C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eastAsia" w:asci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w:t>
            </w:r>
            <w:r>
              <w:rPr>
                <w:rFonts w:hint="eastAsia" w:ascii="Times New Roman" w:hAnsi="Times New Roman" w:cs="Times New Roman"/>
                <w:snapToGrid w:val="0"/>
                <w:color w:val="auto"/>
                <w:kern w:val="21"/>
                <w:sz w:val="21"/>
                <w:szCs w:val="21"/>
                <w:lang w:val="en-US" w:eastAsia="zh-CN"/>
              </w:rPr>
              <w:t>0.01</w:t>
            </w:r>
            <w:r>
              <w:rPr>
                <w:rFonts w:hint="eastAsia" w:ascii="Times New Roman" w:cs="Times New Roman"/>
                <w:snapToGrid w:val="0"/>
                <w:color w:val="auto"/>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除尘灰</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14.328</w:t>
            </w:r>
            <w:r>
              <w:rPr>
                <w:rFonts w:hint="eastAsia" w:ascii="Times New Roman" w:cs="Times New Roman"/>
                <w:snapToGrid w:val="0"/>
                <w:color w:val="auto"/>
                <w:kern w:val="21"/>
                <w:sz w:val="21"/>
                <w:szCs w:val="21"/>
                <w:lang w:val="en-US" w:eastAsia="zh-C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14.328</w:t>
            </w:r>
            <w:r>
              <w:rPr>
                <w:rFonts w:hint="eastAsia" w:ascii="Times New Roman" w:cs="Times New Roman"/>
                <w:snapToGrid w:val="0"/>
                <w:color w:val="auto"/>
                <w:kern w:val="21"/>
                <w:sz w:val="21"/>
                <w:szCs w:val="21"/>
                <w:lang w:val="en-US" w:eastAsia="zh-C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default" w:ascii="Times New Roman" w:hAnsi="Times New Roman" w:cs="Times New Roman"/>
                <w:color w:val="auto"/>
                <w:szCs w:val="21"/>
              </w:rPr>
            </w:pPr>
            <w:r>
              <w:rPr>
                <w:rFonts w:hint="eastAsia" w:ascii="Times New Roman" w:cs="Times New Roman"/>
                <w:snapToGrid w:val="0"/>
                <w:color w:val="auto"/>
                <w:kern w:val="21"/>
                <w:sz w:val="21"/>
                <w:szCs w:val="21"/>
                <w:lang w:val="en-US" w:eastAsia="zh-CN"/>
              </w:rPr>
              <w:t>+</w:t>
            </w:r>
            <w:r>
              <w:rPr>
                <w:rFonts w:hint="eastAsia" w:ascii="Times New Roman" w:hAnsi="Times New Roman" w:cs="Times New Roman"/>
                <w:color w:val="auto"/>
                <w:sz w:val="21"/>
                <w:szCs w:val="21"/>
                <w:lang w:val="en-US" w:eastAsia="zh-CN"/>
              </w:rPr>
              <w:t>14.328</w:t>
            </w:r>
            <w:r>
              <w:rPr>
                <w:rFonts w:hint="eastAsia" w:ascii="Times New Roman" w:cs="Times New Roman"/>
                <w:snapToGrid w:val="0"/>
                <w:color w:val="auto"/>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废布袋</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r>
              <w:rPr>
                <w:rFonts w:hint="eastAsia" w:ascii="Times New Roman" w:cs="Times New Roman"/>
                <w:snapToGrid w:val="0"/>
                <w:color w:val="auto"/>
                <w:kern w:val="21"/>
                <w:sz w:val="21"/>
                <w:szCs w:val="21"/>
                <w:lang w:val="en-US" w:eastAsia="zh-C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r>
              <w:rPr>
                <w:rFonts w:hint="eastAsia" w:ascii="Times New Roman" w:cs="Times New Roman"/>
                <w:snapToGrid w:val="0"/>
                <w:color w:val="auto"/>
                <w:kern w:val="21"/>
                <w:sz w:val="21"/>
                <w:szCs w:val="21"/>
                <w:lang w:val="en-US" w:eastAsia="zh-C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+0.005</w:t>
            </w:r>
            <w:r>
              <w:rPr>
                <w:rFonts w:hint="eastAsia" w:ascii="Times New Roman" w:cs="Times New Roman"/>
                <w:snapToGrid w:val="0"/>
                <w:color w:val="auto"/>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废包装材料</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w:t>
            </w:r>
            <w:r>
              <w:rPr>
                <w:rFonts w:hint="eastAsia" w:ascii="Times New Roman" w:cs="Times New Roman"/>
                <w:snapToGrid w:val="0"/>
                <w:color w:val="auto"/>
                <w:kern w:val="21"/>
                <w:sz w:val="21"/>
                <w:szCs w:val="21"/>
                <w:lang w:val="en-US" w:eastAsia="zh-C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w:t>
            </w:r>
            <w:r>
              <w:rPr>
                <w:rFonts w:hint="eastAsia" w:ascii="Times New Roman" w:cs="Times New Roman"/>
                <w:snapToGrid w:val="0"/>
                <w:color w:val="auto"/>
                <w:kern w:val="21"/>
                <w:sz w:val="21"/>
                <w:szCs w:val="21"/>
                <w:lang w:val="en-US" w:eastAsia="zh-C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w:t>
            </w:r>
            <w:r>
              <w:rPr>
                <w:rFonts w:hint="eastAsia" w:ascii="Times New Roman" w:cs="Times New Roman"/>
                <w:snapToGrid w:val="0"/>
                <w:color w:val="auto"/>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栅渣</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3.02</w:t>
            </w:r>
            <w:r>
              <w:rPr>
                <w:rFonts w:hint="eastAsia" w:ascii="Times New Roman" w:cs="Times New Roman"/>
                <w:snapToGrid w:val="0"/>
                <w:color w:val="auto"/>
                <w:kern w:val="21"/>
                <w:sz w:val="21"/>
                <w:szCs w:val="21"/>
                <w:lang w:val="en-US" w:eastAsia="zh-C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3.02</w:t>
            </w:r>
            <w:r>
              <w:rPr>
                <w:rFonts w:hint="eastAsia" w:ascii="Times New Roman" w:cs="Times New Roman"/>
                <w:snapToGrid w:val="0"/>
                <w:color w:val="auto"/>
                <w:kern w:val="21"/>
                <w:sz w:val="21"/>
                <w:szCs w:val="21"/>
                <w:lang w:val="en-US" w:eastAsia="zh-C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+3.02</w:t>
            </w:r>
            <w:r>
              <w:rPr>
                <w:rFonts w:hint="eastAsia" w:ascii="Times New Roman" w:cs="Times New Roman"/>
                <w:snapToGrid w:val="0"/>
                <w:color w:val="auto"/>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污泥</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r>
              <w:rPr>
                <w:rFonts w:hint="eastAsia" w:ascii="Times New Roman" w:cs="Times New Roman"/>
                <w:snapToGrid w:val="0"/>
                <w:color w:val="auto"/>
                <w:kern w:val="21"/>
                <w:sz w:val="21"/>
                <w:szCs w:val="21"/>
                <w:lang w:val="en-US" w:eastAsia="zh-C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r>
              <w:rPr>
                <w:rFonts w:hint="eastAsia" w:ascii="Times New Roman" w:cs="Times New Roman"/>
                <w:snapToGrid w:val="0"/>
                <w:color w:val="auto"/>
                <w:kern w:val="21"/>
                <w:sz w:val="21"/>
                <w:szCs w:val="21"/>
                <w:lang w:val="en-US" w:eastAsia="zh-C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+30</w:t>
            </w:r>
            <w:r>
              <w:rPr>
                <w:rFonts w:hint="eastAsia" w:ascii="Times New Roman" w:cs="Times New Roman"/>
                <w:snapToGrid w:val="0"/>
                <w:color w:val="auto"/>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left w:val="single" w:color="auto" w:sz="8" w:space="0"/>
              <w:right w:val="single" w:color="auto" w:sz="4" w:space="0"/>
            </w:tcBorders>
            <w:shd w:val="clear" w:color="auto" w:fill="auto"/>
            <w:vAlign w:val="center"/>
          </w:tcPr>
          <w:p>
            <w:pPr>
              <w:pStyle w:val="37"/>
              <w:widowControl/>
              <w:spacing w:before="31" w:after="31"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危险废物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废润滑油</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w:t>
            </w:r>
            <w:r>
              <w:rPr>
                <w:rFonts w:hint="eastAsia" w:ascii="Times New Roman" w:cs="Times New Roman"/>
                <w:snapToGrid w:val="0"/>
                <w:color w:val="auto"/>
                <w:kern w:val="21"/>
                <w:sz w:val="21"/>
                <w:szCs w:val="21"/>
                <w:lang w:val="en-US" w:eastAsia="zh-C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w:t>
            </w:r>
            <w:r>
              <w:rPr>
                <w:rFonts w:hint="eastAsia" w:ascii="Times New Roman" w:cs="Times New Roman"/>
                <w:snapToGrid w:val="0"/>
                <w:color w:val="auto"/>
                <w:kern w:val="21"/>
                <w:sz w:val="21"/>
                <w:szCs w:val="21"/>
                <w:lang w:val="en-US" w:eastAsia="zh-C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+0.1</w:t>
            </w:r>
            <w:r>
              <w:rPr>
                <w:rFonts w:hint="eastAsia" w:ascii="Times New Roman" w:cs="Times New Roman"/>
                <w:snapToGrid w:val="0"/>
                <w:color w:val="auto"/>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废油桶</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r>
              <w:rPr>
                <w:rFonts w:hint="eastAsia" w:ascii="Times New Roman" w:cs="Times New Roman"/>
                <w:snapToGrid w:val="0"/>
                <w:color w:val="auto"/>
                <w:kern w:val="21"/>
                <w:sz w:val="21"/>
                <w:szCs w:val="21"/>
                <w:lang w:val="en-US" w:eastAsia="zh-C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widowControl/>
              <w:spacing w:before="31" w:after="31" w:line="240" w:lineRule="auto"/>
              <w:rPr>
                <w:rFonts w:hint="default" w:ascii="Times New Roman" w:hAnsi="Times New Roman" w:cs="Times New Roman"/>
                <w:snapToGrid w:val="0"/>
                <w:color w:val="auto"/>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r>
              <w:rPr>
                <w:rFonts w:hint="eastAsia" w:ascii="Times New Roman" w:cs="Times New Roman"/>
                <w:snapToGrid w:val="0"/>
                <w:color w:val="auto"/>
                <w:kern w:val="21"/>
                <w:sz w:val="21"/>
                <w:szCs w:val="21"/>
                <w:lang w:val="en-US" w:eastAsia="zh-C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exact"/>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+0.05</w:t>
            </w:r>
            <w:r>
              <w:rPr>
                <w:rFonts w:hint="eastAsia" w:ascii="Times New Roman" w:cs="Times New Roman"/>
                <w:snapToGrid w:val="0"/>
                <w:color w:val="auto"/>
                <w:kern w:val="21"/>
                <w:sz w:val="21"/>
                <w:szCs w:val="21"/>
                <w:lang w:val="en-US" w:eastAsia="zh-CN"/>
              </w:rPr>
              <w:t>t/a</w:t>
            </w:r>
          </w:p>
        </w:tc>
      </w:tr>
    </w:tbl>
    <w:p>
      <w:pPr>
        <w:pStyle w:val="37"/>
        <w:widowControl/>
        <w:spacing w:before="249" w:beforeLines="80" w:after="31"/>
        <w:jc w:val="left"/>
        <w:rPr>
          <w:rFonts w:hint="default" w:ascii="Times New Roman"/>
          <w:color w:val="auto"/>
          <w:spacing w:val="-6"/>
          <w:kern w:val="21"/>
          <w:szCs w:val="21"/>
        </w:rPr>
      </w:pPr>
      <w:r>
        <w:rPr>
          <w:rFonts w:hint="default" w:ascii="Times New Roman"/>
          <w:snapToGrid w:val="0"/>
          <w:color w:val="auto"/>
          <w:kern w:val="21"/>
          <w:szCs w:val="21"/>
        </w:rPr>
        <w:t>注：</w:t>
      </w:r>
      <w:r>
        <w:rPr>
          <w:rFonts w:hint="default" w:ascii="Times New Roman"/>
          <w:color w:val="auto"/>
          <w:spacing w:val="-16"/>
          <w:kern w:val="21"/>
          <w:szCs w:val="21"/>
        </w:rPr>
        <w:fldChar w:fldCharType="begin"/>
      </w:r>
      <w:r>
        <w:rPr>
          <w:rFonts w:hint="default" w:ascii="Times New Roman"/>
          <w:snapToGrid w:val="0"/>
          <w:color w:val="auto"/>
          <w:spacing w:val="-16"/>
          <w:kern w:val="21"/>
          <w:szCs w:val="21"/>
        </w:rPr>
        <w:instrText xml:space="preserve"> = 6 \* GB3 \* MERGEFORMAT </w:instrText>
      </w:r>
      <w:r>
        <w:rPr>
          <w:rFonts w:hint="default" w:ascii="Times New Roman"/>
          <w:color w:val="auto"/>
          <w:spacing w:val="-16"/>
          <w:kern w:val="21"/>
          <w:szCs w:val="21"/>
        </w:rPr>
        <w:fldChar w:fldCharType="separate"/>
      </w:r>
      <w:r>
        <w:rPr>
          <w:rFonts w:hAnsi="宋体" w:cs="宋体"/>
          <w:color w:val="auto"/>
          <w:szCs w:val="21"/>
        </w:rPr>
        <w:t>⑥</w:t>
      </w:r>
      <w:r>
        <w:rPr>
          <w:rFonts w:hint="default" w:ascii="Times New Roman"/>
          <w:color w:val="auto"/>
          <w:spacing w:val="-16"/>
          <w:kern w:val="21"/>
          <w:szCs w:val="21"/>
        </w:rPr>
        <w:fldChar w:fldCharType="end"/>
      </w:r>
      <w:r>
        <w:rPr>
          <w:rFonts w:hint="default" w:ascii="Times New Roman"/>
          <w:snapToGrid w:val="0"/>
          <w:color w:val="auto"/>
          <w:spacing w:val="-16"/>
          <w:kern w:val="21"/>
          <w:szCs w:val="21"/>
        </w:rPr>
        <w:t>=</w:t>
      </w:r>
      <w:r>
        <w:rPr>
          <w:rFonts w:hint="default" w:ascii="Times New Roman"/>
          <w:color w:val="auto"/>
          <w:spacing w:val="-6"/>
          <w:kern w:val="21"/>
          <w:szCs w:val="21"/>
        </w:rPr>
        <w:fldChar w:fldCharType="begin"/>
      </w:r>
      <w:r>
        <w:rPr>
          <w:rFonts w:hint="default" w:ascii="Times New Roman"/>
          <w:snapToGrid w:val="0"/>
          <w:color w:val="auto"/>
          <w:spacing w:val="-6"/>
          <w:kern w:val="21"/>
          <w:szCs w:val="21"/>
        </w:rPr>
        <w:instrText xml:space="preserve"> = 1 \* GB3 \* MERGEFORMAT </w:instrText>
      </w:r>
      <w:r>
        <w:rPr>
          <w:rFonts w:hint="default" w:ascii="Times New Roman"/>
          <w:color w:val="auto"/>
          <w:spacing w:val="-6"/>
          <w:kern w:val="21"/>
          <w:szCs w:val="21"/>
        </w:rPr>
        <w:fldChar w:fldCharType="separate"/>
      </w:r>
      <w:r>
        <w:rPr>
          <w:rFonts w:hAnsi="宋体" w:cs="宋体"/>
          <w:color w:val="auto"/>
          <w:szCs w:val="21"/>
        </w:rPr>
        <w:t>①</w:t>
      </w:r>
      <w:r>
        <w:rPr>
          <w:rFonts w:hint="default" w:ascii="Times New Roman"/>
          <w:color w:val="auto"/>
          <w:spacing w:val="-6"/>
          <w:kern w:val="21"/>
          <w:szCs w:val="21"/>
        </w:rPr>
        <w:fldChar w:fldCharType="end"/>
      </w:r>
      <w:r>
        <w:rPr>
          <w:rFonts w:hint="default" w:ascii="Times New Roman"/>
          <w:snapToGrid w:val="0"/>
          <w:color w:val="auto"/>
          <w:spacing w:val="-6"/>
          <w:kern w:val="21"/>
          <w:szCs w:val="21"/>
        </w:rPr>
        <w:t>+</w:t>
      </w:r>
      <w:r>
        <w:rPr>
          <w:rFonts w:hint="default" w:ascii="Times New Roman"/>
          <w:color w:val="auto"/>
          <w:spacing w:val="-6"/>
          <w:kern w:val="21"/>
          <w:szCs w:val="21"/>
        </w:rPr>
        <w:fldChar w:fldCharType="begin"/>
      </w:r>
      <w:r>
        <w:rPr>
          <w:rFonts w:hint="default" w:ascii="Times New Roman"/>
          <w:snapToGrid w:val="0"/>
          <w:color w:val="auto"/>
          <w:spacing w:val="-6"/>
          <w:kern w:val="21"/>
          <w:szCs w:val="21"/>
        </w:rPr>
        <w:instrText xml:space="preserve"> = 3 \* GB3 \* MERGEFORMAT </w:instrText>
      </w:r>
      <w:r>
        <w:rPr>
          <w:rFonts w:hint="default" w:ascii="Times New Roman"/>
          <w:color w:val="auto"/>
          <w:spacing w:val="-6"/>
          <w:kern w:val="21"/>
          <w:szCs w:val="21"/>
        </w:rPr>
        <w:fldChar w:fldCharType="separate"/>
      </w:r>
      <w:r>
        <w:rPr>
          <w:rFonts w:hAnsi="宋体" w:cs="宋体"/>
          <w:color w:val="auto"/>
          <w:szCs w:val="21"/>
        </w:rPr>
        <w:t>③</w:t>
      </w:r>
      <w:r>
        <w:rPr>
          <w:rFonts w:hint="default" w:ascii="Times New Roman"/>
          <w:color w:val="auto"/>
          <w:spacing w:val="-6"/>
          <w:kern w:val="21"/>
          <w:szCs w:val="21"/>
        </w:rPr>
        <w:fldChar w:fldCharType="end"/>
      </w:r>
      <w:r>
        <w:rPr>
          <w:rFonts w:hint="default" w:ascii="Times New Roman"/>
          <w:snapToGrid w:val="0"/>
          <w:color w:val="auto"/>
          <w:spacing w:val="-6"/>
          <w:kern w:val="21"/>
          <w:szCs w:val="21"/>
        </w:rPr>
        <w:t>+</w:t>
      </w:r>
      <w:r>
        <w:rPr>
          <w:rFonts w:hint="default" w:ascii="Times New Roman"/>
          <w:color w:val="auto"/>
          <w:spacing w:val="-6"/>
          <w:kern w:val="21"/>
          <w:szCs w:val="21"/>
        </w:rPr>
        <w:fldChar w:fldCharType="begin"/>
      </w:r>
      <w:r>
        <w:rPr>
          <w:rFonts w:hint="default" w:ascii="Times New Roman"/>
          <w:snapToGrid w:val="0"/>
          <w:color w:val="auto"/>
          <w:spacing w:val="-6"/>
          <w:kern w:val="21"/>
          <w:szCs w:val="21"/>
        </w:rPr>
        <w:instrText xml:space="preserve"> = 4 \* GB3 \* MERGEFORMAT </w:instrText>
      </w:r>
      <w:r>
        <w:rPr>
          <w:rFonts w:hint="default" w:ascii="Times New Roman"/>
          <w:color w:val="auto"/>
          <w:spacing w:val="-6"/>
          <w:kern w:val="21"/>
          <w:szCs w:val="21"/>
        </w:rPr>
        <w:fldChar w:fldCharType="separate"/>
      </w:r>
      <w:r>
        <w:rPr>
          <w:rFonts w:hAnsi="宋体" w:cs="宋体"/>
          <w:color w:val="auto"/>
          <w:szCs w:val="21"/>
        </w:rPr>
        <w:t>④</w:t>
      </w:r>
      <w:r>
        <w:rPr>
          <w:rFonts w:hint="default" w:ascii="Times New Roman"/>
          <w:color w:val="auto"/>
          <w:spacing w:val="-6"/>
          <w:kern w:val="21"/>
          <w:szCs w:val="21"/>
        </w:rPr>
        <w:fldChar w:fldCharType="end"/>
      </w:r>
      <w:r>
        <w:rPr>
          <w:rFonts w:hint="default" w:ascii="Times New Roman"/>
          <w:snapToGrid w:val="0"/>
          <w:color w:val="auto"/>
          <w:spacing w:val="-6"/>
          <w:kern w:val="21"/>
          <w:szCs w:val="21"/>
        </w:rPr>
        <w:t>-</w:t>
      </w:r>
      <w:r>
        <w:rPr>
          <w:rFonts w:hint="default" w:ascii="Times New Roman"/>
          <w:color w:val="auto"/>
          <w:spacing w:val="-16"/>
          <w:kern w:val="21"/>
          <w:szCs w:val="21"/>
        </w:rPr>
        <w:fldChar w:fldCharType="begin"/>
      </w:r>
      <w:r>
        <w:rPr>
          <w:rFonts w:hint="default" w:ascii="Times New Roman"/>
          <w:snapToGrid w:val="0"/>
          <w:color w:val="auto"/>
          <w:spacing w:val="-16"/>
          <w:kern w:val="21"/>
          <w:szCs w:val="21"/>
        </w:rPr>
        <w:instrText xml:space="preserve"> = 5 \* GB3 \* MERGEFORMAT </w:instrText>
      </w:r>
      <w:r>
        <w:rPr>
          <w:rFonts w:hint="default" w:ascii="Times New Roman"/>
          <w:color w:val="auto"/>
          <w:spacing w:val="-16"/>
          <w:kern w:val="21"/>
          <w:szCs w:val="21"/>
        </w:rPr>
        <w:fldChar w:fldCharType="separate"/>
      </w:r>
      <w:r>
        <w:rPr>
          <w:rFonts w:hAnsi="宋体" w:cs="宋体"/>
          <w:color w:val="auto"/>
          <w:szCs w:val="21"/>
        </w:rPr>
        <w:t>⑤</w:t>
      </w:r>
      <w:r>
        <w:rPr>
          <w:rFonts w:hint="default" w:ascii="Times New Roman"/>
          <w:color w:val="auto"/>
          <w:spacing w:val="-16"/>
          <w:kern w:val="21"/>
          <w:szCs w:val="21"/>
        </w:rPr>
        <w:fldChar w:fldCharType="end"/>
      </w:r>
      <w:r>
        <w:rPr>
          <w:rFonts w:hint="default" w:ascii="Times New Roman"/>
          <w:snapToGrid w:val="0"/>
          <w:color w:val="auto"/>
          <w:spacing w:val="-16"/>
          <w:kern w:val="21"/>
          <w:szCs w:val="21"/>
        </w:rPr>
        <w:t>；</w:t>
      </w:r>
      <w:r>
        <w:rPr>
          <w:rFonts w:hint="default" w:ascii="Times New Roman"/>
          <w:color w:val="auto"/>
          <w:spacing w:val="-6"/>
          <w:kern w:val="21"/>
          <w:szCs w:val="21"/>
        </w:rPr>
        <w:fldChar w:fldCharType="begin"/>
      </w:r>
      <w:r>
        <w:rPr>
          <w:rFonts w:hint="default" w:ascii="Times New Roman"/>
          <w:snapToGrid w:val="0"/>
          <w:color w:val="auto"/>
          <w:spacing w:val="-6"/>
          <w:kern w:val="21"/>
          <w:szCs w:val="21"/>
        </w:rPr>
        <w:instrText xml:space="preserve"> = 7 \* GB3 \* MERGEFORMAT </w:instrText>
      </w:r>
      <w:r>
        <w:rPr>
          <w:rFonts w:hint="default" w:ascii="Times New Roman"/>
          <w:color w:val="auto"/>
          <w:spacing w:val="-6"/>
          <w:kern w:val="21"/>
          <w:szCs w:val="21"/>
        </w:rPr>
        <w:fldChar w:fldCharType="separate"/>
      </w:r>
      <w:r>
        <w:rPr>
          <w:rFonts w:hAnsi="宋体" w:cs="宋体"/>
          <w:color w:val="auto"/>
          <w:szCs w:val="21"/>
        </w:rPr>
        <w:t>⑦</w:t>
      </w:r>
      <w:r>
        <w:rPr>
          <w:rFonts w:hint="default" w:ascii="Times New Roman"/>
          <w:color w:val="auto"/>
          <w:spacing w:val="-6"/>
          <w:kern w:val="21"/>
          <w:szCs w:val="21"/>
        </w:rPr>
        <w:fldChar w:fldCharType="end"/>
      </w:r>
      <w:r>
        <w:rPr>
          <w:rFonts w:hint="default" w:ascii="Times New Roman"/>
          <w:snapToGrid w:val="0"/>
          <w:color w:val="auto"/>
          <w:spacing w:val="-6"/>
          <w:kern w:val="21"/>
          <w:szCs w:val="21"/>
        </w:rPr>
        <w:t>=</w:t>
      </w:r>
      <w:r>
        <w:rPr>
          <w:rFonts w:hint="default" w:ascii="Times New Roman"/>
          <w:color w:val="auto"/>
          <w:spacing w:val="-16"/>
          <w:kern w:val="21"/>
          <w:szCs w:val="21"/>
        </w:rPr>
        <w:fldChar w:fldCharType="begin"/>
      </w:r>
      <w:r>
        <w:rPr>
          <w:rFonts w:hint="default" w:ascii="Times New Roman"/>
          <w:snapToGrid w:val="0"/>
          <w:color w:val="auto"/>
          <w:spacing w:val="-16"/>
          <w:kern w:val="21"/>
          <w:szCs w:val="21"/>
        </w:rPr>
        <w:instrText xml:space="preserve"> = 6 \* GB3 \* MERGEFORMAT </w:instrText>
      </w:r>
      <w:r>
        <w:rPr>
          <w:rFonts w:hint="default" w:ascii="Times New Roman"/>
          <w:color w:val="auto"/>
          <w:spacing w:val="-16"/>
          <w:kern w:val="21"/>
          <w:szCs w:val="21"/>
        </w:rPr>
        <w:fldChar w:fldCharType="separate"/>
      </w:r>
      <w:r>
        <w:rPr>
          <w:rFonts w:hAnsi="宋体" w:cs="宋体"/>
          <w:color w:val="auto"/>
          <w:szCs w:val="21"/>
        </w:rPr>
        <w:t>⑥</w:t>
      </w:r>
      <w:r>
        <w:rPr>
          <w:rFonts w:hint="default" w:ascii="Times New Roman"/>
          <w:color w:val="auto"/>
          <w:spacing w:val="-16"/>
          <w:kern w:val="21"/>
          <w:szCs w:val="21"/>
        </w:rPr>
        <w:fldChar w:fldCharType="end"/>
      </w:r>
      <w:r>
        <w:rPr>
          <w:rFonts w:hint="default" w:ascii="Times New Roman"/>
          <w:snapToGrid w:val="0"/>
          <w:color w:val="auto"/>
          <w:spacing w:val="-16"/>
          <w:kern w:val="21"/>
          <w:szCs w:val="21"/>
        </w:rPr>
        <w:t>-</w:t>
      </w:r>
      <w:r>
        <w:rPr>
          <w:rFonts w:hint="default" w:ascii="Times New Roman"/>
          <w:color w:val="auto"/>
          <w:spacing w:val="-6"/>
          <w:kern w:val="21"/>
          <w:szCs w:val="21"/>
        </w:rPr>
        <w:fldChar w:fldCharType="begin"/>
      </w:r>
      <w:r>
        <w:rPr>
          <w:rFonts w:hint="default" w:ascii="Times New Roman"/>
          <w:snapToGrid w:val="0"/>
          <w:color w:val="auto"/>
          <w:spacing w:val="-6"/>
          <w:kern w:val="21"/>
          <w:szCs w:val="21"/>
        </w:rPr>
        <w:instrText xml:space="preserve"> = 1 \* GB3 \* MERGEFORMAT </w:instrText>
      </w:r>
      <w:r>
        <w:rPr>
          <w:rFonts w:hint="default" w:ascii="Times New Roman"/>
          <w:color w:val="auto"/>
          <w:spacing w:val="-6"/>
          <w:kern w:val="21"/>
          <w:szCs w:val="21"/>
        </w:rPr>
        <w:fldChar w:fldCharType="separate"/>
      </w:r>
      <w:r>
        <w:rPr>
          <w:rFonts w:hAnsi="宋体" w:cs="宋体"/>
          <w:color w:val="auto"/>
          <w:szCs w:val="21"/>
        </w:rPr>
        <w:t>①</w:t>
      </w:r>
      <w:r>
        <w:rPr>
          <w:rFonts w:hint="default" w:ascii="Times New Roman"/>
          <w:color w:val="auto"/>
          <w:spacing w:val="-6"/>
          <w:kern w:val="21"/>
          <w:szCs w:val="21"/>
        </w:rPr>
        <w:fldChar w:fldCharType="end"/>
      </w:r>
      <w:r>
        <w:rPr>
          <w:rFonts w:hint="default" w:ascii="Times New Roman"/>
          <w:color w:val="auto"/>
          <w:spacing w:val="-6"/>
          <w:kern w:val="21"/>
          <w:szCs w:val="21"/>
        </w:rPr>
        <w:br w:type="page"/>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lang w:val="en-US" w:eastAsia="zh-CN"/>
        </w:rPr>
      </w:pPr>
      <w:r>
        <w:rPr>
          <w:rFonts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3124835</wp:posOffset>
                </wp:positionH>
                <wp:positionV relativeFrom="paragraph">
                  <wp:posOffset>5739765</wp:posOffset>
                </wp:positionV>
                <wp:extent cx="2298065" cy="356870"/>
                <wp:effectExtent l="0" t="0" r="0" b="0"/>
                <wp:wrapNone/>
                <wp:docPr id="14" name="文本框 115"/>
                <wp:cNvGraphicFramePr/>
                <a:graphic xmlns:a="http://schemas.openxmlformats.org/drawingml/2006/main">
                  <a:graphicData uri="http://schemas.microsoft.com/office/word/2010/wordprocessingShape">
                    <wps:wsp>
                      <wps:cNvSpPr txBox="1"/>
                      <wps:spPr>
                        <a:xfrm>
                          <a:off x="4534535" y="6526530"/>
                          <a:ext cx="2298065" cy="356870"/>
                        </a:xfrm>
                        <a:prstGeom prst="rect">
                          <a:avLst/>
                        </a:prstGeom>
                        <a:noFill/>
                        <a:ln w="6350">
                          <a:noFill/>
                        </a:ln>
                        <a:effectLst/>
                      </wps:spPr>
                      <wps:txbx>
                        <w:txbxContent>
                          <w:p>
                            <w:pP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1</w:t>
                            </w:r>
                            <w:r>
                              <w:rPr>
                                <w:rFonts w:ascii="Times New Roman" w:hAnsi="Times New Roman" w:cs="Times New Roman"/>
                                <w:b/>
                                <w:sz w:val="24"/>
                              </w:rPr>
                              <w:t xml:space="preserve">  </w:t>
                            </w:r>
                            <w:r>
                              <w:rPr>
                                <w:rFonts w:hint="eastAsia" w:ascii="Times New Roman" w:hAnsi="Times New Roman" w:cs="Times New Roman"/>
                                <w:b/>
                                <w:sz w:val="24"/>
                              </w:rPr>
                              <w:t>建设</w:t>
                            </w:r>
                            <w:r>
                              <w:rPr>
                                <w:rFonts w:ascii="Times New Roman" w:hAnsi="Times New Roman" w:cs="Times New Roman"/>
                                <w:b/>
                                <w:sz w:val="24"/>
                              </w:rPr>
                              <w:t>项目</w:t>
                            </w:r>
                            <w:r>
                              <w:rPr>
                                <w:rFonts w:hint="eastAsia" w:ascii="Times New Roman" w:hAnsi="Times New Roman" w:cs="Times New Roman"/>
                                <w:b/>
                                <w:sz w:val="24"/>
                              </w:rPr>
                              <w:t>地理位</w:t>
                            </w:r>
                            <w:r>
                              <w:rPr>
                                <w:rFonts w:ascii="Times New Roman" w:hAnsi="Times New Roman" w:cs="Times New Roman"/>
                                <w:b/>
                                <w:sz w:val="24"/>
                              </w:rPr>
                              <w:t>置图</w:t>
                            </w:r>
                          </w:p>
                        </w:txbxContent>
                      </wps:txbx>
                      <wps:bodyPr upright="1"/>
                    </wps:wsp>
                  </a:graphicData>
                </a:graphic>
              </wp:anchor>
            </w:drawing>
          </mc:Choice>
          <mc:Fallback>
            <w:pict>
              <v:shape id="文本框 115" o:spid="_x0000_s1026" o:spt="202" type="#_x0000_t202" style="position:absolute;left:0pt;margin-left:246.05pt;margin-top:451.95pt;height:28.1pt;width:180.95pt;z-index:251662336;mso-width-relative:page;mso-height-relative:page;" filled="f" stroked="f" coordsize="21600,21600" o:gfxdata="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uZO+dwAAAALAQAADwAAAAAAAAABACAAAAAiAAAAZHJz&#10;L2Rvd25yZXYueG1sUEsBAhQAFAAAAAgAh07iQKQmAxrHAQAAdAMAAA4AAAAAAAAAAQAgAAAAKwEA&#10;AGRycy9lMm9Eb2MueG1sUEsFBgAAAAAGAAYAWQEAAGQFAAAAAA==&#10;">
                <v:fill on="f" focussize="0,0"/>
                <v:stroke on="f" weight="0.5pt"/>
                <v:imagedata o:title=""/>
                <o:lock v:ext="edit" aspectratio="f"/>
                <v:textbox>
                  <w:txbxContent>
                    <w:p>
                      <w:pP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1</w:t>
                      </w:r>
                      <w:r>
                        <w:rPr>
                          <w:rFonts w:ascii="Times New Roman" w:hAnsi="Times New Roman" w:cs="Times New Roman"/>
                          <w:b/>
                          <w:sz w:val="24"/>
                        </w:rPr>
                        <w:t xml:space="preserve">  </w:t>
                      </w:r>
                      <w:r>
                        <w:rPr>
                          <w:rFonts w:hint="eastAsia" w:ascii="Times New Roman" w:hAnsi="Times New Roman" w:cs="Times New Roman"/>
                          <w:b/>
                          <w:sz w:val="24"/>
                        </w:rPr>
                        <w:t>建设</w:t>
                      </w:r>
                      <w:r>
                        <w:rPr>
                          <w:rFonts w:ascii="Times New Roman" w:hAnsi="Times New Roman" w:cs="Times New Roman"/>
                          <w:b/>
                          <w:sz w:val="24"/>
                        </w:rPr>
                        <w:t>项目</w:t>
                      </w:r>
                      <w:r>
                        <w:rPr>
                          <w:rFonts w:hint="eastAsia" w:ascii="Times New Roman" w:hAnsi="Times New Roman" w:cs="Times New Roman"/>
                          <w:b/>
                          <w:sz w:val="24"/>
                        </w:rPr>
                        <w:t>地理位</w:t>
                      </w:r>
                      <w:r>
                        <w:rPr>
                          <w:rFonts w:ascii="Times New Roman" w:hAnsi="Times New Roman" w:cs="Times New Roman"/>
                          <w:b/>
                          <w:sz w:val="24"/>
                        </w:rPr>
                        <w:t>置图</w:t>
                      </w:r>
                    </w:p>
                  </w:txbxContent>
                </v:textbox>
              </v:shape>
            </w:pict>
          </mc:Fallback>
        </mc:AlternateContent>
      </w:r>
      <w:r>
        <w:rPr>
          <w:color w:val="auto"/>
        </w:rPr>
        <w:drawing>
          <wp:inline distT="0" distB="0" distL="114300" distR="114300">
            <wp:extent cx="8204200" cy="5608320"/>
            <wp:effectExtent l="0" t="0" r="6350"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8204200" cy="5608320"/>
                    </a:xfrm>
                    <a:prstGeom prst="rect">
                      <a:avLst/>
                    </a:prstGeom>
                    <a:noFill/>
                    <a:ln>
                      <a:noFill/>
                    </a:ln>
                  </pic:spPr>
                </pic:pic>
              </a:graphicData>
            </a:graphic>
          </wp:inline>
        </w:drawing>
      </w:r>
      <w:r>
        <w:rPr>
          <w:rFonts w:ascii="Times New Roman" w:hAnsi="Times New Roman" w:cs="Times New Roman"/>
          <w:color w:val="auto"/>
        </w:rPr>
        <w:drawing>
          <wp:anchor distT="0" distB="0" distL="114300" distR="114300" simplePos="0" relativeHeight="251660288" behindDoc="1" locked="0" layoutInCell="1" allowOverlap="1">
            <wp:simplePos x="0" y="0"/>
            <wp:positionH relativeFrom="column">
              <wp:posOffset>259080</wp:posOffset>
            </wp:positionH>
            <wp:positionV relativeFrom="paragraph">
              <wp:posOffset>121920</wp:posOffset>
            </wp:positionV>
            <wp:extent cx="8035925" cy="5752465"/>
            <wp:effectExtent l="0" t="0" r="10795" b="8255"/>
            <wp:wrapNone/>
            <wp:docPr id="2" name="图片 2" descr="宽城满族自治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宽城满族自治县"/>
                    <pic:cNvPicPr>
                      <a:picLocks noChangeAspect="1"/>
                    </pic:cNvPicPr>
                  </pic:nvPicPr>
                  <pic:blipFill>
                    <a:blip r:embed="rId20" cstate="print"/>
                    <a:stretch>
                      <a:fillRect/>
                    </a:stretch>
                  </pic:blipFill>
                  <pic:spPr>
                    <a:xfrm>
                      <a:off x="0" y="0"/>
                      <a:ext cx="8035925" cy="5752465"/>
                    </a:xfrm>
                    <a:prstGeom prst="rect">
                      <a:avLst/>
                    </a:prstGeom>
                  </pic:spPr>
                </pic:pic>
              </a:graphicData>
            </a:graphic>
          </wp:anchor>
        </w:drawing>
      </w:r>
      <w:r>
        <w:rPr>
          <w:rFonts w:ascii="Times New Roman" w:hAnsi="Times New Roman" w:cs="Times New Roman"/>
          <w:color w:val="auto"/>
        </w:rPr>
        <w:br w:type="page"/>
      </w:r>
      <w:r>
        <w:rPr>
          <w:rFonts w:ascii="Times New Roman" w:hAnsi="Times New Roman" w:cs="Times New Roman"/>
          <w:color w:val="auto"/>
        </w:rPr>
        <mc:AlternateContent>
          <mc:Choice Requires="wps">
            <w:drawing>
              <wp:anchor distT="0" distB="0" distL="114300" distR="114300" simplePos="0" relativeHeight="251661312" behindDoc="0" locked="0" layoutInCell="1" allowOverlap="1">
                <wp:simplePos x="0" y="0"/>
                <wp:positionH relativeFrom="column">
                  <wp:posOffset>3216275</wp:posOffset>
                </wp:positionH>
                <wp:positionV relativeFrom="paragraph">
                  <wp:posOffset>5605780</wp:posOffset>
                </wp:positionV>
                <wp:extent cx="2298065" cy="356870"/>
                <wp:effectExtent l="0" t="0" r="0" b="0"/>
                <wp:wrapNone/>
                <wp:docPr id="115" name="文本框 115"/>
                <wp:cNvGraphicFramePr/>
                <a:graphic xmlns:a="http://schemas.openxmlformats.org/drawingml/2006/main">
                  <a:graphicData uri="http://schemas.microsoft.com/office/word/2010/wordprocessingShape">
                    <wps:wsp>
                      <wps:cNvSpPr txBox="1"/>
                      <wps:spPr>
                        <a:xfrm>
                          <a:off x="4534535" y="6526530"/>
                          <a:ext cx="2298065" cy="356870"/>
                        </a:xfrm>
                        <a:prstGeom prst="rect">
                          <a:avLst/>
                        </a:prstGeom>
                        <a:noFill/>
                        <a:ln w="6350">
                          <a:noFill/>
                        </a:ln>
                        <a:effectLst/>
                      </wps:spPr>
                      <wps:txb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2</w:t>
                            </w:r>
                            <w:r>
                              <w:rPr>
                                <w:rFonts w:ascii="Times New Roman" w:hAnsi="Times New Roman" w:cs="Times New Roman"/>
                                <w:b/>
                                <w:sz w:val="24"/>
                              </w:rPr>
                              <w:t xml:space="preserve">  项目</w:t>
                            </w:r>
                            <w:r>
                              <w:rPr>
                                <w:rFonts w:hint="eastAsia" w:ascii="Times New Roman" w:hAnsi="Times New Roman" w:cs="Times New Roman"/>
                                <w:b/>
                                <w:sz w:val="24"/>
                                <w:lang w:val="en-US" w:eastAsia="zh-CN"/>
                              </w:rPr>
                              <w:t>平面布置</w:t>
                            </w:r>
                            <w:r>
                              <w:rPr>
                                <w:rFonts w:ascii="Times New Roman" w:hAnsi="Times New Roman" w:cs="Times New Roman"/>
                                <w:b/>
                                <w:sz w:val="24"/>
                              </w:rPr>
                              <w:t>图</w:t>
                            </w:r>
                          </w:p>
                        </w:txbxContent>
                      </wps:txbx>
                      <wps:bodyPr upright="1"/>
                    </wps:wsp>
                  </a:graphicData>
                </a:graphic>
              </wp:anchor>
            </w:drawing>
          </mc:Choice>
          <mc:Fallback>
            <w:pict>
              <v:shape id="_x0000_s1026" o:spid="_x0000_s1026" o:spt="202" type="#_x0000_t202" style="position:absolute;left:0pt;margin-left:253.25pt;margin-top:441.4pt;height:28.1pt;width:180.95pt;z-index:251661312;mso-width-relative:page;mso-height-relative:page;" filled="f" stroked="f" coordsize="21600,21600" o:gfxdata="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7XFhdwAAAALAQAADwAAAAAAAAABACAAAAAiAAAAZHJz&#10;L2Rvd25yZXYueG1sUEsBAhQAFAAAAAgAh07iQN1MNn/HAQAAdQMAAA4AAAAAAAAAAQAgAAAAKwEA&#10;AGRycy9lMm9Eb2MueG1sUEsFBgAAAAAGAAYAWQEAAGQFAAAAAA==&#10;">
                <v:fill on="f" focussize="0,0"/>
                <v:stroke on="f" weight="0.5pt"/>
                <v:imagedata o:title=""/>
                <o:lock v:ext="edit" aspectratio="f"/>
                <v:textbo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2</w:t>
                      </w:r>
                      <w:r>
                        <w:rPr>
                          <w:rFonts w:ascii="Times New Roman" w:hAnsi="Times New Roman" w:cs="Times New Roman"/>
                          <w:b/>
                          <w:sz w:val="24"/>
                        </w:rPr>
                        <w:t xml:space="preserve">  项目</w:t>
                      </w:r>
                      <w:r>
                        <w:rPr>
                          <w:rFonts w:hint="eastAsia" w:ascii="Times New Roman" w:hAnsi="Times New Roman" w:cs="Times New Roman"/>
                          <w:b/>
                          <w:sz w:val="24"/>
                          <w:lang w:val="en-US" w:eastAsia="zh-CN"/>
                        </w:rPr>
                        <w:t>平面布置</w:t>
                      </w:r>
                      <w:r>
                        <w:rPr>
                          <w:rFonts w:ascii="Times New Roman" w:hAnsi="Times New Roman" w:cs="Times New Roman"/>
                          <w:b/>
                          <w:sz w:val="24"/>
                        </w:rPr>
                        <w:t>图</w:t>
                      </w:r>
                    </w:p>
                  </w:txbxContent>
                </v:textbox>
              </v:shape>
            </w:pict>
          </mc:Fallback>
        </mc:AlternateContent>
      </w: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4744085</wp:posOffset>
                </wp:positionH>
                <wp:positionV relativeFrom="paragraph">
                  <wp:posOffset>2437765</wp:posOffset>
                </wp:positionV>
                <wp:extent cx="838200" cy="342900"/>
                <wp:effectExtent l="0" t="0" r="0" b="0"/>
                <wp:wrapNone/>
                <wp:docPr id="26" name="文本框 51"/>
                <wp:cNvGraphicFramePr/>
                <a:graphic xmlns:a="http://schemas.openxmlformats.org/drawingml/2006/main">
                  <a:graphicData uri="http://schemas.microsoft.com/office/word/2010/wordprocessingShape">
                    <wps:wsp>
                      <wps:cNvSpPr txBox="1"/>
                      <wps:spPr>
                        <a:xfrm>
                          <a:off x="0" y="0"/>
                          <a:ext cx="838200" cy="342900"/>
                        </a:xfrm>
                        <a:prstGeom prst="rect">
                          <a:avLst/>
                        </a:prstGeom>
                        <a:noFill/>
                        <a:ln>
                          <a:noFill/>
                        </a:ln>
                      </wps:spPr>
                      <wps:txbx>
                        <w:txbxContent>
                          <w:p>
                            <w:pPr>
                              <w:rPr>
                                <w:rFonts w:hint="default" w:eastAsiaTheme="minorEastAsia"/>
                                <w:b/>
                                <w:bCs/>
                                <w:color w:val="FF0000"/>
                                <w:lang w:val="en-US" w:eastAsia="zh-CN"/>
                              </w:rPr>
                            </w:pPr>
                            <w:r>
                              <w:rPr>
                                <w:rFonts w:hint="eastAsia"/>
                                <w:b/>
                                <w:bCs/>
                                <w:color w:val="FF0000"/>
                                <w:lang w:val="en-US" w:eastAsia="zh-CN"/>
                              </w:rPr>
                              <w:t>生物质库</w:t>
                            </w:r>
                          </w:p>
                        </w:txbxContent>
                      </wps:txbx>
                      <wps:bodyPr upright="1"/>
                    </wps:wsp>
                  </a:graphicData>
                </a:graphic>
              </wp:anchor>
            </w:drawing>
          </mc:Choice>
          <mc:Fallback>
            <w:pict>
              <v:shape id="文本框 51" o:spid="_x0000_s1026" o:spt="202" type="#_x0000_t202" style="position:absolute;left:0pt;margin-left:373.55pt;margin-top:191.95pt;height:27pt;width:66pt;z-index:251667456;mso-width-relative:page;mso-height-relative:page;" filled="f" stroked="f" coordsize="21600,21600" o:gfxdata="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d6z1XY&#10;AAAACwEAAA8AAAAAAAAAAQAgAAAAIgAAAGRycy9kb3ducmV2LnhtbFBLAQIUABQAAAAIAIdO4kBN&#10;OB9LrgEAAE8DAAAOAAAAAAAAAAEAIAAAACcBAABkcnMvZTJvRG9jLnhtbFBLBQYAAAAABgAGAFkB&#10;AABHBQAAAAA=&#10;">
                <v:fill on="f" focussize="0,0"/>
                <v:stroke on="f"/>
                <v:imagedata o:title=""/>
                <o:lock v:ext="edit" aspectratio="f"/>
                <v:textbox>
                  <w:txbxContent>
                    <w:p>
                      <w:pPr>
                        <w:rPr>
                          <w:rFonts w:hint="default" w:eastAsiaTheme="minorEastAsia"/>
                          <w:b/>
                          <w:bCs/>
                          <w:color w:val="FF0000"/>
                          <w:lang w:val="en-US" w:eastAsia="zh-CN"/>
                        </w:rPr>
                      </w:pPr>
                      <w:r>
                        <w:rPr>
                          <w:rFonts w:hint="eastAsia"/>
                          <w:b/>
                          <w:bCs/>
                          <w:color w:val="FF0000"/>
                          <w:lang w:val="en-US" w:eastAsia="zh-CN"/>
                        </w:rPr>
                        <w:t>生物质库</w:t>
                      </w:r>
                    </w:p>
                  </w:txbxContent>
                </v:textbox>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4358005</wp:posOffset>
                </wp:positionH>
                <wp:positionV relativeFrom="paragraph">
                  <wp:posOffset>2325370</wp:posOffset>
                </wp:positionV>
                <wp:extent cx="1038225" cy="342900"/>
                <wp:effectExtent l="0" t="0" r="0" b="0"/>
                <wp:wrapNone/>
                <wp:docPr id="24" name="文本框 49"/>
                <wp:cNvGraphicFramePr/>
                <a:graphic xmlns:a="http://schemas.openxmlformats.org/drawingml/2006/main">
                  <a:graphicData uri="http://schemas.microsoft.com/office/word/2010/wordprocessingShape">
                    <wps:wsp>
                      <wps:cNvSpPr txBox="1"/>
                      <wps:spPr>
                        <a:xfrm>
                          <a:off x="0" y="0"/>
                          <a:ext cx="1038225" cy="342900"/>
                        </a:xfrm>
                        <a:prstGeom prst="rect">
                          <a:avLst/>
                        </a:prstGeom>
                        <a:noFill/>
                        <a:ln>
                          <a:noFill/>
                        </a:ln>
                      </wps:spPr>
                      <wps:txbx>
                        <w:txbxContent>
                          <w:p>
                            <w:pPr>
                              <w:rPr>
                                <w:rFonts w:hint="eastAsia" w:eastAsiaTheme="minorEastAsia"/>
                                <w:b/>
                                <w:bCs/>
                                <w:color w:val="FF0000"/>
                                <w:lang w:val="en-US" w:eastAsia="zh-CN"/>
                              </w:rPr>
                            </w:pPr>
                            <w:r>
                              <w:rPr>
                                <w:rFonts w:hint="eastAsia"/>
                                <w:b/>
                                <w:bCs/>
                                <w:color w:val="FF0000"/>
                                <w:lang w:val="en-US" w:eastAsia="zh-CN"/>
                              </w:rPr>
                              <w:t>锅炉房</w:t>
                            </w:r>
                          </w:p>
                        </w:txbxContent>
                      </wps:txbx>
                      <wps:bodyPr upright="1"/>
                    </wps:wsp>
                  </a:graphicData>
                </a:graphic>
              </wp:anchor>
            </w:drawing>
          </mc:Choice>
          <mc:Fallback>
            <w:pict>
              <v:shape id="文本框 49" o:spid="_x0000_s1026" o:spt="202" type="#_x0000_t202" style="position:absolute;left:0pt;margin-left:343.15pt;margin-top:183.1pt;height:27pt;width:81.75pt;z-index:251665408;mso-width-relative:page;mso-height-relative:page;" filled="f" stroked="f" coordsize="21600,21600" o:gfxdata="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c71&#10;JdgAAAALAQAADwAAAAAAAAABACAAAAAiAAAAZHJzL2Rvd25yZXYueG1sUEsBAhQAFAAAAAgAh07i&#10;QGqyhl+wAQAAUAMAAA4AAAAAAAAAAQAgAAAAJwEAAGRycy9lMm9Eb2MueG1sUEsFBgAAAAAGAAYA&#10;WQEAAEkFAAAAAA==&#10;">
                <v:fill on="f" focussize="0,0"/>
                <v:stroke on="f"/>
                <v:imagedata o:title=""/>
                <o:lock v:ext="edit" aspectratio="f"/>
                <v:textbox>
                  <w:txbxContent>
                    <w:p>
                      <w:pPr>
                        <w:rPr>
                          <w:rFonts w:hint="eastAsia" w:eastAsiaTheme="minorEastAsia"/>
                          <w:b/>
                          <w:bCs/>
                          <w:color w:val="FF0000"/>
                          <w:lang w:val="en-US" w:eastAsia="zh-CN"/>
                        </w:rPr>
                      </w:pPr>
                      <w:r>
                        <w:rPr>
                          <w:rFonts w:hint="eastAsia"/>
                          <w:b/>
                          <w:bCs/>
                          <w:color w:val="FF0000"/>
                          <w:lang w:val="en-US" w:eastAsia="zh-CN"/>
                        </w:rPr>
                        <w:t>锅炉房</w:t>
                      </w:r>
                    </w:p>
                  </w:txbxContent>
                </v:textbox>
              </v:shape>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4815840</wp:posOffset>
                </wp:positionH>
                <wp:positionV relativeFrom="paragraph">
                  <wp:posOffset>2405380</wp:posOffset>
                </wp:positionV>
                <wp:extent cx="396875" cy="245110"/>
                <wp:effectExtent l="27305" t="41910" r="33020" b="55880"/>
                <wp:wrapNone/>
                <wp:docPr id="25" name="文本框 47"/>
                <wp:cNvGraphicFramePr/>
                <a:graphic xmlns:a="http://schemas.openxmlformats.org/drawingml/2006/main">
                  <a:graphicData uri="http://schemas.microsoft.com/office/word/2010/wordprocessingShape">
                    <wps:wsp>
                      <wps:cNvSpPr txBox="1"/>
                      <wps:spPr>
                        <a:xfrm rot="600000">
                          <a:off x="0" y="0"/>
                          <a:ext cx="396875" cy="245110"/>
                        </a:xfrm>
                        <a:prstGeom prst="rect">
                          <a:avLst/>
                        </a:prstGeom>
                        <a:noFill/>
                        <a:ln w="158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文本框 47" o:spid="_x0000_s1026" o:spt="202" type="#_x0000_t202" style="position:absolute;left:0pt;margin-left:379.2pt;margin-top:189.4pt;height:19.3pt;width:31.25pt;rotation:655360f;z-index:251666432;mso-width-relative:page;mso-height-relative:page;" filled="f" stroked="t" coordsize="21600,21600" o:gfxdata="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6ETefaAAAACwEAAA8AAAAAAAAA&#10;AQAgAAAAIgAAAGRycy9kb3ducmV2LnhtbFBLAQIUABQAAAAIAIdO4kDTnjzyDwIAABwEAAAOAAAA&#10;AAAAAAEAIAAAACkBAABkcnMvZTJvRG9jLnhtbFBLBQYAAAAABgAGAFkBAACqBQAAAAA=&#10;">
                <v:fill on="f" focussize="0,0"/>
                <v:stroke weight="1.25pt" color="#FF0000" joinstyle="miter"/>
                <v:imagedata o:title=""/>
                <o:lock v:ext="edit" aspectratio="f"/>
                <v:textbox>
                  <w:txbxContent>
                    <w:p/>
                  </w:txbxContent>
                </v:textbox>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4484370</wp:posOffset>
                </wp:positionH>
                <wp:positionV relativeFrom="paragraph">
                  <wp:posOffset>2345055</wp:posOffset>
                </wp:positionV>
                <wp:extent cx="318135" cy="224790"/>
                <wp:effectExtent l="27940" t="37465" r="34925" b="42545"/>
                <wp:wrapNone/>
                <wp:docPr id="19" name="文本框 46"/>
                <wp:cNvGraphicFramePr/>
                <a:graphic xmlns:a="http://schemas.openxmlformats.org/drawingml/2006/main">
                  <a:graphicData uri="http://schemas.microsoft.com/office/word/2010/wordprocessingShape">
                    <wps:wsp>
                      <wps:cNvSpPr txBox="1"/>
                      <wps:spPr>
                        <a:xfrm rot="660000">
                          <a:off x="0" y="0"/>
                          <a:ext cx="318135" cy="224790"/>
                        </a:xfrm>
                        <a:prstGeom prst="rect">
                          <a:avLst/>
                        </a:prstGeom>
                        <a:noFill/>
                        <a:ln w="158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文本框 46" o:spid="_x0000_s1026" o:spt="202" type="#_x0000_t202" style="position:absolute;left:0pt;margin-left:353.1pt;margin-top:184.65pt;height:17.7pt;width:25.05pt;rotation:720896f;z-index:251664384;mso-width-relative:page;mso-height-relative:page;" filled="f" stroked="t" coordsize="21600,21600" o:gfxdata="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hqf9NoAAAALAQAADwAAAAAA&#10;AAABACAAAAAiAAAAZHJzL2Rvd25yZXYueG1sUEsBAhQAFAAAAAgAh07iQGMyNj4RAgAAHAQAAA4A&#10;AAAAAAAAAQAgAAAAKQEAAGRycy9lMm9Eb2MueG1sUEsFBgAAAAAGAAYAWQEAAKwFAAAAAA==&#10;">
                <v:fill on="f" focussize="0,0"/>
                <v:stroke weight="1.25pt" color="#FF0000" joinstyle="miter"/>
                <v:imagedata o:title=""/>
                <o:lock v:ext="edit" aspectratio="f"/>
                <v:textbox>
                  <w:txbxContent>
                    <w:p/>
                  </w:txbxContent>
                </v:textbox>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3441700</wp:posOffset>
                </wp:positionH>
                <wp:positionV relativeFrom="paragraph">
                  <wp:posOffset>2186940</wp:posOffset>
                </wp:positionV>
                <wp:extent cx="761365" cy="321310"/>
                <wp:effectExtent l="0" t="0" r="0" b="0"/>
                <wp:wrapNone/>
                <wp:docPr id="21" name="文本框 52"/>
                <wp:cNvGraphicFramePr/>
                <a:graphic xmlns:a="http://schemas.openxmlformats.org/drawingml/2006/main">
                  <a:graphicData uri="http://schemas.microsoft.com/office/word/2010/wordprocessingShape">
                    <wps:wsp>
                      <wps:cNvSpPr txBox="1"/>
                      <wps:spPr>
                        <a:xfrm>
                          <a:off x="0" y="0"/>
                          <a:ext cx="761365" cy="321310"/>
                        </a:xfrm>
                        <a:prstGeom prst="rect">
                          <a:avLst/>
                        </a:prstGeom>
                        <a:noFill/>
                        <a:ln>
                          <a:noFill/>
                        </a:ln>
                      </wps:spPr>
                      <wps:txbx>
                        <w:txbxContent>
                          <w:p>
                            <w:pPr>
                              <w:jc w:val="center"/>
                              <w:rPr>
                                <w:rFonts w:hint="default" w:eastAsiaTheme="minorEastAsia"/>
                                <w:b/>
                                <w:bCs/>
                                <w:color w:val="FF0000"/>
                                <w:lang w:val="en-US" w:eastAsia="zh-CN"/>
                              </w:rPr>
                            </w:pPr>
                            <w:r>
                              <w:rPr>
                                <w:rFonts w:hint="eastAsia"/>
                                <w:b/>
                                <w:bCs/>
                                <w:color w:val="FF0000"/>
                                <w:sz w:val="21"/>
                                <w:szCs w:val="21"/>
                                <w:lang w:val="en-US" w:eastAsia="zh-CN"/>
                              </w:rPr>
                              <w:t>污水处理</w:t>
                            </w:r>
                          </w:p>
                        </w:txbxContent>
                      </wps:txbx>
                      <wps:bodyPr upright="1"/>
                    </wps:wsp>
                  </a:graphicData>
                </a:graphic>
              </wp:anchor>
            </w:drawing>
          </mc:Choice>
          <mc:Fallback>
            <w:pict>
              <v:shape id="文本框 52" o:spid="_x0000_s1026" o:spt="202" type="#_x0000_t202" style="position:absolute;left:0pt;margin-left:271pt;margin-top:172.2pt;height:25.3pt;width:59.95pt;z-index:251664384;mso-width-relative:page;mso-height-relative:page;" filled="f" stroked="f" coordsize="21600,21600" o:gfxdata="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nQ5lrY&#10;AAAACwEAAA8AAAAAAAAAAQAgAAAAIgAAAGRycy9kb3ducmV2LnhtbFBLAQIUABQAAAAIAIdO4kB9&#10;iqxorgEAAE8DAAAOAAAAAAAAAAEAIAAAACcBAABkcnMvZTJvRG9jLnhtbFBLBQYAAAAABgAGAFkB&#10;AABHBQAAAAA=&#10;">
                <v:fill on="f" focussize="0,0"/>
                <v:stroke on="f"/>
                <v:imagedata o:title=""/>
                <o:lock v:ext="edit" aspectratio="f"/>
                <v:textbox>
                  <w:txbxContent>
                    <w:p>
                      <w:pPr>
                        <w:jc w:val="center"/>
                        <w:rPr>
                          <w:rFonts w:hint="default" w:eastAsiaTheme="minorEastAsia"/>
                          <w:b/>
                          <w:bCs/>
                          <w:color w:val="FF0000"/>
                          <w:lang w:val="en-US" w:eastAsia="zh-CN"/>
                        </w:rPr>
                      </w:pPr>
                      <w:r>
                        <w:rPr>
                          <w:rFonts w:hint="eastAsia"/>
                          <w:b/>
                          <w:bCs/>
                          <w:color w:val="FF0000"/>
                          <w:sz w:val="21"/>
                          <w:szCs w:val="21"/>
                          <w:lang w:val="en-US" w:eastAsia="zh-CN"/>
                        </w:rPr>
                        <w:t>污水处理</w:t>
                      </w:r>
                    </w:p>
                  </w:txbxContent>
                </v:textbox>
              </v:shape>
            </w:pict>
          </mc:Fallback>
        </mc:AlternateContent>
      </w:r>
      <w:r>
        <w:rPr>
          <w:rFonts w:hint="eastAsia" w:ascii="Times New Roman" w:hAnsi="Times New Roman" w:cs="Times New Roman"/>
          <w:color w:val="auto"/>
          <w:lang w:val="en-US" w:eastAsia="zh-CN"/>
        </w:rPr>
        <w:drawing>
          <wp:inline distT="0" distB="0" distL="114300" distR="114300">
            <wp:extent cx="7933055" cy="5602605"/>
            <wp:effectExtent l="0" t="0" r="10795" b="17145"/>
            <wp:docPr id="16" name="图片 16" descr="德德食品厂规划(2)(1)(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德德食品厂规划(2)(1)(1)_21"/>
                    <pic:cNvPicPr>
                      <a:picLocks noChangeAspect="1"/>
                    </pic:cNvPicPr>
                  </pic:nvPicPr>
                  <pic:blipFill>
                    <a:blip r:embed="rId21"/>
                    <a:stretch>
                      <a:fillRect/>
                    </a:stretch>
                  </pic:blipFill>
                  <pic:spPr>
                    <a:xfrm>
                      <a:off x="0" y="0"/>
                      <a:ext cx="7933055" cy="5602605"/>
                    </a:xfrm>
                    <a:prstGeom prst="rect">
                      <a:avLst/>
                    </a:prstGeom>
                  </pic:spPr>
                </pic:pic>
              </a:graphicData>
            </a:graphic>
          </wp:inline>
        </w:drawing>
      </w:r>
      <w:r>
        <w:rPr>
          <w:rFonts w:hint="eastAsia" w:ascii="Times New Roman" w:hAnsi="Times New Roman" w:cs="Times New Roman"/>
          <w:color w:val="auto"/>
          <w:lang w:val="en-US" w:eastAsia="zh-CN"/>
        </w:rPr>
        <w:t xml:space="preserve"> </w:t>
      </w:r>
    </w:p>
    <w:p>
      <w:pPr>
        <w:jc w:val="center"/>
        <w:rPr>
          <w:rFonts w:hint="eastAsia" w:ascii="Times New Roman" w:hAnsi="Times New Roman" w:cs="Times New Roman"/>
          <w:color w:val="auto"/>
          <w:lang w:val="en-US" w:eastAsia="zh-CN"/>
        </w:rPr>
      </w:pPr>
      <w:r>
        <w:rPr>
          <w:rFonts w:ascii="Times New Roman" w:hAnsi="Times New Roman" w:cs="Times New Roman"/>
          <w:color w:val="auto"/>
        </w:rPr>
        <mc:AlternateContent>
          <mc:Choice Requires="wps">
            <w:drawing>
              <wp:anchor distT="0" distB="0" distL="114300" distR="114300" simplePos="0" relativeHeight="251664384" behindDoc="0" locked="0" layoutInCell="1" allowOverlap="1">
                <wp:simplePos x="0" y="0"/>
                <wp:positionH relativeFrom="column">
                  <wp:posOffset>2964815</wp:posOffset>
                </wp:positionH>
                <wp:positionV relativeFrom="paragraph">
                  <wp:posOffset>5581650</wp:posOffset>
                </wp:positionV>
                <wp:extent cx="3082925" cy="356870"/>
                <wp:effectExtent l="0" t="0" r="0" b="0"/>
                <wp:wrapNone/>
                <wp:docPr id="22" name="文本框 115"/>
                <wp:cNvGraphicFramePr/>
                <a:graphic xmlns:a="http://schemas.openxmlformats.org/drawingml/2006/main">
                  <a:graphicData uri="http://schemas.microsoft.com/office/word/2010/wordprocessingShape">
                    <wps:wsp>
                      <wps:cNvSpPr txBox="1"/>
                      <wps:spPr>
                        <a:xfrm>
                          <a:off x="4534535" y="6526530"/>
                          <a:ext cx="2298065" cy="356870"/>
                        </a:xfrm>
                        <a:prstGeom prst="rect">
                          <a:avLst/>
                        </a:prstGeom>
                        <a:noFill/>
                        <a:ln w="6350">
                          <a:noFill/>
                        </a:ln>
                        <a:effectLst/>
                      </wps:spPr>
                      <wps:txb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3</w:t>
                            </w:r>
                            <w:r>
                              <w:rPr>
                                <w:rFonts w:ascii="Times New Roman" w:hAnsi="Times New Roman" w:cs="Times New Roman"/>
                                <w:b/>
                                <w:sz w:val="24"/>
                              </w:rPr>
                              <w:t xml:space="preserve">  </w:t>
                            </w:r>
                            <w:r>
                              <w:rPr>
                                <w:rFonts w:hint="eastAsia" w:ascii="Times New Roman" w:hAnsi="Times New Roman" w:cs="Times New Roman"/>
                                <w:b/>
                                <w:sz w:val="24"/>
                                <w:lang w:val="en-US" w:eastAsia="zh-CN"/>
                              </w:rPr>
                              <w:t>建设</w:t>
                            </w:r>
                            <w:r>
                              <w:rPr>
                                <w:rFonts w:ascii="Times New Roman" w:hAnsi="Times New Roman" w:cs="Times New Roman"/>
                                <w:b/>
                                <w:sz w:val="24"/>
                              </w:rPr>
                              <w:t>项目</w:t>
                            </w:r>
                            <w:r>
                              <w:rPr>
                                <w:rFonts w:hint="eastAsia" w:ascii="Times New Roman" w:hAnsi="Times New Roman" w:cs="Times New Roman"/>
                                <w:b/>
                                <w:sz w:val="24"/>
                                <w:lang w:val="en-US" w:eastAsia="zh-CN"/>
                              </w:rPr>
                              <w:t>与环境保护目标分布</w:t>
                            </w:r>
                            <w:r>
                              <w:rPr>
                                <w:rFonts w:ascii="Times New Roman" w:hAnsi="Times New Roman" w:cs="Times New Roman"/>
                                <w:b/>
                                <w:sz w:val="24"/>
                              </w:rPr>
                              <w:t>图</w:t>
                            </w:r>
                          </w:p>
                        </w:txbxContent>
                      </wps:txbx>
                      <wps:bodyPr upright="1"/>
                    </wps:wsp>
                  </a:graphicData>
                </a:graphic>
              </wp:anchor>
            </w:drawing>
          </mc:Choice>
          <mc:Fallback>
            <w:pict>
              <v:shape id="文本框 115" o:spid="_x0000_s1026" o:spt="202" type="#_x0000_t202" style="position:absolute;left:0pt;margin-left:233.45pt;margin-top:439.5pt;height:28.1pt;width:242.75pt;z-index:251664384;mso-width-relative:page;mso-height-relative:page;" filled="f" stroked="f" coordsize="21600,21600" o:gfxdata="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&#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D97WPcAAAACwEAAA8AAAAAAAAAAQAgAAAAIgAAAGRy&#10;cy9kb3ducmV2LnhtbFBLAQIUABQAAAAIAIdO4kDOI6+/yAEAAHQDAAAOAAAAAAAAAAEAIAAAACsB&#10;AABkcnMvZTJvRG9jLnhtbFBLBQYAAAAABgAGAFkBAABlBQAAAAA=&#10;">
                <v:fill on="f" focussize="0,0"/>
                <v:stroke on="f" weight="0.5pt"/>
                <v:imagedata o:title=""/>
                <o:lock v:ext="edit" aspectratio="f"/>
                <v:textbo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3</w:t>
                      </w:r>
                      <w:r>
                        <w:rPr>
                          <w:rFonts w:ascii="Times New Roman" w:hAnsi="Times New Roman" w:cs="Times New Roman"/>
                          <w:b/>
                          <w:sz w:val="24"/>
                        </w:rPr>
                        <w:t xml:space="preserve">  </w:t>
                      </w:r>
                      <w:r>
                        <w:rPr>
                          <w:rFonts w:hint="eastAsia" w:ascii="Times New Roman" w:hAnsi="Times New Roman" w:cs="Times New Roman"/>
                          <w:b/>
                          <w:sz w:val="24"/>
                          <w:lang w:val="en-US" w:eastAsia="zh-CN"/>
                        </w:rPr>
                        <w:t>建设</w:t>
                      </w:r>
                      <w:r>
                        <w:rPr>
                          <w:rFonts w:ascii="Times New Roman" w:hAnsi="Times New Roman" w:cs="Times New Roman"/>
                          <w:b/>
                          <w:sz w:val="24"/>
                        </w:rPr>
                        <w:t>项目</w:t>
                      </w:r>
                      <w:r>
                        <w:rPr>
                          <w:rFonts w:hint="eastAsia" w:ascii="Times New Roman" w:hAnsi="Times New Roman" w:cs="Times New Roman"/>
                          <w:b/>
                          <w:sz w:val="24"/>
                          <w:lang w:val="en-US" w:eastAsia="zh-CN"/>
                        </w:rPr>
                        <w:t>与环境保护目标分布</w:t>
                      </w:r>
                      <w:r>
                        <w:rPr>
                          <w:rFonts w:ascii="Times New Roman" w:hAnsi="Times New Roman" w:cs="Times New Roman"/>
                          <w:b/>
                          <w:sz w:val="24"/>
                        </w:rPr>
                        <w:t>图</w:t>
                      </w:r>
                    </w:p>
                  </w:txbxContent>
                </v:textbox>
              </v:shape>
            </w:pict>
          </mc:Fallback>
        </mc:AlternateContent>
      </w:r>
      <w:r>
        <w:rPr>
          <w:rFonts w:hint="eastAsia" w:ascii="Times New Roman" w:hAnsi="Times New Roman" w:cs="Times New Roman"/>
          <w:color w:val="auto"/>
          <w:lang w:val="en-US" w:eastAsia="zh-CN"/>
        </w:rPr>
        <w:drawing>
          <wp:inline distT="0" distB="0" distL="114300" distR="114300">
            <wp:extent cx="7934960" cy="5607685"/>
            <wp:effectExtent l="0" t="0" r="8890" b="12065"/>
            <wp:docPr id="9" name="图片 9" descr="项目与敏感点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项目与敏感点位置关系图"/>
                    <pic:cNvPicPr>
                      <a:picLocks noChangeAspect="1"/>
                    </pic:cNvPicPr>
                  </pic:nvPicPr>
                  <pic:blipFill>
                    <a:blip r:embed="rId22"/>
                    <a:stretch>
                      <a:fillRect/>
                    </a:stretch>
                  </pic:blipFill>
                  <pic:spPr>
                    <a:xfrm>
                      <a:off x="0" y="0"/>
                      <a:ext cx="7934960" cy="5607685"/>
                    </a:xfrm>
                    <a:prstGeom prst="rect">
                      <a:avLst/>
                    </a:prstGeom>
                  </pic:spPr>
                </pic:pic>
              </a:graphicData>
            </a:graphic>
          </wp:inline>
        </w:drawing>
      </w:r>
      <w:r>
        <w:rPr>
          <w:rFonts w:hint="eastAsia" w:ascii="Times New Roman" w:hAnsi="Times New Roman" w:cs="Times New Roman"/>
          <w:color w:val="auto"/>
          <w:lang w:val="en-US" w:eastAsia="zh-CN"/>
        </w:rPr>
        <w:br w:type="page"/>
      </w:r>
    </w:p>
    <w:p>
      <w:pPr>
        <w:pStyle w:val="9"/>
        <w:keepNext w:val="0"/>
        <w:keepLines w:val="0"/>
        <w:pageBreakBefore w:val="0"/>
        <w:widowControl w:val="0"/>
        <w:kinsoku/>
        <w:wordWrap/>
        <w:overflowPunct/>
        <w:topLinePunct w:val="0"/>
        <w:autoSpaceDE/>
        <w:autoSpaceDN/>
        <w:bidi w:val="0"/>
        <w:adjustRightInd w:val="0"/>
        <w:snapToGrid w:val="0"/>
        <w:spacing w:after="0"/>
        <w:ind w:left="0" w:leftChars="0"/>
        <w:jc w:val="center"/>
        <w:textAlignment w:val="auto"/>
        <w:rPr>
          <w:rFonts w:hint="eastAsia" w:ascii="Times New Roman" w:hAnsi="Times New Roman" w:cs="Times New Roman" w:eastAsiaTheme="minorEastAsia"/>
          <w:color w:val="auto"/>
          <w:lang w:eastAsia="zh-CN"/>
        </w:rPr>
      </w:pPr>
      <w:r>
        <w:rPr>
          <w:rFonts w:ascii="Times New Roman" w:hAnsi="Times New Roman" w:cs="Times New Roman"/>
          <w:color w:val="auto"/>
        </w:rPr>
        <mc:AlternateContent>
          <mc:Choice Requires="wps">
            <w:drawing>
              <wp:anchor distT="0" distB="0" distL="114300" distR="114300" simplePos="0" relativeHeight="251663360" behindDoc="0" locked="0" layoutInCell="1" allowOverlap="1">
                <wp:simplePos x="0" y="0"/>
                <wp:positionH relativeFrom="column">
                  <wp:posOffset>2647315</wp:posOffset>
                </wp:positionH>
                <wp:positionV relativeFrom="paragraph">
                  <wp:posOffset>5461635</wp:posOffset>
                </wp:positionV>
                <wp:extent cx="3082925" cy="356870"/>
                <wp:effectExtent l="0" t="0" r="0" b="0"/>
                <wp:wrapNone/>
                <wp:docPr id="15" name="文本框 115"/>
                <wp:cNvGraphicFramePr/>
                <a:graphic xmlns:a="http://schemas.openxmlformats.org/drawingml/2006/main">
                  <a:graphicData uri="http://schemas.microsoft.com/office/word/2010/wordprocessingShape">
                    <wps:wsp>
                      <wps:cNvSpPr txBox="1"/>
                      <wps:spPr>
                        <a:xfrm>
                          <a:off x="4534535" y="6526530"/>
                          <a:ext cx="2298065" cy="356870"/>
                        </a:xfrm>
                        <a:prstGeom prst="rect">
                          <a:avLst/>
                        </a:prstGeom>
                        <a:noFill/>
                        <a:ln w="6350">
                          <a:noFill/>
                        </a:ln>
                        <a:effectLst/>
                      </wps:spPr>
                      <wps:txb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4</w:t>
                            </w:r>
                            <w:r>
                              <w:rPr>
                                <w:rFonts w:ascii="Times New Roman" w:hAnsi="Times New Roman" w:cs="Times New Roman"/>
                                <w:b/>
                                <w:sz w:val="24"/>
                              </w:rPr>
                              <w:t xml:space="preserve">  </w:t>
                            </w:r>
                            <w:r>
                              <w:rPr>
                                <w:rFonts w:hint="eastAsia" w:ascii="Times New Roman" w:hAnsi="Times New Roman" w:cs="Times New Roman"/>
                                <w:b/>
                                <w:sz w:val="24"/>
                                <w:lang w:val="en-US" w:eastAsia="zh-CN"/>
                              </w:rPr>
                              <w:t>建设</w:t>
                            </w:r>
                            <w:r>
                              <w:rPr>
                                <w:rFonts w:ascii="Times New Roman" w:hAnsi="Times New Roman" w:cs="Times New Roman"/>
                                <w:b/>
                                <w:sz w:val="24"/>
                              </w:rPr>
                              <w:t>项目</w:t>
                            </w:r>
                            <w:r>
                              <w:rPr>
                                <w:rFonts w:hint="eastAsia" w:ascii="Times New Roman" w:hAnsi="Times New Roman" w:cs="Times New Roman"/>
                                <w:b/>
                                <w:sz w:val="24"/>
                                <w:lang w:val="en-US" w:eastAsia="zh-CN"/>
                              </w:rPr>
                              <w:t>与生态红线位置关系</w:t>
                            </w:r>
                            <w:r>
                              <w:rPr>
                                <w:rFonts w:ascii="Times New Roman" w:hAnsi="Times New Roman" w:cs="Times New Roman"/>
                                <w:b/>
                                <w:sz w:val="24"/>
                              </w:rPr>
                              <w:t>图</w:t>
                            </w:r>
                          </w:p>
                        </w:txbxContent>
                      </wps:txbx>
                      <wps:bodyPr upright="1"/>
                    </wps:wsp>
                  </a:graphicData>
                </a:graphic>
              </wp:anchor>
            </w:drawing>
          </mc:Choice>
          <mc:Fallback>
            <w:pict>
              <v:shape id="文本框 115" o:spid="_x0000_s1026" o:spt="202" type="#_x0000_t202" style="position:absolute;left:0pt;margin-left:208.45pt;margin-top:430.05pt;height:28.1pt;width:242.75pt;z-index:251663360;mso-width-relative:page;mso-height-relative:page;" filled="f" stroked="f" coordsize="21600,21600" o:gfxdata="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BwwR23AAAAAsBAAAPAAAAAAAAAAEAIAAAACIAAABkcnMv&#10;ZG93bnJldi54bWxQSwECFAAUAAAACACHTuJArks1tsYBAAB0AwAADgAAAAAAAAABACAAAAArAQAA&#10;ZHJzL2Uyb0RvYy54bWxQSwUGAAAAAAYABgBZAQAAYwUAAAAA&#10;">
                <v:fill on="f" focussize="0,0"/>
                <v:stroke on="f" weight="0.5pt"/>
                <v:imagedata o:title=""/>
                <o:lock v:ext="edit" aspectratio="f"/>
                <v:textbox>
                  <w:txbxContent>
                    <w:p>
                      <w:pPr>
                        <w:jc w:val="center"/>
                        <w:rPr>
                          <w:rFonts w:ascii="Times New Roman" w:hAnsi="Times New Roman" w:cs="Times New Roman"/>
                          <w:sz w:val="24"/>
                        </w:rPr>
                      </w:pPr>
                      <w:r>
                        <w:rPr>
                          <w:rFonts w:ascii="Times New Roman" w:hAnsi="Times New Roman" w:cs="Times New Roman"/>
                          <w:b/>
                          <w:sz w:val="24"/>
                        </w:rPr>
                        <w:t>附图</w:t>
                      </w:r>
                      <w:r>
                        <w:rPr>
                          <w:rFonts w:hint="eastAsia" w:ascii="Times New Roman" w:hAnsi="Times New Roman" w:cs="Times New Roman"/>
                          <w:b/>
                          <w:sz w:val="24"/>
                          <w:lang w:val="en-US" w:eastAsia="zh-CN"/>
                        </w:rPr>
                        <w:t>4</w:t>
                      </w:r>
                      <w:r>
                        <w:rPr>
                          <w:rFonts w:ascii="Times New Roman" w:hAnsi="Times New Roman" w:cs="Times New Roman"/>
                          <w:b/>
                          <w:sz w:val="24"/>
                        </w:rPr>
                        <w:t xml:space="preserve">  </w:t>
                      </w:r>
                      <w:r>
                        <w:rPr>
                          <w:rFonts w:hint="eastAsia" w:ascii="Times New Roman" w:hAnsi="Times New Roman" w:cs="Times New Roman"/>
                          <w:b/>
                          <w:sz w:val="24"/>
                          <w:lang w:val="en-US" w:eastAsia="zh-CN"/>
                        </w:rPr>
                        <w:t>建设</w:t>
                      </w:r>
                      <w:r>
                        <w:rPr>
                          <w:rFonts w:ascii="Times New Roman" w:hAnsi="Times New Roman" w:cs="Times New Roman"/>
                          <w:b/>
                          <w:sz w:val="24"/>
                        </w:rPr>
                        <w:t>项目</w:t>
                      </w:r>
                      <w:r>
                        <w:rPr>
                          <w:rFonts w:hint="eastAsia" w:ascii="Times New Roman" w:hAnsi="Times New Roman" w:cs="Times New Roman"/>
                          <w:b/>
                          <w:sz w:val="24"/>
                          <w:lang w:val="en-US" w:eastAsia="zh-CN"/>
                        </w:rPr>
                        <w:t>与生态红线位置关系</w:t>
                      </w:r>
                      <w:r>
                        <w:rPr>
                          <w:rFonts w:ascii="Times New Roman" w:hAnsi="Times New Roman" w:cs="Times New Roman"/>
                          <w:b/>
                          <w:sz w:val="24"/>
                        </w:rPr>
                        <w:t>图</w:t>
                      </w:r>
                    </w:p>
                  </w:txbxContent>
                </v:textbox>
              </v:shape>
            </w:pict>
          </mc:Fallback>
        </mc:AlternateContent>
      </w:r>
      <w:r>
        <w:rPr>
          <w:rFonts w:hint="eastAsia" w:ascii="Times New Roman" w:hAnsi="Times New Roman" w:cs="Times New Roman" w:eastAsiaTheme="minorEastAsia"/>
          <w:color w:val="auto"/>
          <w:lang w:eastAsia="zh-CN"/>
        </w:rPr>
        <w:drawing>
          <wp:inline distT="0" distB="0" distL="114300" distR="114300">
            <wp:extent cx="7934960" cy="5607685"/>
            <wp:effectExtent l="0" t="0" r="8890" b="12065"/>
            <wp:docPr id="5" name="图片 5" descr="项目与生态红线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项目与生态红线位置关系图"/>
                    <pic:cNvPicPr>
                      <a:picLocks noChangeAspect="1"/>
                    </pic:cNvPicPr>
                  </pic:nvPicPr>
                  <pic:blipFill>
                    <a:blip r:embed="rId23"/>
                    <a:stretch>
                      <a:fillRect/>
                    </a:stretch>
                  </pic:blipFill>
                  <pic:spPr>
                    <a:xfrm>
                      <a:off x="0" y="0"/>
                      <a:ext cx="7934960" cy="5607685"/>
                    </a:xfrm>
                    <a:prstGeom prst="rect">
                      <a:avLst/>
                    </a:prstGeom>
                  </pic:spPr>
                </pic:pic>
              </a:graphicData>
            </a:graphic>
          </wp:inline>
        </w:drawing>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auto"/>
    <w:pitch w:val="default"/>
    <w:sig w:usb0="0000020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9406094"/>
      <w:docPartObj>
        <w:docPartGallery w:val="autotext"/>
      </w:docPartObj>
    </w:sdtPr>
    <w:sdtEndPr>
      <w:rPr>
        <w:rFonts w:ascii="Times New Roman" w:hAnsi="Times New Roman" w:cs="Times New Roman"/>
      </w:rPr>
    </w:sdtEndPr>
    <w:sdtContent>
      <w:p>
        <w:pPr>
          <w:pStyle w:val="1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16</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DD20DB"/>
    <w:multiLevelType w:val="singleLevel"/>
    <w:tmpl w:val="CBDD20DB"/>
    <w:lvl w:ilvl="0" w:tentative="0">
      <w:start w:val="1"/>
      <w:numFmt w:val="decimal"/>
      <w:suff w:val="nothing"/>
      <w:lvlText w:val="（%1）"/>
      <w:lvlJc w:val="left"/>
    </w:lvl>
  </w:abstractNum>
  <w:abstractNum w:abstractNumId="1">
    <w:nsid w:val="00D52334"/>
    <w:multiLevelType w:val="multilevel"/>
    <w:tmpl w:val="00D52334"/>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8834E5"/>
    <w:multiLevelType w:val="multilevel"/>
    <w:tmpl w:val="0A8834E5"/>
    <w:lvl w:ilvl="0" w:tentative="0">
      <w:start w:val="1"/>
      <w:numFmt w:val="decimal"/>
      <w:lvlText w:val="图1-%1"/>
      <w:lvlJc w:val="left"/>
      <w:pPr>
        <w:ind w:left="420" w:hanging="420"/>
      </w:pPr>
      <w:rPr>
        <w:rFonts w:hint="default" w:ascii="Times New Roman" w:hAnsi="Times New Roman" w:cs="Times New Roman"/>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ECE0172"/>
    <w:multiLevelType w:val="multilevel"/>
    <w:tmpl w:val="1ECE0172"/>
    <w:lvl w:ilvl="0" w:tentative="0">
      <w:start w:val="1"/>
      <w:numFmt w:val="decimal"/>
      <w:lvlText w:val="表2-%1"/>
      <w:lvlJc w:val="left"/>
      <w:pPr>
        <w:ind w:left="420" w:hanging="420"/>
      </w:pPr>
      <w:rPr>
        <w:rFonts w:hint="default" w:ascii="Times New Roman" w:hAnsi="Times New Roman" w:cs="Times New Roman"/>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34A7519"/>
    <w:multiLevelType w:val="multilevel"/>
    <w:tmpl w:val="234A7519"/>
    <w:lvl w:ilvl="0" w:tentative="0">
      <w:start w:val="1"/>
      <w:numFmt w:val="decimal"/>
      <w:lvlText w:val="图2-%1"/>
      <w:lvlJc w:val="left"/>
      <w:pPr>
        <w:ind w:left="420" w:hanging="420"/>
      </w:pPr>
      <w:rPr>
        <w:rFonts w:hint="default" w:ascii="Times New Roman" w:hAnsi="Times New Roman" w:cs="Times New Roman"/>
        <w:b/>
        <w:bCs/>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A425147"/>
    <w:multiLevelType w:val="multilevel"/>
    <w:tmpl w:val="2A425147"/>
    <w:lvl w:ilvl="0" w:tentative="0">
      <w:start w:val="1"/>
      <w:numFmt w:val="decimal"/>
      <w:lvlText w:val="表1-%1"/>
      <w:lvlJc w:val="left"/>
      <w:pPr>
        <w:ind w:left="842" w:hanging="420"/>
      </w:pPr>
      <w:rPr>
        <w:rFonts w:hint="default" w:ascii="Times New Roman" w:hAnsi="Times New Roman" w:cs="Times New Roman"/>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6">
    <w:nsid w:val="2F5BA700"/>
    <w:multiLevelType w:val="singleLevel"/>
    <w:tmpl w:val="2F5BA700"/>
    <w:lvl w:ilvl="0" w:tentative="0">
      <w:start w:val="2"/>
      <w:numFmt w:val="decimal"/>
      <w:suff w:val="nothing"/>
      <w:lvlText w:val="%1、"/>
      <w:lvlJc w:val="left"/>
    </w:lvl>
  </w:abstractNum>
  <w:abstractNum w:abstractNumId="7">
    <w:nsid w:val="5595CF87"/>
    <w:multiLevelType w:val="singleLevel"/>
    <w:tmpl w:val="5595CF87"/>
    <w:lvl w:ilvl="0" w:tentative="0">
      <w:start w:val="1"/>
      <w:numFmt w:val="decimal"/>
      <w:suff w:val="nothing"/>
      <w:lvlText w:val="%1、"/>
      <w:lvlJc w:val="left"/>
    </w:lvl>
  </w:abstractNum>
  <w:abstractNum w:abstractNumId="8">
    <w:nsid w:val="58A15314"/>
    <w:multiLevelType w:val="multilevel"/>
    <w:tmpl w:val="58A15314"/>
    <w:lvl w:ilvl="0" w:tentative="0">
      <w:start w:val="1"/>
      <w:numFmt w:val="decimal"/>
      <w:isLgl/>
      <w:suff w:val="space"/>
      <w:lvlText w:val="%1"/>
      <w:lvlJc w:val="left"/>
      <w:pPr>
        <w:tabs>
          <w:tab w:val="left" w:pos="420"/>
        </w:tabs>
        <w:ind w:left="0" w:leftChars="0" w:firstLine="0" w:firstLineChars="0"/>
      </w:pPr>
      <w:rPr>
        <w:rFonts w:hint="default" w:ascii="Times New Roman" w:hAnsi="Times New Roman" w:eastAsia="黑体" w:cs="宋体"/>
        <w:sz w:val="32"/>
      </w:rPr>
    </w:lvl>
    <w:lvl w:ilvl="1" w:tentative="0">
      <w:start w:val="1"/>
      <w:numFmt w:val="decimal"/>
      <w:isLgl/>
      <w:suff w:val="space"/>
      <w:lvlText w:val="%1.%2"/>
      <w:lvlJc w:val="left"/>
      <w:pPr>
        <w:tabs>
          <w:tab w:val="left" w:pos="0"/>
        </w:tabs>
        <w:ind w:left="0" w:leftChars="0" w:firstLine="0" w:firstLineChars="0"/>
      </w:pPr>
      <w:rPr>
        <w:rFonts w:hint="default" w:ascii="Times New Roman" w:hAnsi="Times New Roman" w:eastAsia="黑体" w:cs="宋体"/>
        <w:sz w:val="28"/>
      </w:rPr>
    </w:lvl>
    <w:lvl w:ilvl="2" w:tentative="0">
      <w:start w:val="1"/>
      <w:numFmt w:val="decimal"/>
      <w:isLgl/>
      <w:suff w:val="space"/>
      <w:lvlText w:val="%1.%2.%3"/>
      <w:lvlJc w:val="left"/>
      <w:pPr>
        <w:tabs>
          <w:tab w:val="left" w:pos="0"/>
        </w:tabs>
        <w:ind w:left="0" w:leftChars="0" w:firstLine="0" w:firstLineChars="0"/>
      </w:pPr>
      <w:rPr>
        <w:rFonts w:hint="default" w:ascii="Times New Roman" w:hAnsi="Times New Roman" w:eastAsia="黑体" w:cs="宋体"/>
        <w:sz w:val="24"/>
      </w:rPr>
    </w:lvl>
    <w:lvl w:ilvl="3" w:tentative="0">
      <w:start w:val="1"/>
      <w:numFmt w:val="decimal"/>
      <w:isLgl/>
      <w:suff w:val="nothing"/>
      <w:lvlText w:val="%1.%2.%3.%4 "/>
      <w:lvlJc w:val="left"/>
      <w:pPr>
        <w:tabs>
          <w:tab w:val="left" w:pos="420"/>
        </w:tabs>
        <w:ind w:left="0" w:leftChars="0" w:firstLine="0" w:firstLineChars="0"/>
      </w:pPr>
      <w:rPr>
        <w:rFonts w:hint="default" w:ascii="宋体" w:hAnsi="宋体" w:eastAsia="宋体" w:cs="宋体"/>
        <w:sz w:val="24"/>
      </w:rPr>
    </w:lvl>
    <w:lvl w:ilvl="4" w:tentative="0">
      <w:start w:val="1"/>
      <w:numFmt w:val="decimal"/>
      <w:pStyle w:val="68"/>
      <w:suff w:val="nothing"/>
      <w:lvlText w:val="（%5）"/>
      <w:lvlJc w:val="left"/>
      <w:pPr>
        <w:tabs>
          <w:tab w:val="left" w:pos="420"/>
        </w:tabs>
        <w:ind w:left="0" w:leftChars="0" w:firstLine="0" w:firstLineChars="0"/>
      </w:pPr>
      <w:rPr>
        <w:rFonts w:hint="default" w:ascii="宋体" w:hAnsi="宋体" w:eastAsia="宋体" w:cs="宋体"/>
        <w:sz w:val="24"/>
      </w:rPr>
    </w:lvl>
    <w:lvl w:ilvl="5" w:tentative="0">
      <w:start w:val="1"/>
      <w:numFmt w:val="decimal"/>
      <w:lvlRestart w:val="1"/>
      <w:isLgl/>
      <w:suff w:val="space"/>
      <w:lvlText w:val="图%1-%6 "/>
      <w:lvlJc w:val="center"/>
      <w:pPr>
        <w:tabs>
          <w:tab w:val="left" w:pos="420"/>
        </w:tabs>
        <w:ind w:left="0" w:leftChars="0" w:firstLine="0" w:firstLineChars="0"/>
      </w:pPr>
      <w:rPr>
        <w:rFonts w:hint="default" w:ascii="Times New Roman" w:hAnsi="Times New Roman" w:eastAsia="黑体" w:cs="宋体"/>
        <w:sz w:val="21"/>
      </w:rPr>
    </w:lvl>
    <w:lvl w:ilvl="6" w:tentative="0">
      <w:start w:val="1"/>
      <w:numFmt w:val="decimal"/>
      <w:lvlRestart w:val="1"/>
      <w:isLgl/>
      <w:suff w:val="space"/>
      <w:lvlText w:val="表%1-%7 "/>
      <w:lvlJc w:val="center"/>
      <w:pPr>
        <w:tabs>
          <w:tab w:val="left" w:pos="0"/>
        </w:tabs>
        <w:ind w:left="0" w:leftChars="0" w:firstLine="0" w:firstLineChars="0"/>
      </w:pPr>
      <w:rPr>
        <w:rFonts w:hint="default" w:ascii="Times New Roman" w:hAnsi="Times New Roman" w:eastAsia="黑体" w:cs="宋体"/>
        <w:sz w:val="21"/>
      </w:rPr>
    </w:lvl>
    <w:lvl w:ilvl="7" w:tentative="0">
      <w:start w:val="1"/>
      <w:numFmt w:val="decimalEnclosedCircleChinese"/>
      <w:lvlRestart w:val="4"/>
      <w:suff w:val="nothing"/>
      <w:lvlText w:val="%8"/>
      <w:lvlJc w:val="left"/>
      <w:pPr>
        <w:tabs>
          <w:tab w:val="left" w:pos="420"/>
        </w:tabs>
        <w:ind w:left="0" w:leftChars="0" w:firstLine="0" w:firstLineChars="0"/>
      </w:pPr>
      <w:rPr>
        <w:rFonts w:hint="eastAsia" w:ascii="Times New Roman" w:hAnsi="Times New Roman" w:eastAsia="宋体" w:cs="宋体"/>
        <w:sz w:val="21"/>
        <w:szCs w:val="24"/>
      </w:rPr>
    </w:lvl>
    <w:lvl w:ilvl="8" w:tentative="0">
      <w:start w:val="1"/>
      <w:numFmt w:val="decimal"/>
      <w:lvlText w:val="%1.%2.%3.%4.%5.%6.%7.%8.%9."/>
      <w:lvlJc w:val="left"/>
      <w:pPr>
        <w:tabs>
          <w:tab w:val="left" w:pos="420"/>
        </w:tabs>
        <w:ind w:left="1558" w:leftChars="0" w:hanging="1558" w:firstLineChars="0"/>
      </w:pPr>
      <w:rPr>
        <w:rFonts w:hint="default" w:ascii="宋体" w:hAnsi="宋体" w:eastAsia="宋体" w:cs="宋体"/>
      </w:rPr>
    </w:lvl>
  </w:abstractNum>
  <w:abstractNum w:abstractNumId="9">
    <w:nsid w:val="58EC37CA"/>
    <w:multiLevelType w:val="multilevel"/>
    <w:tmpl w:val="58EC37CA"/>
    <w:lvl w:ilvl="0" w:tentative="0">
      <w:start w:val="1"/>
      <w:numFmt w:val="decimal"/>
      <w:isLgl/>
      <w:suff w:val="space"/>
      <w:lvlText w:val="%1"/>
      <w:lvlJc w:val="left"/>
      <w:pPr>
        <w:tabs>
          <w:tab w:val="left" w:pos="420"/>
        </w:tabs>
        <w:ind w:left="0" w:firstLine="0"/>
      </w:pPr>
      <w:rPr>
        <w:rFonts w:hint="default" w:ascii="Times New Roman" w:hAnsi="Times New Roman" w:eastAsia="黑体" w:cs="宋体"/>
        <w:sz w:val="32"/>
      </w:rPr>
    </w:lvl>
    <w:lvl w:ilvl="1" w:tentative="0">
      <w:start w:val="1"/>
      <w:numFmt w:val="decimal"/>
      <w:isLgl/>
      <w:suff w:val="space"/>
      <w:lvlText w:val="%1.%2"/>
      <w:lvlJc w:val="left"/>
      <w:pPr>
        <w:tabs>
          <w:tab w:val="left" w:pos="0"/>
        </w:tabs>
        <w:ind w:left="0" w:firstLine="0"/>
      </w:pPr>
      <w:rPr>
        <w:rFonts w:hint="default" w:ascii="Times New Roman" w:hAnsi="Times New Roman" w:eastAsia="黑体" w:cs="宋体"/>
        <w:sz w:val="28"/>
      </w:rPr>
    </w:lvl>
    <w:lvl w:ilvl="2" w:tentative="0">
      <w:start w:val="1"/>
      <w:numFmt w:val="decimal"/>
      <w:isLgl/>
      <w:suff w:val="space"/>
      <w:lvlText w:val="%1.%2.%3"/>
      <w:lvlJc w:val="left"/>
      <w:pPr>
        <w:tabs>
          <w:tab w:val="left" w:pos="0"/>
        </w:tabs>
        <w:ind w:left="0" w:firstLine="0"/>
      </w:pPr>
      <w:rPr>
        <w:rFonts w:hint="default" w:ascii="Times New Roman" w:hAnsi="Times New Roman" w:eastAsia="黑体" w:cs="宋体"/>
        <w:sz w:val="24"/>
      </w:rPr>
    </w:lvl>
    <w:lvl w:ilvl="3" w:tentative="0">
      <w:start w:val="1"/>
      <w:numFmt w:val="decimal"/>
      <w:isLgl/>
      <w:suff w:val="nothing"/>
      <w:lvlText w:val="%1.%2.%3.%4 "/>
      <w:lvlJc w:val="left"/>
      <w:pPr>
        <w:tabs>
          <w:tab w:val="left" w:pos="420"/>
        </w:tabs>
        <w:ind w:left="0" w:firstLine="0"/>
      </w:pPr>
      <w:rPr>
        <w:rFonts w:hint="default" w:ascii="宋体" w:hAnsi="宋体" w:eastAsia="宋体" w:cs="宋体"/>
        <w:sz w:val="24"/>
      </w:rPr>
    </w:lvl>
    <w:lvl w:ilvl="4" w:tentative="0">
      <w:start w:val="1"/>
      <w:numFmt w:val="decimal"/>
      <w:suff w:val="nothing"/>
      <w:lvlText w:val="（%5）"/>
      <w:lvlJc w:val="left"/>
      <w:pPr>
        <w:tabs>
          <w:tab w:val="left" w:pos="420"/>
        </w:tabs>
        <w:ind w:left="0" w:firstLine="0"/>
      </w:pPr>
      <w:rPr>
        <w:rFonts w:hint="default" w:ascii="Times New Roman" w:hAnsi="Times New Roman" w:eastAsia="宋体" w:cs="宋体"/>
        <w:sz w:val="24"/>
      </w:rPr>
    </w:lvl>
    <w:lvl w:ilvl="5" w:tentative="0">
      <w:start w:val="1"/>
      <w:numFmt w:val="decimal"/>
      <w:lvlRestart w:val="1"/>
      <w:pStyle w:val="71"/>
      <w:isLgl/>
      <w:suff w:val="space"/>
      <w:lvlText w:val="图%1-%6 "/>
      <w:lvlJc w:val="center"/>
      <w:pPr>
        <w:tabs>
          <w:tab w:val="left" w:pos="3398"/>
        </w:tabs>
        <w:ind w:left="2978" w:firstLine="0"/>
      </w:pPr>
      <w:rPr>
        <w:rFonts w:hint="default" w:ascii="Times New Roman" w:hAnsi="Times New Roman" w:eastAsia="黑体" w:cs="宋体"/>
        <w:sz w:val="21"/>
      </w:rPr>
    </w:lvl>
    <w:lvl w:ilvl="6" w:tentative="0">
      <w:start w:val="1"/>
      <w:numFmt w:val="decimal"/>
      <w:lvlRestart w:val="1"/>
      <w:isLgl/>
      <w:suff w:val="space"/>
      <w:lvlText w:val="表%1-%7 "/>
      <w:lvlJc w:val="center"/>
      <w:pPr>
        <w:tabs>
          <w:tab w:val="left" w:pos="0"/>
        </w:tabs>
        <w:ind w:left="0" w:firstLine="0"/>
      </w:pPr>
      <w:rPr>
        <w:rFonts w:hint="default" w:ascii="Times New Roman" w:hAnsi="Times New Roman" w:eastAsia="黑体" w:cs="宋体"/>
        <w:sz w:val="21"/>
      </w:rPr>
    </w:lvl>
    <w:lvl w:ilvl="7" w:tentative="0">
      <w:start w:val="1"/>
      <w:numFmt w:val="decimalEnclosedCircleChinese"/>
      <w:lvlRestart w:val="4"/>
      <w:suff w:val="nothing"/>
      <w:lvlText w:val="%8"/>
      <w:lvlJc w:val="left"/>
      <w:pPr>
        <w:tabs>
          <w:tab w:val="left" w:pos="420"/>
        </w:tabs>
        <w:ind w:left="0" w:firstLine="0"/>
      </w:pPr>
      <w:rPr>
        <w:rFonts w:hint="eastAsia" w:ascii="Times New Roman" w:hAnsi="Times New Roman" w:eastAsia="宋体" w:cs="宋体"/>
        <w:sz w:val="21"/>
        <w:szCs w:val="24"/>
      </w:rPr>
    </w:lvl>
    <w:lvl w:ilvl="8" w:tentative="0">
      <w:start w:val="1"/>
      <w:numFmt w:val="decimal"/>
      <w:lvlText w:val="%1.%2.%3.%4.%5.%6.%7.%8.%9."/>
      <w:lvlJc w:val="left"/>
      <w:pPr>
        <w:tabs>
          <w:tab w:val="left" w:pos="420"/>
        </w:tabs>
        <w:ind w:left="1558" w:hanging="1558"/>
      </w:pPr>
      <w:rPr>
        <w:rFonts w:hint="default" w:ascii="宋体" w:hAnsi="宋体" w:eastAsia="宋体" w:cs="宋体"/>
      </w:rPr>
    </w:lvl>
  </w:abstractNum>
  <w:abstractNum w:abstractNumId="10">
    <w:nsid w:val="5E7C3CB5"/>
    <w:multiLevelType w:val="singleLevel"/>
    <w:tmpl w:val="5E7C3CB5"/>
    <w:lvl w:ilvl="0" w:tentative="0">
      <w:start w:val="1"/>
      <w:numFmt w:val="decimal"/>
      <w:suff w:val="nothing"/>
      <w:lvlText w:val="（%1）"/>
      <w:lvlJc w:val="left"/>
    </w:lvl>
  </w:abstractNum>
  <w:abstractNum w:abstractNumId="11">
    <w:nsid w:val="782F031C"/>
    <w:multiLevelType w:val="singleLevel"/>
    <w:tmpl w:val="782F031C"/>
    <w:lvl w:ilvl="0" w:tentative="0">
      <w:start w:val="5"/>
      <w:numFmt w:val="decimal"/>
      <w:suff w:val="nothing"/>
      <w:lvlText w:val="（%1）"/>
      <w:lvlJc w:val="left"/>
    </w:lvl>
  </w:abstractNum>
  <w:num w:numId="1">
    <w:abstractNumId w:val="8"/>
  </w:num>
  <w:num w:numId="2">
    <w:abstractNumId w:val="9"/>
  </w:num>
  <w:num w:numId="3">
    <w:abstractNumId w:val="10"/>
  </w:num>
  <w:num w:numId="4">
    <w:abstractNumId w:val="5"/>
  </w:num>
  <w:num w:numId="5">
    <w:abstractNumId w:val="2"/>
  </w:num>
  <w:num w:numId="6">
    <w:abstractNumId w:val="3"/>
  </w:num>
  <w:num w:numId="7">
    <w:abstractNumId w:val="0"/>
  </w:num>
  <w:num w:numId="8">
    <w:abstractNumId w:val="4"/>
  </w:num>
  <w:num w:numId="9">
    <w:abstractNumId w:val="6"/>
  </w:num>
  <w:num w:numId="10">
    <w:abstractNumId w:val="1"/>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MDZmYjI1ODZhZmRiNjU0NDRjYjcwMDM2YTFjOWEifQ=="/>
  </w:docVars>
  <w:rsids>
    <w:rsidRoot w:val="00C17A47"/>
    <w:rsid w:val="000305CD"/>
    <w:rsid w:val="00034D7E"/>
    <w:rsid w:val="00036CB9"/>
    <w:rsid w:val="00037C1A"/>
    <w:rsid w:val="00043C85"/>
    <w:rsid w:val="00047B67"/>
    <w:rsid w:val="00054EA2"/>
    <w:rsid w:val="00057C20"/>
    <w:rsid w:val="000603A2"/>
    <w:rsid w:val="00066AD4"/>
    <w:rsid w:val="00067FC0"/>
    <w:rsid w:val="00076F71"/>
    <w:rsid w:val="0008026E"/>
    <w:rsid w:val="00081E29"/>
    <w:rsid w:val="000874AB"/>
    <w:rsid w:val="000944CD"/>
    <w:rsid w:val="000A2473"/>
    <w:rsid w:val="000C5C5A"/>
    <w:rsid w:val="000E08E2"/>
    <w:rsid w:val="000E76D1"/>
    <w:rsid w:val="000F5B35"/>
    <w:rsid w:val="00134DF8"/>
    <w:rsid w:val="0013772D"/>
    <w:rsid w:val="00144764"/>
    <w:rsid w:val="001476BE"/>
    <w:rsid w:val="001528B1"/>
    <w:rsid w:val="001630AF"/>
    <w:rsid w:val="00163B6D"/>
    <w:rsid w:val="00171D15"/>
    <w:rsid w:val="001852DD"/>
    <w:rsid w:val="001931F3"/>
    <w:rsid w:val="001A3C4E"/>
    <w:rsid w:val="001A5443"/>
    <w:rsid w:val="001F60C7"/>
    <w:rsid w:val="002221D8"/>
    <w:rsid w:val="00226732"/>
    <w:rsid w:val="0023678B"/>
    <w:rsid w:val="00237262"/>
    <w:rsid w:val="00245AC3"/>
    <w:rsid w:val="00247144"/>
    <w:rsid w:val="0025621F"/>
    <w:rsid w:val="0027056D"/>
    <w:rsid w:val="002775CA"/>
    <w:rsid w:val="00280438"/>
    <w:rsid w:val="0029051F"/>
    <w:rsid w:val="00297F7F"/>
    <w:rsid w:val="002A1D4B"/>
    <w:rsid w:val="002D0464"/>
    <w:rsid w:val="002E3C53"/>
    <w:rsid w:val="002F036E"/>
    <w:rsid w:val="002F0D65"/>
    <w:rsid w:val="002F22E8"/>
    <w:rsid w:val="00301BCE"/>
    <w:rsid w:val="00325D06"/>
    <w:rsid w:val="0033744A"/>
    <w:rsid w:val="003506BB"/>
    <w:rsid w:val="00360C4C"/>
    <w:rsid w:val="00362169"/>
    <w:rsid w:val="003663E2"/>
    <w:rsid w:val="0037153C"/>
    <w:rsid w:val="00371BF8"/>
    <w:rsid w:val="00380244"/>
    <w:rsid w:val="00394609"/>
    <w:rsid w:val="003A0308"/>
    <w:rsid w:val="003A1569"/>
    <w:rsid w:val="003B1F77"/>
    <w:rsid w:val="003C65DA"/>
    <w:rsid w:val="003D5002"/>
    <w:rsid w:val="003E2094"/>
    <w:rsid w:val="003E521C"/>
    <w:rsid w:val="003E7EB4"/>
    <w:rsid w:val="003F195D"/>
    <w:rsid w:val="003F54E3"/>
    <w:rsid w:val="003F6F60"/>
    <w:rsid w:val="00421AEF"/>
    <w:rsid w:val="004365EC"/>
    <w:rsid w:val="00446892"/>
    <w:rsid w:val="00477845"/>
    <w:rsid w:val="00490F97"/>
    <w:rsid w:val="00493AE4"/>
    <w:rsid w:val="004978FE"/>
    <w:rsid w:val="004A2A28"/>
    <w:rsid w:val="004A54A6"/>
    <w:rsid w:val="004B2C12"/>
    <w:rsid w:val="004D566A"/>
    <w:rsid w:val="004E475E"/>
    <w:rsid w:val="004F7BEA"/>
    <w:rsid w:val="00502FEB"/>
    <w:rsid w:val="00561F2F"/>
    <w:rsid w:val="00566E70"/>
    <w:rsid w:val="005764F8"/>
    <w:rsid w:val="00583474"/>
    <w:rsid w:val="00583F71"/>
    <w:rsid w:val="00584DC1"/>
    <w:rsid w:val="005A3C86"/>
    <w:rsid w:val="005B67E9"/>
    <w:rsid w:val="005E087F"/>
    <w:rsid w:val="005F77E0"/>
    <w:rsid w:val="00626F8C"/>
    <w:rsid w:val="006300EB"/>
    <w:rsid w:val="00635AD2"/>
    <w:rsid w:val="00642606"/>
    <w:rsid w:val="0065361A"/>
    <w:rsid w:val="00666AB2"/>
    <w:rsid w:val="0067424B"/>
    <w:rsid w:val="00686AEE"/>
    <w:rsid w:val="00691B89"/>
    <w:rsid w:val="00692774"/>
    <w:rsid w:val="006975FE"/>
    <w:rsid w:val="006A1FC3"/>
    <w:rsid w:val="006B04FC"/>
    <w:rsid w:val="006B27B0"/>
    <w:rsid w:val="006B3A96"/>
    <w:rsid w:val="006B459A"/>
    <w:rsid w:val="006E0EEA"/>
    <w:rsid w:val="006F16DB"/>
    <w:rsid w:val="006F4A28"/>
    <w:rsid w:val="006F5964"/>
    <w:rsid w:val="006F6FE8"/>
    <w:rsid w:val="007204CE"/>
    <w:rsid w:val="007337CD"/>
    <w:rsid w:val="007511E8"/>
    <w:rsid w:val="00777ED5"/>
    <w:rsid w:val="0078347A"/>
    <w:rsid w:val="00787F8A"/>
    <w:rsid w:val="00790469"/>
    <w:rsid w:val="00792BA2"/>
    <w:rsid w:val="007B31D9"/>
    <w:rsid w:val="007D3BF6"/>
    <w:rsid w:val="007D4665"/>
    <w:rsid w:val="007D602E"/>
    <w:rsid w:val="007E5F0F"/>
    <w:rsid w:val="007F495F"/>
    <w:rsid w:val="00811F8F"/>
    <w:rsid w:val="00830570"/>
    <w:rsid w:val="00837050"/>
    <w:rsid w:val="008438BF"/>
    <w:rsid w:val="00861A9D"/>
    <w:rsid w:val="00872869"/>
    <w:rsid w:val="00881B12"/>
    <w:rsid w:val="008843EA"/>
    <w:rsid w:val="00897973"/>
    <w:rsid w:val="008A5B52"/>
    <w:rsid w:val="008B50F4"/>
    <w:rsid w:val="008C1DC6"/>
    <w:rsid w:val="008D194B"/>
    <w:rsid w:val="008D1FB6"/>
    <w:rsid w:val="00901AB7"/>
    <w:rsid w:val="009131B8"/>
    <w:rsid w:val="00922638"/>
    <w:rsid w:val="00923032"/>
    <w:rsid w:val="00936983"/>
    <w:rsid w:val="0095205E"/>
    <w:rsid w:val="00962BE5"/>
    <w:rsid w:val="00963C2E"/>
    <w:rsid w:val="009930C5"/>
    <w:rsid w:val="00993571"/>
    <w:rsid w:val="009947EF"/>
    <w:rsid w:val="009C045E"/>
    <w:rsid w:val="009C40D5"/>
    <w:rsid w:val="009C41ED"/>
    <w:rsid w:val="009E2160"/>
    <w:rsid w:val="009F2613"/>
    <w:rsid w:val="00A21EA4"/>
    <w:rsid w:val="00A25E18"/>
    <w:rsid w:val="00A5571D"/>
    <w:rsid w:val="00A579ED"/>
    <w:rsid w:val="00A64659"/>
    <w:rsid w:val="00A64DFA"/>
    <w:rsid w:val="00A6653C"/>
    <w:rsid w:val="00A706FA"/>
    <w:rsid w:val="00A725BC"/>
    <w:rsid w:val="00A733CE"/>
    <w:rsid w:val="00A76771"/>
    <w:rsid w:val="00AA04AE"/>
    <w:rsid w:val="00AB1103"/>
    <w:rsid w:val="00AD29B5"/>
    <w:rsid w:val="00AF62AE"/>
    <w:rsid w:val="00AF7ECA"/>
    <w:rsid w:val="00B13654"/>
    <w:rsid w:val="00B47CFD"/>
    <w:rsid w:val="00B50A9F"/>
    <w:rsid w:val="00B91E26"/>
    <w:rsid w:val="00B97721"/>
    <w:rsid w:val="00BB6F74"/>
    <w:rsid w:val="00BE306D"/>
    <w:rsid w:val="00BE749E"/>
    <w:rsid w:val="00BE7F9D"/>
    <w:rsid w:val="00BF2DBF"/>
    <w:rsid w:val="00BF3A7C"/>
    <w:rsid w:val="00BF66D3"/>
    <w:rsid w:val="00BF763E"/>
    <w:rsid w:val="00C07F2D"/>
    <w:rsid w:val="00C17A47"/>
    <w:rsid w:val="00C23CE9"/>
    <w:rsid w:val="00C2607F"/>
    <w:rsid w:val="00C31005"/>
    <w:rsid w:val="00C31CCF"/>
    <w:rsid w:val="00C34700"/>
    <w:rsid w:val="00C40107"/>
    <w:rsid w:val="00C464DE"/>
    <w:rsid w:val="00C53B58"/>
    <w:rsid w:val="00C6653C"/>
    <w:rsid w:val="00C74AEC"/>
    <w:rsid w:val="00C86014"/>
    <w:rsid w:val="00C93EDE"/>
    <w:rsid w:val="00C958CC"/>
    <w:rsid w:val="00CB3FAB"/>
    <w:rsid w:val="00CC216D"/>
    <w:rsid w:val="00CC7943"/>
    <w:rsid w:val="00CD1657"/>
    <w:rsid w:val="00D147E3"/>
    <w:rsid w:val="00D31E86"/>
    <w:rsid w:val="00D42190"/>
    <w:rsid w:val="00D64C84"/>
    <w:rsid w:val="00D671DA"/>
    <w:rsid w:val="00D91056"/>
    <w:rsid w:val="00DA47D2"/>
    <w:rsid w:val="00DA77D3"/>
    <w:rsid w:val="00DB349E"/>
    <w:rsid w:val="00DB4FB1"/>
    <w:rsid w:val="00DD034A"/>
    <w:rsid w:val="00DD3CF9"/>
    <w:rsid w:val="00DE1A69"/>
    <w:rsid w:val="00DF1197"/>
    <w:rsid w:val="00E31043"/>
    <w:rsid w:val="00E33F05"/>
    <w:rsid w:val="00E43D6A"/>
    <w:rsid w:val="00E500CC"/>
    <w:rsid w:val="00E709E4"/>
    <w:rsid w:val="00E75177"/>
    <w:rsid w:val="00E86630"/>
    <w:rsid w:val="00E86882"/>
    <w:rsid w:val="00E90C83"/>
    <w:rsid w:val="00EA46C7"/>
    <w:rsid w:val="00EA5CD1"/>
    <w:rsid w:val="00EA7F87"/>
    <w:rsid w:val="00ED19E6"/>
    <w:rsid w:val="00ED2029"/>
    <w:rsid w:val="00EE20E3"/>
    <w:rsid w:val="00EE2A37"/>
    <w:rsid w:val="00EF240F"/>
    <w:rsid w:val="00EF390D"/>
    <w:rsid w:val="00F11AEE"/>
    <w:rsid w:val="00F12E7D"/>
    <w:rsid w:val="00F1313D"/>
    <w:rsid w:val="00F14C62"/>
    <w:rsid w:val="00F21929"/>
    <w:rsid w:val="00F33E9C"/>
    <w:rsid w:val="00F40CD6"/>
    <w:rsid w:val="00F451F2"/>
    <w:rsid w:val="00F60C08"/>
    <w:rsid w:val="00F61B65"/>
    <w:rsid w:val="00F6682C"/>
    <w:rsid w:val="00F8210B"/>
    <w:rsid w:val="00FA2A8C"/>
    <w:rsid w:val="00FB03A0"/>
    <w:rsid w:val="00FB2966"/>
    <w:rsid w:val="00FD6995"/>
    <w:rsid w:val="00FE11DF"/>
    <w:rsid w:val="017B0945"/>
    <w:rsid w:val="01A74369"/>
    <w:rsid w:val="01AB6A1E"/>
    <w:rsid w:val="01AE15BA"/>
    <w:rsid w:val="0253791C"/>
    <w:rsid w:val="02E97ACB"/>
    <w:rsid w:val="02F44E16"/>
    <w:rsid w:val="03221C82"/>
    <w:rsid w:val="03286B6F"/>
    <w:rsid w:val="033B7533"/>
    <w:rsid w:val="0349117B"/>
    <w:rsid w:val="03AB35A6"/>
    <w:rsid w:val="03B55E19"/>
    <w:rsid w:val="03CD095B"/>
    <w:rsid w:val="03CE2876"/>
    <w:rsid w:val="03D0646F"/>
    <w:rsid w:val="03E012B8"/>
    <w:rsid w:val="03E91A81"/>
    <w:rsid w:val="03ED12D9"/>
    <w:rsid w:val="046E6310"/>
    <w:rsid w:val="04B8054C"/>
    <w:rsid w:val="0505686E"/>
    <w:rsid w:val="05693FB9"/>
    <w:rsid w:val="058C041E"/>
    <w:rsid w:val="05A905FC"/>
    <w:rsid w:val="068943A3"/>
    <w:rsid w:val="06AB1A6C"/>
    <w:rsid w:val="06B050AF"/>
    <w:rsid w:val="06D50AF3"/>
    <w:rsid w:val="06D53FF1"/>
    <w:rsid w:val="06D9294A"/>
    <w:rsid w:val="0713480B"/>
    <w:rsid w:val="07256189"/>
    <w:rsid w:val="077C1770"/>
    <w:rsid w:val="08AD1C45"/>
    <w:rsid w:val="09225432"/>
    <w:rsid w:val="09A37453"/>
    <w:rsid w:val="09B13278"/>
    <w:rsid w:val="09BE532C"/>
    <w:rsid w:val="09CC2C7E"/>
    <w:rsid w:val="0A067AB9"/>
    <w:rsid w:val="0A0F17B5"/>
    <w:rsid w:val="0A3D64E4"/>
    <w:rsid w:val="0A4C39A4"/>
    <w:rsid w:val="0A597367"/>
    <w:rsid w:val="0A6434B4"/>
    <w:rsid w:val="0A8D1088"/>
    <w:rsid w:val="0AAD4050"/>
    <w:rsid w:val="0ABD3C43"/>
    <w:rsid w:val="0B03120A"/>
    <w:rsid w:val="0B2C0A43"/>
    <w:rsid w:val="0B4E14EF"/>
    <w:rsid w:val="0B524481"/>
    <w:rsid w:val="0B9F75D5"/>
    <w:rsid w:val="0BE856C8"/>
    <w:rsid w:val="0C584CFC"/>
    <w:rsid w:val="0C662A91"/>
    <w:rsid w:val="0CE0170C"/>
    <w:rsid w:val="0CE844AA"/>
    <w:rsid w:val="0D2C7836"/>
    <w:rsid w:val="0D50011D"/>
    <w:rsid w:val="0D74277F"/>
    <w:rsid w:val="0DDF1F5D"/>
    <w:rsid w:val="0DFD3A35"/>
    <w:rsid w:val="0E217F0E"/>
    <w:rsid w:val="0E4312DC"/>
    <w:rsid w:val="0E7E40C2"/>
    <w:rsid w:val="0E8D12AC"/>
    <w:rsid w:val="0ED339BE"/>
    <w:rsid w:val="0F06623B"/>
    <w:rsid w:val="0F090680"/>
    <w:rsid w:val="0F111912"/>
    <w:rsid w:val="0F1D534F"/>
    <w:rsid w:val="0F4E1CE6"/>
    <w:rsid w:val="0F806C06"/>
    <w:rsid w:val="0FD2474F"/>
    <w:rsid w:val="100E3F20"/>
    <w:rsid w:val="101D170C"/>
    <w:rsid w:val="1028024E"/>
    <w:rsid w:val="102E1B18"/>
    <w:rsid w:val="107C3FFB"/>
    <w:rsid w:val="10A11133"/>
    <w:rsid w:val="10AD2B28"/>
    <w:rsid w:val="10D174C3"/>
    <w:rsid w:val="11476CAA"/>
    <w:rsid w:val="116C7CAB"/>
    <w:rsid w:val="11733C86"/>
    <w:rsid w:val="118F60CF"/>
    <w:rsid w:val="11C113C0"/>
    <w:rsid w:val="11D93757"/>
    <w:rsid w:val="12105979"/>
    <w:rsid w:val="123B3CA3"/>
    <w:rsid w:val="1264486D"/>
    <w:rsid w:val="127B3EFF"/>
    <w:rsid w:val="128A0105"/>
    <w:rsid w:val="13031039"/>
    <w:rsid w:val="133B5D22"/>
    <w:rsid w:val="13960F5E"/>
    <w:rsid w:val="139978A7"/>
    <w:rsid w:val="141376D2"/>
    <w:rsid w:val="142177C5"/>
    <w:rsid w:val="149616B1"/>
    <w:rsid w:val="149A490B"/>
    <w:rsid w:val="150B559B"/>
    <w:rsid w:val="1548367B"/>
    <w:rsid w:val="15BA227C"/>
    <w:rsid w:val="15F555B1"/>
    <w:rsid w:val="16750620"/>
    <w:rsid w:val="16794FF5"/>
    <w:rsid w:val="169F551D"/>
    <w:rsid w:val="16A06BA1"/>
    <w:rsid w:val="16A6046E"/>
    <w:rsid w:val="16BD73D6"/>
    <w:rsid w:val="16C904F5"/>
    <w:rsid w:val="16EC061C"/>
    <w:rsid w:val="17151A29"/>
    <w:rsid w:val="1735378C"/>
    <w:rsid w:val="17391BA1"/>
    <w:rsid w:val="178C691A"/>
    <w:rsid w:val="178D21A6"/>
    <w:rsid w:val="17B10F10"/>
    <w:rsid w:val="17D84B99"/>
    <w:rsid w:val="182744D6"/>
    <w:rsid w:val="182B1F0D"/>
    <w:rsid w:val="183E348C"/>
    <w:rsid w:val="1880075E"/>
    <w:rsid w:val="1882514A"/>
    <w:rsid w:val="18EB4163"/>
    <w:rsid w:val="19923DC3"/>
    <w:rsid w:val="19C16692"/>
    <w:rsid w:val="19E86B11"/>
    <w:rsid w:val="1A1E300E"/>
    <w:rsid w:val="1A8567D8"/>
    <w:rsid w:val="1AF7105D"/>
    <w:rsid w:val="1B4B6E4F"/>
    <w:rsid w:val="1B772741"/>
    <w:rsid w:val="1BAB1685"/>
    <w:rsid w:val="1BDD3667"/>
    <w:rsid w:val="1C0B2BAF"/>
    <w:rsid w:val="1CFB664D"/>
    <w:rsid w:val="1D115A7C"/>
    <w:rsid w:val="1D357B45"/>
    <w:rsid w:val="1D872A3A"/>
    <w:rsid w:val="1D992860"/>
    <w:rsid w:val="1D9D5E45"/>
    <w:rsid w:val="1DE1772C"/>
    <w:rsid w:val="1E3E2FD4"/>
    <w:rsid w:val="1EC473B4"/>
    <w:rsid w:val="1F041D46"/>
    <w:rsid w:val="1F097A07"/>
    <w:rsid w:val="1F152820"/>
    <w:rsid w:val="1F1B448B"/>
    <w:rsid w:val="1F7B0466"/>
    <w:rsid w:val="1F9574BD"/>
    <w:rsid w:val="1FA77E79"/>
    <w:rsid w:val="1FC6153F"/>
    <w:rsid w:val="1FDF5395"/>
    <w:rsid w:val="2009596F"/>
    <w:rsid w:val="20354EDA"/>
    <w:rsid w:val="20854FA7"/>
    <w:rsid w:val="209634ED"/>
    <w:rsid w:val="20A67279"/>
    <w:rsid w:val="20D74BF7"/>
    <w:rsid w:val="20EF7729"/>
    <w:rsid w:val="212040EB"/>
    <w:rsid w:val="21447812"/>
    <w:rsid w:val="21F14688"/>
    <w:rsid w:val="227527C2"/>
    <w:rsid w:val="22796D32"/>
    <w:rsid w:val="22DE2C70"/>
    <w:rsid w:val="22EA5D72"/>
    <w:rsid w:val="23E038A2"/>
    <w:rsid w:val="23E05708"/>
    <w:rsid w:val="23F92E98"/>
    <w:rsid w:val="25290BDE"/>
    <w:rsid w:val="25645C2C"/>
    <w:rsid w:val="256F7A98"/>
    <w:rsid w:val="26B90FA9"/>
    <w:rsid w:val="27006272"/>
    <w:rsid w:val="27077D9F"/>
    <w:rsid w:val="270F0DA7"/>
    <w:rsid w:val="272C1B70"/>
    <w:rsid w:val="276640C7"/>
    <w:rsid w:val="27C84DF1"/>
    <w:rsid w:val="27E8451B"/>
    <w:rsid w:val="28201DDD"/>
    <w:rsid w:val="285D2B42"/>
    <w:rsid w:val="28632F63"/>
    <w:rsid w:val="286A0B75"/>
    <w:rsid w:val="292434B5"/>
    <w:rsid w:val="292508D7"/>
    <w:rsid w:val="29850198"/>
    <w:rsid w:val="29B727FF"/>
    <w:rsid w:val="29F061F8"/>
    <w:rsid w:val="2A3F4C0E"/>
    <w:rsid w:val="2A7E7D38"/>
    <w:rsid w:val="2A9A1E2C"/>
    <w:rsid w:val="2AB8162E"/>
    <w:rsid w:val="2AC364BE"/>
    <w:rsid w:val="2AF72B16"/>
    <w:rsid w:val="2AF85308"/>
    <w:rsid w:val="2AFB5029"/>
    <w:rsid w:val="2B1971F4"/>
    <w:rsid w:val="2B3F09F3"/>
    <w:rsid w:val="2B4B0019"/>
    <w:rsid w:val="2B982C80"/>
    <w:rsid w:val="2BAF1907"/>
    <w:rsid w:val="2BB03438"/>
    <w:rsid w:val="2BB3445D"/>
    <w:rsid w:val="2BBE1B4A"/>
    <w:rsid w:val="2C611128"/>
    <w:rsid w:val="2CBB6970"/>
    <w:rsid w:val="2D593816"/>
    <w:rsid w:val="2D5E56B3"/>
    <w:rsid w:val="2D8F2691"/>
    <w:rsid w:val="2D915002"/>
    <w:rsid w:val="2D99141A"/>
    <w:rsid w:val="2DB62EAA"/>
    <w:rsid w:val="2DBB27E5"/>
    <w:rsid w:val="2E1555FE"/>
    <w:rsid w:val="2E3A2BC7"/>
    <w:rsid w:val="2E89643F"/>
    <w:rsid w:val="2E8D1817"/>
    <w:rsid w:val="2E984EEC"/>
    <w:rsid w:val="2ED23210"/>
    <w:rsid w:val="2F3C5AE9"/>
    <w:rsid w:val="2F5051DD"/>
    <w:rsid w:val="2FC3709C"/>
    <w:rsid w:val="304D1F83"/>
    <w:rsid w:val="305166D9"/>
    <w:rsid w:val="30A5198D"/>
    <w:rsid w:val="30C24BD4"/>
    <w:rsid w:val="30E5729F"/>
    <w:rsid w:val="30F54260"/>
    <w:rsid w:val="31362DFD"/>
    <w:rsid w:val="315F316F"/>
    <w:rsid w:val="318235E3"/>
    <w:rsid w:val="31A02896"/>
    <w:rsid w:val="31B952C3"/>
    <w:rsid w:val="32BB0CF7"/>
    <w:rsid w:val="32DB2C11"/>
    <w:rsid w:val="33421AB8"/>
    <w:rsid w:val="339C2E39"/>
    <w:rsid w:val="33B069D9"/>
    <w:rsid w:val="33F425AD"/>
    <w:rsid w:val="3405742C"/>
    <w:rsid w:val="34457169"/>
    <w:rsid w:val="344E1C78"/>
    <w:rsid w:val="346314E0"/>
    <w:rsid w:val="34693082"/>
    <w:rsid w:val="347816C9"/>
    <w:rsid w:val="34F827BB"/>
    <w:rsid w:val="35A973C7"/>
    <w:rsid w:val="363E1597"/>
    <w:rsid w:val="36773D1D"/>
    <w:rsid w:val="369D2E79"/>
    <w:rsid w:val="36BB5604"/>
    <w:rsid w:val="36CC06D6"/>
    <w:rsid w:val="36FC54E3"/>
    <w:rsid w:val="372907BF"/>
    <w:rsid w:val="373E1BCC"/>
    <w:rsid w:val="377E310B"/>
    <w:rsid w:val="37BE7196"/>
    <w:rsid w:val="37D2584D"/>
    <w:rsid w:val="37F56578"/>
    <w:rsid w:val="380D1E8F"/>
    <w:rsid w:val="38141881"/>
    <w:rsid w:val="38175D39"/>
    <w:rsid w:val="38393D38"/>
    <w:rsid w:val="38556F3F"/>
    <w:rsid w:val="3872233D"/>
    <w:rsid w:val="389E7275"/>
    <w:rsid w:val="38B16E69"/>
    <w:rsid w:val="38C73435"/>
    <w:rsid w:val="39A63C60"/>
    <w:rsid w:val="39FA5917"/>
    <w:rsid w:val="3AB2671B"/>
    <w:rsid w:val="3ACC590D"/>
    <w:rsid w:val="3AE465B1"/>
    <w:rsid w:val="3AF4536D"/>
    <w:rsid w:val="3B7516FD"/>
    <w:rsid w:val="3B900246"/>
    <w:rsid w:val="3BA01718"/>
    <w:rsid w:val="3BA64B36"/>
    <w:rsid w:val="3BBD4831"/>
    <w:rsid w:val="3BDD2402"/>
    <w:rsid w:val="3BE432C1"/>
    <w:rsid w:val="3BF805F4"/>
    <w:rsid w:val="3C131A08"/>
    <w:rsid w:val="3C2D0033"/>
    <w:rsid w:val="3C4C7E41"/>
    <w:rsid w:val="3C696521"/>
    <w:rsid w:val="3C7D6E01"/>
    <w:rsid w:val="3CC15B46"/>
    <w:rsid w:val="3D2904CC"/>
    <w:rsid w:val="3D343B3E"/>
    <w:rsid w:val="3D936471"/>
    <w:rsid w:val="3D9F78D6"/>
    <w:rsid w:val="3DA12467"/>
    <w:rsid w:val="3DA27CA7"/>
    <w:rsid w:val="3DAE5468"/>
    <w:rsid w:val="3DBC6972"/>
    <w:rsid w:val="3DF909AD"/>
    <w:rsid w:val="3E410685"/>
    <w:rsid w:val="3E4E7132"/>
    <w:rsid w:val="3E6A1EC7"/>
    <w:rsid w:val="3F2B002A"/>
    <w:rsid w:val="3F2F08E3"/>
    <w:rsid w:val="3F563219"/>
    <w:rsid w:val="3F710F55"/>
    <w:rsid w:val="3FCC14EC"/>
    <w:rsid w:val="3FF06549"/>
    <w:rsid w:val="400B2A59"/>
    <w:rsid w:val="401F7A0E"/>
    <w:rsid w:val="402C0CFE"/>
    <w:rsid w:val="40321C70"/>
    <w:rsid w:val="404B5C4A"/>
    <w:rsid w:val="40BC77CD"/>
    <w:rsid w:val="4111773A"/>
    <w:rsid w:val="418613E5"/>
    <w:rsid w:val="420818AA"/>
    <w:rsid w:val="423229B2"/>
    <w:rsid w:val="424010B3"/>
    <w:rsid w:val="42783449"/>
    <w:rsid w:val="435F2677"/>
    <w:rsid w:val="436E4F7B"/>
    <w:rsid w:val="43843785"/>
    <w:rsid w:val="43A73DB2"/>
    <w:rsid w:val="43A831D2"/>
    <w:rsid w:val="43C548F2"/>
    <w:rsid w:val="43D8337A"/>
    <w:rsid w:val="43E179C4"/>
    <w:rsid w:val="43EF7878"/>
    <w:rsid w:val="447A2D02"/>
    <w:rsid w:val="448D1087"/>
    <w:rsid w:val="44FB01E6"/>
    <w:rsid w:val="451C0A61"/>
    <w:rsid w:val="4549537D"/>
    <w:rsid w:val="46050649"/>
    <w:rsid w:val="460D470D"/>
    <w:rsid w:val="463330D7"/>
    <w:rsid w:val="464829D0"/>
    <w:rsid w:val="46513CE4"/>
    <w:rsid w:val="46755243"/>
    <w:rsid w:val="46A36B49"/>
    <w:rsid w:val="46C90079"/>
    <w:rsid w:val="46CB3641"/>
    <w:rsid w:val="46D12EE7"/>
    <w:rsid w:val="46D6163F"/>
    <w:rsid w:val="4741682D"/>
    <w:rsid w:val="4753585C"/>
    <w:rsid w:val="47E07053"/>
    <w:rsid w:val="47E141F4"/>
    <w:rsid w:val="47F56356"/>
    <w:rsid w:val="47F74333"/>
    <w:rsid w:val="47FD2EDF"/>
    <w:rsid w:val="48475B30"/>
    <w:rsid w:val="4900516D"/>
    <w:rsid w:val="493167A1"/>
    <w:rsid w:val="49655B08"/>
    <w:rsid w:val="49A00EE4"/>
    <w:rsid w:val="4A0707F1"/>
    <w:rsid w:val="4A28271A"/>
    <w:rsid w:val="4A6E2CCE"/>
    <w:rsid w:val="4A8B605B"/>
    <w:rsid w:val="4AEC5ECE"/>
    <w:rsid w:val="4B146274"/>
    <w:rsid w:val="4B412124"/>
    <w:rsid w:val="4B990325"/>
    <w:rsid w:val="4BD81AEF"/>
    <w:rsid w:val="4BEB161D"/>
    <w:rsid w:val="4C116BF5"/>
    <w:rsid w:val="4C2D2421"/>
    <w:rsid w:val="4C6E59B3"/>
    <w:rsid w:val="4CB96330"/>
    <w:rsid w:val="4CD40D75"/>
    <w:rsid w:val="4D1B54DE"/>
    <w:rsid w:val="4D220644"/>
    <w:rsid w:val="4D253538"/>
    <w:rsid w:val="4D900DD8"/>
    <w:rsid w:val="4D9B2A4B"/>
    <w:rsid w:val="4E353C32"/>
    <w:rsid w:val="4ED754D8"/>
    <w:rsid w:val="4EF308EC"/>
    <w:rsid w:val="4F0A4F22"/>
    <w:rsid w:val="4F7D3785"/>
    <w:rsid w:val="4FC23385"/>
    <w:rsid w:val="4FF65889"/>
    <w:rsid w:val="50406B44"/>
    <w:rsid w:val="506D3BED"/>
    <w:rsid w:val="50757B3C"/>
    <w:rsid w:val="508E1E5D"/>
    <w:rsid w:val="509A1B7B"/>
    <w:rsid w:val="50DF6CDD"/>
    <w:rsid w:val="51772E0C"/>
    <w:rsid w:val="51AD3168"/>
    <w:rsid w:val="51E11F7B"/>
    <w:rsid w:val="51E2011D"/>
    <w:rsid w:val="52767895"/>
    <w:rsid w:val="52983131"/>
    <w:rsid w:val="52EB34F6"/>
    <w:rsid w:val="53456B4D"/>
    <w:rsid w:val="53612159"/>
    <w:rsid w:val="53BC4849"/>
    <w:rsid w:val="53F7273F"/>
    <w:rsid w:val="5437028A"/>
    <w:rsid w:val="54433D85"/>
    <w:rsid w:val="554B1EEA"/>
    <w:rsid w:val="556116B0"/>
    <w:rsid w:val="55640CB1"/>
    <w:rsid w:val="556E620B"/>
    <w:rsid w:val="560F48D2"/>
    <w:rsid w:val="56431D4B"/>
    <w:rsid w:val="56466840"/>
    <w:rsid w:val="568D0C9D"/>
    <w:rsid w:val="568E01E7"/>
    <w:rsid w:val="56AF5FD4"/>
    <w:rsid w:val="56BC6B02"/>
    <w:rsid w:val="56DB6E9A"/>
    <w:rsid w:val="572A2889"/>
    <w:rsid w:val="5744650F"/>
    <w:rsid w:val="57586AAD"/>
    <w:rsid w:val="57857649"/>
    <w:rsid w:val="57B02F9F"/>
    <w:rsid w:val="57B52A0A"/>
    <w:rsid w:val="57BD0D84"/>
    <w:rsid w:val="58404BAE"/>
    <w:rsid w:val="58CD048A"/>
    <w:rsid w:val="593F00CE"/>
    <w:rsid w:val="597D246F"/>
    <w:rsid w:val="59891978"/>
    <w:rsid w:val="59BA7ABB"/>
    <w:rsid w:val="59D2663D"/>
    <w:rsid w:val="59DF560E"/>
    <w:rsid w:val="5A0A1136"/>
    <w:rsid w:val="5A3B1B73"/>
    <w:rsid w:val="5A4E2167"/>
    <w:rsid w:val="5A696744"/>
    <w:rsid w:val="5AB70CDF"/>
    <w:rsid w:val="5B02505E"/>
    <w:rsid w:val="5B26719A"/>
    <w:rsid w:val="5B284BF0"/>
    <w:rsid w:val="5B6339F0"/>
    <w:rsid w:val="5B703C64"/>
    <w:rsid w:val="5B9F175F"/>
    <w:rsid w:val="5BA10582"/>
    <w:rsid w:val="5BC326E1"/>
    <w:rsid w:val="5BCE7EE6"/>
    <w:rsid w:val="5BE3040D"/>
    <w:rsid w:val="5C2A2A79"/>
    <w:rsid w:val="5C595440"/>
    <w:rsid w:val="5C6A6223"/>
    <w:rsid w:val="5C6C3E79"/>
    <w:rsid w:val="5C872268"/>
    <w:rsid w:val="5C8E2EBA"/>
    <w:rsid w:val="5C966047"/>
    <w:rsid w:val="5CA63D15"/>
    <w:rsid w:val="5D035A0E"/>
    <w:rsid w:val="5DA447BC"/>
    <w:rsid w:val="5DD26CE9"/>
    <w:rsid w:val="5DEC6878"/>
    <w:rsid w:val="5DF70D68"/>
    <w:rsid w:val="5E7961C1"/>
    <w:rsid w:val="5E8E6FD6"/>
    <w:rsid w:val="5EA33DFC"/>
    <w:rsid w:val="5EAC7E23"/>
    <w:rsid w:val="5F211938"/>
    <w:rsid w:val="5F7E00CF"/>
    <w:rsid w:val="5F93359F"/>
    <w:rsid w:val="5FBD0C24"/>
    <w:rsid w:val="5FEC48FC"/>
    <w:rsid w:val="5FFE5700"/>
    <w:rsid w:val="603A2293"/>
    <w:rsid w:val="60407D58"/>
    <w:rsid w:val="605108E0"/>
    <w:rsid w:val="608A1AC7"/>
    <w:rsid w:val="60B57376"/>
    <w:rsid w:val="60E40E2C"/>
    <w:rsid w:val="60FF24C2"/>
    <w:rsid w:val="61065DBD"/>
    <w:rsid w:val="61785D1C"/>
    <w:rsid w:val="61813A42"/>
    <w:rsid w:val="61A134C4"/>
    <w:rsid w:val="61A508A1"/>
    <w:rsid w:val="61C56A26"/>
    <w:rsid w:val="61E454F5"/>
    <w:rsid w:val="61EE5FDE"/>
    <w:rsid w:val="61F5736C"/>
    <w:rsid w:val="62022E61"/>
    <w:rsid w:val="624D4B74"/>
    <w:rsid w:val="62C90722"/>
    <w:rsid w:val="63324C6E"/>
    <w:rsid w:val="63817ACE"/>
    <w:rsid w:val="63A31E62"/>
    <w:rsid w:val="63F4419C"/>
    <w:rsid w:val="64606704"/>
    <w:rsid w:val="64D807D9"/>
    <w:rsid w:val="658A5CEA"/>
    <w:rsid w:val="65E63183"/>
    <w:rsid w:val="66A11AEE"/>
    <w:rsid w:val="67296BFF"/>
    <w:rsid w:val="67640DEF"/>
    <w:rsid w:val="67882F95"/>
    <w:rsid w:val="67B04461"/>
    <w:rsid w:val="67B71945"/>
    <w:rsid w:val="67C0106A"/>
    <w:rsid w:val="67C23FB3"/>
    <w:rsid w:val="681C38A5"/>
    <w:rsid w:val="6840603D"/>
    <w:rsid w:val="68525E8B"/>
    <w:rsid w:val="69327385"/>
    <w:rsid w:val="69532642"/>
    <w:rsid w:val="697319BF"/>
    <w:rsid w:val="69DB78CC"/>
    <w:rsid w:val="69FA04D3"/>
    <w:rsid w:val="6A4F6E29"/>
    <w:rsid w:val="6A595000"/>
    <w:rsid w:val="6A6C0416"/>
    <w:rsid w:val="6AC055D0"/>
    <w:rsid w:val="6B460F19"/>
    <w:rsid w:val="6B6442C9"/>
    <w:rsid w:val="6BB121C7"/>
    <w:rsid w:val="6BD44496"/>
    <w:rsid w:val="6BE44EA6"/>
    <w:rsid w:val="6BFD532F"/>
    <w:rsid w:val="6C0F3DFE"/>
    <w:rsid w:val="6C2814C5"/>
    <w:rsid w:val="6C4B217C"/>
    <w:rsid w:val="6C4C3656"/>
    <w:rsid w:val="6C664DF2"/>
    <w:rsid w:val="6C794788"/>
    <w:rsid w:val="6CAF5292"/>
    <w:rsid w:val="6CFA1CDB"/>
    <w:rsid w:val="6D7952F5"/>
    <w:rsid w:val="6D871925"/>
    <w:rsid w:val="6DBE1F99"/>
    <w:rsid w:val="6DC03BF0"/>
    <w:rsid w:val="6E714F8B"/>
    <w:rsid w:val="6E997D2F"/>
    <w:rsid w:val="6EB42FA3"/>
    <w:rsid w:val="6EDA6E0C"/>
    <w:rsid w:val="6F4869F1"/>
    <w:rsid w:val="6F516E85"/>
    <w:rsid w:val="6F587CEE"/>
    <w:rsid w:val="6F5C6C7D"/>
    <w:rsid w:val="6F8B537D"/>
    <w:rsid w:val="6FBF2E55"/>
    <w:rsid w:val="70737A09"/>
    <w:rsid w:val="707B10D7"/>
    <w:rsid w:val="70E91ED6"/>
    <w:rsid w:val="70F3716D"/>
    <w:rsid w:val="70FA6C2A"/>
    <w:rsid w:val="71190F28"/>
    <w:rsid w:val="713C1D6D"/>
    <w:rsid w:val="713C359A"/>
    <w:rsid w:val="718F6E95"/>
    <w:rsid w:val="71A20A44"/>
    <w:rsid w:val="71AF2CDF"/>
    <w:rsid w:val="72007C10"/>
    <w:rsid w:val="72251161"/>
    <w:rsid w:val="730840D9"/>
    <w:rsid w:val="733131CB"/>
    <w:rsid w:val="73336C8D"/>
    <w:rsid w:val="734908B8"/>
    <w:rsid w:val="73650526"/>
    <w:rsid w:val="737828BB"/>
    <w:rsid w:val="738C1AEF"/>
    <w:rsid w:val="739E0815"/>
    <w:rsid w:val="73AB4244"/>
    <w:rsid w:val="73DA456B"/>
    <w:rsid w:val="73F22B6A"/>
    <w:rsid w:val="73F863E7"/>
    <w:rsid w:val="741F3DB0"/>
    <w:rsid w:val="745B1B12"/>
    <w:rsid w:val="746E20C7"/>
    <w:rsid w:val="74AA2B6A"/>
    <w:rsid w:val="74D72CE9"/>
    <w:rsid w:val="75076260"/>
    <w:rsid w:val="75AC1C95"/>
    <w:rsid w:val="75CC2672"/>
    <w:rsid w:val="75D77C14"/>
    <w:rsid w:val="75E04EE1"/>
    <w:rsid w:val="761D063F"/>
    <w:rsid w:val="764A782F"/>
    <w:rsid w:val="764E5797"/>
    <w:rsid w:val="767A1490"/>
    <w:rsid w:val="76F959A4"/>
    <w:rsid w:val="773F3147"/>
    <w:rsid w:val="775B4928"/>
    <w:rsid w:val="777228EC"/>
    <w:rsid w:val="779D54AA"/>
    <w:rsid w:val="77BC6EFE"/>
    <w:rsid w:val="78085C32"/>
    <w:rsid w:val="78231353"/>
    <w:rsid w:val="783479C4"/>
    <w:rsid w:val="78441199"/>
    <w:rsid w:val="784B34A0"/>
    <w:rsid w:val="78B83211"/>
    <w:rsid w:val="790D0689"/>
    <w:rsid w:val="79196953"/>
    <w:rsid w:val="79354FFF"/>
    <w:rsid w:val="794D7A89"/>
    <w:rsid w:val="79932CDD"/>
    <w:rsid w:val="79AF4111"/>
    <w:rsid w:val="7A4C0EEA"/>
    <w:rsid w:val="7A710091"/>
    <w:rsid w:val="7A7A76AA"/>
    <w:rsid w:val="7AC26604"/>
    <w:rsid w:val="7ACD3EED"/>
    <w:rsid w:val="7C184AA5"/>
    <w:rsid w:val="7C2D6612"/>
    <w:rsid w:val="7CE20E1A"/>
    <w:rsid w:val="7D57214E"/>
    <w:rsid w:val="7D730F31"/>
    <w:rsid w:val="7D8214F8"/>
    <w:rsid w:val="7D9046C1"/>
    <w:rsid w:val="7E70647C"/>
    <w:rsid w:val="7E835DB6"/>
    <w:rsid w:val="7E8E6414"/>
    <w:rsid w:val="7EAD1705"/>
    <w:rsid w:val="7ECC2586"/>
    <w:rsid w:val="7EF21D6D"/>
    <w:rsid w:val="7F833C67"/>
    <w:rsid w:val="7F8359B3"/>
    <w:rsid w:val="7FC076CE"/>
    <w:rsid w:val="7FEA5112"/>
    <w:rsid w:val="7FEE56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uiPriority="0" w:name="Body Text 3"/>
    <w:lsdException w:qFormat="1" w:uiPriority="99"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outlineLvl w:val="0"/>
    </w:pPr>
    <w:rPr>
      <w:b/>
      <w:bCs/>
      <w:sz w:val="28"/>
    </w:rPr>
  </w:style>
  <w:style w:type="paragraph" w:styleId="3">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rPr>
      <w:rFonts w:ascii="Times New Roman"/>
      <w:sz w:val="28"/>
    </w:rPr>
  </w:style>
  <w:style w:type="paragraph" w:styleId="5">
    <w:name w:val="Document Map"/>
    <w:basedOn w:val="1"/>
    <w:link w:val="66"/>
    <w:autoRedefine/>
    <w:qFormat/>
    <w:uiPriority w:val="0"/>
    <w:rPr>
      <w:rFonts w:ascii="宋体" w:eastAsia="宋体"/>
      <w:sz w:val="18"/>
      <w:szCs w:val="18"/>
    </w:rPr>
  </w:style>
  <w:style w:type="paragraph" w:styleId="6">
    <w:name w:val="annotation text"/>
    <w:basedOn w:val="1"/>
    <w:link w:val="54"/>
    <w:autoRedefine/>
    <w:qFormat/>
    <w:uiPriority w:val="0"/>
    <w:pPr>
      <w:jc w:val="left"/>
    </w:pPr>
  </w:style>
  <w:style w:type="paragraph" w:styleId="7">
    <w:name w:val="Body Text"/>
    <w:basedOn w:val="1"/>
    <w:next w:val="8"/>
    <w:autoRedefine/>
    <w:qFormat/>
    <w:uiPriority w:val="0"/>
    <w:pPr>
      <w:spacing w:after="120"/>
    </w:pPr>
  </w:style>
  <w:style w:type="paragraph" w:customStyle="1" w:styleId="8">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9">
    <w:name w:val="Body Text Indent"/>
    <w:basedOn w:val="1"/>
    <w:next w:val="10"/>
    <w:autoRedefine/>
    <w:qFormat/>
    <w:uiPriority w:val="0"/>
    <w:pPr>
      <w:spacing w:after="120"/>
      <w:ind w:left="420" w:leftChars="200"/>
    </w:pPr>
  </w:style>
  <w:style w:type="paragraph" w:styleId="10">
    <w:name w:val="header"/>
    <w:basedOn w:val="1"/>
    <w:next w:val="11"/>
    <w:link w:val="53"/>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1">
    <w:name w:val="样式5"/>
    <w:basedOn w:val="12"/>
    <w:autoRedefine/>
    <w:qFormat/>
    <w:uiPriority w:val="0"/>
    <w:pPr>
      <w:keepNext/>
      <w:spacing w:line="240" w:lineRule="auto"/>
      <w:jc w:val="left"/>
      <w:outlineLvl w:val="0"/>
    </w:pPr>
    <w:rPr>
      <w:rFonts w:ascii="黑体" w:hAnsi="黑体"/>
      <w:spacing w:val="5"/>
      <w:sz w:val="25"/>
      <w:szCs w:val="25"/>
    </w:rPr>
  </w:style>
  <w:style w:type="paragraph" w:customStyle="1" w:styleId="12">
    <w:name w:val="正文1"/>
    <w:basedOn w:val="1"/>
    <w:autoRedefine/>
    <w:qFormat/>
    <w:uiPriority w:val="0"/>
    <w:pPr>
      <w:ind w:firstLine="200" w:firstLineChars="200"/>
    </w:pPr>
    <w:rPr>
      <w:rFonts w:ascii="Times New Roman" w:hAnsi="Times New Roman" w:eastAsia="宋体"/>
      <w:sz w:val="24"/>
    </w:rPr>
  </w:style>
  <w:style w:type="paragraph" w:styleId="13">
    <w:name w:val="Plain Text"/>
    <w:basedOn w:val="1"/>
    <w:autoRedefine/>
    <w:qFormat/>
    <w:uiPriority w:val="0"/>
    <w:rPr>
      <w:rFonts w:ascii="宋体" w:hAnsi="Courier New"/>
      <w:sz w:val="28"/>
    </w:rPr>
  </w:style>
  <w:style w:type="paragraph" w:styleId="14">
    <w:name w:val="Body Text Indent 2"/>
    <w:basedOn w:val="1"/>
    <w:next w:val="1"/>
    <w:autoRedefine/>
    <w:unhideWhenUsed/>
    <w:qFormat/>
    <w:uiPriority w:val="99"/>
    <w:pPr>
      <w:spacing w:after="120" w:line="480" w:lineRule="auto"/>
      <w:ind w:left="420" w:leftChars="200"/>
    </w:pPr>
  </w:style>
  <w:style w:type="paragraph" w:styleId="15">
    <w:name w:val="Balloon Text"/>
    <w:basedOn w:val="1"/>
    <w:link w:val="56"/>
    <w:autoRedefine/>
    <w:qFormat/>
    <w:uiPriority w:val="0"/>
    <w:rPr>
      <w:sz w:val="18"/>
      <w:szCs w:val="18"/>
    </w:rPr>
  </w:style>
  <w:style w:type="paragraph" w:styleId="16">
    <w:name w:val="footer"/>
    <w:basedOn w:val="1"/>
    <w:link w:val="34"/>
    <w:autoRedefine/>
    <w:qFormat/>
    <w:uiPriority w:val="99"/>
    <w:pPr>
      <w:tabs>
        <w:tab w:val="center" w:pos="4153"/>
        <w:tab w:val="right" w:pos="8306"/>
      </w:tabs>
      <w:snapToGrid w:val="0"/>
      <w:jc w:val="left"/>
    </w:pPr>
    <w:rPr>
      <w:sz w:val="18"/>
    </w:rPr>
  </w:style>
  <w:style w:type="paragraph" w:styleId="17">
    <w:name w:val="toc 2"/>
    <w:basedOn w:val="1"/>
    <w:next w:val="1"/>
    <w:autoRedefine/>
    <w:qFormat/>
    <w:uiPriority w:val="0"/>
    <w:pPr>
      <w:widowControl/>
      <w:ind w:left="420" w:leftChars="200"/>
      <w:jc w:val="left"/>
    </w:pPr>
    <w:rPr>
      <w:rFonts w:hint="eastAsia" w:ascii="宋体" w:hAnsi="宋体" w:eastAsia="宋体" w:cs="Times New Roman"/>
      <w:kern w:val="0"/>
      <w:sz w:val="24"/>
    </w:rPr>
  </w:style>
  <w:style w:type="paragraph" w:styleId="18">
    <w:name w:val="Body Text 2"/>
    <w:basedOn w:val="1"/>
    <w:autoRedefine/>
    <w:qFormat/>
    <w:uiPriority w:val="0"/>
    <w:pPr>
      <w:jc w:val="center"/>
    </w:pPr>
  </w:style>
  <w:style w:type="paragraph" w:styleId="19">
    <w:name w:val="Normal (Web)"/>
    <w:basedOn w:val="1"/>
    <w:link w:val="35"/>
    <w:autoRedefine/>
    <w:qFormat/>
    <w:uiPriority w:val="0"/>
    <w:pPr>
      <w:widowControl/>
      <w:spacing w:beforeAutospacing="1" w:afterAutospacing="1"/>
      <w:jc w:val="left"/>
    </w:pPr>
    <w:rPr>
      <w:rFonts w:hint="eastAsia" w:ascii="宋体" w:hAnsi="宋体" w:eastAsia="宋体" w:cs="Times New Roman"/>
      <w:kern w:val="0"/>
      <w:sz w:val="24"/>
      <w:szCs w:val="20"/>
    </w:rPr>
  </w:style>
  <w:style w:type="paragraph" w:styleId="20">
    <w:name w:val="annotation subject"/>
    <w:basedOn w:val="6"/>
    <w:next w:val="6"/>
    <w:link w:val="55"/>
    <w:autoRedefine/>
    <w:qFormat/>
    <w:uiPriority w:val="0"/>
    <w:rPr>
      <w:b/>
      <w:bCs/>
    </w:rPr>
  </w:style>
  <w:style w:type="paragraph" w:styleId="21">
    <w:name w:val="Body Text First Indent"/>
    <w:basedOn w:val="7"/>
    <w:autoRedefine/>
    <w:qFormat/>
    <w:uiPriority w:val="0"/>
    <w:pPr>
      <w:ind w:firstLine="420" w:firstLineChars="100"/>
    </w:pPr>
  </w:style>
  <w:style w:type="paragraph" w:styleId="22">
    <w:name w:val="Body Text First Indent 2"/>
    <w:basedOn w:val="9"/>
    <w:next w:val="1"/>
    <w:link w:val="65"/>
    <w:autoRedefine/>
    <w:qFormat/>
    <w:uiPriority w:val="99"/>
    <w:pPr>
      <w:spacing w:line="360" w:lineRule="auto"/>
      <w:ind w:firstLine="420" w:firstLineChars="200"/>
    </w:pPr>
    <w:rPr>
      <w:sz w:val="24"/>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Emphasis"/>
    <w:basedOn w:val="25"/>
    <w:autoRedefine/>
    <w:qFormat/>
    <w:uiPriority w:val="0"/>
    <w:rPr>
      <w:b/>
      <w:sz w:val="21"/>
      <w:szCs w:val="21"/>
    </w:rPr>
  </w:style>
  <w:style w:type="character" w:styleId="27">
    <w:name w:val="Hyperlink"/>
    <w:basedOn w:val="25"/>
    <w:autoRedefine/>
    <w:qFormat/>
    <w:uiPriority w:val="99"/>
    <w:rPr>
      <w:color w:val="0000FF"/>
      <w:u w:val="single"/>
    </w:rPr>
  </w:style>
  <w:style w:type="character" w:styleId="28">
    <w:name w:val="annotation reference"/>
    <w:basedOn w:val="25"/>
    <w:autoRedefine/>
    <w:qFormat/>
    <w:uiPriority w:val="0"/>
    <w:rPr>
      <w:sz w:val="21"/>
      <w:szCs w:val="21"/>
    </w:rPr>
  </w:style>
  <w:style w:type="paragraph" w:customStyle="1" w:styleId="29">
    <w:name w:val="样式 样式 样式 四号 左侧:  1.53 厘米 + 首行缩进:  2 字符 + 居中 左侧:  2 字符 首行缩进:  2..."/>
    <w:basedOn w:val="30"/>
    <w:next w:val="1"/>
    <w:autoRedefine/>
    <w:qFormat/>
    <w:uiPriority w:val="0"/>
    <w:pPr>
      <w:jc w:val="center"/>
    </w:pPr>
  </w:style>
  <w:style w:type="paragraph" w:customStyle="1" w:styleId="30">
    <w:name w:val="样式 样式 四号 左侧:  1.53 厘米 + 首行缩进:  2 字符"/>
    <w:basedOn w:val="31"/>
    <w:autoRedefine/>
    <w:qFormat/>
    <w:uiPriority w:val="0"/>
    <w:pPr>
      <w:ind w:left="200" w:leftChars="200"/>
    </w:pPr>
    <w:rPr>
      <w:szCs w:val="20"/>
    </w:rPr>
  </w:style>
  <w:style w:type="paragraph" w:customStyle="1" w:styleId="31">
    <w:name w:val="样式 四号 左侧:  1.53 厘米"/>
    <w:basedOn w:val="1"/>
    <w:autoRedefine/>
    <w:qFormat/>
    <w:uiPriority w:val="0"/>
    <w:pPr>
      <w:adjustRightInd w:val="0"/>
    </w:pPr>
    <w:rPr>
      <w:w w:val="90"/>
      <w:sz w:val="28"/>
      <w:szCs w:val="28"/>
    </w:rPr>
  </w:style>
  <w:style w:type="paragraph" w:customStyle="1" w:styleId="3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_Style 4"/>
    <w:basedOn w:val="1"/>
    <w:autoRedefine/>
    <w:qFormat/>
    <w:uiPriority w:val="0"/>
  </w:style>
  <w:style w:type="character" w:customStyle="1" w:styleId="34">
    <w:name w:val="页脚 字符1"/>
    <w:basedOn w:val="25"/>
    <w:link w:val="16"/>
    <w:autoRedefine/>
    <w:qFormat/>
    <w:uiPriority w:val="0"/>
    <w:rPr>
      <w:sz w:val="18"/>
    </w:rPr>
  </w:style>
  <w:style w:type="character" w:customStyle="1" w:styleId="35">
    <w:name w:val="普通(网站) 字符"/>
    <w:basedOn w:val="25"/>
    <w:link w:val="19"/>
    <w:autoRedefine/>
    <w:qFormat/>
    <w:uiPriority w:val="0"/>
    <w:rPr>
      <w:rFonts w:hint="eastAsia" w:ascii="宋体" w:hAnsi="宋体" w:eastAsia="宋体" w:cs="宋体"/>
      <w:sz w:val="24"/>
    </w:rPr>
  </w:style>
  <w:style w:type="character" w:customStyle="1" w:styleId="36">
    <w:name w:val="表格 Char"/>
    <w:basedOn w:val="25"/>
    <w:link w:val="37"/>
    <w:autoRedefine/>
    <w:qFormat/>
    <w:uiPriority w:val="0"/>
    <w:rPr>
      <w:rFonts w:hint="eastAsia" w:ascii="宋体" w:hAnsi="宋体" w:eastAsia="宋体" w:cs="宋体"/>
      <w:sz w:val="21"/>
    </w:rPr>
  </w:style>
  <w:style w:type="paragraph" w:customStyle="1" w:styleId="37">
    <w:name w:val="表格"/>
    <w:basedOn w:val="1"/>
    <w:next w:val="1"/>
    <w:link w:val="36"/>
    <w:autoRedefine/>
    <w:qFormat/>
    <w:uiPriority w:val="0"/>
    <w:pPr>
      <w:adjustRightInd w:val="0"/>
      <w:snapToGrid w:val="0"/>
      <w:spacing w:beforeLines="10" w:afterLines="10" w:line="256" w:lineRule="auto"/>
      <w:jc w:val="center"/>
    </w:pPr>
    <w:rPr>
      <w:rFonts w:hint="eastAsia" w:ascii="宋体" w:hAnsi="Times New Roman" w:eastAsia="宋体" w:cs="Times New Roman"/>
      <w:kern w:val="0"/>
      <w:szCs w:val="20"/>
    </w:rPr>
  </w:style>
  <w:style w:type="character" w:customStyle="1" w:styleId="38">
    <w:name w:val="页脚 字符"/>
    <w:basedOn w:val="25"/>
    <w:autoRedefine/>
    <w:qFormat/>
    <w:uiPriority w:val="99"/>
    <w:rPr>
      <w:kern w:val="2"/>
      <w:sz w:val="18"/>
      <w:szCs w:val="18"/>
    </w:rPr>
  </w:style>
  <w:style w:type="paragraph" w:customStyle="1" w:styleId="39">
    <w:name w:val="+正文"/>
    <w:basedOn w:val="1"/>
    <w:autoRedefine/>
    <w:qFormat/>
    <w:uiPriority w:val="0"/>
    <w:pPr>
      <w:spacing w:line="360" w:lineRule="auto"/>
    </w:pPr>
    <w:rPr>
      <w:sz w:val="28"/>
      <w:szCs w:val="28"/>
    </w:rPr>
  </w:style>
  <w:style w:type="paragraph" w:customStyle="1" w:styleId="40">
    <w:name w:val="常用"/>
    <w:basedOn w:val="1"/>
    <w:autoRedefine/>
    <w:qFormat/>
    <w:uiPriority w:val="0"/>
    <w:pPr>
      <w:spacing w:line="360" w:lineRule="auto"/>
      <w:ind w:firstLine="420"/>
      <w:jc w:val="left"/>
    </w:pPr>
    <w:rPr>
      <w:szCs w:val="22"/>
    </w:rPr>
  </w:style>
  <w:style w:type="paragraph" w:customStyle="1" w:styleId="41">
    <w:name w:val="0表-序号"/>
    <w:next w:val="42"/>
    <w:autoRedefine/>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 w:type="paragraph" w:customStyle="1" w:styleId="42">
    <w:name w:val="000表格正文"/>
    <w:basedOn w:val="1"/>
    <w:next w:val="1"/>
    <w:autoRedefine/>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rPr>
  </w:style>
  <w:style w:type="paragraph" w:customStyle="1" w:styleId="43">
    <w:name w:val="图表标题"/>
    <w:basedOn w:val="1"/>
    <w:autoRedefine/>
    <w:qFormat/>
    <w:uiPriority w:val="0"/>
    <w:pPr>
      <w:spacing w:line="360" w:lineRule="auto"/>
      <w:jc w:val="center"/>
    </w:pPr>
    <w:rPr>
      <w:rFonts w:ascii="Times New Roman" w:hAnsi="Times New Roman" w:eastAsia="宋体"/>
      <w:b/>
      <w:szCs w:val="21"/>
    </w:rPr>
  </w:style>
  <w:style w:type="paragraph" w:customStyle="1" w:styleId="44">
    <w:name w:val="dr正文"/>
    <w:basedOn w:val="1"/>
    <w:autoRedefine/>
    <w:qFormat/>
    <w:uiPriority w:val="0"/>
    <w:pPr>
      <w:widowControl/>
      <w:ind w:firstLine="480"/>
    </w:pPr>
  </w:style>
  <w:style w:type="paragraph" w:customStyle="1" w:styleId="45">
    <w:name w:val="Table Paragraph"/>
    <w:basedOn w:val="1"/>
    <w:autoRedefine/>
    <w:qFormat/>
    <w:uiPriority w:val="1"/>
  </w:style>
  <w:style w:type="paragraph" w:customStyle="1" w:styleId="46">
    <w:name w:val="我的表格文字"/>
    <w:basedOn w:val="1"/>
    <w:autoRedefine/>
    <w:qFormat/>
    <w:uiPriority w:val="0"/>
    <w:pPr>
      <w:widowControl/>
      <w:adjustRightInd w:val="0"/>
      <w:snapToGrid w:val="0"/>
      <w:jc w:val="center"/>
      <w:textAlignment w:val="center"/>
    </w:pPr>
    <w:rPr>
      <w:color w:val="FF0000"/>
      <w:kern w:val="0"/>
      <w:szCs w:val="21"/>
    </w:rPr>
  </w:style>
  <w:style w:type="paragraph" w:customStyle="1" w:styleId="47">
    <w:name w:val="书表格内"/>
    <w:basedOn w:val="1"/>
    <w:autoRedefine/>
    <w:qFormat/>
    <w:uiPriority w:val="0"/>
    <w:pPr>
      <w:spacing w:line="0" w:lineRule="atLeast"/>
      <w:jc w:val="center"/>
    </w:pPr>
    <w:rPr>
      <w:rFonts w:ascii="Times New Roman" w:hAnsi="Times New Roman"/>
      <w:szCs w:val="21"/>
    </w:rPr>
  </w:style>
  <w:style w:type="paragraph" w:customStyle="1" w:styleId="48">
    <w:name w:val="表格文字"/>
    <w:basedOn w:val="1"/>
    <w:autoRedefine/>
    <w:qFormat/>
    <w:uiPriority w:val="0"/>
    <w:pPr>
      <w:jc w:val="center"/>
    </w:pPr>
    <w:rPr>
      <w:sz w:val="24"/>
    </w:rPr>
  </w:style>
  <w:style w:type="character" w:customStyle="1" w:styleId="49">
    <w:name w:val="font41"/>
    <w:basedOn w:val="25"/>
    <w:autoRedefine/>
    <w:qFormat/>
    <w:uiPriority w:val="0"/>
    <w:rPr>
      <w:rFonts w:hint="default" w:ascii="Times New Roman" w:hAnsi="Times New Roman" w:cs="Times New Roman"/>
      <w:b/>
      <w:color w:val="000000"/>
      <w:sz w:val="21"/>
      <w:szCs w:val="21"/>
      <w:u w:val="none"/>
      <w:vertAlign w:val="subscript"/>
    </w:rPr>
  </w:style>
  <w:style w:type="paragraph" w:customStyle="1" w:styleId="50">
    <w:name w:val="Char5"/>
    <w:basedOn w:val="1"/>
    <w:autoRedefine/>
    <w:qFormat/>
    <w:uiPriority w:val="0"/>
    <w:pPr>
      <w:spacing w:line="360" w:lineRule="auto"/>
    </w:pPr>
    <w:rPr>
      <w:rFonts w:ascii="宋体" w:hAnsi="宋体" w:cs="宋体"/>
    </w:rPr>
  </w:style>
  <w:style w:type="paragraph" w:customStyle="1" w:styleId="51">
    <w:name w:val="样式 四号 首行缩进:  2 字符"/>
    <w:basedOn w:val="1"/>
    <w:autoRedefine/>
    <w:qFormat/>
    <w:uiPriority w:val="0"/>
    <w:pPr>
      <w:spacing w:line="480" w:lineRule="atLeast"/>
      <w:ind w:firstLine="200" w:firstLineChars="200"/>
    </w:pPr>
  </w:style>
  <w:style w:type="paragraph" w:customStyle="1" w:styleId="52">
    <w:name w:val="0表格正文"/>
    <w:basedOn w:val="1"/>
    <w:next w:val="1"/>
    <w:autoRedefine/>
    <w:qFormat/>
    <w:uiPriority w:val="0"/>
    <w:pPr>
      <w:pBdr>
        <w:top w:val="none" w:color="auto" w:sz="0" w:space="1"/>
        <w:left w:val="none" w:color="auto" w:sz="0" w:space="4"/>
        <w:bottom w:val="none" w:color="auto" w:sz="0" w:space="1"/>
        <w:right w:val="none" w:color="auto" w:sz="0" w:space="4"/>
      </w:pBdr>
      <w:jc w:val="center"/>
    </w:pPr>
    <w:rPr>
      <w:kern w:val="0"/>
      <w:szCs w:val="20"/>
    </w:rPr>
  </w:style>
  <w:style w:type="character" w:customStyle="1" w:styleId="53">
    <w:name w:val="页眉 字符"/>
    <w:basedOn w:val="25"/>
    <w:link w:val="10"/>
    <w:autoRedefine/>
    <w:qFormat/>
    <w:uiPriority w:val="0"/>
    <w:rPr>
      <w:rFonts w:asciiTheme="minorHAnsi" w:hAnsiTheme="minorHAnsi" w:eastAsiaTheme="minorEastAsia" w:cstheme="minorBidi"/>
      <w:kern w:val="2"/>
      <w:sz w:val="18"/>
      <w:szCs w:val="18"/>
    </w:rPr>
  </w:style>
  <w:style w:type="character" w:customStyle="1" w:styleId="54">
    <w:name w:val="批注文字 字符"/>
    <w:basedOn w:val="25"/>
    <w:link w:val="6"/>
    <w:autoRedefine/>
    <w:qFormat/>
    <w:uiPriority w:val="0"/>
    <w:rPr>
      <w:rFonts w:asciiTheme="minorHAnsi" w:hAnsiTheme="minorHAnsi" w:eastAsiaTheme="minorEastAsia" w:cstheme="minorBidi"/>
      <w:kern w:val="2"/>
      <w:sz w:val="21"/>
      <w:szCs w:val="24"/>
    </w:rPr>
  </w:style>
  <w:style w:type="character" w:customStyle="1" w:styleId="55">
    <w:name w:val="批注主题 字符"/>
    <w:basedOn w:val="54"/>
    <w:link w:val="20"/>
    <w:autoRedefine/>
    <w:qFormat/>
    <w:uiPriority w:val="0"/>
    <w:rPr>
      <w:rFonts w:asciiTheme="minorHAnsi" w:hAnsiTheme="minorHAnsi" w:eastAsiaTheme="minorEastAsia" w:cstheme="minorBidi"/>
      <w:b/>
      <w:bCs/>
      <w:kern w:val="2"/>
      <w:sz w:val="21"/>
      <w:szCs w:val="24"/>
    </w:rPr>
  </w:style>
  <w:style w:type="character" w:customStyle="1" w:styleId="56">
    <w:name w:val="批注框文本 字符"/>
    <w:basedOn w:val="25"/>
    <w:link w:val="15"/>
    <w:autoRedefine/>
    <w:qFormat/>
    <w:uiPriority w:val="0"/>
    <w:rPr>
      <w:rFonts w:asciiTheme="minorHAnsi" w:hAnsiTheme="minorHAnsi" w:eastAsiaTheme="minorEastAsia" w:cstheme="minorBidi"/>
      <w:kern w:val="2"/>
      <w:sz w:val="18"/>
      <w:szCs w:val="18"/>
    </w:rPr>
  </w:style>
  <w:style w:type="paragraph" w:customStyle="1" w:styleId="57">
    <w:name w:val="正文001"/>
    <w:basedOn w:val="1"/>
    <w:autoRedefine/>
    <w:qFormat/>
    <w:uiPriority w:val="0"/>
    <w:pPr>
      <w:adjustRightInd w:val="0"/>
      <w:spacing w:before="120" w:after="120" w:line="540" w:lineRule="exact"/>
      <w:ind w:firstLine="567"/>
      <w:textAlignment w:val="baseline"/>
    </w:pPr>
    <w:rPr>
      <w:rFonts w:ascii="宋体" w:hAnsi="宋体" w:cs="宋体"/>
      <w:kern w:val="21"/>
      <w:sz w:val="28"/>
      <w:szCs w:val="28"/>
    </w:rPr>
  </w:style>
  <w:style w:type="character" w:customStyle="1" w:styleId="58">
    <w:name w:val="font11"/>
    <w:basedOn w:val="25"/>
    <w:autoRedefine/>
    <w:qFormat/>
    <w:uiPriority w:val="0"/>
    <w:rPr>
      <w:rFonts w:hint="default" w:ascii="Times New Roman" w:hAnsi="Times New Roman" w:cs="Times New Roman"/>
      <w:color w:val="000000"/>
      <w:sz w:val="18"/>
      <w:szCs w:val="18"/>
      <w:u w:val="none"/>
    </w:rPr>
  </w:style>
  <w:style w:type="table" w:customStyle="1" w:styleId="59">
    <w:name w:val="Table Normal"/>
    <w:autoRedefine/>
    <w:semiHidden/>
    <w:unhideWhenUsed/>
    <w:qFormat/>
    <w:uiPriority w:val="2"/>
    <w:tblPr>
      <w:tblCellMar>
        <w:top w:w="0" w:type="dxa"/>
        <w:left w:w="0" w:type="dxa"/>
        <w:bottom w:w="0" w:type="dxa"/>
        <w:right w:w="0" w:type="dxa"/>
      </w:tblCellMar>
    </w:tblPr>
  </w:style>
  <w:style w:type="paragraph" w:customStyle="1" w:styleId="60">
    <w:name w:val="内表头"/>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Lines="50" w:afterLines="50"/>
      <w:jc w:val="center"/>
    </w:pPr>
    <w:rPr>
      <w:b/>
      <w:bCs/>
      <w:kern w:val="0"/>
      <w:szCs w:val="21"/>
    </w:rPr>
  </w:style>
  <w:style w:type="character" w:customStyle="1" w:styleId="61">
    <w:name w:val="font21"/>
    <w:basedOn w:val="25"/>
    <w:autoRedefine/>
    <w:qFormat/>
    <w:uiPriority w:val="0"/>
    <w:rPr>
      <w:rFonts w:hint="eastAsia" w:ascii="宋体" w:hAnsi="宋体" w:eastAsia="宋体" w:cs="宋体"/>
      <w:color w:val="000000"/>
      <w:sz w:val="20"/>
      <w:szCs w:val="20"/>
      <w:u w:val="none"/>
    </w:rPr>
  </w:style>
  <w:style w:type="paragraph" w:styleId="62">
    <w:name w:val="List Paragraph"/>
    <w:basedOn w:val="1"/>
    <w:autoRedefine/>
    <w:qFormat/>
    <w:uiPriority w:val="34"/>
    <w:pPr>
      <w:ind w:firstLine="420" w:firstLineChars="200"/>
    </w:pPr>
    <w:rPr>
      <w:rFonts w:ascii="Calibri" w:hAnsi="Calibri" w:eastAsia="等线" w:cs="Times New Roman"/>
      <w:szCs w:val="20"/>
    </w:rPr>
  </w:style>
  <w:style w:type="paragraph" w:customStyle="1" w:styleId="63">
    <w:name w:val="R-表格文字"/>
    <w:basedOn w:val="1"/>
    <w:next w:val="1"/>
    <w:link w:val="64"/>
    <w:autoRedefine/>
    <w:qFormat/>
    <w:uiPriority w:val="99"/>
    <w:pPr>
      <w:widowControl/>
      <w:jc w:val="center"/>
    </w:pPr>
    <w:rPr>
      <w:rFonts w:ascii="Times New Roman" w:hAnsi="Times New Roman" w:eastAsia="仿宋" w:cs="Times New Roman"/>
      <w:color w:val="000000"/>
      <w:sz w:val="24"/>
    </w:rPr>
  </w:style>
  <w:style w:type="character" w:customStyle="1" w:styleId="64">
    <w:name w:val="R-表格文字 字符"/>
    <w:link w:val="63"/>
    <w:autoRedefine/>
    <w:qFormat/>
    <w:locked/>
    <w:uiPriority w:val="99"/>
    <w:rPr>
      <w:rFonts w:eastAsia="仿宋"/>
      <w:color w:val="000000"/>
      <w:kern w:val="2"/>
      <w:sz w:val="24"/>
      <w:szCs w:val="24"/>
    </w:rPr>
  </w:style>
  <w:style w:type="character" w:customStyle="1" w:styleId="65">
    <w:name w:val="正文文本首行缩进 2 字符"/>
    <w:basedOn w:val="25"/>
    <w:link w:val="22"/>
    <w:autoRedefine/>
    <w:qFormat/>
    <w:uiPriority w:val="99"/>
    <w:rPr>
      <w:rFonts w:asciiTheme="minorHAnsi" w:hAnsiTheme="minorHAnsi" w:eastAsiaTheme="minorEastAsia" w:cstheme="minorBidi"/>
      <w:kern w:val="2"/>
      <w:sz w:val="24"/>
      <w:szCs w:val="24"/>
    </w:rPr>
  </w:style>
  <w:style w:type="character" w:customStyle="1" w:styleId="66">
    <w:name w:val="文档结构图 字符"/>
    <w:basedOn w:val="25"/>
    <w:link w:val="5"/>
    <w:autoRedefine/>
    <w:qFormat/>
    <w:uiPriority w:val="0"/>
    <w:rPr>
      <w:rFonts w:ascii="宋体" w:hAnsiTheme="minorHAnsi" w:cstheme="minorBidi"/>
      <w:kern w:val="2"/>
      <w:sz w:val="18"/>
      <w:szCs w:val="18"/>
    </w:rPr>
  </w:style>
  <w:style w:type="paragraph" w:customStyle="1" w:styleId="67">
    <w:name w:val="样式 区划正文+小4 24 + 首行缩进:  2 字符1"/>
    <w:basedOn w:val="1"/>
    <w:autoRedefine/>
    <w:qFormat/>
    <w:uiPriority w:val="0"/>
    <w:pPr>
      <w:adjustRightInd w:val="0"/>
      <w:snapToGrid w:val="0"/>
      <w:spacing w:line="460" w:lineRule="exact"/>
      <w:ind w:firstLine="200" w:firstLineChars="200"/>
    </w:pPr>
    <w:rPr>
      <w:rFonts w:ascii="Times New Roman" w:hAnsi="Times New Roman" w:eastAsia="宋体" w:cs="宋体"/>
      <w:sz w:val="24"/>
    </w:rPr>
  </w:style>
  <w:style w:type="paragraph" w:customStyle="1" w:styleId="68">
    <w:name w:val="0序号（1）"/>
    <w:basedOn w:val="1"/>
    <w:next w:val="1"/>
    <w:autoRedefine/>
    <w:qFormat/>
    <w:uiPriority w:val="0"/>
    <w:pPr>
      <w:numPr>
        <w:ilvl w:val="4"/>
        <w:numId w:val="1"/>
      </w:numPr>
      <w:tabs>
        <w:tab w:val="left" w:pos="0"/>
      </w:tabs>
      <w:ind w:left="0" w:firstLine="320" w:firstLineChars="100"/>
    </w:pPr>
    <w:rPr>
      <w:rFonts w:ascii="Times New Roman" w:hAnsi="Times New Roman"/>
    </w:rPr>
  </w:style>
  <w:style w:type="paragraph" w:customStyle="1" w:styleId="69">
    <w:name w:val="内表"/>
    <w:basedOn w:val="1"/>
    <w:autoRedefine/>
    <w:qFormat/>
    <w:uiPriority w:val="0"/>
    <w:pPr>
      <w:snapToGrid w:val="0"/>
      <w:jc w:val="center"/>
    </w:pPr>
    <w:rPr>
      <w:rFonts w:ascii="宋体" w:hAnsi="宋体"/>
      <w:szCs w:val="21"/>
    </w:rPr>
  </w:style>
  <w:style w:type="paragraph" w:customStyle="1" w:styleId="70">
    <w:name w:val="正文首行缩进1"/>
    <w:basedOn w:val="7"/>
    <w:autoRedefine/>
    <w:qFormat/>
    <w:uiPriority w:val="0"/>
    <w:pPr>
      <w:spacing w:line="600" w:lineRule="exact"/>
      <w:ind w:firstLine="200" w:firstLineChars="200"/>
    </w:pPr>
    <w:rPr>
      <w:szCs w:val="28"/>
    </w:rPr>
  </w:style>
  <w:style w:type="paragraph" w:customStyle="1" w:styleId="71">
    <w:name w:val="0图-序号"/>
    <w:basedOn w:val="1"/>
    <w:next w:val="1"/>
    <w:autoRedefine/>
    <w:qFormat/>
    <w:uiPriority w:val="0"/>
    <w:pPr>
      <w:numPr>
        <w:ilvl w:val="5"/>
        <w:numId w:val="2"/>
      </w:numPr>
      <w:tabs>
        <w:tab w:val="left" w:pos="420"/>
        <w:tab w:val="clear" w:pos="3398"/>
      </w:tabs>
      <w:ind w:left="0"/>
      <w:jc w:val="center"/>
    </w:pPr>
    <w:rPr>
      <w:rFonts w:ascii="Times New Roman" w:hAnsi="Times New Roman" w:eastAsia="黑体"/>
    </w:rPr>
  </w:style>
  <w:style w:type="table" w:customStyle="1" w:styleId="72">
    <w:name w:val="网格型14"/>
    <w:basedOn w:val="23"/>
    <w:autoRedefine/>
    <w:qFormat/>
    <w:uiPriority w:val="5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"/>
    </extobj>
    <extobj name="F360BE8B-6686-4F3D-AEAF-501FE73E4058-2">
      <extobjdata type="F360BE8B-6686-4F3D-AEAF-501FE73E4058" data="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70</Pages>
  <Words>33439</Words>
  <Characters>39285</Characters>
  <Lines>134</Lines>
  <Paragraphs>37</Paragraphs>
  <TotalTime>15</TotalTime>
  <ScaleCrop>false</ScaleCrop>
  <LinksUpToDate>false</LinksUpToDate>
  <CharactersWithSpaces>108727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dc:creator>
  <cp:lastModifiedBy>DELL</cp:lastModifiedBy>
  <cp:lastPrinted>2022-01-17T08:19:00Z</cp:lastPrinted>
  <dcterms:modified xsi:type="dcterms:W3CDTF">2024-04-03T01:33:01Z</dcterms:modified>
  <cp:revision>207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21FADB8CF8CA406BAC5B88AD19966645_13</vt:lpwstr>
  </property>
</Properties>
</file>