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围场县城道路两侧小街小巷及入口和林荫式停车场绿化工程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2021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03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18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hint="eastAsia" w:asciiTheme="minorEastAsia" w:hAnsiTheme="minorEastAsia" w:eastAsiaTheme="minorEastAsia" w:cstheme="minorEastAsia"/>
          <w:b/>
          <w:bCs/>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报告文号：承燕会所审专字（2021）第 044号</w:t>
      </w:r>
    </w:p>
    <w:p>
      <w:pPr>
        <w:ind w:firstLine="960" w:firstLineChars="300"/>
        <w:rPr>
          <w:sz w:val="32"/>
          <w:szCs w:val="32"/>
        </w:rPr>
      </w:pPr>
      <w:r>
        <w:rPr>
          <w:rFonts w:hint="eastAsia"/>
          <w:sz w:val="32"/>
          <w:szCs w:val="32"/>
        </w:rPr>
        <w:t>报告日期：2021-03-18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620" w:firstLineChars="22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承燕会所审专字（2021）第044号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24</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25062"/>
      <w:bookmarkStart w:id="1" w:name="_Toc7123"/>
      <w:bookmarkStart w:id="2" w:name="_Toc32502"/>
      <w:r>
        <w:rPr>
          <w:rFonts w:hint="eastAsia" w:ascii="宋体" w:hAnsi="宋体" w:eastAsia="宋体" w:cs="宋体"/>
          <w:b/>
          <w:bCs/>
          <w:sz w:val="36"/>
          <w:szCs w:val="36"/>
        </w:rPr>
        <w:t>围场县城道路两侧小街小巷及入口</w:t>
      </w:r>
    </w:p>
    <w:p>
      <w:pPr>
        <w:jc w:val="center"/>
        <w:outlineLvl w:val="0"/>
        <w:rPr>
          <w:rFonts w:ascii="宋体" w:hAnsi="宋体" w:eastAsia="宋体" w:cs="宋体"/>
          <w:b/>
          <w:bCs/>
          <w:sz w:val="36"/>
          <w:szCs w:val="36"/>
        </w:rPr>
      </w:pPr>
      <w:r>
        <w:rPr>
          <w:rFonts w:hint="eastAsia" w:ascii="宋体" w:hAnsi="宋体" w:eastAsia="宋体" w:cs="宋体"/>
          <w:b/>
          <w:bCs/>
          <w:sz w:val="36"/>
          <w:szCs w:val="36"/>
        </w:rPr>
        <w:t>和林荫式停车场绿化工程</w:t>
      </w:r>
    </w:p>
    <w:p>
      <w:pPr>
        <w:jc w:val="center"/>
        <w:outlineLvl w:val="0"/>
        <w:rPr>
          <w:rFonts w:ascii="宋体" w:hAnsi="宋体" w:eastAsia="宋体" w:cs="宋体"/>
          <w:b/>
          <w:bCs/>
          <w:sz w:val="36"/>
          <w:szCs w:val="36"/>
        </w:rPr>
      </w:pPr>
      <w:bookmarkStart w:id="3" w:name="_Toc3241"/>
      <w:bookmarkStart w:id="4" w:name="_Toc26503"/>
      <w:r>
        <w:rPr>
          <w:rFonts w:hint="eastAsia" w:ascii="宋体" w:hAnsi="宋体" w:eastAsia="宋体" w:cs="宋体"/>
          <w:b/>
          <w:bCs/>
          <w:sz w:val="36"/>
          <w:szCs w:val="36"/>
        </w:rPr>
        <w:t>一般债券资金绩效评价报告</w:t>
      </w:r>
      <w:bookmarkEnd w:id="0"/>
      <w:bookmarkEnd w:id="1"/>
      <w:bookmarkEnd w:id="2"/>
      <w:bookmarkEnd w:id="3"/>
      <w:bookmarkEnd w:id="4"/>
    </w:p>
    <w:p>
      <w:pPr>
        <w:rPr>
          <w:rFonts w:ascii="宋体" w:hAnsi="宋体" w:eastAsia="宋体" w:cs="宋体"/>
          <w:sz w:val="28"/>
          <w:szCs w:val="28"/>
        </w:rPr>
      </w:pPr>
      <w:r>
        <w:rPr>
          <w:rFonts w:hint="eastAsia" w:ascii="宋体" w:hAnsi="宋体" w:eastAsia="宋体" w:cs="宋体"/>
          <w:sz w:val="28"/>
          <w:szCs w:val="28"/>
        </w:rPr>
        <w:t>围场满族蒙古族自治县财政局：</w:t>
      </w:r>
    </w:p>
    <w:p>
      <w:pPr>
        <w:ind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财政局内部财政资金拨付程序》，参照《地方政府一般债券预算管理办法》和财政部《项目支出绩效评价管理办法》（财预〔2020〕10号）等文件规定，承德燕山会计师事务所有限责任公司接受围场满族蒙古族自治县财政局委托，成立了绩效评价小组，对围场县城道路两侧小街小巷及入口和林荫式停车场绿化工程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5" w:name="_Toc27945"/>
      <w:bookmarkStart w:id="6" w:name="_Toc8932"/>
      <w:r>
        <w:rPr>
          <w:rFonts w:hint="eastAsia" w:ascii="黑体" w:hAnsi="黑体" w:eastAsia="黑体" w:cs="黑体"/>
          <w:b/>
          <w:sz w:val="32"/>
          <w:szCs w:val="32"/>
        </w:rPr>
        <w:t>一、项目基本情况</w:t>
      </w:r>
      <w:bookmarkEnd w:id="5"/>
      <w:bookmarkEnd w:id="6"/>
    </w:p>
    <w:p>
      <w:pPr>
        <w:spacing w:line="600" w:lineRule="exact"/>
        <w:ind w:firstLine="643" w:firstLineChars="200"/>
        <w:outlineLvl w:val="1"/>
        <w:rPr>
          <w:rFonts w:ascii="楷体" w:hAnsi="楷体" w:eastAsia="楷体" w:cs="楷体"/>
          <w:b/>
          <w:sz w:val="32"/>
          <w:szCs w:val="32"/>
        </w:rPr>
      </w:pPr>
      <w:bookmarkStart w:id="7" w:name="_Toc1188"/>
      <w:bookmarkStart w:id="8" w:name="_Toc3023"/>
      <w:r>
        <w:rPr>
          <w:rFonts w:hint="eastAsia" w:ascii="楷体" w:hAnsi="楷体" w:eastAsia="楷体" w:cs="楷体"/>
          <w:b/>
          <w:sz w:val="32"/>
          <w:szCs w:val="32"/>
        </w:rPr>
        <w:t>（一）项目概况</w:t>
      </w:r>
      <w:bookmarkEnd w:id="7"/>
      <w:bookmarkEnd w:id="8"/>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bookmarkStart w:id="91" w:name="_GoBack"/>
      <w:bookmarkEnd w:id="91"/>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其中本次投入围场县城道路两侧小街小巷及入口和林荫式停车场绿化工程项目的债券资金共计311万元。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围场县城道路两侧小街小巷及入口和林荫式停车场绿化工程</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围场满族蒙古族自治县围场镇</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4.项目背景</w:t>
      </w:r>
    </w:p>
    <w:p>
      <w:pPr>
        <w:ind w:firstLine="560" w:firstLineChars="200"/>
        <w:rPr>
          <w:rFonts w:ascii="宋体" w:hAnsi="宋体" w:eastAsia="宋体" w:cs="宋体"/>
          <w:sz w:val="28"/>
          <w:szCs w:val="28"/>
        </w:rPr>
      </w:pPr>
      <w:r>
        <w:rPr>
          <w:rFonts w:hint="eastAsia" w:ascii="宋体" w:hAnsi="宋体" w:eastAsia="宋体" w:cs="宋体"/>
          <w:sz w:val="28"/>
          <w:szCs w:val="28"/>
        </w:rPr>
        <w:t>当今时代，竞争力已经成为一座城市乃至一个国家发展的决定性因素，生态环境是影响竞争力的主要因素之一，而城市绿化又是生态环境的重要内容。因此，包括道路、绿化在内的环境建设也成为衡量一个地区综合实力的重要指标，决定着一个地区的经济发展后劲和发展活力。</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隶属于河北省承德市，县境东西长138公里，南北宽118公里，总面积9219平方公里，是河北省占地面积最大的县，1989年6月29日，经国务院批准设立围场满族蒙古族自治县。围场历史上是“清代皇家猎苑”。境内建有2个国家级森林公园、2个省级森林公园；3个国家级自然生态保护区、1个省级自然生态保护区。1991年国家建设部通过专家论证把围场评为一级旅游资源和国家级风景名胜区。1999年被河北省人民政府确定为生态旅游县。以“皇家、生态、民俗”为特色，被誉为“水的源头、云的故乡、花的世界、林的海洋、北方动植物的王国、摄影艺术家的天堂”。</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是河北省承德市重点县城，县域环境优美，旅游资源丰富。县城经济产业发展由第一产业向第三产业转型。在经济大发展中急需对县城现状环境品质进行增强提升，强化城市文化特色，促进城市经济文化发展，提升政府形象，打造塞外明珠，增强百姓自豪感，实现创建木兰围场园林县城的目标。</w:t>
      </w:r>
    </w:p>
    <w:p>
      <w:pPr>
        <w:ind w:firstLine="560" w:firstLineChars="200"/>
        <w:rPr>
          <w:rFonts w:ascii="宋体" w:hAnsi="宋体" w:eastAsia="宋体" w:cs="宋体"/>
          <w:szCs w:val="28"/>
        </w:rPr>
      </w:pPr>
      <w:r>
        <w:rPr>
          <w:rFonts w:hint="eastAsia" w:ascii="宋体" w:hAnsi="宋体" w:eastAsia="宋体" w:cs="宋体"/>
          <w:sz w:val="28"/>
          <w:szCs w:val="28"/>
        </w:rPr>
        <w:t>为了进一步提高城市绿化水平，促进城市经济、社会和环境的协调发展，根据围场满族蒙古族自治县道路和城市绿化现状及县城总体规划，提出了围场县道路两侧、小街小巷及入口和林荫式停车场绿化工程</w:t>
      </w:r>
      <w:r>
        <w:rPr>
          <w:rFonts w:hint="eastAsia" w:ascii="宋体" w:hAnsi="宋体" w:eastAsia="宋体" w:cs="宋体"/>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5.项目概况</w:t>
      </w:r>
    </w:p>
    <w:p>
      <w:pPr>
        <w:pStyle w:val="5"/>
        <w:ind w:left="0" w:firstLine="560" w:firstLineChars="200"/>
        <w:rPr>
          <w:rFonts w:ascii="宋体" w:hAnsi="宋体" w:eastAsia="宋体" w:cs="宋体"/>
        </w:rPr>
      </w:pPr>
      <w:r>
        <w:rPr>
          <w:rFonts w:hint="eastAsia" w:ascii="宋体" w:hAnsi="宋体" w:eastAsia="宋体" w:cs="宋体"/>
        </w:rPr>
        <w:t>围场满族蒙古族自治县经济规模不断扩大，经济实现平稳较快发展，主要经济指标增速较快，经济运行状况良好。良好的周边条件，为本项目实施奠定了扎实基础。</w:t>
      </w:r>
    </w:p>
    <w:p>
      <w:pPr>
        <w:pStyle w:val="5"/>
        <w:ind w:left="0" w:firstLine="560" w:firstLineChars="200"/>
        <w:rPr>
          <w:rFonts w:ascii="宋体" w:hAnsi="宋体" w:eastAsia="宋体" w:cs="宋体"/>
        </w:rPr>
      </w:pPr>
      <w:r>
        <w:rPr>
          <w:rFonts w:hint="eastAsia" w:ascii="宋体" w:hAnsi="宋体" w:eastAsia="宋体" w:cs="宋体"/>
        </w:rPr>
        <w:t>本项目建设范围位于围场满族蒙古族自治县围场镇，对县城内11处道路两侧、巷道、停车场绿化工程。</w:t>
      </w:r>
    </w:p>
    <w:p>
      <w:pPr>
        <w:pStyle w:val="5"/>
        <w:ind w:left="0" w:firstLine="560" w:firstLineChars="200"/>
        <w:rPr>
          <w:rFonts w:ascii="仿宋_GB2312" w:hAnsi="宋体" w:eastAsia="仿宋_GB2312" w:cs="宋体"/>
          <w:sz w:val="30"/>
          <w:szCs w:val="30"/>
        </w:rPr>
      </w:pPr>
      <w:r>
        <w:rPr>
          <w:rFonts w:hint="eastAsia" w:ascii="宋体" w:hAnsi="宋体" w:eastAsia="宋体" w:cs="宋体"/>
        </w:rPr>
        <w:t>项目总规划面积30048平方米，其中绿化面积26648平方米，地面硬化面积3400平方米，路灯杆绿化397根。</w:t>
      </w:r>
    </w:p>
    <w:p>
      <w:pPr>
        <w:pStyle w:val="5"/>
        <w:ind w:left="0"/>
        <w:jc w:val="center"/>
        <w:rPr>
          <w:rFonts w:ascii="仿宋_GB2312" w:hAnsi="宋体" w:eastAsia="仿宋_GB2312" w:cs="宋体"/>
          <w:b/>
          <w:bCs/>
        </w:rPr>
      </w:pPr>
      <w:r>
        <w:rPr>
          <w:rFonts w:hint="eastAsia" w:ascii="仿宋_GB2312" w:hAnsi="宋体" w:eastAsia="仿宋_GB2312" w:cs="宋体"/>
          <w:b/>
          <w:bCs/>
        </w:rPr>
        <w:t>主要经济技术指标表</w:t>
      </w:r>
    </w:p>
    <w:tbl>
      <w:tblPr>
        <w:tblStyle w:val="12"/>
        <w:tblW w:w="8077" w:type="dxa"/>
        <w:jc w:val="center"/>
        <w:tblLayout w:type="autofit"/>
        <w:tblCellMar>
          <w:top w:w="0" w:type="dxa"/>
          <w:left w:w="108" w:type="dxa"/>
          <w:bottom w:w="0" w:type="dxa"/>
          <w:right w:w="108" w:type="dxa"/>
        </w:tblCellMar>
      </w:tblPr>
      <w:tblGrid>
        <w:gridCol w:w="1110"/>
        <w:gridCol w:w="4459"/>
        <w:gridCol w:w="1110"/>
        <w:gridCol w:w="1398"/>
      </w:tblGrid>
      <w:tr>
        <w:tblPrEx>
          <w:tblCellMar>
            <w:top w:w="0" w:type="dxa"/>
            <w:left w:w="108" w:type="dxa"/>
            <w:bottom w:w="0" w:type="dxa"/>
            <w:right w:w="108" w:type="dxa"/>
          </w:tblCellMar>
        </w:tblPrEx>
        <w:trPr>
          <w:trHeight w:val="567" w:hRule="exact"/>
          <w:tblHeader/>
          <w:jc w:val="center"/>
        </w:trPr>
        <w:tc>
          <w:tcPr>
            <w:tcW w:w="111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4459"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kern w:val="0"/>
                <w:sz w:val="24"/>
              </w:rPr>
            </w:pPr>
            <w:r>
              <w:rPr>
                <w:rFonts w:hint="eastAsia" w:ascii="宋体" w:hAnsi="宋体" w:cs="宋体"/>
                <w:b/>
                <w:bCs/>
                <w:kern w:val="0"/>
                <w:sz w:val="24"/>
              </w:rPr>
              <w:t>名    称</w:t>
            </w:r>
          </w:p>
        </w:tc>
        <w:tc>
          <w:tcPr>
            <w:tcW w:w="111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398"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kern w:val="0"/>
                <w:sz w:val="24"/>
              </w:rPr>
            </w:pPr>
            <w:r>
              <w:rPr>
                <w:rFonts w:hint="eastAsia" w:ascii="宋体" w:hAnsi="宋体" w:cs="宋体"/>
                <w:b/>
                <w:bCs/>
                <w:kern w:val="0"/>
                <w:sz w:val="24"/>
              </w:rPr>
              <w:t>数量</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一</w:t>
            </w:r>
          </w:p>
        </w:tc>
        <w:tc>
          <w:tcPr>
            <w:tcW w:w="44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规划用地面积</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　</w:t>
            </w:r>
          </w:p>
        </w:tc>
        <w:tc>
          <w:tcPr>
            <w:tcW w:w="13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30048</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kern w:val="0"/>
                <w:sz w:val="24"/>
              </w:rPr>
            </w:pPr>
            <w:r>
              <w:rPr>
                <w:rFonts w:hint="eastAsia" w:ascii="宋体" w:hAnsi="宋体" w:cs="宋体"/>
                <w:b/>
                <w:kern w:val="0"/>
                <w:sz w:val="24"/>
              </w:rPr>
              <w:t>二</w:t>
            </w:r>
          </w:p>
        </w:tc>
        <w:tc>
          <w:tcPr>
            <w:tcW w:w="44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kern w:val="0"/>
                <w:sz w:val="24"/>
              </w:rPr>
            </w:pPr>
            <w:r>
              <w:rPr>
                <w:rFonts w:hint="eastAsia" w:ascii="宋体" w:hAnsi="宋体" w:cs="宋体"/>
                <w:b/>
                <w:kern w:val="0"/>
                <w:sz w:val="24"/>
              </w:rPr>
              <w:t>建设面积</w:t>
            </w:r>
          </w:p>
        </w:tc>
        <w:tc>
          <w:tcPr>
            <w:tcW w:w="111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b/>
                <w:kern w:val="0"/>
                <w:sz w:val="24"/>
              </w:rPr>
            </w:pPr>
            <w:r>
              <w:rPr>
                <w:rFonts w:hint="eastAsia" w:ascii="宋体" w:hAnsi="宋体" w:cs="宋体"/>
                <w:b/>
                <w:kern w:val="0"/>
                <w:sz w:val="24"/>
              </w:rPr>
              <w:t>㎡</w:t>
            </w:r>
          </w:p>
        </w:tc>
        <w:tc>
          <w:tcPr>
            <w:tcW w:w="13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b/>
                <w:bCs/>
                <w:kern w:val="0"/>
                <w:sz w:val="24"/>
              </w:rPr>
              <w:t>30048</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2.1</w:t>
            </w:r>
          </w:p>
        </w:tc>
        <w:tc>
          <w:tcPr>
            <w:tcW w:w="4459"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sz w:val="24"/>
              </w:rPr>
              <w:t>绿化工程</w:t>
            </w:r>
          </w:p>
        </w:tc>
        <w:tc>
          <w:tcPr>
            <w:tcW w:w="111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kern w:val="0"/>
                <w:sz w:val="24"/>
              </w:rPr>
            </w:pPr>
            <w:r>
              <w:rPr>
                <w:rFonts w:hint="eastAsia" w:ascii="宋体" w:hAnsi="宋体" w:cs="宋体"/>
                <w:kern w:val="0"/>
                <w:sz w:val="24"/>
              </w:rPr>
              <w:t>㎡</w:t>
            </w:r>
          </w:p>
        </w:tc>
        <w:tc>
          <w:tcPr>
            <w:tcW w:w="13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26648 </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2.2</w:t>
            </w:r>
          </w:p>
        </w:tc>
        <w:tc>
          <w:tcPr>
            <w:tcW w:w="4459"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sz w:val="24"/>
              </w:rPr>
              <w:t>地面硬化工程</w:t>
            </w:r>
          </w:p>
        </w:tc>
        <w:tc>
          <w:tcPr>
            <w:tcW w:w="111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kern w:val="0"/>
                <w:sz w:val="24"/>
              </w:rPr>
            </w:pPr>
            <w:r>
              <w:rPr>
                <w:rFonts w:hint="eastAsia" w:ascii="宋体" w:hAnsi="宋体" w:cs="宋体"/>
                <w:kern w:val="0"/>
                <w:sz w:val="24"/>
              </w:rPr>
              <w:t>㎡</w:t>
            </w:r>
          </w:p>
        </w:tc>
        <w:tc>
          <w:tcPr>
            <w:tcW w:w="13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xml:space="preserve">3400 </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2.3</w:t>
            </w:r>
          </w:p>
        </w:tc>
        <w:tc>
          <w:tcPr>
            <w:tcW w:w="44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路灯杆绿化</w:t>
            </w:r>
          </w:p>
        </w:tc>
        <w:tc>
          <w:tcPr>
            <w:tcW w:w="111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kern w:val="0"/>
                <w:sz w:val="24"/>
              </w:rPr>
            </w:pPr>
            <w:r>
              <w:rPr>
                <w:rFonts w:hint="eastAsia" w:ascii="宋体" w:hAnsi="宋体" w:cs="宋体"/>
                <w:kern w:val="0"/>
                <w:sz w:val="24"/>
              </w:rPr>
              <w:t>根</w:t>
            </w:r>
          </w:p>
        </w:tc>
        <w:tc>
          <w:tcPr>
            <w:tcW w:w="13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397</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kern w:val="0"/>
                <w:sz w:val="24"/>
              </w:rPr>
            </w:pPr>
            <w:r>
              <w:rPr>
                <w:rFonts w:hint="eastAsia" w:ascii="宋体" w:hAnsi="宋体" w:cs="宋体"/>
                <w:b/>
                <w:kern w:val="0"/>
                <w:sz w:val="24"/>
              </w:rPr>
              <w:t>三</w:t>
            </w:r>
          </w:p>
        </w:tc>
        <w:tc>
          <w:tcPr>
            <w:tcW w:w="44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kern w:val="0"/>
                <w:sz w:val="24"/>
              </w:rPr>
            </w:pPr>
            <w:r>
              <w:rPr>
                <w:rFonts w:hint="eastAsia" w:ascii="宋体" w:hAnsi="宋体" w:cs="宋体"/>
                <w:b/>
                <w:kern w:val="0"/>
                <w:sz w:val="24"/>
              </w:rPr>
              <w:t>绿地率</w:t>
            </w:r>
          </w:p>
        </w:tc>
        <w:tc>
          <w:tcPr>
            <w:tcW w:w="111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b/>
                <w:kern w:val="0"/>
                <w:sz w:val="24"/>
              </w:rPr>
            </w:pPr>
            <w:r>
              <w:rPr>
                <w:rFonts w:hint="eastAsia" w:ascii="宋体" w:hAnsi="宋体" w:cs="宋体"/>
                <w:b/>
                <w:kern w:val="0"/>
                <w:sz w:val="24"/>
              </w:rPr>
              <w:t>%</w:t>
            </w:r>
          </w:p>
        </w:tc>
        <w:tc>
          <w:tcPr>
            <w:tcW w:w="13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kern w:val="0"/>
                <w:sz w:val="24"/>
              </w:rPr>
            </w:pPr>
            <w:r>
              <w:rPr>
                <w:rFonts w:hint="eastAsia" w:ascii="宋体" w:hAnsi="宋体" w:cs="宋体"/>
                <w:b/>
                <w:kern w:val="0"/>
                <w:sz w:val="24"/>
              </w:rPr>
              <w:t>88.68%</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4"/>
              </w:rPr>
            </w:pPr>
            <w:r>
              <w:rPr>
                <w:rFonts w:hint="eastAsia" w:ascii="宋体" w:hAnsi="宋体" w:cs="宋体"/>
                <w:b/>
                <w:bCs/>
                <w:kern w:val="0"/>
                <w:sz w:val="24"/>
              </w:rPr>
              <w:t>四</w:t>
            </w:r>
          </w:p>
        </w:tc>
        <w:tc>
          <w:tcPr>
            <w:tcW w:w="4459"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24"/>
              </w:rPr>
            </w:pPr>
            <w:r>
              <w:rPr>
                <w:rFonts w:hint="eastAsia" w:ascii="宋体" w:hAnsi="宋体" w:cs="宋体"/>
                <w:b/>
                <w:bCs/>
                <w:kern w:val="0"/>
                <w:sz w:val="24"/>
              </w:rPr>
              <w:t>项目总投资</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万元</w:t>
            </w:r>
          </w:p>
        </w:tc>
        <w:tc>
          <w:tcPr>
            <w:tcW w:w="13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kern w:val="0"/>
                <w:sz w:val="24"/>
              </w:rPr>
            </w:pPr>
            <w:r>
              <w:rPr>
                <w:rFonts w:hint="eastAsia" w:ascii="宋体" w:hAnsi="宋体" w:cs="宋体"/>
                <w:b/>
                <w:bCs/>
                <w:kern w:val="0"/>
                <w:sz w:val="24"/>
              </w:rPr>
              <w:t>760.08</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5.1</w:t>
            </w:r>
          </w:p>
        </w:tc>
        <w:tc>
          <w:tcPr>
            <w:tcW w:w="445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工程费用</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万元</w:t>
            </w:r>
          </w:p>
        </w:tc>
        <w:tc>
          <w:tcPr>
            <w:tcW w:w="13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628.95</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5.2</w:t>
            </w:r>
          </w:p>
        </w:tc>
        <w:tc>
          <w:tcPr>
            <w:tcW w:w="445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工程建设其它费用</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万元</w:t>
            </w:r>
          </w:p>
        </w:tc>
        <w:tc>
          <w:tcPr>
            <w:tcW w:w="13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62.03</w:t>
            </w:r>
          </w:p>
        </w:tc>
      </w:tr>
      <w:tr>
        <w:tblPrEx>
          <w:tblCellMar>
            <w:top w:w="0" w:type="dxa"/>
            <w:left w:w="108" w:type="dxa"/>
            <w:bottom w:w="0" w:type="dxa"/>
            <w:right w:w="108" w:type="dxa"/>
          </w:tblCellMar>
        </w:tblPrEx>
        <w:trPr>
          <w:trHeight w:val="567" w:hRule="exact"/>
          <w:jc w:val="center"/>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5.3</w:t>
            </w:r>
          </w:p>
        </w:tc>
        <w:tc>
          <w:tcPr>
            <w:tcW w:w="445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预备费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万元</w:t>
            </w:r>
          </w:p>
        </w:tc>
        <w:tc>
          <w:tcPr>
            <w:tcW w:w="13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69.10</w:t>
            </w:r>
          </w:p>
        </w:tc>
      </w:tr>
    </w:tbl>
    <w:p>
      <w:pPr>
        <w:ind w:firstLine="560" w:firstLineChars="200"/>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项目所需资金共760.08万元，全部由围场满族蒙古族自治县财政局投资，其中使用政府一般债券资金311万元。</w:t>
      </w:r>
    </w:p>
    <w:p>
      <w:pPr>
        <w:spacing w:line="600" w:lineRule="exact"/>
        <w:ind w:firstLine="643" w:firstLineChars="200"/>
        <w:outlineLvl w:val="1"/>
        <w:rPr>
          <w:rFonts w:ascii="宋体" w:hAnsi="宋体" w:eastAsia="宋体" w:cs="宋体"/>
          <w:sz w:val="28"/>
          <w:szCs w:val="28"/>
        </w:rPr>
      </w:pPr>
      <w:bookmarkStart w:id="9" w:name="_Toc25308"/>
      <w:r>
        <w:rPr>
          <w:rFonts w:hint="eastAsia" w:ascii="楷体" w:hAnsi="楷体" w:eastAsia="楷体" w:cs="楷体"/>
          <w:b/>
          <w:sz w:val="32"/>
          <w:szCs w:val="32"/>
        </w:rPr>
        <w:t>（二）项目绩效目标</w:t>
      </w:r>
      <w:bookmarkEnd w:id="9"/>
      <w:bookmarkStart w:id="10" w:name="_Toc28894"/>
      <w:bookmarkStart w:id="11" w:name="_Toc12271"/>
    </w:p>
    <w:p>
      <w:pPr>
        <w:spacing w:line="600" w:lineRule="exact"/>
        <w:ind w:firstLine="560" w:firstLineChars="200"/>
        <w:outlineLvl w:val="1"/>
        <w:rPr>
          <w:rFonts w:ascii="宋体" w:hAnsi="宋体" w:eastAsia="宋体" w:cs="宋体"/>
          <w:sz w:val="28"/>
          <w:szCs w:val="28"/>
        </w:rPr>
      </w:pPr>
      <w:bookmarkStart w:id="12" w:name="_Toc31882"/>
      <w:bookmarkStart w:id="13" w:name="_Toc1001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w:t>
      </w:r>
      <w:r>
        <w:rPr>
          <w:rFonts w:hint="eastAsia" w:ascii="宋体" w:hAnsi="宋体" w:eastAsia="宋体" w:cs="宋体"/>
          <w:sz w:val="28"/>
          <w:szCs w:val="28"/>
        </w:rPr>
        <w:t>况、资金管理和使用情况、相关制度的执行情况、实际产出情况（数量、质量、时效、成本）、取得的效益情况等方面，综合衡量项目资金使用效益，分析未完成绩效目标或偏离绩效目标较大的原因，研究并提出改进措施。</w:t>
      </w:r>
      <w:bookmarkEnd w:id="10"/>
      <w:bookmarkEnd w:id="12"/>
      <w:bookmarkEnd w:id="13"/>
    </w:p>
    <w:p>
      <w:pPr>
        <w:spacing w:line="600" w:lineRule="exact"/>
        <w:ind w:firstLine="643" w:firstLineChars="200"/>
        <w:outlineLvl w:val="1"/>
        <w:rPr>
          <w:rFonts w:ascii="楷体" w:hAnsi="楷体" w:eastAsia="楷体" w:cs="楷体"/>
          <w:b/>
          <w:sz w:val="32"/>
          <w:szCs w:val="32"/>
        </w:rPr>
      </w:pPr>
      <w:bookmarkStart w:id="14" w:name="_Toc7932"/>
      <w:r>
        <w:rPr>
          <w:rFonts w:hint="eastAsia" w:ascii="楷体" w:hAnsi="楷体" w:eastAsia="楷体" w:cs="楷体"/>
          <w:b/>
          <w:sz w:val="32"/>
          <w:szCs w:val="32"/>
        </w:rPr>
        <w:t>（三）评价对象和时段</w:t>
      </w:r>
      <w:bookmarkEnd w:id="11"/>
      <w:bookmarkEnd w:id="14"/>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本次考核评价对象：围场县城道路两侧小街小巷及入口和林荫式停车场绿化工程。从项目投入、管理、产出、效益等方面进行全面的评价考核。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5" w:name="_Toc29608"/>
      <w:r>
        <w:rPr>
          <w:rFonts w:hint="eastAsia" w:ascii="黑体" w:hAnsi="黑体" w:eastAsia="黑体" w:cs="黑体"/>
          <w:b/>
          <w:bCs/>
          <w:sz w:val="32"/>
          <w:szCs w:val="32"/>
        </w:rPr>
        <w:t>二、绩效评价工作开展情况</w:t>
      </w:r>
      <w:bookmarkEnd w:id="15"/>
    </w:p>
    <w:p>
      <w:pPr>
        <w:ind w:firstLine="643" w:firstLineChars="200"/>
        <w:outlineLvl w:val="1"/>
        <w:rPr>
          <w:rFonts w:ascii="楷体" w:hAnsi="楷体" w:eastAsia="楷体" w:cs="楷体"/>
          <w:b/>
          <w:bCs/>
          <w:sz w:val="32"/>
          <w:szCs w:val="32"/>
        </w:rPr>
      </w:pPr>
      <w:bookmarkStart w:id="16" w:name="_Toc28234"/>
      <w:r>
        <w:rPr>
          <w:rFonts w:hint="eastAsia" w:ascii="楷体" w:hAnsi="楷体" w:eastAsia="楷体" w:cs="楷体"/>
          <w:b/>
          <w:bCs/>
          <w:sz w:val="32"/>
          <w:szCs w:val="32"/>
        </w:rPr>
        <w:t>（一）绩效评价指标权重和绩效评价指标体系</w:t>
      </w:r>
      <w:bookmarkEnd w:id="16"/>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1145"/>
        <w:gridCol w:w="2025"/>
        <w:gridCol w:w="2551"/>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6" w:hRule="atLeast"/>
          <w:jc w:val="center"/>
        </w:trPr>
        <w:tc>
          <w:tcPr>
            <w:tcW w:w="1073"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0"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1"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4"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073"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5"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5"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4"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073"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5" w:type="dxa"/>
            <w:vMerge w:val="continue"/>
            <w:vAlign w:val="center"/>
          </w:tcPr>
          <w:p>
            <w:pPr>
              <w:jc w:val="center"/>
              <w:rPr>
                <w:rFonts w:asciiTheme="minorEastAsia" w:hAnsiTheme="minorEastAsia" w:cstheme="minorEastAsia"/>
                <w:kern w:val="0"/>
                <w:sz w:val="28"/>
                <w:szCs w:val="28"/>
              </w:rPr>
            </w:pPr>
          </w:p>
        </w:tc>
        <w:tc>
          <w:tcPr>
            <w:tcW w:w="2025"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4"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073" w:type="dxa"/>
            <w:vMerge w:val="continue"/>
            <w:vAlign w:val="center"/>
          </w:tcPr>
          <w:p>
            <w:pPr>
              <w:jc w:val="center"/>
            </w:pPr>
          </w:p>
        </w:tc>
        <w:tc>
          <w:tcPr>
            <w:tcW w:w="1145" w:type="dxa"/>
            <w:vMerge w:val="continue"/>
            <w:vAlign w:val="center"/>
          </w:tcPr>
          <w:p>
            <w:pPr>
              <w:jc w:val="center"/>
            </w:pPr>
          </w:p>
        </w:tc>
        <w:tc>
          <w:tcPr>
            <w:tcW w:w="2025" w:type="dxa"/>
            <w:vMerge w:val="continue"/>
            <w:tcBorders>
              <w:right w:val="single" w:color="auto" w:sz="4" w:space="0"/>
            </w:tcBorders>
            <w:vAlign w:val="center"/>
          </w:tcPr>
          <w:p>
            <w:pPr>
              <w:jc w:val="center"/>
            </w:pP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4"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7" w:hRule="exact"/>
          <w:jc w:val="center"/>
        </w:trPr>
        <w:tc>
          <w:tcPr>
            <w:tcW w:w="1073"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5" w:type="dxa"/>
            <w:vMerge w:val="continue"/>
            <w:vAlign w:val="center"/>
          </w:tcPr>
          <w:p>
            <w:pPr>
              <w:jc w:val="center"/>
              <w:rPr>
                <w:rFonts w:asciiTheme="minorEastAsia" w:hAnsiTheme="minorEastAsia" w:cstheme="minorEastAsia"/>
                <w:kern w:val="0"/>
                <w:sz w:val="28"/>
                <w:szCs w:val="28"/>
              </w:rPr>
            </w:pPr>
          </w:p>
        </w:tc>
        <w:tc>
          <w:tcPr>
            <w:tcW w:w="2025"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4"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7" w:hRule="exact"/>
          <w:jc w:val="center"/>
        </w:trPr>
        <w:tc>
          <w:tcPr>
            <w:tcW w:w="1073"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5" w:type="dxa"/>
            <w:vMerge w:val="continue"/>
            <w:vAlign w:val="center"/>
          </w:tcPr>
          <w:p>
            <w:pPr>
              <w:jc w:val="center"/>
              <w:rPr>
                <w:rFonts w:asciiTheme="minorEastAsia" w:hAnsiTheme="minorEastAsia" w:cstheme="minorEastAsia"/>
                <w:kern w:val="0"/>
                <w:sz w:val="28"/>
                <w:szCs w:val="28"/>
              </w:rPr>
            </w:pPr>
          </w:p>
        </w:tc>
        <w:tc>
          <w:tcPr>
            <w:tcW w:w="2025"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4"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073" w:type="dxa"/>
            <w:vMerge w:val="continue"/>
            <w:vAlign w:val="center"/>
          </w:tcPr>
          <w:p>
            <w:pPr>
              <w:jc w:val="center"/>
            </w:pPr>
          </w:p>
        </w:tc>
        <w:tc>
          <w:tcPr>
            <w:tcW w:w="1145" w:type="dxa"/>
            <w:vMerge w:val="continue"/>
            <w:vAlign w:val="center"/>
          </w:tcPr>
          <w:p>
            <w:pPr>
              <w:jc w:val="center"/>
            </w:pPr>
          </w:p>
        </w:tc>
        <w:tc>
          <w:tcPr>
            <w:tcW w:w="2025" w:type="dxa"/>
            <w:vMerge w:val="continue"/>
            <w:tcBorders>
              <w:right w:val="single" w:color="auto" w:sz="4" w:space="0"/>
            </w:tcBorders>
            <w:vAlign w:val="center"/>
          </w:tcPr>
          <w:p>
            <w:pPr>
              <w:jc w:val="center"/>
            </w:pP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4"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424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1" w:type="dxa"/>
            <w:vAlign w:val="center"/>
          </w:tcPr>
          <w:p>
            <w:pPr>
              <w:jc w:val="center"/>
              <w:rPr>
                <w:rFonts w:asciiTheme="minorEastAsia" w:hAnsiTheme="minorEastAsia" w:cstheme="minorEastAsia"/>
                <w:kern w:val="0"/>
                <w:sz w:val="28"/>
                <w:szCs w:val="28"/>
              </w:rPr>
            </w:pPr>
          </w:p>
        </w:tc>
        <w:tc>
          <w:tcPr>
            <w:tcW w:w="1444"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7" w:name="_Toc20068"/>
            <w:bookmarkStart w:id="18"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7"/>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rPr>
          <w:rFonts w:asciiTheme="minorEastAsia" w:hAnsiTheme="minorEastAsia" w:eastAsiaTheme="minorEastAsia" w:cstheme="minorEastAsia"/>
          <w:b/>
          <w:bCs/>
        </w:rPr>
      </w:pPr>
      <w:r>
        <w:rPr>
          <w:rFonts w:hint="eastAsia" w:asciiTheme="minorEastAsia" w:hAnsiTheme="minorEastAsia" w:eastAsiaTheme="minorEastAsia" w:cstheme="minorEastAsia"/>
          <w:b/>
          <w:bCs/>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Theme="minorEastAsia" w:hAnsiTheme="minorEastAsia" w:cstheme="minorEastAsia"/>
          <w:color w:val="000000" w:themeColor="text1"/>
          <w:szCs w:val="28"/>
          <w14:textFill>
            <w14:solidFill>
              <w14:schemeClr w14:val="tx1"/>
            </w14:solidFill>
          </w14:textFill>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19" w:name="_Toc20552"/>
            <w:bookmarkStart w:id="20" w:name="_Toc22990"/>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p>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19"/>
      <w:bookmarkEnd w:id="20"/>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评价范围包括,围场县城道路两侧小街小巷及入口和林荫式停车场绿化工程2019年度围场县地方政府新增一般债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1" w:name="_Toc28016"/>
      <w:bookmarkStart w:id="22"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1"/>
      <w:bookmarkEnd w:id="22"/>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r>
        <w:rPr>
          <w:rFonts w:hint="eastAsia" w:ascii="宋体" w:hAnsi="宋体" w:eastAsia="宋体" w:cs="宋体"/>
          <w:szCs w:val="28"/>
        </w:rPr>
        <w:t>。</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8164"/>
      <w:bookmarkStart w:id="24" w:name="_Toc20778"/>
      <w:bookmarkStart w:id="25" w:name="_Toc12042"/>
      <w:bookmarkStart w:id="26"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3"/>
      <w:bookmarkEnd w:id="24"/>
      <w:bookmarkEnd w:id="25"/>
    </w:p>
    <w:p>
      <w:pPr>
        <w:ind w:firstLine="560" w:firstLineChars="200"/>
        <w:rPr>
          <w:rFonts w:ascii="宋体" w:hAnsi="宋体" w:eastAsia="宋体" w:cs="宋体"/>
          <w:sz w:val="28"/>
          <w:szCs w:val="28"/>
        </w:rPr>
      </w:pPr>
      <w:bookmarkStart w:id="27" w:name="_Toc17563"/>
      <w:bookmarkStart w:id="28" w:name="_Toc2087"/>
      <w:bookmarkStart w:id="29" w:name="_Toc18780"/>
      <w:bookmarkStart w:id="30" w:name="_Toc22556"/>
      <w:bookmarkStart w:id="31" w:name="_Toc13042"/>
      <w:bookmarkStart w:id="32" w:name="_Toc3180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7"/>
      <w:bookmarkEnd w:id="28"/>
      <w:bookmarkEnd w:id="29"/>
      <w:bookmarkEnd w:id="30"/>
      <w:bookmarkEnd w:id="31"/>
      <w:bookmarkEnd w:id="32"/>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3" w:name="_Toc24972"/>
      <w:bookmarkStart w:id="34" w:name="_Toc27413"/>
      <w:bookmarkStart w:id="35" w:name="_Toc24311"/>
      <w:bookmarkStart w:id="36" w:name="_Toc19058"/>
      <w:bookmarkStart w:id="37" w:name="_Toc14572"/>
      <w:bookmarkStart w:id="38" w:name="_Toc24529"/>
      <w:bookmarkStart w:id="39" w:name="_Toc15494"/>
      <w:bookmarkStart w:id="40" w:name="_Toc14297"/>
      <w:bookmarkStart w:id="41" w:name="_Toc1487"/>
      <w:bookmarkStart w:id="42" w:name="_Toc17036"/>
      <w:r>
        <w:rPr>
          <w:rFonts w:hint="eastAsia" w:ascii="宋体" w:hAnsi="宋体" w:eastAsia="宋体" w:cs="宋体"/>
          <w:b/>
          <w:bCs/>
          <w:kern w:val="0"/>
          <w:sz w:val="28"/>
          <w:szCs w:val="28"/>
        </w:rPr>
        <w:t>1、明确项目团队的职责与分工</w:t>
      </w:r>
      <w:bookmarkEnd w:id="33"/>
      <w:bookmarkEnd w:id="34"/>
      <w:bookmarkEnd w:id="35"/>
      <w:bookmarkEnd w:id="36"/>
      <w:bookmarkEnd w:id="37"/>
      <w:bookmarkEnd w:id="38"/>
      <w:bookmarkEnd w:id="39"/>
      <w:bookmarkEnd w:id="40"/>
      <w:bookmarkEnd w:id="41"/>
      <w:bookmarkEnd w:id="42"/>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3" w:name="_Toc31637"/>
      <w:bookmarkStart w:id="44" w:name="_Toc29931"/>
      <w:bookmarkStart w:id="45" w:name="_Toc28394"/>
      <w:bookmarkStart w:id="46" w:name="_Toc6642"/>
      <w:bookmarkStart w:id="47" w:name="_Toc27143"/>
      <w:bookmarkStart w:id="48" w:name="_Toc25494"/>
      <w:r>
        <w:rPr>
          <w:rFonts w:hint="eastAsia" w:ascii="宋体" w:hAnsi="宋体" w:eastAsia="宋体" w:cs="宋体"/>
          <w:b/>
          <w:bCs/>
          <w:kern w:val="0"/>
          <w:sz w:val="28"/>
          <w:szCs w:val="28"/>
        </w:rPr>
        <w:t>2、评价工作各相关当事方的职责</w:t>
      </w:r>
      <w:bookmarkEnd w:id="43"/>
      <w:bookmarkEnd w:id="44"/>
      <w:bookmarkEnd w:id="45"/>
      <w:bookmarkEnd w:id="46"/>
      <w:bookmarkEnd w:id="47"/>
      <w:bookmarkEnd w:id="4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49" w:name="_Toc27067"/>
      <w:bookmarkStart w:id="50" w:name="_Toc17781"/>
      <w:bookmarkStart w:id="51" w:name="_Toc24530"/>
      <w:bookmarkStart w:id="52" w:name="_Toc332"/>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49"/>
      <w:bookmarkEnd w:id="50"/>
      <w:bookmarkEnd w:id="51"/>
      <w:bookmarkEnd w:id="52"/>
    </w:p>
    <w:p>
      <w:pPr>
        <w:adjustRightInd w:val="0"/>
        <w:snapToGrid w:val="0"/>
        <w:spacing w:line="600" w:lineRule="exact"/>
        <w:ind w:firstLine="640" w:firstLineChars="200"/>
        <w:outlineLvl w:val="0"/>
        <w:rPr>
          <w:rFonts w:ascii="黑体" w:hAnsi="黑体" w:eastAsia="黑体" w:cs="黑体"/>
          <w:sz w:val="32"/>
          <w:szCs w:val="32"/>
        </w:rPr>
      </w:pPr>
      <w:bookmarkStart w:id="53" w:name="_Toc20611"/>
      <w:r>
        <w:rPr>
          <w:rFonts w:hint="eastAsia" w:ascii="黑体" w:hAnsi="黑体" w:eastAsia="黑体" w:cs="黑体"/>
          <w:sz w:val="32"/>
          <w:szCs w:val="32"/>
        </w:rPr>
        <w:t>三、</w:t>
      </w:r>
      <w:bookmarkEnd w:id="26"/>
      <w:r>
        <w:rPr>
          <w:rFonts w:hint="eastAsia" w:ascii="黑体" w:hAnsi="黑体" w:eastAsia="黑体" w:cs="黑体"/>
          <w:sz w:val="32"/>
          <w:szCs w:val="32"/>
        </w:rPr>
        <w:t>项目实施及资金使用情况</w:t>
      </w:r>
      <w:bookmarkEnd w:id="53"/>
    </w:p>
    <w:p>
      <w:pPr>
        <w:ind w:firstLine="643" w:firstLineChars="200"/>
        <w:outlineLvl w:val="1"/>
        <w:rPr>
          <w:rFonts w:ascii="楷体" w:hAnsi="楷体" w:eastAsia="楷体" w:cs="楷体"/>
          <w:b/>
          <w:bCs/>
          <w:sz w:val="32"/>
          <w:szCs w:val="32"/>
        </w:rPr>
      </w:pPr>
      <w:bookmarkStart w:id="54" w:name="_Toc15753"/>
      <w:bookmarkStart w:id="55" w:name="_Toc6786"/>
      <w:r>
        <w:rPr>
          <w:rFonts w:hint="eastAsia" w:ascii="楷体" w:hAnsi="楷体" w:eastAsia="楷体" w:cs="楷体"/>
          <w:b/>
          <w:bCs/>
          <w:sz w:val="32"/>
          <w:szCs w:val="32"/>
        </w:rPr>
        <w:t>（一）项目实施情况</w:t>
      </w:r>
      <w:bookmarkEnd w:id="54"/>
      <w:bookmarkEnd w:id="55"/>
    </w:p>
    <w:p>
      <w:pPr>
        <w:pStyle w:val="5"/>
        <w:ind w:left="0" w:firstLine="560" w:firstLineChars="200"/>
        <w:rPr>
          <w:rFonts w:ascii="宋体" w:hAnsi="宋体" w:eastAsia="宋体" w:cs="宋体"/>
        </w:rPr>
      </w:pPr>
      <w:r>
        <w:rPr>
          <w:rFonts w:hint="eastAsia" w:ascii="宋体" w:hAnsi="宋体" w:eastAsia="宋体" w:cs="宋体"/>
        </w:rPr>
        <w:t>2016年6月3日围场满族蒙古族自治县发展改革局向县住建局下达了关于道路两侧小街小巷及入口和林荫式停车场工程项目投资计划（围发改字〔2016〕101号）。</w:t>
      </w:r>
    </w:p>
    <w:p>
      <w:pPr>
        <w:pStyle w:val="5"/>
        <w:ind w:left="0" w:firstLine="560" w:firstLineChars="200"/>
        <w:rPr>
          <w:rFonts w:ascii="宋体" w:hAnsi="宋体" w:eastAsia="宋体" w:cs="宋体"/>
        </w:rPr>
      </w:pPr>
      <w:r>
        <w:rPr>
          <w:rFonts w:hint="eastAsia" w:ascii="宋体" w:hAnsi="宋体" w:eastAsia="宋体" w:cs="宋体"/>
        </w:rPr>
        <w:t>主要建设内容：县城内11处道路两侧、巷道、停车场绿化工程26648平方米，地面硬化工程3400平方米，路灯杆绿化工程397根。项目计划总投资600.35万元，资金来源为县财政投资。</w:t>
      </w:r>
    </w:p>
    <w:p>
      <w:pPr>
        <w:pStyle w:val="5"/>
        <w:ind w:left="0" w:firstLine="560" w:firstLineChars="200"/>
        <w:rPr>
          <w:rFonts w:ascii="宋体" w:hAnsi="宋体" w:eastAsia="宋体" w:cs="宋体"/>
        </w:rPr>
      </w:pPr>
      <w:r>
        <w:rPr>
          <w:rFonts w:hint="eastAsia" w:ascii="宋体" w:hAnsi="宋体" w:eastAsia="宋体" w:cs="宋体"/>
        </w:rPr>
        <w:t>2016年8月11日通过公开招标方式，唐山市程成市政园林绿化工程有限公司成为围场县城道路两侧小街小巷及入口和林荫式停车场绿化工程项目中标单位，中标价为：519.4856万元，并于2016年8月25日与围场满族蒙古族自治县住房和城乡规划建设局签订了建设工程施工合同。同时约定了工程承包范围、合同工期、质量标准、合同价款等相关事宜。</w:t>
      </w:r>
    </w:p>
    <w:p>
      <w:pPr>
        <w:ind w:firstLine="560" w:firstLineChars="200"/>
        <w:rPr>
          <w:rFonts w:ascii="宋体" w:hAnsi="宋体" w:eastAsia="宋体" w:cs="宋体"/>
          <w:sz w:val="28"/>
          <w:szCs w:val="28"/>
        </w:rPr>
      </w:pPr>
      <w:r>
        <w:rPr>
          <w:rFonts w:hint="eastAsia" w:ascii="宋体" w:hAnsi="宋体" w:eastAsia="宋体" w:cs="宋体"/>
          <w:sz w:val="28"/>
          <w:szCs w:val="28"/>
        </w:rPr>
        <w:t>本项目完工后由建设单位组织，设计、施工、监理单位参加，对本项目进行全面验收工作。竣工验收结论：本工程经验收完成图纸中的各项工程，所有施工资料已整理完成，基本符合要求，各类植物均有检疫手续，符合规定，工程质量达到要求，同意竣工验收。</w:t>
      </w:r>
    </w:p>
    <w:p>
      <w:pPr>
        <w:ind w:firstLine="643" w:firstLineChars="200"/>
        <w:outlineLvl w:val="1"/>
        <w:rPr>
          <w:rFonts w:ascii="楷体" w:hAnsi="楷体" w:eastAsia="楷体" w:cs="楷体"/>
          <w:b/>
          <w:bCs/>
          <w:sz w:val="32"/>
          <w:szCs w:val="32"/>
        </w:rPr>
      </w:pPr>
      <w:bookmarkStart w:id="56" w:name="_Toc11091"/>
      <w:bookmarkStart w:id="57" w:name="_Toc14809"/>
      <w:r>
        <w:rPr>
          <w:rFonts w:hint="eastAsia" w:ascii="楷体" w:hAnsi="楷体" w:eastAsia="楷体" w:cs="楷体"/>
          <w:b/>
          <w:bCs/>
          <w:sz w:val="32"/>
          <w:szCs w:val="32"/>
        </w:rPr>
        <w:t>（二）资金使用情况</w:t>
      </w:r>
      <w:bookmarkEnd w:id="56"/>
      <w:bookmarkEnd w:id="57"/>
    </w:p>
    <w:p>
      <w:pPr>
        <w:ind w:firstLine="560" w:firstLineChars="200"/>
        <w:rPr>
          <w:rFonts w:ascii="宋体" w:hAnsi="宋体" w:eastAsia="宋体" w:cs="宋体"/>
          <w:sz w:val="28"/>
          <w:szCs w:val="28"/>
        </w:rPr>
      </w:pPr>
      <w:bookmarkStart w:id="58" w:name="_Toc15054"/>
      <w:bookmarkStart w:id="59" w:name="_Toc13622"/>
      <w:r>
        <w:rPr>
          <w:rFonts w:hint="eastAsia" w:ascii="宋体" w:hAnsi="宋体" w:eastAsia="宋体" w:cs="宋体"/>
          <w:sz w:val="28"/>
          <w:szCs w:val="28"/>
        </w:rPr>
        <w:t>2021年2月，县财政拨付围场县城道路两侧小街小巷及入口和林荫式停车场绿化工程项目款279.685946万元。2021年2月9日，围场满族蒙古族自治县住房和城乡规划建设局拨付给唐山市程成市政园林绿化工程有限公司279.685946万元。审减金额31.314054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绩效评价阶段由于县住建局平台系统升级中，收支凭证暂时无法打印。</w:t>
      </w:r>
      <w:bookmarkEnd w:id="58"/>
      <w:bookmarkEnd w:id="59"/>
      <w:r>
        <w:rPr>
          <w:rFonts w:hint="eastAsia" w:ascii="宋体" w:hAnsi="宋体" w:eastAsia="宋体" w:cs="宋体"/>
          <w:sz w:val="28"/>
          <w:szCs w:val="28"/>
        </w:rPr>
        <w:t>目前只有国库集中支付凭证和银行付款回单及发票。</w:t>
      </w:r>
    </w:p>
    <w:p>
      <w:pPr>
        <w:ind w:firstLine="640" w:firstLineChars="200"/>
        <w:outlineLvl w:val="0"/>
        <w:rPr>
          <w:rFonts w:ascii="黑体" w:hAnsi="黑体" w:eastAsia="黑体" w:cs="黑体"/>
          <w:sz w:val="32"/>
          <w:szCs w:val="32"/>
        </w:rPr>
      </w:pPr>
      <w:bookmarkStart w:id="60" w:name="_Toc25872"/>
      <w:r>
        <w:rPr>
          <w:rFonts w:hint="eastAsia" w:ascii="黑体" w:hAnsi="黑体" w:eastAsia="黑体" w:cs="黑体"/>
          <w:sz w:val="32"/>
          <w:szCs w:val="32"/>
        </w:rPr>
        <w:t>四、绩效评价分析与结论</w:t>
      </w:r>
      <w:bookmarkEnd w:id="60"/>
    </w:p>
    <w:p>
      <w:pPr>
        <w:adjustRightInd w:val="0"/>
        <w:snapToGrid w:val="0"/>
        <w:spacing w:line="360" w:lineRule="auto"/>
        <w:ind w:firstLine="643" w:firstLineChars="200"/>
        <w:outlineLvl w:val="1"/>
        <w:rPr>
          <w:rFonts w:ascii="楷体" w:hAnsi="楷体" w:eastAsia="楷体" w:cs="楷体"/>
          <w:b/>
          <w:kern w:val="0"/>
          <w:sz w:val="32"/>
          <w:szCs w:val="32"/>
          <w:highlight w:val="yellow"/>
        </w:rPr>
      </w:pPr>
      <w:bookmarkStart w:id="61" w:name="_Toc16548"/>
      <w:bookmarkStart w:id="62" w:name="_Toc2427"/>
      <w:r>
        <w:rPr>
          <w:rFonts w:hint="eastAsia" w:ascii="楷体" w:hAnsi="楷体" w:eastAsia="楷体" w:cs="楷体"/>
          <w:b/>
          <w:kern w:val="0"/>
          <w:sz w:val="32"/>
          <w:szCs w:val="32"/>
        </w:rPr>
        <w:t>（一）绩效评价分析</w:t>
      </w:r>
      <w:bookmarkEnd w:id="61"/>
      <w:bookmarkEnd w:id="62"/>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2016年6月3日围场满族蒙古族自治县发展改革局向县住建局下达了关于道路两侧小街小巷及入口和林荫式停车场工程项目投资计划（围发改字〔2016〕101号）。本项目设立过程符合相关规定。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大力发展了城市绿化工作，大大提高了城市的品位和档次，树立了良好的城市形象，增强了城市的凝聚力和吸引力，聚集人才、聚集资金、聚集技术、聚集有利于发展的要素。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城镇绿化和道路规划是衡量一个区域现代化和文明程度的重要标志。项目实施后，为广大人民群众创造了一个优美、舒适、宜居、方便的生活居住环境。本项目依据绩效目标设定的绩效指标清晰、合理、细化、可衡量。通过对围场县城道路两侧小街小巷及入口和林荫式停车场绿化工程的分析，本项目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本项目绩效评价涉及到的相关工程资料基本齐全。由于县住建局平台系统升级中，本项目工程款收支凭证暂时无法打印，此项考核指标暂扣减1分。</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本项目按国库集中支付制度要求，按照围政〔2019〕100号文件分配方案在县级财政集中支付，但工程款支付出现严重滞后现象，本项目计划2016年完工，工程款支付为2021年2月，因此本项考核指标扣减1分。</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从债券资金使用情况看，未发现资金有挪用、抽逃现象，项目建设资金使用合理，账务处理基本合规。</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本工程项目已经完工投入使用，但未在验收报告中注明竣工时间，因此我方对此项考核指标扣减2分。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完工后由建设单位组织，设计、施工、监理单位参加，对本项目进行全面验收工作。竣工验收结论：本工程经验收完成图纸中的各项工程，所有施工资料已整理完成，基本符合要求，各类植物均有检疫手续，符合规定，工程质量达到要求，同意竣工验收。</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本工程完工项目按批复设定的总体目标全面实现，达到预期目标。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本项目建设改善了当地的环境和城市状况，完善了城市功能，对进一步发展县域经济起到了应有的保障作用，能够带动旅游业发展，促进沿线土地增值，带动本地段区域经济的发展。</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通过适度改造，广种适生树种和植被，完善生态系统，遏制生态系统恶化趋势，可提高项目区的景观生态环境质量，保护干渠输水安全，防治水污染。同时改善了区域小气候，改变空气质量，作为城市生态基础设施，维护地区的生态安全。</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由于债券资金投入的项目多为社会公益性项目，本项目的建设不产生直接的经济效益。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不能产生直接经济效益，但间接促进了围场满族蒙古族自治县经济发展和社会进步，还可以为招商引资创造极佳条件，拉动围场满族蒙古族自治县经济发展，另外通过本项目的实施，美化了城镇环境，可以带动周边地价的上涨。间接经济效益明显，因此本项考核得分为7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2148"/>
      <w:bookmarkStart w:id="64" w:name="_Toc14098"/>
      <w:r>
        <w:rPr>
          <w:rFonts w:hint="eastAsia" w:ascii="楷体" w:hAnsi="楷体" w:eastAsia="楷体" w:cs="楷体"/>
          <w:b/>
          <w:kern w:val="0"/>
          <w:sz w:val="32"/>
          <w:szCs w:val="32"/>
        </w:rPr>
        <w:t>（二）绩效评价结论</w:t>
      </w:r>
      <w:bookmarkEnd w:id="63"/>
      <w:bookmarkEnd w:id="6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城道路两侧小街小巷及入口和林荫式停车场绿化工程绩效考评结果，其中：投入指标考评得分10分、管理指标考评得分28分、产出指标考评得分28分、效益指标考评得分28分。通过对各项指标的具体分析评价，汇总得出本次绩效评价考核综合得分为94分，总体评价为“优”。</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评价结果表明，围场县城道路两侧小街小巷及入口和林荫式停车场绿化工程组织和管理较好地执行了相关规定要求，组织管理有序，对项目资金的监督管理总体有效，实施的经济效益和持续性明显。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5" w:name="_Toc32395"/>
      <w:bookmarkStart w:id="66" w:name="_Toc29435"/>
      <w:r>
        <w:rPr>
          <w:rFonts w:hint="eastAsia" w:ascii="黑体" w:hAnsi="黑体" w:eastAsia="黑体" w:cs="黑体"/>
          <w:bCs/>
          <w:kern w:val="0"/>
          <w:sz w:val="32"/>
          <w:szCs w:val="32"/>
        </w:rPr>
        <w:t>五、</w:t>
      </w:r>
      <w:bookmarkEnd w:id="65"/>
      <w:r>
        <w:rPr>
          <w:rFonts w:hint="eastAsia" w:ascii="黑体" w:hAnsi="黑体" w:eastAsia="黑体" w:cs="黑体"/>
          <w:bCs/>
          <w:kern w:val="0"/>
          <w:sz w:val="32"/>
          <w:szCs w:val="32"/>
        </w:rPr>
        <w:t>意见及建议</w:t>
      </w:r>
      <w:bookmarkEnd w:id="6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67" w:name="_Toc5786"/>
      <w:bookmarkStart w:id="68" w:name="_Toc26763"/>
      <w:bookmarkStart w:id="69" w:name="_Toc31396"/>
      <w:bookmarkStart w:id="70" w:name="_Toc15246"/>
      <w:bookmarkStart w:id="71" w:name="_Toc25821"/>
      <w:bookmarkStart w:id="72" w:name="_Toc7010"/>
      <w:r>
        <w:rPr>
          <w:rFonts w:hint="eastAsia" w:ascii="楷体" w:hAnsi="楷体" w:eastAsia="楷体" w:cs="楷体"/>
        </w:rPr>
        <w:t>（一）强化绩效理念，深入推进评价工作</w:t>
      </w:r>
      <w:bookmarkEnd w:id="67"/>
      <w:bookmarkEnd w:id="68"/>
      <w:bookmarkEnd w:id="69"/>
      <w:bookmarkEnd w:id="70"/>
      <w:bookmarkEnd w:id="71"/>
      <w:bookmarkEnd w:id="72"/>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3" w:name="_Toc21411"/>
      <w:bookmarkStart w:id="74" w:name="_Toc11860"/>
      <w:bookmarkStart w:id="75" w:name="_Toc6863"/>
      <w:bookmarkStart w:id="76" w:name="_Toc19932"/>
      <w:bookmarkStart w:id="77" w:name="_Toc14241"/>
      <w:bookmarkStart w:id="78" w:name="_Toc10505"/>
      <w:r>
        <w:rPr>
          <w:rFonts w:hint="eastAsia" w:ascii="楷体" w:hAnsi="楷体" w:eastAsia="楷体" w:cs="楷体"/>
        </w:rPr>
        <w:t>（二）强化事前准备，切实提升评价质量</w:t>
      </w:r>
      <w:bookmarkEnd w:id="73"/>
      <w:bookmarkEnd w:id="74"/>
      <w:bookmarkEnd w:id="75"/>
      <w:bookmarkEnd w:id="76"/>
      <w:bookmarkEnd w:id="77"/>
      <w:bookmarkEnd w:id="78"/>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79" w:name="_Toc30061"/>
      <w:bookmarkStart w:id="80" w:name="_Toc11787"/>
      <w:bookmarkStart w:id="81" w:name="_Toc3001"/>
      <w:bookmarkStart w:id="82" w:name="_Toc10592"/>
      <w:bookmarkStart w:id="83" w:name="_Toc21034"/>
    </w:p>
    <w:p>
      <w:pPr>
        <w:pStyle w:val="3"/>
        <w:spacing w:line="240" w:lineRule="auto"/>
        <w:ind w:firstLine="643" w:firstLineChars="200"/>
        <w:rPr>
          <w:rFonts w:ascii="楷体" w:hAnsi="楷体" w:eastAsia="楷体" w:cs="楷体"/>
        </w:rPr>
      </w:pPr>
      <w:bookmarkStart w:id="84" w:name="_Toc16658"/>
      <w:r>
        <w:rPr>
          <w:rFonts w:hint="eastAsia" w:ascii="楷体" w:hAnsi="楷体" w:eastAsia="楷体" w:cs="楷体"/>
        </w:rPr>
        <w:t>（三）强化结果应用，不断巩固评价</w:t>
      </w:r>
      <w:bookmarkEnd w:id="79"/>
      <w:bookmarkEnd w:id="80"/>
      <w:bookmarkEnd w:id="81"/>
      <w:bookmarkEnd w:id="82"/>
      <w:bookmarkEnd w:id="83"/>
      <w:r>
        <w:rPr>
          <w:rFonts w:hint="eastAsia" w:ascii="楷体" w:hAnsi="楷体" w:eastAsia="楷体" w:cs="楷体"/>
        </w:rPr>
        <w:t>成效</w:t>
      </w:r>
      <w:bookmarkEnd w:id="84"/>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5" w:name="_Toc24195"/>
      <w:r>
        <w:rPr>
          <w:rFonts w:hint="eastAsia" w:ascii="黑体" w:hAnsi="黑体" w:eastAsia="黑体" w:cs="黑体"/>
          <w:bCs/>
          <w:kern w:val="0"/>
          <w:sz w:val="32"/>
          <w:szCs w:val="32"/>
        </w:rPr>
        <w:t>六、附件</w:t>
      </w:r>
      <w:bookmarkEnd w:id="85"/>
    </w:p>
    <w:p>
      <w:pPr>
        <w:pStyle w:val="3"/>
        <w:rPr>
          <w:rFonts w:ascii="宋体" w:hAnsi="宋体" w:eastAsia="宋体" w:cs="宋体"/>
          <w:sz w:val="28"/>
          <w:szCs w:val="28"/>
        </w:rPr>
      </w:pPr>
      <w:bookmarkStart w:id="86" w:name="_Toc164"/>
      <w:r>
        <w:rPr>
          <w:rFonts w:hint="eastAsia" w:ascii="楷体" w:hAnsi="楷体" w:eastAsia="楷体" w:cs="楷体"/>
        </w:rPr>
        <w:t>绩效评价指标体系得分表</w:t>
      </w:r>
      <w:bookmarkEnd w:id="86"/>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87" w:name="_Toc15162"/>
      <w:r>
        <w:rPr>
          <w:rFonts w:hint="eastAsia" w:asciiTheme="minorEastAsia" w:hAnsiTheme="minorEastAsia"/>
          <w:sz w:val="32"/>
          <w:szCs w:val="32"/>
        </w:rPr>
        <w:t>承德燕山会计师事务所         中国注册会计师：</w:t>
      </w:r>
      <w:bookmarkEnd w:id="87"/>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88" w:name="_Toc14815"/>
      <w:r>
        <w:rPr>
          <w:rFonts w:hint="eastAsia" w:asciiTheme="minorEastAsia" w:hAnsiTheme="minorEastAsia"/>
          <w:sz w:val="32"/>
          <w:szCs w:val="32"/>
        </w:rPr>
        <w:t>有限责任公司</w:t>
      </w:r>
      <w:bookmarkEnd w:id="88"/>
    </w:p>
    <w:p>
      <w:pPr>
        <w:ind w:firstLine="640" w:firstLineChars="200"/>
        <w:outlineLvl w:val="0"/>
        <w:rPr>
          <w:rFonts w:hint="eastAsia" w:asciiTheme="minorEastAsia" w:hAnsiTheme="minorEastAsia" w:eastAsiaTheme="minorEastAsia"/>
          <w:sz w:val="32"/>
          <w:szCs w:val="32"/>
          <w:lang w:eastAsia="zh-CN"/>
        </w:rPr>
      </w:pPr>
      <w:bookmarkStart w:id="89" w:name="_Toc13463"/>
      <w:r>
        <w:rPr>
          <w:rFonts w:hint="eastAsia" w:asciiTheme="minorEastAsia" w:hAnsiTheme="minorEastAsia"/>
          <w:sz w:val="32"/>
          <w:szCs w:val="32"/>
        </w:rPr>
        <w:t>河北·承德               中国注册会计师：</w:t>
      </w:r>
      <w:bookmarkEnd w:id="89"/>
      <w:r>
        <w:rPr>
          <w:rFonts w:hint="eastAsia" w:asciiTheme="minorEastAsia" w:hAnsiTheme="minorEastAsia"/>
          <w:sz w:val="32"/>
          <w:szCs w:val="32"/>
          <w:lang w:eastAsia="zh-CN"/>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 xml:space="preserve"> </w:t>
      </w:r>
      <w:bookmarkStart w:id="90" w:name="_Toc29542"/>
      <w:r>
        <w:rPr>
          <w:rFonts w:hint="eastAsia" w:asciiTheme="minorEastAsia" w:hAnsiTheme="minorEastAsia"/>
          <w:sz w:val="32"/>
          <w:szCs w:val="32"/>
        </w:rPr>
        <w:t>二○二一年三月十八日</w:t>
      </w:r>
      <w:bookmarkEnd w:id="90"/>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围场县城道路两侧小街小巷及入口和林荫式停车场绿化工程绩效评价指标体系得分表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94</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473444"/>
    <w:rsid w:val="006D0063"/>
    <w:rsid w:val="00C61B63"/>
    <w:rsid w:val="03906ECE"/>
    <w:rsid w:val="03B73450"/>
    <w:rsid w:val="047E3D7B"/>
    <w:rsid w:val="054318EF"/>
    <w:rsid w:val="06B3136F"/>
    <w:rsid w:val="09DF3A36"/>
    <w:rsid w:val="0A617961"/>
    <w:rsid w:val="0CF76258"/>
    <w:rsid w:val="0FF14209"/>
    <w:rsid w:val="105E04DB"/>
    <w:rsid w:val="11CA6AB4"/>
    <w:rsid w:val="12192A13"/>
    <w:rsid w:val="12F949CD"/>
    <w:rsid w:val="13426D82"/>
    <w:rsid w:val="166035B3"/>
    <w:rsid w:val="1671287C"/>
    <w:rsid w:val="179E01C8"/>
    <w:rsid w:val="18B14196"/>
    <w:rsid w:val="18E3550A"/>
    <w:rsid w:val="19B12636"/>
    <w:rsid w:val="1C0818FD"/>
    <w:rsid w:val="1DCB30AC"/>
    <w:rsid w:val="1E3912B7"/>
    <w:rsid w:val="21C358CA"/>
    <w:rsid w:val="25D00022"/>
    <w:rsid w:val="261A33D3"/>
    <w:rsid w:val="27DD72F2"/>
    <w:rsid w:val="284D6241"/>
    <w:rsid w:val="297639A8"/>
    <w:rsid w:val="2B052CF6"/>
    <w:rsid w:val="2B284D4B"/>
    <w:rsid w:val="2B2D6973"/>
    <w:rsid w:val="2C137100"/>
    <w:rsid w:val="327F7BC1"/>
    <w:rsid w:val="34B06338"/>
    <w:rsid w:val="394761CC"/>
    <w:rsid w:val="39FB1AB6"/>
    <w:rsid w:val="3BB5552B"/>
    <w:rsid w:val="3D7533AC"/>
    <w:rsid w:val="3EE432ED"/>
    <w:rsid w:val="41A52C9E"/>
    <w:rsid w:val="46437D54"/>
    <w:rsid w:val="47724740"/>
    <w:rsid w:val="47C37A03"/>
    <w:rsid w:val="48771478"/>
    <w:rsid w:val="48E449AC"/>
    <w:rsid w:val="4A924A90"/>
    <w:rsid w:val="4B440C85"/>
    <w:rsid w:val="4C1C24FD"/>
    <w:rsid w:val="4DF57240"/>
    <w:rsid w:val="4F5D274A"/>
    <w:rsid w:val="4F887C83"/>
    <w:rsid w:val="51683F3A"/>
    <w:rsid w:val="53AD2E58"/>
    <w:rsid w:val="54252E1D"/>
    <w:rsid w:val="56571331"/>
    <w:rsid w:val="569318BE"/>
    <w:rsid w:val="577B4A42"/>
    <w:rsid w:val="5B267031"/>
    <w:rsid w:val="5DFA18B2"/>
    <w:rsid w:val="66DB0898"/>
    <w:rsid w:val="6A236F78"/>
    <w:rsid w:val="6F886C32"/>
    <w:rsid w:val="70443140"/>
    <w:rsid w:val="70625FF1"/>
    <w:rsid w:val="710016B0"/>
    <w:rsid w:val="718E2E5F"/>
    <w:rsid w:val="74F257D7"/>
    <w:rsid w:val="75840E38"/>
    <w:rsid w:val="772B6771"/>
    <w:rsid w:val="77AB17FD"/>
    <w:rsid w:val="792412A0"/>
    <w:rsid w:val="7BE5696E"/>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outlineLvl w:val="0"/>
    </w:pPr>
    <w:rPr>
      <w:rFonts w:ascii="黑体" w:hAnsi="黑体" w:eastAsia="宋体" w:cs="黑体"/>
      <w:b/>
      <w:bCs/>
      <w:kern w:val="44"/>
      <w:sz w:val="28"/>
      <w:szCs w:val="28"/>
    </w:rPr>
  </w:style>
  <w:style w:type="paragraph" w:styleId="3">
    <w:name w:val="heading 2"/>
    <w:basedOn w:val="1"/>
    <w:next w:val="1"/>
    <w:autoRedefine/>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autoRedefine/>
    <w:qFormat/>
    <w:uiPriority w:val="0"/>
    <w:pPr>
      <w:keepNext/>
      <w:keepLines/>
      <w:ind w:left="840" w:leftChars="400"/>
      <w:outlineLvl w:val="2"/>
    </w:pPr>
    <w:rPr>
      <w:rFonts w:hint="eastAsia" w:cs="Times New Roman"/>
      <w:b/>
      <w:sz w:val="32"/>
    </w:rPr>
  </w:style>
  <w:style w:type="character" w:default="1" w:styleId="14">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autoRedefine/>
    <w:qFormat/>
    <w:uiPriority w:val="99"/>
    <w:pPr>
      <w:ind w:firstLine="420"/>
    </w:pPr>
  </w:style>
  <w:style w:type="paragraph" w:styleId="17">
    <w:name w:val="List Paragraph"/>
    <w:basedOn w:val="1"/>
    <w:autoRedefine/>
    <w:unhideWhenUsed/>
    <w:qFormat/>
    <w:uiPriority w:val="99"/>
    <w:pPr>
      <w:ind w:firstLine="420" w:firstLineChars="200"/>
    </w:p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12236</Words>
  <Characters>2798</Characters>
  <Lines>23</Lines>
  <Paragraphs>30</Paragraphs>
  <TotalTime>20</TotalTime>
  <ScaleCrop>false</ScaleCrop>
  <LinksUpToDate>false</LinksUpToDate>
  <CharactersWithSpaces>15004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2021-04-15T01:42:00Z</cp:lastPrinted>
  <dcterms:modified xsi:type="dcterms:W3CDTF">2023-12-28T01:21:44Z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DAA1F51971B6458FBEE3EC10A69D4F46</vt:lpwstr>
  </property>
</Properties>
</file>