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t>围场县公路工程建设管理站</w:t>
      </w:r>
    </w:p>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highlight w:val="none"/>
        </w:rPr>
        <w:t>2016年农村客运站点建设项目</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（一般债券资金）</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绩效评价报告</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pStyle w:val="15"/>
        <w:ind w:firstLine="964" w:firstLineChars="300"/>
        <w:jc w:val="both"/>
        <w:rPr>
          <w:rFonts w:hint="eastAsia"/>
          <w:b/>
          <w:bCs/>
          <w:sz w:val="32"/>
          <w:szCs w:val="32"/>
          <w:u w:val="single"/>
          <w:lang w:val="en-US" w:eastAsia="zh-CN"/>
        </w:rPr>
      </w:pPr>
      <w:r>
        <w:rPr>
          <w:rFonts w:hint="eastAsia"/>
          <w:b/>
          <w:bCs/>
          <w:sz w:val="32"/>
          <w:szCs w:val="32"/>
          <w:lang w:val="en-US" w:eastAsia="zh-CN"/>
        </w:rPr>
        <w:t>编制机构：</w:t>
      </w:r>
      <w:r>
        <w:rPr>
          <w:rFonts w:hint="eastAsia" w:asciiTheme="minorHAnsi" w:hAnsiTheme="minorHAnsi" w:eastAsiaTheme="minorEastAsia" w:cstheme="minorBidi"/>
          <w:b/>
          <w:bCs/>
          <w:kern w:val="2"/>
          <w:sz w:val="32"/>
          <w:szCs w:val="32"/>
          <w:u w:val="single"/>
          <w:lang w:val="en-US" w:eastAsia="zh-CN" w:bidi="ar-SA"/>
        </w:rPr>
        <w:t>承德燕山会计师事务所有限责任公司</w:t>
      </w:r>
    </w:p>
    <w:p>
      <w:pPr>
        <w:ind w:firstLine="964" w:firstLineChars="300"/>
        <w:jc w:val="both"/>
        <w:rPr>
          <w:rFonts w:hint="eastAsia" w:asciiTheme="minorEastAsia" w:hAnsiTheme="minorEastAsia" w:eastAsiaTheme="minorEastAsia" w:cstheme="minorEastAsia"/>
          <w:b/>
          <w:bCs/>
          <w:sz w:val="32"/>
          <w:szCs w:val="32"/>
          <w:u w:val="none"/>
          <w:lang w:val="en-US" w:eastAsia="zh-CN"/>
        </w:rPr>
      </w:pPr>
      <w:r>
        <w:rPr>
          <w:rFonts w:hint="eastAsia"/>
          <w:b/>
          <w:bCs/>
          <w:sz w:val="32"/>
          <w:szCs w:val="32"/>
          <w:lang w:val="en-US" w:eastAsia="zh-CN"/>
        </w:rPr>
        <w:t>编制时间：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202</w:t>
      </w:r>
      <w:r>
        <w:rPr>
          <w:rFonts w:hint="eastAsia" w:asciiTheme="minorEastAsia" w:hAnsiTheme="minorEastAsia" w:cstheme="minorEastAsia"/>
          <w:b/>
          <w:bCs/>
          <w:sz w:val="32"/>
          <w:szCs w:val="32"/>
          <w:u w:val="single"/>
          <w:lang w:val="en-US" w:eastAsia="zh-CN"/>
        </w:rPr>
        <w:t>0</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12</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月</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28 </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日</w:t>
      </w: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rFonts w:hint="eastAsia" w:eastAsiaTheme="minorEastAsia"/>
          <w:sz w:val="32"/>
          <w:szCs w:val="32"/>
          <w:lang w:eastAsia="zh-CN"/>
        </w:rPr>
      </w:pPr>
      <w:r>
        <w:rPr>
          <w:rFonts w:hint="eastAsia"/>
          <w:sz w:val="32"/>
          <w:szCs w:val="32"/>
          <w:lang w:eastAsia="zh-CN"/>
        </w:rPr>
        <w:t>受托</w:t>
      </w:r>
      <w:r>
        <w:rPr>
          <w:rFonts w:hint="eastAsia"/>
          <w:sz w:val="32"/>
          <w:szCs w:val="32"/>
        </w:rPr>
        <w:t>单位：承德</w:t>
      </w:r>
      <w:r>
        <w:rPr>
          <w:rFonts w:hint="eastAsia"/>
          <w:sz w:val="32"/>
          <w:szCs w:val="32"/>
          <w:lang w:eastAsia="zh-CN"/>
        </w:rPr>
        <w:t>燕山会计师事务所有限责任公司</w:t>
      </w:r>
    </w:p>
    <w:p>
      <w:pPr>
        <w:ind w:firstLine="960" w:firstLineChars="300"/>
        <w:rPr>
          <w:sz w:val="32"/>
          <w:szCs w:val="32"/>
        </w:rPr>
      </w:pPr>
      <w:r>
        <w:rPr>
          <w:rFonts w:hint="eastAsia"/>
          <w:sz w:val="32"/>
          <w:szCs w:val="32"/>
        </w:rPr>
        <w:t>报告文号：承燕会所审专字（202</w:t>
      </w:r>
      <w:r>
        <w:rPr>
          <w:rFonts w:hint="eastAsia"/>
          <w:sz w:val="32"/>
          <w:szCs w:val="32"/>
          <w:lang w:val="en-US" w:eastAsia="zh-CN"/>
        </w:rPr>
        <w:t>0</w:t>
      </w:r>
      <w:r>
        <w:rPr>
          <w:rFonts w:hint="eastAsia"/>
          <w:sz w:val="32"/>
          <w:szCs w:val="32"/>
        </w:rPr>
        <w:t>）第</w:t>
      </w:r>
      <w:r>
        <w:rPr>
          <w:rFonts w:hint="default"/>
          <w:sz w:val="32"/>
          <w:szCs w:val="32"/>
          <w:lang w:val="en-US" w:eastAsia="zh-CN"/>
        </w:rPr>
        <w:t>287</w:t>
      </w:r>
      <w:r>
        <w:rPr>
          <w:rFonts w:hint="eastAsia"/>
          <w:sz w:val="32"/>
          <w:szCs w:val="32"/>
        </w:rPr>
        <w:t>号</w:t>
      </w:r>
    </w:p>
    <w:p>
      <w:pPr>
        <w:ind w:firstLine="960" w:firstLineChars="300"/>
        <w:rPr>
          <w:rFonts w:hint="default" w:eastAsiaTheme="minorEastAsia"/>
          <w:sz w:val="32"/>
          <w:szCs w:val="32"/>
          <w:lang w:val="en-US" w:eastAsia="zh-CN"/>
        </w:rPr>
      </w:pPr>
      <w:r>
        <w:rPr>
          <w:rFonts w:hint="eastAsia"/>
          <w:sz w:val="32"/>
          <w:szCs w:val="32"/>
        </w:rPr>
        <w:t>报告日期：202</w:t>
      </w:r>
      <w:r>
        <w:rPr>
          <w:rFonts w:hint="eastAsia"/>
          <w:sz w:val="32"/>
          <w:szCs w:val="32"/>
          <w:lang w:val="en-US" w:eastAsia="zh-CN"/>
        </w:rPr>
        <w:t>0</w:t>
      </w:r>
      <w:r>
        <w:rPr>
          <w:rFonts w:hint="eastAsia"/>
          <w:sz w:val="32"/>
          <w:szCs w:val="32"/>
        </w:rPr>
        <w:t>-</w:t>
      </w:r>
      <w:r>
        <w:rPr>
          <w:rFonts w:hint="eastAsia"/>
          <w:sz w:val="32"/>
          <w:szCs w:val="32"/>
          <w:lang w:val="en-US" w:eastAsia="zh-CN"/>
        </w:rPr>
        <w:t>12</w:t>
      </w:r>
      <w:r>
        <w:rPr>
          <w:rFonts w:hint="eastAsia"/>
          <w:sz w:val="32"/>
          <w:szCs w:val="32"/>
        </w:rPr>
        <w:t>-</w:t>
      </w:r>
      <w:r>
        <w:rPr>
          <w:rFonts w:hint="eastAsia"/>
          <w:sz w:val="32"/>
          <w:szCs w:val="32"/>
          <w:lang w:val="en-US" w:eastAsia="zh-CN"/>
        </w:rPr>
        <w:t>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jc w:val="both"/>
        <w:rPr>
          <w:rFonts w:hint="eastAsia" w:ascii="宋体" w:hAnsi="宋体" w:eastAsia="宋体" w:cs="宋体"/>
          <w:b/>
          <w:bCs/>
          <w:sz w:val="32"/>
          <w:szCs w:val="32"/>
          <w:lang w:eastAsia="zh-CN"/>
        </w:rPr>
      </w:pPr>
      <w:r>
        <w:rPr>
          <w:rFonts w:hint="eastAsia"/>
          <w:sz w:val="30"/>
          <w:szCs w:val="30"/>
        </w:rPr>
        <w:t>联系电话：0314-2021210/2282221</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spacing w:line="440" w:lineRule="exact"/>
        <w:rPr>
          <w:rFonts w:hint="eastAsia" w:ascii="仿宋" w:hAnsi="仿宋" w:eastAsia="仿宋"/>
          <w:b/>
          <w:bCs/>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v:imagedata r:id="rId9" o:title=""/>
            <o:lock v:ext="edit" aspectratio="t"/>
            <w10:wrap type="square"/>
          </v:shape>
          <o:OLEObject Type="Embed" ProgID="" ShapeID="_x0000_s1026" DrawAspect="Content" ObjectID="_1468075725" r:id="rId8">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578" w:firstLineChars="1900"/>
        <w:rPr>
          <w:rFonts w:ascii="仿宋" w:hAnsi="仿宋" w:eastAsia="仿宋" w:cs="仿宋_GB2312"/>
          <w:b/>
          <w:bCs/>
          <w:sz w:val="36"/>
          <w:szCs w:val="36"/>
        </w:rPr>
      </w:pPr>
      <w:r>
        <w:rPr>
          <w:rFonts w:hint="eastAsia" w:ascii="仿宋" w:hAnsi="仿宋" w:eastAsia="仿宋"/>
          <w:b/>
          <w:sz w:val="24"/>
        </w:rPr>
        <w:t>承燕会所审专字</w: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（202</w:t>
      </w:r>
      <w:r>
        <w:rPr>
          <w:rFonts w:hint="eastAsia" w:ascii="仿宋" w:hAnsi="仿宋" w:eastAsia="仿宋"/>
          <w:b/>
          <w:sz w:val="24"/>
          <w:lang w:val="en-US" w:eastAsia="zh-CN"/>
        </w:rPr>
        <w:t>0</w:t>
      </w:r>
      <w:r>
        <w:rPr>
          <w:rFonts w:hint="eastAsia" w:ascii="仿宋" w:hAnsi="仿宋" w:eastAsia="仿宋"/>
          <w:b/>
          <w:sz w:val="24"/>
        </w:rPr>
        <w:t>）第</w:t>
      </w:r>
      <w:r>
        <w:rPr>
          <w:rFonts w:hint="default" w:ascii="仿宋" w:hAnsi="仿宋" w:eastAsia="仿宋"/>
          <w:b/>
          <w:sz w:val="24"/>
          <w:lang w:val="en-US" w:eastAsia="zh-CN"/>
        </w:rPr>
        <w:t>287</w:t>
      </w:r>
      <w:r>
        <w:rPr>
          <w:rFonts w:hint="eastAsia" w:ascii="仿宋" w:hAnsi="仿宋" w:eastAsia="仿宋"/>
          <w:b/>
          <w:sz w:val="24"/>
        </w:rPr>
        <w:t>号</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sdt>
      <w:sdtPr>
        <w:rPr>
          <w:rFonts w:ascii="宋体" w:hAnsi="宋体" w:eastAsia="宋体" w:cstheme="minorBidi"/>
          <w:kern w:val="2"/>
          <w:sz w:val="28"/>
          <w:szCs w:val="28"/>
          <w:lang w:val="en-US" w:eastAsia="zh-CN" w:bidi="ar-SA"/>
        </w:rPr>
        <w:id w:val="147470155"/>
        <w15:color w:val="DBDBDB"/>
        <w:docPartObj>
          <w:docPartGallery w:val="Table of Contents"/>
          <w:docPartUnique/>
        </w:docPartObj>
      </w:sdtPr>
      <w:sdtEndPr>
        <w:rPr>
          <w:rFonts w:hint="eastAsia" w:ascii="宋体" w:hAnsi="宋体" w:eastAsia="宋体" w:cs="宋体"/>
          <w:b/>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9"/>
            <w:tabs>
              <w:tab w:val="right" w:leader="dot" w:pos="8306"/>
            </w:tabs>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TOC \o "1-2" \h \u </w:instrText>
          </w:r>
          <w:r>
            <w:rPr>
              <w:rFonts w:hint="eastAsia" w:ascii="宋体" w:hAnsi="宋体" w:eastAsia="宋体" w:cs="宋体"/>
              <w:b/>
              <w:bCs/>
              <w:sz w:val="28"/>
              <w:szCs w:val="28"/>
              <w:lang w:eastAsia="zh-CN"/>
            </w:rPr>
            <w:fldChar w:fldCharType="separate"/>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_Toc11466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rPr>
            <w:t>一、项目基本</w:t>
          </w:r>
          <w:r>
            <w:rPr>
              <w:rFonts w:hint="eastAsia" w:ascii="黑体" w:hAnsi="黑体" w:eastAsia="黑体" w:cs="黑体"/>
              <w:bCs w:val="0"/>
              <w:sz w:val="28"/>
              <w:szCs w:val="28"/>
              <w:lang w:eastAsia="zh-CN"/>
            </w:rPr>
            <w:t>情况</w:t>
          </w:r>
          <w:r>
            <w:rPr>
              <w:sz w:val="28"/>
              <w:szCs w:val="28"/>
            </w:rPr>
            <w:tab/>
          </w:r>
          <w:r>
            <w:rPr>
              <w:sz w:val="28"/>
              <w:szCs w:val="28"/>
            </w:rPr>
            <w:fldChar w:fldCharType="begin"/>
          </w:r>
          <w:r>
            <w:rPr>
              <w:sz w:val="28"/>
              <w:szCs w:val="28"/>
            </w:rPr>
            <w:instrText xml:space="preserve"> PAGEREF _Toc11466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_Toc22287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rPr>
            <w:t>（一）项目</w:t>
          </w:r>
          <w:r>
            <w:rPr>
              <w:rFonts w:hint="eastAsia" w:ascii="楷体" w:hAnsi="楷体" w:eastAsia="楷体" w:cs="楷体"/>
              <w:bCs w:val="0"/>
              <w:sz w:val="28"/>
              <w:szCs w:val="28"/>
              <w:lang w:eastAsia="zh-CN"/>
            </w:rPr>
            <w:t>概况</w:t>
          </w:r>
          <w:r>
            <w:rPr>
              <w:sz w:val="28"/>
              <w:szCs w:val="28"/>
            </w:rPr>
            <w:tab/>
          </w:r>
          <w:r>
            <w:rPr>
              <w:sz w:val="28"/>
              <w:szCs w:val="28"/>
            </w:rPr>
            <w:fldChar w:fldCharType="begin"/>
          </w:r>
          <w:r>
            <w:rPr>
              <w:sz w:val="28"/>
              <w:szCs w:val="28"/>
            </w:rPr>
            <w:instrText xml:space="preserve"> PAGEREF _Toc22287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_Toc5938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highlight w:val="none"/>
              <w:lang w:val="en-US" w:eastAsia="zh-CN"/>
            </w:rPr>
            <w:t>（二）项目绩效目标</w:t>
          </w:r>
          <w:r>
            <w:rPr>
              <w:sz w:val="28"/>
              <w:szCs w:val="28"/>
            </w:rPr>
            <w:tab/>
          </w:r>
          <w:r>
            <w:rPr>
              <w:sz w:val="28"/>
              <w:szCs w:val="28"/>
            </w:rPr>
            <w:fldChar w:fldCharType="begin"/>
          </w:r>
          <w:r>
            <w:rPr>
              <w:sz w:val="28"/>
              <w:szCs w:val="28"/>
            </w:rPr>
            <w:instrText xml:space="preserve"> PAGEREF _Toc5938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_Toc25548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（三）评价对象和时段</w:t>
          </w:r>
          <w:r>
            <w:rPr>
              <w:sz w:val="28"/>
              <w:szCs w:val="28"/>
            </w:rPr>
            <w:tab/>
          </w:r>
          <w:r>
            <w:rPr>
              <w:sz w:val="28"/>
              <w:szCs w:val="28"/>
            </w:rPr>
            <w:fldChar w:fldCharType="begin"/>
          </w:r>
          <w:r>
            <w:rPr>
              <w:sz w:val="28"/>
              <w:szCs w:val="28"/>
            </w:rPr>
            <w:instrText xml:space="preserve"> PAGEREF _Toc25548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_Toc5218 </w:instrText>
          </w:r>
          <w:r>
            <w:rPr>
              <w:rFonts w:hint="eastAsia" w:ascii="宋体" w:hAnsi="宋体" w:eastAsia="宋体" w:cs="宋体"/>
              <w:bCs/>
              <w:sz w:val="28"/>
              <w:szCs w:val="28"/>
              <w:lang w:eastAsia="zh-CN"/>
            </w:rPr>
            <w:fldChar w:fldCharType="separate"/>
          </w:r>
          <w:r>
            <w:rPr>
              <w:rFonts w:hint="eastAsia" w:ascii="黑体" w:hAnsi="黑体" w:eastAsia="黑体" w:cs="黑体"/>
              <w:bCs/>
              <w:sz w:val="28"/>
              <w:szCs w:val="28"/>
              <w:lang w:val="en-US" w:eastAsia="zh-CN"/>
            </w:rPr>
            <w:t>二、绩效评价工作开展情况</w:t>
          </w:r>
          <w:r>
            <w:rPr>
              <w:sz w:val="28"/>
              <w:szCs w:val="28"/>
            </w:rPr>
            <w:tab/>
          </w:r>
          <w:r>
            <w:rPr>
              <w:sz w:val="28"/>
              <w:szCs w:val="28"/>
            </w:rPr>
            <w:fldChar w:fldCharType="begin"/>
          </w:r>
          <w:r>
            <w:rPr>
              <w:sz w:val="28"/>
              <w:szCs w:val="28"/>
            </w:rPr>
            <w:instrText xml:space="preserve"> PAGEREF _Toc5218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_Toc26913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（一）绩效评价指标权重和绩效评价指标体系</w:t>
          </w:r>
          <w:r>
            <w:rPr>
              <w:sz w:val="28"/>
              <w:szCs w:val="28"/>
            </w:rPr>
            <w:tab/>
          </w:r>
          <w:r>
            <w:rPr>
              <w:sz w:val="28"/>
              <w:szCs w:val="28"/>
            </w:rPr>
            <w:fldChar w:fldCharType="begin"/>
          </w:r>
          <w:r>
            <w:rPr>
              <w:sz w:val="28"/>
              <w:szCs w:val="28"/>
            </w:rPr>
            <w:instrText xml:space="preserve"> PAGEREF _Toc26913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_Toc18252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bidi="ar-SA"/>
            </w:rPr>
            <w:t>（二）绩效评价目的和依据</w:t>
          </w:r>
          <w:r>
            <w:rPr>
              <w:sz w:val="28"/>
              <w:szCs w:val="28"/>
            </w:rPr>
            <w:tab/>
          </w:r>
          <w:r>
            <w:rPr>
              <w:sz w:val="28"/>
              <w:szCs w:val="28"/>
            </w:rPr>
            <w:fldChar w:fldCharType="begin"/>
          </w:r>
          <w:r>
            <w:rPr>
              <w:sz w:val="28"/>
              <w:szCs w:val="28"/>
            </w:rPr>
            <w:instrText xml:space="preserve"> PAGEREF _Toc18252 </w:instrText>
          </w:r>
          <w:r>
            <w:rPr>
              <w:sz w:val="28"/>
              <w:szCs w:val="28"/>
            </w:rPr>
            <w:fldChar w:fldCharType="separate"/>
          </w:r>
          <w:r>
            <w:rPr>
              <w:sz w:val="28"/>
              <w:szCs w:val="28"/>
            </w:rPr>
            <w:t>7</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_Toc10184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（三）绩效评价工作内容和范围</w:t>
          </w:r>
          <w:r>
            <w:rPr>
              <w:sz w:val="28"/>
              <w:szCs w:val="28"/>
            </w:rPr>
            <w:tab/>
          </w:r>
          <w:r>
            <w:rPr>
              <w:sz w:val="28"/>
              <w:szCs w:val="28"/>
            </w:rPr>
            <w:fldChar w:fldCharType="begin"/>
          </w:r>
          <w:r>
            <w:rPr>
              <w:sz w:val="28"/>
              <w:szCs w:val="28"/>
            </w:rPr>
            <w:instrText xml:space="preserve"> PAGEREF _Toc10184 </w:instrText>
          </w:r>
          <w:r>
            <w:rPr>
              <w:sz w:val="28"/>
              <w:szCs w:val="28"/>
            </w:rPr>
            <w:fldChar w:fldCharType="separate"/>
          </w:r>
          <w:r>
            <w:rPr>
              <w:sz w:val="28"/>
              <w:szCs w:val="28"/>
            </w:rPr>
            <w:t>10</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_Toc9420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（四）绩效评价标准和方法</w:t>
          </w:r>
          <w:r>
            <w:rPr>
              <w:sz w:val="28"/>
              <w:szCs w:val="28"/>
            </w:rPr>
            <w:tab/>
          </w:r>
          <w:r>
            <w:rPr>
              <w:sz w:val="28"/>
              <w:szCs w:val="28"/>
            </w:rPr>
            <w:fldChar w:fldCharType="begin"/>
          </w:r>
          <w:r>
            <w:rPr>
              <w:sz w:val="28"/>
              <w:szCs w:val="28"/>
            </w:rPr>
            <w:instrText xml:space="preserve"> PAGEREF _Toc9420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_Toc25605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（五）绩效评价工作过程</w:t>
          </w:r>
          <w:r>
            <w:rPr>
              <w:sz w:val="28"/>
              <w:szCs w:val="28"/>
            </w:rPr>
            <w:tab/>
          </w:r>
          <w:r>
            <w:rPr>
              <w:sz w:val="28"/>
              <w:szCs w:val="28"/>
            </w:rPr>
            <w:fldChar w:fldCharType="begin"/>
          </w:r>
          <w:r>
            <w:rPr>
              <w:sz w:val="28"/>
              <w:szCs w:val="28"/>
            </w:rPr>
            <w:instrText xml:space="preserve"> PAGEREF _Toc25605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_Toc26136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lang w:eastAsia="zh-CN"/>
            </w:rPr>
            <w:t>三、</w:t>
          </w:r>
          <w:r>
            <w:rPr>
              <w:rFonts w:hint="eastAsia" w:ascii="黑体" w:hAnsi="黑体" w:eastAsia="黑体" w:cs="黑体"/>
              <w:kern w:val="2"/>
              <w:sz w:val="28"/>
              <w:szCs w:val="28"/>
              <w:highlight w:val="none"/>
              <w:lang w:val="en-US" w:eastAsia="zh-CN" w:bidi="ar-SA"/>
            </w:rPr>
            <w:t>项目实施及资金使用情况</w:t>
          </w:r>
          <w:r>
            <w:rPr>
              <w:sz w:val="28"/>
              <w:szCs w:val="28"/>
            </w:rPr>
            <w:tab/>
          </w:r>
          <w:r>
            <w:rPr>
              <w:sz w:val="28"/>
              <w:szCs w:val="28"/>
            </w:rPr>
            <w:fldChar w:fldCharType="begin"/>
          </w:r>
          <w:r>
            <w:rPr>
              <w:sz w:val="28"/>
              <w:szCs w:val="28"/>
            </w:rPr>
            <w:instrText xml:space="preserve"> PAGEREF _Toc26136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_Toc30614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（一）项目实施情况</w:t>
          </w:r>
          <w:r>
            <w:rPr>
              <w:sz w:val="28"/>
              <w:szCs w:val="28"/>
            </w:rPr>
            <w:tab/>
          </w:r>
          <w:r>
            <w:rPr>
              <w:sz w:val="28"/>
              <w:szCs w:val="28"/>
            </w:rPr>
            <w:fldChar w:fldCharType="begin"/>
          </w:r>
          <w:r>
            <w:rPr>
              <w:sz w:val="28"/>
              <w:szCs w:val="28"/>
            </w:rPr>
            <w:instrText xml:space="preserve"> PAGEREF _Toc30614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_Toc24909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（二）资金使用情况</w:t>
          </w:r>
          <w:r>
            <w:rPr>
              <w:sz w:val="28"/>
              <w:szCs w:val="28"/>
            </w:rPr>
            <w:tab/>
          </w:r>
          <w:r>
            <w:rPr>
              <w:sz w:val="28"/>
              <w:szCs w:val="28"/>
            </w:rPr>
            <w:fldChar w:fldCharType="begin"/>
          </w:r>
          <w:r>
            <w:rPr>
              <w:sz w:val="28"/>
              <w:szCs w:val="28"/>
            </w:rPr>
            <w:instrText xml:space="preserve"> PAGEREF _Toc24909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_Toc6470 </w:instrText>
          </w:r>
          <w:r>
            <w:rPr>
              <w:rFonts w:hint="eastAsia" w:ascii="宋体" w:hAnsi="宋体" w:eastAsia="宋体" w:cs="宋体"/>
              <w:bCs/>
              <w:sz w:val="28"/>
              <w:szCs w:val="28"/>
              <w:lang w:eastAsia="zh-CN"/>
            </w:rPr>
            <w:fldChar w:fldCharType="separate"/>
          </w:r>
          <w:r>
            <w:rPr>
              <w:rFonts w:hint="eastAsia" w:ascii="黑体" w:hAnsi="黑体" w:eastAsia="黑体" w:cs="黑体"/>
              <w:kern w:val="2"/>
              <w:sz w:val="28"/>
              <w:szCs w:val="28"/>
              <w:lang w:val="en-US" w:eastAsia="zh-CN" w:bidi="ar-SA"/>
            </w:rPr>
            <w:t>四、</w:t>
          </w:r>
          <w:r>
            <w:rPr>
              <w:rFonts w:hint="eastAsia" w:ascii="黑体" w:hAnsi="黑体" w:eastAsia="黑体" w:cs="黑体"/>
              <w:sz w:val="28"/>
              <w:szCs w:val="28"/>
              <w:lang w:val="en-US" w:eastAsia="zh-CN"/>
            </w:rPr>
            <w:t>绩效评价分析与结论</w:t>
          </w:r>
          <w:r>
            <w:rPr>
              <w:sz w:val="28"/>
              <w:szCs w:val="28"/>
            </w:rPr>
            <w:tab/>
          </w:r>
          <w:r>
            <w:rPr>
              <w:sz w:val="28"/>
              <w:szCs w:val="28"/>
            </w:rPr>
            <w:fldChar w:fldCharType="begin"/>
          </w:r>
          <w:r>
            <w:rPr>
              <w:sz w:val="28"/>
              <w:szCs w:val="28"/>
            </w:rPr>
            <w:instrText xml:space="preserve"> PAGEREF _Toc6470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_Toc25324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rPr>
            <w:t>（一）绩效评价分析</w:t>
          </w:r>
          <w:r>
            <w:rPr>
              <w:sz w:val="28"/>
              <w:szCs w:val="28"/>
            </w:rPr>
            <w:tab/>
          </w:r>
          <w:r>
            <w:rPr>
              <w:sz w:val="28"/>
              <w:szCs w:val="28"/>
            </w:rPr>
            <w:fldChar w:fldCharType="begin"/>
          </w:r>
          <w:r>
            <w:rPr>
              <w:sz w:val="28"/>
              <w:szCs w:val="28"/>
            </w:rPr>
            <w:instrText xml:space="preserve"> PAGEREF _Toc25324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_Toc32374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eastAsia="zh-CN"/>
            </w:rPr>
            <w:t>（二）绩效评价结论</w:t>
          </w:r>
          <w:r>
            <w:rPr>
              <w:sz w:val="28"/>
              <w:szCs w:val="28"/>
            </w:rPr>
            <w:tab/>
          </w:r>
          <w:r>
            <w:rPr>
              <w:sz w:val="28"/>
              <w:szCs w:val="28"/>
            </w:rPr>
            <w:fldChar w:fldCharType="begin"/>
          </w:r>
          <w:r>
            <w:rPr>
              <w:sz w:val="28"/>
              <w:szCs w:val="28"/>
            </w:rPr>
            <w:instrText xml:space="preserve"> PAGEREF _Toc32374 </w:instrText>
          </w:r>
          <w:r>
            <w:rPr>
              <w:sz w:val="28"/>
              <w:szCs w:val="28"/>
            </w:rPr>
            <w:fldChar w:fldCharType="separate"/>
          </w:r>
          <w:r>
            <w:rPr>
              <w:sz w:val="28"/>
              <w:szCs w:val="28"/>
            </w:rPr>
            <w:t>22</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_Toc6870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highlight w:val="none"/>
              <w:lang w:eastAsia="zh-CN"/>
            </w:rPr>
            <w:t>五、意见及建议</w:t>
          </w:r>
          <w:r>
            <w:rPr>
              <w:sz w:val="28"/>
              <w:szCs w:val="28"/>
            </w:rPr>
            <w:tab/>
          </w:r>
          <w:r>
            <w:rPr>
              <w:sz w:val="28"/>
              <w:szCs w:val="28"/>
            </w:rPr>
            <w:fldChar w:fldCharType="begin"/>
          </w:r>
          <w:r>
            <w:rPr>
              <w:sz w:val="28"/>
              <w:szCs w:val="28"/>
            </w:rPr>
            <w:instrText xml:space="preserve"> PAGEREF _Toc6870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_Toc12140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（一）强化绩效理念，深入推进评价工作</w:t>
          </w:r>
          <w:r>
            <w:rPr>
              <w:sz w:val="28"/>
              <w:szCs w:val="28"/>
            </w:rPr>
            <w:tab/>
          </w:r>
          <w:r>
            <w:rPr>
              <w:sz w:val="28"/>
              <w:szCs w:val="28"/>
            </w:rPr>
            <w:fldChar w:fldCharType="begin"/>
          </w:r>
          <w:r>
            <w:rPr>
              <w:sz w:val="28"/>
              <w:szCs w:val="28"/>
            </w:rPr>
            <w:instrText xml:space="preserve"> PAGEREF _Toc12140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_Toc20600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（二）强化事前准备，切实提升评价质量</w:t>
          </w:r>
          <w:r>
            <w:rPr>
              <w:sz w:val="28"/>
              <w:szCs w:val="28"/>
            </w:rPr>
            <w:tab/>
          </w:r>
          <w:r>
            <w:rPr>
              <w:sz w:val="28"/>
              <w:szCs w:val="28"/>
            </w:rPr>
            <w:fldChar w:fldCharType="begin"/>
          </w:r>
          <w:r>
            <w:rPr>
              <w:sz w:val="28"/>
              <w:szCs w:val="28"/>
            </w:rPr>
            <w:instrText xml:space="preserve"> PAGEREF _Toc20600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_Toc15645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（三）强化结果应用，不断巩固评价成效</w:t>
          </w:r>
          <w:r>
            <w:rPr>
              <w:sz w:val="28"/>
              <w:szCs w:val="28"/>
            </w:rPr>
            <w:tab/>
          </w:r>
          <w:r>
            <w:rPr>
              <w:sz w:val="28"/>
              <w:szCs w:val="28"/>
            </w:rPr>
            <w:fldChar w:fldCharType="begin"/>
          </w:r>
          <w:r>
            <w:rPr>
              <w:sz w:val="28"/>
              <w:szCs w:val="28"/>
            </w:rPr>
            <w:instrText xml:space="preserve"> PAGEREF _Toc15645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_Toc838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lang w:val="en-US" w:eastAsia="zh-CN"/>
            </w:rPr>
            <w:t>六、附件</w:t>
          </w:r>
          <w:r>
            <w:rPr>
              <w:sz w:val="28"/>
              <w:szCs w:val="28"/>
            </w:rPr>
            <w:tab/>
          </w:r>
          <w:r>
            <w:rPr>
              <w:sz w:val="28"/>
              <w:szCs w:val="28"/>
            </w:rPr>
            <w:fldChar w:fldCharType="begin"/>
          </w:r>
          <w:r>
            <w:rPr>
              <w:sz w:val="28"/>
              <w:szCs w:val="28"/>
            </w:rPr>
            <w:instrText xml:space="preserve"> PAGEREF _Toc838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_Toc23092 </w:instrText>
          </w:r>
          <w:r>
            <w:rPr>
              <w:rFonts w:hint="eastAsia" w:ascii="宋体" w:hAnsi="宋体" w:eastAsia="宋体" w:cs="宋体"/>
              <w:bCs/>
              <w:sz w:val="28"/>
              <w:szCs w:val="28"/>
              <w:lang w:eastAsia="zh-CN"/>
            </w:rPr>
            <w:fldChar w:fldCharType="separate"/>
          </w:r>
          <w:r>
            <w:rPr>
              <w:rFonts w:hint="eastAsia" w:ascii="楷体" w:hAnsi="楷体" w:eastAsia="楷体" w:cs="楷体"/>
              <w:sz w:val="28"/>
              <w:szCs w:val="28"/>
              <w:lang w:val="en-US" w:eastAsia="zh-CN"/>
            </w:rPr>
            <w:t>绩效评价指标体系得分表</w:t>
          </w:r>
          <w:r>
            <w:rPr>
              <w:sz w:val="28"/>
              <w:szCs w:val="28"/>
            </w:rPr>
            <w:tab/>
          </w:r>
          <w:r>
            <w:rPr>
              <w:sz w:val="28"/>
              <w:szCs w:val="28"/>
            </w:rPr>
            <w:fldChar w:fldCharType="begin"/>
          </w:r>
          <w:r>
            <w:rPr>
              <w:sz w:val="28"/>
              <w:szCs w:val="28"/>
            </w:rPr>
            <w:instrText xml:space="preserve"> PAGEREF _Toc23092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jc w:val="both"/>
            <w:rPr>
              <w:rFonts w:hint="eastAsia" w:ascii="宋体" w:hAnsi="宋体" w:eastAsia="宋体" w:cs="宋体"/>
              <w:b/>
              <w:bCs/>
              <w:sz w:val="32"/>
              <w:szCs w:val="32"/>
              <w:lang w:eastAsia="zh-CN"/>
            </w:rPr>
          </w:pPr>
          <w:r>
            <w:rPr>
              <w:rFonts w:hint="eastAsia" w:ascii="宋体" w:hAnsi="宋体" w:eastAsia="宋体" w:cs="宋体"/>
              <w:bCs/>
              <w:szCs w:val="28"/>
              <w:lang w:eastAsia="zh-CN"/>
            </w:rPr>
            <w:fldChar w:fldCharType="end"/>
          </w:r>
        </w:p>
      </w:sdtContent>
    </w:sdt>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jc w:val="both"/>
        <w:rPr>
          <w:rFonts w:hint="eastAsia" w:ascii="宋体" w:hAnsi="宋体" w:eastAsia="宋体" w:cs="宋体"/>
          <w:b/>
          <w:bCs/>
          <w:sz w:val="32"/>
          <w:szCs w:val="32"/>
          <w:lang w:eastAsia="zh-CN"/>
        </w:rPr>
      </w:pPr>
    </w:p>
    <w:p>
      <w:pPr>
        <w:jc w:val="center"/>
        <w:outlineLvl w:val="0"/>
        <w:rPr>
          <w:rFonts w:hint="eastAsia" w:ascii="宋体" w:hAnsi="宋体" w:eastAsia="宋体" w:cs="宋体"/>
          <w:b/>
          <w:bCs/>
          <w:sz w:val="36"/>
          <w:szCs w:val="36"/>
          <w:highlight w:val="none"/>
        </w:rPr>
      </w:pPr>
      <w:bookmarkStart w:id="0" w:name="_Toc25997"/>
      <w:bookmarkStart w:id="1" w:name="_Toc7123"/>
      <w:bookmarkStart w:id="2" w:name="_Toc32502"/>
      <w:bookmarkStart w:id="3" w:name="_Toc25062"/>
      <w:r>
        <w:rPr>
          <w:rFonts w:hint="eastAsia" w:ascii="宋体" w:hAnsi="宋体" w:eastAsia="宋体" w:cs="宋体"/>
          <w:b/>
          <w:bCs/>
          <w:sz w:val="36"/>
          <w:szCs w:val="36"/>
          <w:highlight w:val="none"/>
        </w:rPr>
        <w:t>围场县公路工程建设管理站2016年农村客运站点</w:t>
      </w:r>
      <w:bookmarkEnd w:id="0"/>
    </w:p>
    <w:p>
      <w:pPr>
        <w:jc w:val="center"/>
        <w:outlineLvl w:val="0"/>
        <w:rPr>
          <w:rFonts w:hint="eastAsia" w:ascii="宋体" w:hAnsi="宋体" w:eastAsia="宋体" w:cs="宋体"/>
          <w:b/>
          <w:bCs/>
          <w:sz w:val="36"/>
          <w:szCs w:val="36"/>
          <w:lang w:eastAsia="zh-CN"/>
        </w:rPr>
      </w:pPr>
      <w:bookmarkStart w:id="4" w:name="_Toc7948"/>
      <w:r>
        <w:rPr>
          <w:rFonts w:hint="eastAsia" w:ascii="宋体" w:hAnsi="宋体" w:eastAsia="宋体" w:cs="宋体"/>
          <w:b/>
          <w:bCs/>
          <w:sz w:val="36"/>
          <w:szCs w:val="36"/>
          <w:highlight w:val="none"/>
        </w:rPr>
        <w:t>建设项目</w:t>
      </w:r>
      <w:bookmarkStart w:id="5" w:name="_Toc3241"/>
      <w:bookmarkStart w:id="6" w:name="_Toc26503"/>
      <w:r>
        <w:rPr>
          <w:rFonts w:hint="eastAsia" w:ascii="宋体" w:hAnsi="宋体" w:eastAsia="宋体" w:cs="宋体"/>
          <w:b/>
          <w:bCs/>
          <w:sz w:val="36"/>
          <w:szCs w:val="36"/>
          <w:lang w:eastAsia="zh-CN"/>
        </w:rPr>
        <w:t>一般债券资金绩效评价报告</w:t>
      </w:r>
      <w:bookmarkEnd w:id="1"/>
      <w:bookmarkEnd w:id="2"/>
      <w:bookmarkEnd w:id="3"/>
      <w:bookmarkEnd w:id="4"/>
      <w:bookmarkEnd w:id="5"/>
      <w:bookmarkEnd w:id="6"/>
    </w:p>
    <w:p>
      <w:pPr>
        <w:spacing w:line="600" w:lineRule="exact"/>
        <w:ind w:right="-31" w:rightChars="-15"/>
        <w:rPr>
          <w:rFonts w:hint="eastAsia"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i w:val="0"/>
          <w:caps w:val="0"/>
          <w:color w:val="222222"/>
          <w:spacing w:val="0"/>
          <w:sz w:val="28"/>
          <w:szCs w:val="28"/>
          <w:shd w:val="clear" w:fill="FFFFFF"/>
          <w:lang w:eastAsia="zh-CN"/>
        </w:rPr>
        <w:t>根据《围场满族蒙古族自治县财政局内部财政资金拨付程序》，参照</w:t>
      </w:r>
      <w:r>
        <w:rPr>
          <w:rFonts w:hint="eastAsia" w:ascii="宋体" w:hAnsi="宋体" w:eastAsia="宋体" w:cs="宋体"/>
          <w:i w:val="0"/>
          <w:caps w:val="0"/>
          <w:color w:val="222222"/>
          <w:spacing w:val="0"/>
          <w:sz w:val="28"/>
          <w:szCs w:val="28"/>
          <w:shd w:val="clear" w:fill="FFFFFF"/>
        </w:rPr>
        <w:t>《</w:t>
      </w:r>
      <w:r>
        <w:rPr>
          <w:rFonts w:hint="eastAsia" w:ascii="宋体" w:hAnsi="宋体" w:eastAsia="宋体" w:cs="宋体"/>
          <w:sz w:val="28"/>
          <w:szCs w:val="28"/>
          <w:lang w:eastAsia="zh-CN"/>
        </w:rPr>
        <w:t>地方政府一般债券预算管理办法》和财政部《项目支出绩效评价管理办法》（财预〔</w:t>
      </w:r>
      <w:r>
        <w:rPr>
          <w:rFonts w:hint="eastAsia" w:ascii="宋体" w:hAnsi="宋体" w:eastAsia="宋体" w:cs="宋体"/>
          <w:sz w:val="28"/>
          <w:szCs w:val="28"/>
          <w:lang w:val="en-US" w:eastAsia="zh-CN"/>
        </w:rPr>
        <w:t>2020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10号</w:t>
      </w:r>
      <w:r>
        <w:rPr>
          <w:rFonts w:hint="eastAsia" w:ascii="宋体" w:hAnsi="宋体" w:eastAsia="宋体" w:cs="宋体"/>
          <w:sz w:val="28"/>
          <w:szCs w:val="28"/>
          <w:lang w:eastAsia="zh-CN"/>
        </w:rPr>
        <w:t>）等文件规定，承德燕山会计师事务所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公司接受</w:t>
      </w:r>
      <w:r>
        <w:rPr>
          <w:rFonts w:hint="eastAsia" w:ascii="宋体" w:hAnsi="宋体" w:eastAsia="宋体" w:cs="宋体"/>
          <w:sz w:val="28"/>
          <w:szCs w:val="28"/>
          <w:lang w:eastAsia="zh-CN"/>
        </w:rPr>
        <w:t>围场满族蒙古族自治县财政局</w:t>
      </w:r>
      <w:r>
        <w:rPr>
          <w:rFonts w:hint="eastAsia" w:ascii="宋体" w:hAnsi="宋体" w:eastAsia="宋体" w:cs="宋体"/>
          <w:sz w:val="28"/>
          <w:szCs w:val="28"/>
        </w:rPr>
        <w:t>委托，</w:t>
      </w:r>
      <w:r>
        <w:rPr>
          <w:rFonts w:hint="eastAsia" w:ascii="宋体" w:hAnsi="宋体" w:eastAsia="宋体" w:cs="宋体"/>
          <w:sz w:val="28"/>
          <w:szCs w:val="28"/>
          <w:lang w:eastAsia="zh-CN"/>
        </w:rPr>
        <w:t>成立</w:t>
      </w:r>
      <w:r>
        <w:rPr>
          <w:rFonts w:hint="eastAsia" w:ascii="宋体" w:hAnsi="宋体" w:eastAsia="宋体" w:cs="宋体"/>
          <w:sz w:val="28"/>
          <w:szCs w:val="28"/>
        </w:rPr>
        <w:t>了</w:t>
      </w:r>
      <w:r>
        <w:rPr>
          <w:rFonts w:hint="eastAsia" w:ascii="宋体" w:hAnsi="宋体" w:eastAsia="宋体" w:cs="宋体"/>
          <w:sz w:val="28"/>
          <w:szCs w:val="28"/>
          <w:lang w:eastAsia="zh-CN"/>
        </w:rPr>
        <w:t>绩效</w:t>
      </w:r>
      <w:r>
        <w:rPr>
          <w:rFonts w:hint="eastAsia" w:ascii="宋体" w:hAnsi="宋体" w:eastAsia="宋体" w:cs="宋体"/>
          <w:sz w:val="28"/>
          <w:szCs w:val="28"/>
        </w:rPr>
        <w:t>评价小组</w:t>
      </w:r>
      <w:r>
        <w:rPr>
          <w:rFonts w:hint="eastAsia" w:ascii="宋体" w:hAnsi="宋体" w:eastAsia="宋体" w:cs="宋体"/>
          <w:sz w:val="28"/>
          <w:szCs w:val="28"/>
          <w:lang w:eastAsia="zh-CN"/>
        </w:rPr>
        <w:t>，对围场县公路工程建设管理站2016年农村客运站点建设项目</w:t>
      </w:r>
      <w:r>
        <w:rPr>
          <w:rFonts w:hint="eastAsia" w:ascii="宋体" w:hAnsi="宋体" w:eastAsia="宋体" w:cs="宋体"/>
          <w:sz w:val="28"/>
          <w:szCs w:val="28"/>
          <w:lang w:val="en-US" w:eastAsia="zh-CN"/>
        </w:rPr>
        <w:t>新增一般债券资金使用情况做绩效评价工作。</w:t>
      </w:r>
      <w:r>
        <w:rPr>
          <w:rFonts w:hint="eastAsia" w:ascii="宋体" w:hAnsi="宋体" w:eastAsia="宋体" w:cs="宋体"/>
          <w:sz w:val="28"/>
          <w:szCs w:val="28"/>
          <w:lang w:eastAsia="zh-CN"/>
        </w:rPr>
        <w:t>本次绩效评价所涉及到的债券资金使用部分的</w:t>
      </w:r>
      <w:r>
        <w:rPr>
          <w:rFonts w:hint="eastAsia" w:ascii="宋体" w:hAnsi="宋体" w:eastAsia="宋体" w:cs="宋体"/>
          <w:sz w:val="28"/>
          <w:szCs w:val="28"/>
        </w:rPr>
        <w:t>工程项目资料</w:t>
      </w:r>
      <w:r>
        <w:rPr>
          <w:rFonts w:hint="eastAsia" w:ascii="宋体" w:hAnsi="宋体" w:eastAsia="宋体" w:cs="宋体"/>
          <w:sz w:val="28"/>
          <w:szCs w:val="28"/>
          <w:lang w:eastAsia="zh-CN"/>
        </w:rPr>
        <w:t>、财务数据</w:t>
      </w:r>
      <w:r>
        <w:rPr>
          <w:rFonts w:hint="eastAsia" w:ascii="宋体" w:hAnsi="宋体" w:eastAsia="宋体" w:cs="宋体"/>
          <w:sz w:val="28"/>
          <w:szCs w:val="28"/>
        </w:rPr>
        <w:t>以及其他</w:t>
      </w:r>
      <w:r>
        <w:rPr>
          <w:rFonts w:hint="eastAsia" w:ascii="宋体" w:hAnsi="宋体" w:eastAsia="宋体" w:cs="宋体"/>
          <w:sz w:val="28"/>
          <w:szCs w:val="28"/>
          <w:lang w:eastAsia="zh-CN"/>
        </w:rPr>
        <w:t>与本评价项目</w:t>
      </w:r>
      <w:r>
        <w:rPr>
          <w:rFonts w:hint="eastAsia" w:ascii="宋体" w:hAnsi="宋体" w:eastAsia="宋体" w:cs="宋体"/>
          <w:sz w:val="28"/>
          <w:szCs w:val="28"/>
        </w:rPr>
        <w:t>相关资料的真实性、</w:t>
      </w:r>
      <w:r>
        <w:rPr>
          <w:rFonts w:hint="eastAsia" w:ascii="宋体" w:hAnsi="宋体" w:eastAsia="宋体" w:cs="宋体"/>
          <w:sz w:val="28"/>
          <w:szCs w:val="28"/>
          <w:lang w:eastAsia="zh-CN"/>
        </w:rPr>
        <w:t>合法性、</w:t>
      </w:r>
      <w:r>
        <w:rPr>
          <w:rFonts w:hint="eastAsia" w:ascii="宋体" w:hAnsi="宋体" w:eastAsia="宋体" w:cs="宋体"/>
          <w:sz w:val="28"/>
          <w:szCs w:val="28"/>
        </w:rPr>
        <w:t>完整性、</w:t>
      </w:r>
      <w:r>
        <w:rPr>
          <w:rFonts w:hint="eastAsia" w:ascii="宋体" w:hAnsi="宋体" w:eastAsia="宋体" w:cs="宋体"/>
          <w:sz w:val="28"/>
          <w:szCs w:val="28"/>
          <w:lang w:eastAsia="zh-CN"/>
        </w:rPr>
        <w:t>有效</w:t>
      </w:r>
      <w:r>
        <w:rPr>
          <w:rFonts w:hint="eastAsia" w:ascii="宋体" w:hAnsi="宋体" w:eastAsia="宋体" w:cs="宋体"/>
          <w:sz w:val="28"/>
          <w:szCs w:val="28"/>
        </w:rPr>
        <w:t>性由</w:t>
      </w:r>
      <w:r>
        <w:rPr>
          <w:rFonts w:hint="eastAsia" w:ascii="宋体" w:hAnsi="宋体" w:eastAsia="宋体" w:cs="宋体"/>
          <w:sz w:val="28"/>
          <w:szCs w:val="28"/>
          <w:lang w:eastAsia="zh-CN"/>
        </w:rPr>
        <w:t>被评价单位</w:t>
      </w:r>
      <w:r>
        <w:rPr>
          <w:rFonts w:hint="eastAsia" w:ascii="宋体" w:hAnsi="宋体" w:eastAsia="宋体" w:cs="宋体"/>
          <w:sz w:val="28"/>
          <w:szCs w:val="28"/>
        </w:rPr>
        <w:t>负责</w:t>
      </w:r>
      <w:r>
        <w:rPr>
          <w:rFonts w:hint="eastAsia" w:ascii="宋体" w:hAnsi="宋体" w:eastAsia="宋体" w:cs="宋体"/>
          <w:sz w:val="28"/>
          <w:szCs w:val="28"/>
          <w:lang w:eastAsia="zh-CN"/>
        </w:rPr>
        <w:t>并提供给我方。根据</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年度</w:t>
      </w:r>
      <w:r>
        <w:rPr>
          <w:rFonts w:hint="eastAsia" w:ascii="宋体" w:hAnsi="宋体" w:eastAsia="宋体" w:cs="宋体"/>
          <w:sz w:val="28"/>
          <w:szCs w:val="28"/>
          <w:lang w:eastAsia="zh-CN"/>
        </w:rPr>
        <w:t>围场县</w:t>
      </w:r>
      <w:r>
        <w:rPr>
          <w:rFonts w:hint="eastAsia" w:ascii="宋体" w:hAnsi="宋体" w:eastAsia="宋体" w:cs="宋体"/>
          <w:sz w:val="28"/>
          <w:szCs w:val="28"/>
        </w:rPr>
        <w:t>地方政府</w:t>
      </w:r>
      <w:r>
        <w:rPr>
          <w:rFonts w:hint="eastAsia" w:ascii="宋体" w:hAnsi="宋体" w:eastAsia="宋体" w:cs="宋体"/>
          <w:sz w:val="28"/>
          <w:szCs w:val="28"/>
          <w:lang w:eastAsia="zh-CN"/>
        </w:rPr>
        <w:t>新增一般</w:t>
      </w:r>
      <w:r>
        <w:rPr>
          <w:rFonts w:hint="eastAsia" w:ascii="宋体" w:hAnsi="宋体" w:eastAsia="宋体" w:cs="宋体"/>
          <w:sz w:val="28"/>
          <w:szCs w:val="28"/>
        </w:rPr>
        <w:t>债劵资金项目</w:t>
      </w:r>
      <w:r>
        <w:rPr>
          <w:rFonts w:hint="eastAsia" w:ascii="宋体" w:hAnsi="宋体" w:eastAsia="宋体" w:cs="宋体"/>
          <w:sz w:val="28"/>
          <w:szCs w:val="28"/>
          <w:lang w:eastAsia="zh-CN"/>
        </w:rPr>
        <w:t>的投入情况，我们将从项目的</w:t>
      </w:r>
      <w:r>
        <w:rPr>
          <w:rFonts w:hint="eastAsia" w:ascii="宋体" w:hAnsi="宋体" w:eastAsia="宋体" w:cs="宋体"/>
          <w:sz w:val="28"/>
          <w:szCs w:val="28"/>
        </w:rPr>
        <w:t>投入指标、管理指标、产出指标和效益指标</w:t>
      </w:r>
      <w:r>
        <w:rPr>
          <w:rFonts w:hint="eastAsia" w:ascii="宋体" w:hAnsi="宋体" w:eastAsia="宋体" w:cs="宋体"/>
          <w:sz w:val="28"/>
          <w:szCs w:val="28"/>
          <w:lang w:eastAsia="zh-CN"/>
        </w:rPr>
        <w:t>四</w:t>
      </w:r>
      <w:r>
        <w:rPr>
          <w:rFonts w:hint="eastAsia" w:ascii="宋体" w:hAnsi="宋体" w:eastAsia="宋体" w:cs="宋体"/>
          <w:sz w:val="28"/>
          <w:szCs w:val="28"/>
        </w:rPr>
        <w:t>个方面进行</w:t>
      </w:r>
      <w:r>
        <w:rPr>
          <w:rFonts w:hint="eastAsia" w:ascii="宋体" w:hAnsi="宋体" w:eastAsia="宋体" w:cs="宋体"/>
          <w:sz w:val="28"/>
          <w:szCs w:val="28"/>
          <w:lang w:eastAsia="zh-CN"/>
        </w:rPr>
        <w:t>全面综合的</w:t>
      </w:r>
      <w:r>
        <w:rPr>
          <w:rFonts w:hint="eastAsia" w:ascii="宋体" w:hAnsi="宋体" w:eastAsia="宋体" w:cs="宋体"/>
          <w:sz w:val="28"/>
          <w:szCs w:val="28"/>
        </w:rPr>
        <w:t>绩效考评工作。现将有关情况报告如下：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黑体" w:hAnsi="黑体" w:eastAsia="黑体" w:cs="黑体"/>
          <w:b/>
          <w:bCs w:val="0"/>
          <w:sz w:val="32"/>
          <w:szCs w:val="32"/>
        </w:rPr>
      </w:pPr>
      <w:bookmarkStart w:id="7" w:name="_Toc11466"/>
      <w:bookmarkStart w:id="8" w:name="_Toc8932"/>
      <w:r>
        <w:rPr>
          <w:rFonts w:hint="eastAsia" w:ascii="黑体" w:hAnsi="黑体" w:eastAsia="黑体" w:cs="黑体"/>
          <w:b/>
          <w:bCs w:val="0"/>
          <w:sz w:val="32"/>
          <w:szCs w:val="32"/>
        </w:rPr>
        <w:t>一、项目基本</w:t>
      </w:r>
      <w:r>
        <w:rPr>
          <w:rFonts w:hint="eastAsia" w:ascii="黑体" w:hAnsi="黑体" w:eastAsia="黑体" w:cs="黑体"/>
          <w:b/>
          <w:bCs w:val="0"/>
          <w:sz w:val="32"/>
          <w:szCs w:val="32"/>
          <w:lang w:eastAsia="zh-CN"/>
        </w:rPr>
        <w:t>情况</w:t>
      </w:r>
      <w:bookmarkEnd w:id="7"/>
      <w:bookmarkEnd w:id="8"/>
    </w:p>
    <w:p>
      <w:pPr>
        <w:spacing w:line="600" w:lineRule="exact"/>
        <w:ind w:firstLine="643" w:firstLineChars="200"/>
        <w:outlineLvl w:val="1"/>
        <w:rPr>
          <w:rFonts w:hint="eastAsia" w:ascii="楷体" w:hAnsi="楷体" w:eastAsia="楷体" w:cs="楷体"/>
          <w:b/>
          <w:bCs w:val="0"/>
          <w:sz w:val="32"/>
          <w:szCs w:val="32"/>
          <w:lang w:eastAsia="zh-CN"/>
        </w:rPr>
      </w:pPr>
      <w:bookmarkStart w:id="9" w:name="_Toc22287"/>
      <w:bookmarkStart w:id="10" w:name="_Toc1188"/>
      <w:r>
        <w:rPr>
          <w:rFonts w:hint="eastAsia" w:ascii="楷体" w:hAnsi="楷体" w:eastAsia="楷体" w:cs="楷体"/>
          <w:b/>
          <w:bCs w:val="0"/>
          <w:sz w:val="32"/>
          <w:szCs w:val="32"/>
        </w:rPr>
        <w:t>（一）项目</w:t>
      </w:r>
      <w:r>
        <w:rPr>
          <w:rFonts w:hint="eastAsia" w:ascii="楷体" w:hAnsi="楷体" w:eastAsia="楷体" w:cs="楷体"/>
          <w:b/>
          <w:bCs w:val="0"/>
          <w:sz w:val="32"/>
          <w:szCs w:val="32"/>
          <w:lang w:eastAsia="zh-CN"/>
        </w:rPr>
        <w:t>概况</w:t>
      </w:r>
      <w:bookmarkEnd w:id="9"/>
      <w:bookmarkEnd w:id="10"/>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根据围场满族蒙古族自治县人民政府文件（围政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100号）精神，围场县人民政府做了关于2019年新增地方政府债券限额管理及使用方案的报告。根据河北省财政厅《关于下达2019年市县第三批新增政府债券资金的通知》（冀财债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27号）下达围场县新增政府一般债券资金40000万元。</w:t>
      </w:r>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结合围场县政府2019年重点建设项目安排情况，围场县对2019年新增一般债券资金使用情况进行调整，经县政府同意，将新增一般债券使用项目重新进行安排。</w:t>
      </w:r>
      <w:r>
        <w:rPr>
          <w:rFonts w:hint="eastAsia" w:ascii="宋体" w:hAnsi="宋体" w:eastAsia="宋体" w:cs="宋体"/>
          <w:sz w:val="28"/>
          <w:szCs w:val="28"/>
        </w:rPr>
        <w:t>根据《</w:t>
      </w:r>
      <w:r>
        <w:rPr>
          <w:rFonts w:hint="eastAsia" w:ascii="宋体" w:hAnsi="宋体" w:eastAsia="宋体" w:cs="宋体"/>
          <w:sz w:val="28"/>
          <w:szCs w:val="28"/>
          <w:lang w:val="en-US" w:eastAsia="zh-CN"/>
        </w:rPr>
        <w:t>中华人民共和国</w:t>
      </w:r>
      <w:bookmarkStart w:id="101" w:name="_GoBack"/>
      <w:bookmarkEnd w:id="101"/>
      <w:r>
        <w:rPr>
          <w:rFonts w:hint="eastAsia" w:ascii="宋体" w:hAnsi="宋体" w:eastAsia="宋体" w:cs="宋体"/>
          <w:sz w:val="28"/>
          <w:szCs w:val="28"/>
        </w:rPr>
        <w:t>预算法》和</w:t>
      </w:r>
      <w:r>
        <w:rPr>
          <w:rFonts w:hint="default" w:ascii="宋体" w:hAnsi="宋体" w:eastAsia="宋体" w:cs="宋体"/>
          <w:sz w:val="28"/>
          <w:szCs w:val="28"/>
        </w:rPr>
        <w:t>《国务院关于加强地方政府性债务管理的意见》</w:t>
      </w:r>
      <w:r>
        <w:rPr>
          <w:rFonts w:hint="eastAsia" w:ascii="宋体" w:hAnsi="宋体" w:eastAsia="宋体" w:cs="宋体"/>
          <w:sz w:val="28"/>
          <w:szCs w:val="28"/>
          <w:lang w:eastAsia="zh-CN"/>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sz w:val="28"/>
          <w:szCs w:val="28"/>
          <w:highlight w:val="none"/>
          <w:lang w:eastAsia="zh-CN"/>
        </w:rPr>
        <w:t>其中投入</w:t>
      </w:r>
      <w:r>
        <w:rPr>
          <w:rFonts w:hint="eastAsia" w:ascii="宋体" w:hAnsi="宋体" w:eastAsia="宋体" w:cs="宋体"/>
          <w:sz w:val="28"/>
          <w:szCs w:val="28"/>
          <w:lang w:eastAsia="zh-CN"/>
        </w:rPr>
        <w:t>围场县公路工程建设管理站2016年农村客运站点建设项目</w:t>
      </w:r>
      <w:r>
        <w:rPr>
          <w:rFonts w:hint="eastAsia" w:ascii="宋体" w:hAnsi="宋体" w:eastAsia="宋体" w:cs="宋体"/>
          <w:sz w:val="28"/>
          <w:szCs w:val="28"/>
          <w:highlight w:val="none"/>
          <w:lang w:eastAsia="zh-CN"/>
        </w:rPr>
        <w:t>的债券资金共计</w:t>
      </w:r>
      <w:r>
        <w:rPr>
          <w:rFonts w:hint="eastAsia" w:ascii="宋体" w:hAnsi="宋体" w:eastAsia="宋体" w:cs="宋体"/>
          <w:sz w:val="28"/>
          <w:szCs w:val="28"/>
          <w:highlight w:val="none"/>
          <w:lang w:val="en-US" w:eastAsia="zh-CN"/>
        </w:rPr>
        <w:t>181.44万元。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1.项目名称</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sz w:val="28"/>
          <w:szCs w:val="28"/>
          <w:lang w:eastAsia="zh-CN"/>
        </w:rPr>
        <w:t>围场县公路工程建设管理站2016年农村客运站点建设项目</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2.建设地点</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围场满族蒙古族自治县206个行政村</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3.建设单位</w:t>
      </w:r>
    </w:p>
    <w:p>
      <w:pPr>
        <w:ind w:firstLine="560" w:firstLineChars="200"/>
        <w:rPr>
          <w:rFonts w:hint="eastAsia" w:ascii="宋体" w:hAnsi="宋体" w:eastAsia="宋体" w:cs="宋体"/>
          <w:sz w:val="28"/>
          <w:szCs w:val="28"/>
          <w:highlight w:val="yellow"/>
          <w:lang w:eastAsia="zh-CN"/>
        </w:rPr>
      </w:pPr>
      <w:r>
        <w:rPr>
          <w:rFonts w:hint="eastAsia" w:ascii="宋体" w:hAnsi="宋体" w:eastAsia="宋体" w:cs="宋体"/>
          <w:sz w:val="28"/>
          <w:szCs w:val="28"/>
          <w:highlight w:val="none"/>
          <w:lang w:eastAsia="zh-CN"/>
        </w:rPr>
        <w:t>围场满族蒙古族自治县交通运输局</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4.建设背景</w:t>
      </w:r>
    </w:p>
    <w:p>
      <w:pPr>
        <w:pStyle w:val="6"/>
        <w:ind w:left="0" w:leftChars="0"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围场满族蒙古族自治县隶属于河北省承德市，位于承德市北部，地理坐标为东京116°32′-118°14′，北纬41°35′-42°40′，东、西、北三面分别与内蒙古喀喇沁旗、赤峰市、克什克腾旗、多伦县接壤，西南和南面分别与丰宁满族自治县、隆化县相连。县境东西长138公里，南北宽118公里，总面积9219平方公里。围场满族蒙古族自治县为华北地区通往内蒙古和东北地区的交通要道之一。围多公路、承赤西线公路和承围公路交汇于此；京通铁路从庙宫入境，经四合永、腰站、银窝沟、克勒沟、朝阳地等5个乡（镇）出境入内蒙古自治区。县城距境内最近的火车站—四合永站18公里。</w:t>
      </w:r>
    </w:p>
    <w:p>
      <w:pPr>
        <w:pStyle w:val="6"/>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截止到2015年底，围场县公路总里程达到1259.88公里，全县有津围、承围、围京、围多4条干线公路、4条县级公路。全县37个乡镇312个行政村实现乡乡通油路、村村通公路，基本形成了以县城为中心、干线公路为主骨架、县乡公路为支骨架、村级公路为脉络的“四纵四横”县内交通网。</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全县现有国家二级汽车客运站1个，农村五级客运站5个，农村简易汽车站8个。为推动农村客运网络化建设，改善农村群众候车条件，本项目拟建客运候车亭，站点分布在沿线村庄，站亭内配备候车座位、宣传栏等实用装备，并在宣传栏上标明站点名称、途径线路、班次及服务监督电话等</w:t>
      </w:r>
      <w:r>
        <w:rPr>
          <w:rFonts w:hint="eastAsia" w:ascii="宋体" w:hAnsi="宋体" w:eastAsia="宋体" w:cs="宋体"/>
          <w:kern w:val="2"/>
          <w:sz w:val="28"/>
          <w:szCs w:val="28"/>
          <w:lang w:val="en-US" w:eastAsia="zh-CN" w:bidi="ar-SA"/>
        </w:rPr>
        <w:t>。</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none"/>
          <w:lang w:val="en-US" w:eastAsia="zh-CN" w:bidi="ar-SA"/>
        </w:rPr>
        <w:t>5.</w:t>
      </w:r>
      <w:r>
        <w:rPr>
          <w:rFonts w:hint="eastAsia" w:ascii="宋体" w:hAnsi="宋体" w:eastAsia="宋体" w:cs="宋体"/>
          <w:sz w:val="28"/>
          <w:szCs w:val="28"/>
          <w:lang w:val="en-US" w:eastAsia="zh-CN"/>
        </w:rPr>
        <w:t>项目建设的必要性</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sz w:val="28"/>
          <w:szCs w:val="28"/>
          <w:lang w:val="en-US" w:eastAsia="zh-CN"/>
        </w:rPr>
        <w:t>城乡道路客运网络一体化建设，一直是百姓关注和热议的话题。经过几年的建设发展，围场县城乡道路客运网络一体化建设已初具规模，解决了城市公共交通、城际客运、农村客运发展不平衡，网络不协调，衔接不顺畅，政策不配套等难题。建设候车亭是保障社会经济持续发展的迫切需要；是落实中央及地方有关精神的需要；是实现城乡对接，满足经济发展的需要；是有效改善群众候车条件的需要；综上所述，本项目的建设是十分必要和迫切的。</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none"/>
          <w:lang w:val="en-US" w:eastAsia="zh-CN" w:bidi="ar-SA"/>
        </w:rPr>
        <w:t>6.项目总投资及资金来源</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预算总投资618万元，其中省补投资309万元，地方配套309万元，其中包括政府新增一般债券资金181.44万元</w:t>
      </w:r>
      <w:r>
        <w:rPr>
          <w:rFonts w:hint="eastAsia" w:ascii="宋体" w:hAnsi="宋体" w:eastAsia="宋体" w:cs="宋体"/>
          <w:kern w:val="2"/>
          <w:sz w:val="28"/>
          <w:szCs w:val="28"/>
          <w:lang w:val="en-US" w:eastAsia="zh-CN" w:bidi="ar-SA"/>
        </w:rPr>
        <w:t>。</w:t>
      </w:r>
    </w:p>
    <w:p>
      <w:pPr>
        <w:spacing w:line="600" w:lineRule="exact"/>
        <w:ind w:firstLine="643" w:firstLineChars="200"/>
        <w:outlineLvl w:val="1"/>
        <w:rPr>
          <w:rFonts w:hint="default" w:ascii="楷体" w:hAnsi="楷体" w:eastAsia="楷体" w:cs="楷体"/>
          <w:b/>
          <w:bCs w:val="0"/>
          <w:sz w:val="32"/>
          <w:szCs w:val="32"/>
          <w:highlight w:val="none"/>
          <w:lang w:val="en-US" w:eastAsia="zh-CN"/>
        </w:rPr>
      </w:pPr>
      <w:bookmarkStart w:id="11" w:name="_Toc5938"/>
      <w:r>
        <w:rPr>
          <w:rFonts w:hint="eastAsia" w:ascii="楷体" w:hAnsi="楷体" w:eastAsia="楷体" w:cs="楷体"/>
          <w:b/>
          <w:bCs w:val="0"/>
          <w:sz w:val="32"/>
          <w:szCs w:val="32"/>
          <w:highlight w:val="none"/>
          <w:lang w:val="en-US" w:eastAsia="zh-CN"/>
        </w:rPr>
        <w:t>（二）项目绩效目标</w:t>
      </w:r>
      <w:bookmarkEnd w:id="11"/>
    </w:p>
    <w:p>
      <w:pPr>
        <w:spacing w:line="600" w:lineRule="exact"/>
        <w:ind w:firstLine="560" w:firstLineChars="200"/>
        <w:outlineLvl w:val="1"/>
        <w:rPr>
          <w:rFonts w:hint="eastAsia" w:ascii="宋体" w:hAnsi="宋体" w:eastAsia="宋体" w:cs="宋体"/>
          <w:kern w:val="2"/>
          <w:sz w:val="28"/>
          <w:szCs w:val="28"/>
          <w:lang w:val="en-US" w:eastAsia="zh-CN" w:bidi="ar-SA"/>
        </w:rPr>
      </w:pPr>
      <w:bookmarkStart w:id="12" w:name="_Toc11686"/>
      <w:bookmarkStart w:id="13" w:name="_Toc10859"/>
      <w:bookmarkStart w:id="14" w:name="_Toc30152"/>
      <w:bookmarkStart w:id="15" w:name="_Toc12271"/>
      <w:r>
        <w:rPr>
          <w:rFonts w:hint="eastAsia" w:ascii="宋体" w:hAnsi="宋体" w:eastAsia="宋体" w:cs="宋体"/>
          <w:sz w:val="28"/>
          <w:szCs w:val="28"/>
          <w:lang w:val="en-US" w:eastAsia="zh-CN"/>
        </w:rPr>
        <w:t>农村客运站点候车亭建设项目分布在206个行政村，项目预算总投资618万元</w:t>
      </w:r>
      <w:r>
        <w:rPr>
          <w:rFonts w:hint="eastAsia" w:ascii="宋体" w:hAnsi="宋体" w:eastAsia="宋体" w:cs="宋体"/>
          <w:kern w:val="2"/>
          <w:sz w:val="28"/>
          <w:szCs w:val="28"/>
          <w:lang w:val="en-US" w:eastAsia="zh-CN" w:bidi="ar-SA"/>
        </w:rPr>
        <w:t>。</w:t>
      </w:r>
      <w:bookmarkEnd w:id="12"/>
      <w:bookmarkEnd w:id="13"/>
      <w:bookmarkEnd w:id="14"/>
      <w:bookmarkStart w:id="16" w:name="_Toc28894"/>
    </w:p>
    <w:p>
      <w:pPr>
        <w:spacing w:line="600" w:lineRule="exact"/>
        <w:ind w:firstLine="560" w:firstLineChars="200"/>
        <w:outlineLvl w:val="1"/>
        <w:rPr>
          <w:rFonts w:hint="eastAsia" w:ascii="宋体" w:hAnsi="宋体" w:eastAsia="宋体" w:cs="宋体"/>
          <w:kern w:val="2"/>
          <w:sz w:val="28"/>
          <w:szCs w:val="28"/>
          <w:lang w:val="en-US" w:eastAsia="zh-CN" w:bidi="ar-SA"/>
        </w:rPr>
      </w:pPr>
      <w:bookmarkStart w:id="17" w:name="_Toc27300"/>
      <w:bookmarkStart w:id="18" w:name="_Toc31882"/>
      <w:bookmarkStart w:id="19" w:name="_Toc10011"/>
      <w:r>
        <w:rPr>
          <w:rFonts w:hint="eastAsia" w:ascii="宋体" w:hAnsi="宋体" w:eastAsia="宋体" w:cs="宋体"/>
          <w:b w:val="0"/>
          <w:bCs/>
          <w:sz w:val="28"/>
          <w:szCs w:val="28"/>
          <w:lang w:val="en-US" w:eastAsia="zh-CN"/>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b w:val="0"/>
          <w:bCs w:val="0"/>
          <w:color w:val="000000"/>
          <w:kern w:val="0"/>
          <w:sz w:val="28"/>
          <w:szCs w:val="28"/>
          <w:highlight w:val="none"/>
        </w:rPr>
        <w:t>。</w:t>
      </w:r>
      <w:bookmarkEnd w:id="16"/>
      <w:bookmarkEnd w:id="17"/>
      <w:bookmarkEnd w:id="18"/>
      <w:bookmarkEnd w:id="19"/>
    </w:p>
    <w:p>
      <w:pPr>
        <w:spacing w:line="600" w:lineRule="exact"/>
        <w:ind w:firstLine="643" w:firstLineChars="200"/>
        <w:outlineLvl w:val="1"/>
        <w:rPr>
          <w:rFonts w:hint="eastAsia" w:ascii="楷体" w:hAnsi="楷体" w:eastAsia="楷体" w:cs="楷体"/>
          <w:b/>
          <w:bCs w:val="0"/>
          <w:sz w:val="32"/>
          <w:szCs w:val="32"/>
          <w:lang w:val="en-US" w:eastAsia="zh-CN"/>
        </w:rPr>
      </w:pPr>
      <w:bookmarkStart w:id="20" w:name="_Toc25548"/>
      <w:r>
        <w:rPr>
          <w:rFonts w:hint="eastAsia" w:ascii="楷体" w:hAnsi="楷体" w:eastAsia="楷体" w:cs="楷体"/>
          <w:b/>
          <w:bCs w:val="0"/>
          <w:sz w:val="32"/>
          <w:szCs w:val="32"/>
          <w:lang w:val="en-US" w:eastAsia="zh-CN"/>
        </w:rPr>
        <w:t>（三）评价对象和时段</w:t>
      </w:r>
      <w:bookmarkEnd w:id="15"/>
      <w:bookmarkEnd w:id="20"/>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本次考核评价对象：</w:t>
      </w:r>
      <w:r>
        <w:rPr>
          <w:rFonts w:hint="eastAsia" w:ascii="宋体" w:hAnsi="宋体" w:eastAsia="宋体" w:cs="宋体"/>
          <w:sz w:val="28"/>
          <w:szCs w:val="28"/>
          <w:lang w:eastAsia="zh-CN"/>
        </w:rPr>
        <w:t>围场县公路工程建设管理站2016年农村客运站点建设项目。</w:t>
      </w:r>
      <w:r>
        <w:rPr>
          <w:rFonts w:hint="eastAsia" w:ascii="宋体" w:hAnsi="宋体" w:eastAsia="宋体" w:cs="宋体"/>
          <w:sz w:val="28"/>
          <w:szCs w:val="28"/>
        </w:rPr>
        <w:t>从</w:t>
      </w:r>
      <w:r>
        <w:rPr>
          <w:rFonts w:hint="eastAsia" w:ascii="宋体" w:hAnsi="宋体" w:eastAsia="宋体" w:cs="宋体"/>
          <w:sz w:val="28"/>
          <w:szCs w:val="28"/>
          <w:lang w:eastAsia="zh-CN"/>
        </w:rPr>
        <w:t>项目</w:t>
      </w:r>
      <w:r>
        <w:rPr>
          <w:rFonts w:hint="eastAsia" w:ascii="宋体" w:hAnsi="宋体" w:eastAsia="宋体" w:cs="宋体"/>
          <w:sz w:val="28"/>
          <w:szCs w:val="28"/>
        </w:rPr>
        <w:t>投入、管理、产出</w:t>
      </w:r>
      <w:r>
        <w:rPr>
          <w:rFonts w:hint="eastAsia" w:ascii="宋体" w:hAnsi="宋体" w:eastAsia="宋体" w:cs="宋体"/>
          <w:sz w:val="28"/>
          <w:szCs w:val="28"/>
          <w:lang w:eastAsia="zh-CN"/>
        </w:rPr>
        <w:t>、效益</w:t>
      </w:r>
      <w:r>
        <w:rPr>
          <w:rFonts w:hint="eastAsia" w:ascii="宋体" w:hAnsi="宋体" w:eastAsia="宋体" w:cs="宋体"/>
          <w:sz w:val="28"/>
          <w:szCs w:val="28"/>
        </w:rPr>
        <w:t>等方面进行全面的评价</w:t>
      </w:r>
      <w:r>
        <w:rPr>
          <w:rFonts w:hint="eastAsia" w:ascii="宋体" w:hAnsi="宋体" w:eastAsia="宋体" w:cs="宋体"/>
          <w:b w:val="0"/>
          <w:bCs w:val="0"/>
          <w:sz w:val="28"/>
          <w:szCs w:val="28"/>
          <w:lang w:val="en-US" w:eastAsia="zh-CN"/>
        </w:rPr>
        <w:t>考核。</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b w:val="0"/>
          <w:bCs w:val="0"/>
          <w:sz w:val="28"/>
          <w:szCs w:val="28"/>
          <w:lang w:val="en-US" w:eastAsia="zh-CN"/>
        </w:rPr>
        <w:t>考核时段：从项目决策阶段立项开始，经过项目实施阶段到最后的项目结束竣工验收。</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黑体" w:hAnsi="黑体" w:eastAsia="黑体" w:cs="黑体"/>
          <w:b/>
          <w:bCs/>
          <w:sz w:val="32"/>
          <w:szCs w:val="32"/>
          <w:lang w:val="en-US" w:eastAsia="zh-CN"/>
        </w:rPr>
      </w:pPr>
      <w:bookmarkStart w:id="21" w:name="_Toc5218"/>
      <w:r>
        <w:rPr>
          <w:rFonts w:hint="eastAsia" w:ascii="黑体" w:hAnsi="黑体" w:eastAsia="黑体" w:cs="黑体"/>
          <w:b/>
          <w:bCs/>
          <w:sz w:val="32"/>
          <w:szCs w:val="32"/>
          <w:lang w:val="en-US" w:eastAsia="zh-CN"/>
        </w:rPr>
        <w:t>二、绩效评价工作开展情况</w:t>
      </w:r>
      <w:bookmarkEnd w:id="21"/>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sz w:val="32"/>
          <w:szCs w:val="32"/>
          <w:lang w:eastAsia="zh-CN"/>
        </w:rPr>
      </w:pPr>
      <w:bookmarkStart w:id="22" w:name="_Toc26913"/>
      <w:r>
        <w:rPr>
          <w:rFonts w:hint="eastAsia" w:ascii="楷体" w:hAnsi="楷体" w:eastAsia="楷体" w:cs="楷体"/>
          <w:b/>
          <w:bCs/>
          <w:sz w:val="32"/>
          <w:szCs w:val="32"/>
          <w:lang w:val="en-US" w:eastAsia="zh-CN"/>
        </w:rPr>
        <w:t>（一）绩效评价指标权重和绩效评价指标体系</w:t>
      </w:r>
      <w:bookmarkEnd w:id="22"/>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1.绩效评价指标权重</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b/>
                <w:bCs/>
                <w:kern w:val="0"/>
                <w:sz w:val="28"/>
                <w:szCs w:val="28"/>
              </w:rPr>
            </w:pPr>
          </w:p>
        </w:tc>
        <w:tc>
          <w:tcPr>
            <w:tcW w:w="1448"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投入指标</w:t>
            </w:r>
            <w:r>
              <w:rPr>
                <w:rFonts w:hint="eastAsia" w:asciiTheme="minorEastAsia" w:hAnsiTheme="minorEastAsia" w:cstheme="minorEastAsia"/>
                <w:kern w:val="0"/>
                <w:sz w:val="28"/>
                <w:szCs w:val="28"/>
                <w:lang w:val="en-US" w:eastAsia="zh-CN"/>
              </w:rPr>
              <w:t>10分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项目立项管理10分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1</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管理指标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业务管理15分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3</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财务管理15分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rPr>
              <w:t>产出</w:t>
            </w:r>
            <w:r>
              <w:rPr>
                <w:rFonts w:hint="eastAsia" w:asciiTheme="minorEastAsia" w:hAnsiTheme="minorEastAsia" w:cstheme="minorEastAsia"/>
                <w:kern w:val="0"/>
                <w:sz w:val="28"/>
                <w:szCs w:val="28"/>
                <w:lang w:eastAsia="zh-CN"/>
              </w:rPr>
              <w:t>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项目产出管理</w:t>
            </w:r>
            <w:r>
              <w:rPr>
                <w:rFonts w:hint="eastAsia" w:asciiTheme="minorEastAsia" w:hAnsiTheme="minorEastAsia" w:cstheme="minorEastAsia"/>
                <w:kern w:val="0"/>
                <w:sz w:val="28"/>
                <w:szCs w:val="28"/>
                <w:lang w:val="en-US" w:eastAsia="zh-CN"/>
              </w:rPr>
              <w:t>30分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效益指标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社会效益情况</w:t>
            </w:r>
            <w:r>
              <w:rPr>
                <w:rFonts w:hint="eastAsia" w:asciiTheme="minorEastAsia" w:hAnsiTheme="minorEastAsia" w:cstheme="minorEastAsia"/>
                <w:kern w:val="0"/>
                <w:sz w:val="28"/>
                <w:szCs w:val="28"/>
                <w:lang w:val="en-US" w:eastAsia="zh-CN"/>
              </w:rPr>
              <w:t>20分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经济效益情况</w:t>
            </w:r>
            <w:r>
              <w:rPr>
                <w:rFonts w:hint="eastAsia" w:asciiTheme="minorEastAsia" w:hAnsiTheme="minorEastAsia" w:cstheme="minorEastAsia"/>
                <w:kern w:val="0"/>
                <w:sz w:val="28"/>
                <w:szCs w:val="28"/>
                <w:lang w:val="en-US" w:eastAsia="zh-CN"/>
              </w:rPr>
              <w:t>10分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keepNext w:val="0"/>
              <w:keepLines w:val="0"/>
              <w:suppressLineNumbers w:val="0"/>
              <w:spacing w:before="0" w:beforeAutospacing="0" w:after="0" w:afterAutospacing="0"/>
              <w:ind w:left="0" w:right="0" w:firstLine="56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2.绩效评价指标体系</w:t>
      </w:r>
    </w:p>
    <w:tbl>
      <w:tblPr>
        <w:tblStyle w:val="13"/>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251"/>
        <w:gridCol w:w="314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6" w:type="pct"/>
            <w:shd w:val="clear" w:color="auto" w:fill="BEBEBE" w:themeFill="background1" w:themeFillShade="BF"/>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一级指标</w:t>
            </w:r>
          </w:p>
        </w:tc>
        <w:tc>
          <w:tcPr>
            <w:tcW w:w="757" w:type="pct"/>
            <w:shd w:val="clear" w:color="auto" w:fill="BEBEBE" w:themeFill="background1" w:themeFillShade="BF"/>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二级指标</w:t>
            </w:r>
          </w:p>
        </w:tc>
        <w:tc>
          <w:tcPr>
            <w:tcW w:w="1906" w:type="pct"/>
            <w:shd w:val="clear" w:color="auto" w:fill="BEBEBE" w:themeFill="background1" w:themeFillShade="BF"/>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三级指标</w:t>
            </w:r>
          </w:p>
        </w:tc>
        <w:tc>
          <w:tcPr>
            <w:tcW w:w="1609" w:type="pct"/>
            <w:shd w:val="clear" w:color="auto" w:fill="BEBEBE" w:themeFill="background1" w:themeFillShade="BF"/>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6"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eastAsia="zh-CN"/>
              </w:rPr>
              <w:t>投入指标</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项目立项管理</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lang w:val="en-US" w:eastAsia="zh-CN"/>
              </w:rPr>
              <w:t>1、项目立项合规性、必要性、实施的可行性（5分）；</w:t>
            </w:r>
          </w:p>
        </w:tc>
        <w:tc>
          <w:tcPr>
            <w:tcW w:w="1609"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项目投入经济性、筹资合规性（</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项目可持续性（</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6"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管理指标</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业务管理</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15</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项目资料的完整性（</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5、政务公开情况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制定公示制度、建立公示平台、应该招标项目必须进行招标得3分，每缺少一项扣1分；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6、变更控制情况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7、项目按照方案实施情况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严格按照方案实施、可行得3分，每有一项不合理扣减0.5分；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财务管理</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15分</w:t>
            </w:r>
            <w:r>
              <w:rPr>
                <w:rFonts w:hint="eastAsia" w:asciiTheme="minorEastAsia" w:hAnsiTheme="minorEastAsia"/>
                <w:bCs/>
                <w:sz w:val="24"/>
                <w:szCs w:val="24"/>
                <w:lang w:eastAsia="zh-CN"/>
              </w:rPr>
              <w:t>）</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、资金使用合规性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、县级财政国库集中支付情况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及时拨付项目资金得7分，未及时拨付每发现一次扣1分；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会计制度执行情况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6"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产出指标</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项目产出管理</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、工程完工情况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、工期控制情况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、完工项目验收情况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6"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leftChars="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效益指标</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30份</w:t>
            </w:r>
            <w:r>
              <w:rPr>
                <w:rFonts w:hint="eastAsia" w:asciiTheme="minorEastAsia" w:hAnsiTheme="minorEastAsia"/>
                <w:bCs/>
                <w:sz w:val="24"/>
                <w:szCs w:val="24"/>
                <w:lang w:eastAsia="zh-CN"/>
              </w:rPr>
              <w:t>）</w:t>
            </w: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社会效益情况</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20</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、总体目标实现情况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cs="Times New Roman" w:asciiTheme="minorEastAsia" w:hAnsiTheme="minorEastAsia" w:eastAsiaTheme="minorEastAsia"/>
                <w:kern w:val="0"/>
                <w:sz w:val="24"/>
                <w:szCs w:val="24"/>
                <w:lang w:val="en-US" w:eastAsia="zh-CN"/>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社会效益实现情况（</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16</w:t>
            </w:r>
            <w:r>
              <w:rPr>
                <w:rFonts w:hint="eastAsia" w:ascii="宋体" w:hAnsi="宋体" w:eastAsia="宋体" w:cs="宋体"/>
                <w:color w:val="000000"/>
                <w:sz w:val="24"/>
                <w:szCs w:val="24"/>
              </w:rPr>
              <w:t>、社会环境（交通环境等）改善情况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项目建设对社会环境有明显提升得4分，提升不明显得2分，影响社会环境不得分；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经济效益情况</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17、项目建设带来的直接经济效益（3分）；</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6"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18、项目建设带来的间接经济效益（7分）；</w:t>
            </w:r>
          </w:p>
        </w:tc>
        <w:tc>
          <w:tcPr>
            <w:tcW w:w="1609"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Times New Roman"/>
                <w:bCs/>
                <w:kern w:val="2"/>
                <w:sz w:val="24"/>
                <w:szCs w:val="24"/>
                <w:lang w:val="en-US" w:eastAsia="zh-CN" w:bidi="ar"/>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总分</w:t>
            </w:r>
          </w:p>
        </w:tc>
        <w:tc>
          <w:tcPr>
            <w:tcW w:w="757"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100</w:t>
            </w:r>
          </w:p>
        </w:tc>
        <w:tc>
          <w:tcPr>
            <w:tcW w:w="3515" w:type="pct"/>
            <w:gridSpan w:val="2"/>
            <w:vAlign w:val="center"/>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Theme="minorEastAsia" w:hAnsiTheme="minorEastAsia"/>
                <w:bCs/>
                <w:sz w:val="24"/>
                <w:szCs w:val="24"/>
              </w:rPr>
            </w:pPr>
          </w:p>
        </w:tc>
      </w:tr>
    </w:tbl>
    <w:p>
      <w:pPr>
        <w:ind w:firstLine="643" w:firstLineChars="200"/>
        <w:outlineLvl w:val="1"/>
        <w:rPr>
          <w:rFonts w:hint="eastAsia" w:ascii="楷体" w:hAnsi="楷体" w:eastAsia="楷体" w:cs="楷体"/>
          <w:b/>
          <w:bCs w:val="0"/>
          <w:kern w:val="0"/>
          <w:sz w:val="32"/>
          <w:szCs w:val="32"/>
          <w:lang w:val="en-US" w:eastAsia="zh-CN" w:bidi="ar-SA"/>
        </w:rPr>
      </w:pPr>
      <w:bookmarkStart w:id="23" w:name="_Toc18252"/>
      <w:bookmarkStart w:id="24" w:name="_Toc12872"/>
      <w:r>
        <w:rPr>
          <w:rFonts w:hint="eastAsia" w:ascii="楷体" w:hAnsi="楷体" w:eastAsia="楷体" w:cs="楷体"/>
          <w:b/>
          <w:bCs w:val="0"/>
          <w:kern w:val="0"/>
          <w:sz w:val="32"/>
          <w:szCs w:val="32"/>
          <w:lang w:val="en-US" w:eastAsia="zh-CN" w:bidi="ar-SA"/>
        </w:rPr>
        <w:t>（二）绩效评价目的和依据</w:t>
      </w:r>
      <w:bookmarkEnd w:id="23"/>
      <w:bookmarkEnd w:id="24"/>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1.评价目的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kern w:val="2"/>
          <w:szCs w:val="32"/>
          <w:lang w:val="en-US" w:eastAsia="zh-CN" w:bidi="ar-SA"/>
        </w:rPr>
      </w:pPr>
      <w:r>
        <w:rPr>
          <w:rFonts w:hint="eastAsia" w:ascii="宋体" w:hAnsi="宋体" w:eastAsia="宋体" w:cs="宋体"/>
          <w:sz w:val="28"/>
          <w:szCs w:val="28"/>
          <w:lang w:val="en-US" w:eastAsia="zh-CN"/>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r>
        <w:rPr>
          <w:rFonts w:hint="eastAsia" w:ascii="宋体" w:hAnsi="宋体" w:eastAsia="宋体" w:cs="宋体"/>
          <w:kern w:val="2"/>
          <w:szCs w:val="28"/>
          <w:lang w:val="en-US" w:eastAsia="zh-CN" w:bidi="ar-SA"/>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lang w:val="en-US" w:eastAsia="zh-CN"/>
        </w:rPr>
      </w:pPr>
      <w:r>
        <w:rPr>
          <w:rFonts w:hint="eastAsia" w:ascii="仿宋" w:hAnsi="仿宋" w:eastAsia="仿宋" w:cs="仿宋"/>
          <w:b/>
          <w:bCs/>
          <w:sz w:val="28"/>
          <w:szCs w:val="28"/>
          <w:lang w:val="en-US" w:eastAsia="zh-CN"/>
        </w:rPr>
        <w:t>2.评价依据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2" w:firstLineChars="200"/>
        <w:jc w:val="both"/>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（1）法律依据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《中华人民共和国预算法》（2018年修正）</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《中华人民共和国环境保护法》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《中华人民共和国合同法》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《中华人民共和国建筑法》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《中华人民共和国会计法》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《中华人民共和国招标投标法》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kern w:val="2"/>
          <w:sz w:val="28"/>
          <w:szCs w:val="28"/>
          <w:lang w:val="en-US" w:eastAsia="zh-CN" w:bidi="ar-SA"/>
        </w:rPr>
        <w:t>《中华人民共和国政府采购法》</w:t>
      </w:r>
    </w:p>
    <w:p>
      <w:pPr>
        <w:pStyle w:val="5"/>
        <w:bidi w:val="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法规依据</w:t>
      </w:r>
    </w:p>
    <w:tbl>
      <w:tblPr>
        <w:tblStyle w:val="13"/>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7"/>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文号</w:t>
            </w:r>
          </w:p>
        </w:tc>
        <w:tc>
          <w:tcPr>
            <w:tcW w:w="5950" w:type="dxa"/>
            <w:shd w:val="clear" w:color="auto" w:fill="BEBEBE" w:themeFill="background1" w:themeFillShade="BF"/>
            <w:vAlign w:val="center"/>
          </w:tcPr>
          <w:p>
            <w:pPr>
              <w:pStyle w:val="17"/>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7"/>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国务院令第714</w:t>
            </w:r>
            <w:r>
              <w:rPr>
                <w:rFonts w:hint="default" w:ascii="宋体" w:hAnsi="宋体" w:eastAsia="宋体"/>
                <w:kern w:val="0"/>
                <w:sz w:val="24"/>
                <w:szCs w:val="24"/>
              </w:rPr>
              <w:t>号</w:t>
            </w:r>
          </w:p>
        </w:tc>
        <w:tc>
          <w:tcPr>
            <w:tcW w:w="5950" w:type="dxa"/>
            <w:vAlign w:val="center"/>
          </w:tcPr>
          <w:p>
            <w:pPr>
              <w:pStyle w:val="17"/>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国务院令第393</w:t>
            </w:r>
            <w:r>
              <w:rPr>
                <w:rFonts w:hint="default" w:ascii="宋体" w:hAnsi="宋体" w:eastAsia="宋体"/>
                <w:kern w:val="0"/>
                <w:sz w:val="24"/>
                <w:szCs w:val="24"/>
              </w:rPr>
              <w:t>号</w:t>
            </w:r>
          </w:p>
        </w:tc>
        <w:tc>
          <w:tcPr>
            <w:tcW w:w="5950" w:type="dxa"/>
            <w:vAlign w:val="center"/>
          </w:tcPr>
          <w:p>
            <w:pPr>
              <w:pStyle w:val="17"/>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国务院令第712号</w:t>
            </w:r>
          </w:p>
        </w:tc>
        <w:tc>
          <w:tcPr>
            <w:tcW w:w="59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default" w:ascii="宋体" w:hAnsi="宋体" w:eastAsia="宋体"/>
                <w:kern w:val="0"/>
                <w:sz w:val="24"/>
                <w:szCs w:val="24"/>
              </w:rPr>
              <w:t>国发</w:t>
            </w:r>
            <w:r>
              <w:rPr>
                <w:rFonts w:hint="eastAsia" w:ascii="宋体" w:hAnsi="宋体" w:eastAsia="宋体"/>
                <w:kern w:val="0"/>
                <w:sz w:val="24"/>
                <w:szCs w:val="24"/>
              </w:rPr>
              <w:t>〔</w:t>
            </w:r>
            <w:r>
              <w:rPr>
                <w:rFonts w:hint="default" w:ascii="宋体" w:hAnsi="宋体" w:eastAsia="宋体"/>
                <w:kern w:val="0"/>
                <w:sz w:val="24"/>
                <w:szCs w:val="24"/>
              </w:rPr>
              <w:t>2014</w:t>
            </w:r>
            <w:r>
              <w:rPr>
                <w:rFonts w:hint="eastAsia" w:ascii="宋体" w:hAnsi="宋体" w:eastAsia="宋体"/>
                <w:kern w:val="0"/>
                <w:sz w:val="24"/>
                <w:szCs w:val="24"/>
              </w:rPr>
              <w:t>〕</w:t>
            </w:r>
            <w:r>
              <w:rPr>
                <w:rFonts w:hint="default" w:ascii="宋体" w:hAnsi="宋体" w:eastAsia="宋体"/>
                <w:kern w:val="0"/>
                <w:sz w:val="24"/>
                <w:szCs w:val="24"/>
              </w:rPr>
              <w:t>4</w:t>
            </w:r>
            <w:r>
              <w:rPr>
                <w:rFonts w:hint="eastAsia" w:ascii="宋体" w:hAnsi="宋体" w:eastAsia="宋体"/>
                <w:kern w:val="0"/>
                <w:sz w:val="24"/>
                <w:szCs w:val="24"/>
                <w:lang w:val="en-US" w:eastAsia="zh-CN"/>
              </w:rPr>
              <w:t>3</w:t>
            </w:r>
            <w:r>
              <w:rPr>
                <w:rFonts w:hint="default" w:ascii="宋体" w:hAnsi="宋体" w:eastAsia="宋体"/>
                <w:kern w:val="0"/>
                <w:sz w:val="24"/>
                <w:szCs w:val="24"/>
              </w:rPr>
              <w:t>号</w:t>
            </w:r>
          </w:p>
        </w:tc>
        <w:tc>
          <w:tcPr>
            <w:tcW w:w="5950" w:type="dxa"/>
            <w:vAlign w:val="center"/>
          </w:tcPr>
          <w:p>
            <w:pPr>
              <w:pStyle w:val="17"/>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default" w:ascii="宋体" w:hAnsi="宋体" w:eastAsia="宋体"/>
                <w:kern w:val="0"/>
                <w:sz w:val="24"/>
                <w:szCs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中发〔</w:t>
            </w:r>
            <w:r>
              <w:rPr>
                <w:rFonts w:hint="default" w:ascii="宋体" w:hAnsi="宋体" w:eastAsia="宋体"/>
                <w:kern w:val="0"/>
                <w:sz w:val="24"/>
                <w:szCs w:val="24"/>
              </w:rPr>
              <w:t>201</w:t>
            </w:r>
            <w:r>
              <w:rPr>
                <w:rFonts w:hint="eastAsia" w:ascii="宋体" w:hAnsi="宋体" w:eastAsia="宋体"/>
                <w:kern w:val="0"/>
                <w:sz w:val="24"/>
                <w:szCs w:val="24"/>
                <w:lang w:val="en-US" w:eastAsia="zh-CN"/>
              </w:rPr>
              <w:t>8</w:t>
            </w:r>
            <w:r>
              <w:rPr>
                <w:rFonts w:hint="eastAsia" w:ascii="宋体" w:hAnsi="宋体" w:eastAsia="宋体"/>
                <w:kern w:val="0"/>
                <w:sz w:val="24"/>
                <w:szCs w:val="24"/>
              </w:rPr>
              <w:t>〕34号</w:t>
            </w:r>
          </w:p>
        </w:tc>
        <w:tc>
          <w:tcPr>
            <w:tcW w:w="59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《中共中央国务院关于全面实施预算绩效管理的意见》</w:t>
            </w:r>
          </w:p>
        </w:tc>
      </w:tr>
    </w:tbl>
    <w:p>
      <w:pPr>
        <w:keepNext w:val="0"/>
        <w:keepLines w:val="0"/>
        <w:pageBreakBefore w:val="0"/>
        <w:widowControl w:val="0"/>
        <w:kinsoku/>
        <w:wordWrap/>
        <w:overflowPunct/>
        <w:topLinePunct w:val="0"/>
        <w:autoSpaceDE/>
        <w:autoSpaceDN/>
        <w:bidi w:val="0"/>
        <w:adjustRightInd/>
        <w:snapToGrid/>
        <w:spacing w:before="156" w:after="156"/>
        <w:ind w:firstLine="622" w:firstLineChars="200"/>
        <w:textAlignment w:val="auto"/>
        <w:rPr>
          <w:rFonts w:hint="default" w:asciiTheme="minorEastAsia" w:hAnsiTheme="minorEastAsia" w:eastAsiaTheme="minorEastAsia" w:cstheme="minorEastAsia"/>
          <w:b/>
          <w:bCs/>
          <w:spacing w:val="15"/>
          <w:sz w:val="28"/>
          <w:szCs w:val="28"/>
          <w:lang w:val="en-US" w:eastAsia="zh-CN"/>
        </w:rPr>
      </w:pPr>
      <w:r>
        <w:rPr>
          <w:rFonts w:hint="eastAsia" w:asciiTheme="minorEastAsia" w:hAnsiTheme="minorEastAsia" w:cstheme="minorEastAsia"/>
          <w:b/>
          <w:bCs/>
          <w:spacing w:val="15"/>
          <w:sz w:val="28"/>
          <w:szCs w:val="28"/>
          <w:lang w:val="en-US" w:eastAsia="zh-CN"/>
        </w:rPr>
        <w:t>（3）部门规章</w:t>
      </w:r>
    </w:p>
    <w:tbl>
      <w:tblPr>
        <w:tblStyle w:val="1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7"/>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文号</w:t>
            </w:r>
          </w:p>
        </w:tc>
        <w:tc>
          <w:tcPr>
            <w:tcW w:w="5721" w:type="dxa"/>
            <w:shd w:val="clear" w:color="auto" w:fill="BEBEBE" w:themeFill="background1" w:themeFillShade="BF"/>
            <w:vAlign w:val="center"/>
          </w:tcPr>
          <w:p>
            <w:pPr>
              <w:pStyle w:val="17"/>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财预〔2017〕50 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财预〔2016〕154号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财预〔2011〕207号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财预〔2011〕416号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财建〔2013〕165号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财预〔2015〕</w:t>
            </w:r>
            <w:r>
              <w:rPr>
                <w:rFonts w:hint="eastAsia" w:ascii="宋体" w:hAnsi="宋体" w:eastAsia="宋体" w:cs="宋体"/>
                <w:kern w:val="0"/>
                <w:sz w:val="24"/>
                <w:szCs w:val="24"/>
                <w:lang w:val="en-US" w:eastAsia="zh-CN"/>
              </w:rPr>
              <w:t>47</w:t>
            </w:r>
            <w:r>
              <w:rPr>
                <w:rFonts w:hint="eastAsia" w:ascii="宋体" w:hAnsi="宋体" w:eastAsia="宋体" w:cs="宋体"/>
                <w:kern w:val="0"/>
                <w:sz w:val="24"/>
                <w:szCs w:val="24"/>
              </w:rPr>
              <w:t>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eastAsia="zh-CN"/>
              </w:rPr>
              <w:t>地方政府一般债券预算管理办法</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财预〔2018〕4号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财综〔2018〕42号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财预〔2018〕69号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keepNext w:val="0"/>
              <w:keepLines w:val="0"/>
              <w:suppressLineNumbers w:val="0"/>
              <w:spacing w:before="156" w:beforeAutospacing="0" w:after="156" w:afterAutospacing="0"/>
              <w:ind w:left="0" w:right="0" w:firstLine="0" w:firstLineChars="0"/>
              <w:jc w:val="center"/>
              <w:rPr>
                <w:rFonts w:hint="eastAsia" w:ascii="宋体" w:hAnsi="宋体" w:eastAsia="宋体" w:cs="宋体"/>
                <w:kern w:val="0"/>
                <w:sz w:val="24"/>
                <w:szCs w:val="24"/>
              </w:rPr>
            </w:pPr>
            <w:r>
              <w:rPr>
                <w:rFonts w:hint="eastAsia" w:ascii="宋体" w:hAnsi="宋体" w:eastAsia="宋体" w:cs="宋体"/>
                <w:b/>
                <w:bCs/>
                <w:kern w:val="0"/>
                <w:sz w:val="24"/>
                <w:szCs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冀财综〔2018〕20号</w:t>
            </w:r>
          </w:p>
        </w:tc>
        <w:tc>
          <w:tcPr>
            <w:tcW w:w="5721"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《关于印发河北省政府购买服务第三方绩效评价实施暂行办法的通知》</w:t>
            </w:r>
          </w:p>
        </w:tc>
      </w:tr>
    </w:tbl>
    <w:p>
      <w:pPr>
        <w:pStyle w:val="17"/>
        <w:numPr>
          <w:ilvl w:val="0"/>
          <w:numId w:val="0"/>
        </w:numPr>
        <w:tabs>
          <w:tab w:val="left" w:pos="1623"/>
        </w:tabs>
        <w:spacing w:before="59" w:after="0" w:line="240" w:lineRule="auto"/>
        <w:ind w:left="560" w:leftChars="0" w:right="0" w:rightChars="0"/>
        <w:jc w:val="left"/>
        <w:rPr>
          <w:rFonts w:hint="eastAsia" w:asciiTheme="minorEastAsia" w:hAnsiTheme="minorEastAsia" w:cstheme="minorEastAsia"/>
          <w:b/>
          <w:bCs/>
          <w:spacing w:val="-3"/>
          <w:sz w:val="28"/>
          <w:szCs w:val="28"/>
          <w:vertAlign w:val="baseline"/>
          <w:lang w:eastAsia="zh-CN"/>
        </w:rPr>
      </w:pPr>
      <w:r>
        <w:rPr>
          <w:rFonts w:hint="eastAsia" w:asciiTheme="minorEastAsia" w:hAnsiTheme="minorEastAsia" w:cstheme="minorEastAsia"/>
          <w:b/>
          <w:bCs/>
          <w:spacing w:val="-3"/>
          <w:sz w:val="28"/>
          <w:szCs w:val="28"/>
          <w:vertAlign w:val="baseline"/>
          <w:lang w:eastAsia="zh-CN"/>
        </w:rPr>
        <w:t>（</w:t>
      </w:r>
      <w:r>
        <w:rPr>
          <w:rFonts w:hint="eastAsia" w:asciiTheme="minorEastAsia" w:hAnsiTheme="minorEastAsia" w:cstheme="minorEastAsia"/>
          <w:b/>
          <w:bCs/>
          <w:spacing w:val="-3"/>
          <w:sz w:val="28"/>
          <w:szCs w:val="28"/>
          <w:vertAlign w:val="baseline"/>
          <w:lang w:val="en-US" w:eastAsia="zh-CN"/>
        </w:rPr>
        <w:t>4</w:t>
      </w:r>
      <w:r>
        <w:rPr>
          <w:rFonts w:hint="eastAsia" w:asciiTheme="minorEastAsia" w:hAnsiTheme="minorEastAsia" w:cstheme="minorEastAsia"/>
          <w:b/>
          <w:bCs/>
          <w:spacing w:val="-3"/>
          <w:sz w:val="28"/>
          <w:szCs w:val="28"/>
          <w:vertAlign w:val="baseline"/>
          <w:lang w:eastAsia="zh-CN"/>
        </w:rPr>
        <w:t>）相关资料</w:t>
      </w:r>
    </w:p>
    <w:tbl>
      <w:tblPr>
        <w:tblStyle w:val="12"/>
        <w:tblW w:w="8325" w:type="dxa"/>
        <w:tblInd w:w="92" w:type="dxa"/>
        <w:tblLayout w:type="fixed"/>
        <w:tblCellMar>
          <w:top w:w="0" w:type="dxa"/>
          <w:left w:w="108" w:type="dxa"/>
          <w:bottom w:w="0" w:type="dxa"/>
          <w:right w:w="108" w:type="dxa"/>
        </w:tblCellMar>
      </w:tblPr>
      <w:tblGrid>
        <w:gridCol w:w="1069"/>
        <w:gridCol w:w="7256"/>
      </w:tblGrid>
      <w:tr>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bookmarkStart w:id="25" w:name="_Toc10184"/>
            <w:bookmarkStart w:id="26" w:name="_Toc22990"/>
            <w:r>
              <w:rPr>
                <w:rFonts w:hint="eastAsia" w:ascii="宋体" w:hAnsi="宋体" w:eastAsia="宋体" w:cs="宋体"/>
                <w:b/>
                <w:bCs/>
                <w:color w:val="000000"/>
                <w:kern w:val="0"/>
                <w:sz w:val="24"/>
                <w:szCs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项目批复</w:t>
            </w:r>
            <w:r>
              <w:rPr>
                <w:rFonts w:hint="eastAsia" w:ascii="宋体" w:hAnsi="宋体" w:eastAsia="宋体" w:cs="宋体"/>
                <w:color w:val="000000"/>
                <w:kern w:val="0"/>
                <w:sz w:val="24"/>
                <w:szCs w:val="24"/>
                <w:lang w:eastAsia="zh-CN"/>
              </w:rPr>
              <w:t>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项目实施方案</w:t>
            </w:r>
          </w:p>
        </w:tc>
      </w:tr>
      <w:tr>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省、市、</w:t>
            </w:r>
            <w:r>
              <w:rPr>
                <w:rFonts w:hint="eastAsia" w:ascii="宋体" w:hAnsi="宋体" w:eastAsia="宋体" w:cs="宋体"/>
                <w:color w:val="000000"/>
                <w:kern w:val="0"/>
                <w:sz w:val="24"/>
                <w:szCs w:val="24"/>
              </w:rPr>
              <w:t>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w:t>
            </w:r>
            <w:r>
              <w:rPr>
                <w:rFonts w:hint="eastAsia" w:ascii="宋体" w:hAnsi="宋体" w:eastAsia="宋体" w:cs="宋体"/>
                <w:color w:val="000000"/>
                <w:kern w:val="0"/>
                <w:sz w:val="24"/>
                <w:szCs w:val="24"/>
                <w:lang w:eastAsia="zh-CN"/>
              </w:rPr>
              <w:t>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项目实施过程</w:t>
            </w:r>
            <w:r>
              <w:rPr>
                <w:rFonts w:hint="eastAsia" w:ascii="宋体" w:hAnsi="宋体" w:eastAsia="宋体" w:cs="宋体"/>
                <w:b/>
                <w:bCs/>
                <w:color w:val="000000"/>
                <w:kern w:val="0"/>
                <w:sz w:val="24"/>
                <w:szCs w:val="24"/>
              </w:rPr>
              <w:t>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资金</w:t>
            </w:r>
            <w:r>
              <w:rPr>
                <w:rFonts w:hint="eastAsia" w:ascii="宋体" w:hAnsi="宋体" w:eastAsia="宋体" w:cs="宋体"/>
                <w:color w:val="000000"/>
                <w:kern w:val="0"/>
                <w:sz w:val="24"/>
                <w:szCs w:val="24"/>
                <w:lang w:eastAsia="zh-CN"/>
              </w:rPr>
              <w:t>支付</w:t>
            </w:r>
            <w:r>
              <w:rPr>
                <w:rFonts w:hint="eastAsia" w:ascii="宋体" w:hAnsi="宋体" w:eastAsia="宋体" w:cs="宋体"/>
                <w:color w:val="000000"/>
                <w:kern w:val="0"/>
                <w:sz w:val="24"/>
                <w:szCs w:val="24"/>
              </w:rPr>
              <w:t>凭证</w:t>
            </w:r>
            <w:r>
              <w:rPr>
                <w:rFonts w:hint="eastAsia" w:ascii="宋体" w:hAnsi="宋体" w:eastAsia="宋体" w:cs="宋体"/>
                <w:color w:val="000000"/>
                <w:kern w:val="0"/>
                <w:sz w:val="24"/>
                <w:szCs w:val="24"/>
                <w:lang w:eastAsia="zh-CN"/>
              </w:rPr>
              <w:t>或工程款支付单据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工程</w:t>
            </w:r>
            <w:r>
              <w:rPr>
                <w:rFonts w:hint="eastAsia" w:ascii="宋体" w:hAnsi="宋体" w:cs="宋体"/>
                <w:color w:val="000000"/>
                <w:kern w:val="0"/>
                <w:sz w:val="24"/>
                <w:szCs w:val="24"/>
              </w:rPr>
              <w:t>竣工</w:t>
            </w:r>
            <w:r>
              <w:rPr>
                <w:rFonts w:hint="eastAsia" w:ascii="宋体" w:hAnsi="宋体" w:cs="宋体"/>
                <w:color w:val="000000"/>
                <w:kern w:val="0"/>
                <w:sz w:val="24"/>
                <w:szCs w:val="24"/>
                <w:lang w:eastAsia="zh-CN"/>
              </w:rPr>
              <w:t>验收</w:t>
            </w:r>
            <w:r>
              <w:rPr>
                <w:rFonts w:hint="eastAsia" w:ascii="宋体" w:hAnsi="宋体" w:cs="宋体"/>
                <w:color w:val="000000"/>
                <w:kern w:val="0"/>
                <w:sz w:val="24"/>
                <w:szCs w:val="24"/>
              </w:rPr>
              <w:t>报告</w:t>
            </w:r>
          </w:p>
        </w:tc>
      </w:tr>
    </w:tbl>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（三）绩效评价工作内容和范围</w:t>
      </w:r>
      <w:bookmarkEnd w:id="25"/>
      <w:bookmarkEnd w:id="26"/>
    </w:p>
    <w:p>
      <w:pPr>
        <w:ind w:firstLine="560" w:firstLineChars="200"/>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我们对本项目2019年度债券资金使用部分的项目资料的完整性、有效性作出判断，走访调查相关部门当事人，对</w:t>
      </w:r>
      <w:r>
        <w:rPr>
          <w:rFonts w:hint="eastAsia" w:ascii="宋体" w:hAnsi="宋体" w:eastAsia="宋体" w:cs="宋体"/>
          <w:sz w:val="28"/>
          <w:szCs w:val="28"/>
          <w:highlight w:val="none"/>
          <w:lang w:eastAsia="zh-CN"/>
        </w:rPr>
        <w:t>围场满族蒙古族自治县交通运输局</w:t>
      </w:r>
      <w:r>
        <w:rPr>
          <w:rFonts w:hint="eastAsia" w:ascii="宋体" w:hAnsi="宋体" w:eastAsia="宋体" w:cs="宋体"/>
          <w:kern w:val="2"/>
          <w:sz w:val="28"/>
          <w:szCs w:val="28"/>
          <w:lang w:val="en-US" w:eastAsia="zh-CN" w:bidi="ar-SA"/>
        </w:rPr>
        <w:t>提供的资料数据进行考察、核实，对绩效评价指标体系中的各项工作任务做出客观、公正的评判，不足之处究其原因作出响应</w:t>
      </w:r>
      <w:r>
        <w:rPr>
          <w:rFonts w:hint="eastAsia" w:ascii="仿宋" w:hAnsi="仿宋" w:eastAsia="仿宋" w:cs="仿宋"/>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评价内容包括：</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1.决策情况；</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2.资金管理和使用情况；</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3.相关管理制度办法的健全性及执行情况；</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4.实现的产出情况；</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5.取得的效益情况；</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6.其他相关内容；</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评价范围包括2019年度围场县地方政府新增一般债劵资金的预算投入、支出情况。</w:t>
      </w:r>
    </w:p>
    <w:p>
      <w:pPr>
        <w:pStyle w:val="11"/>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7" w:name="_Toc9420"/>
      <w:bookmarkStart w:id="28" w:name="_Toc30379"/>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（四）绩效评价标准和方法</w:t>
      </w:r>
      <w:bookmarkEnd w:id="27"/>
      <w:bookmarkEnd w:id="28"/>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lang w:val="en-US" w:eastAsia="zh-CN" w:bidi="ar-SA"/>
        </w:rPr>
      </w:pPr>
      <w:r>
        <w:rPr>
          <w:rFonts w:hint="eastAsia" w:ascii="宋体" w:hAnsi="宋体" w:eastAsia="宋体" w:cs="宋体"/>
          <w:sz w:val="28"/>
          <w:szCs w:val="28"/>
          <w:lang w:val="en-US" w:eastAsia="zh-CN"/>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18个三级指标。绩效评价采用百分制，满分为100分。考评结果等次：根据计算统计结果的分值，确定考评对象最后达到的等次，具体确定为：考评分值S≥80，为优；80＞S≥70，为良；70＞S≥60，为合格；S＜60，为不合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1、层次分析法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2、对比分析法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3、成本效益分析法。是指将投入与产出、效益进行关联性分析的方法。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4、因素分析法。是指综合分析影响绩效目标实现、实施效果的内外部因素的方法。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5、调查法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highlight w:val="none"/>
          <w:lang w:val="en-US" w:eastAsia="zh-CN" w:bidi="ar-SA"/>
        </w:rPr>
      </w:pPr>
      <w:r>
        <w:rPr>
          <w:rFonts w:hint="eastAsia" w:ascii="宋体" w:hAnsi="宋体" w:eastAsia="宋体" w:cs="宋体"/>
          <w:sz w:val="28"/>
          <w:szCs w:val="28"/>
          <w:lang w:val="en-US" w:eastAsia="zh-CN"/>
        </w:rPr>
        <w:t>掌握客观、真实的信息、数据是后评价工作的先决条件和基础，在很多项目中，经常采用收集档案资料、座谈、电话、走访及调查等方法相结合的方式。</w:t>
      </w:r>
    </w:p>
    <w:p>
      <w:pPr>
        <w:pStyle w:val="11"/>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9" w:name="_Toc12042"/>
      <w:bookmarkStart w:id="30" w:name="_Toc8164"/>
      <w:bookmarkStart w:id="31" w:name="_Toc25605"/>
      <w:bookmarkStart w:id="32" w:name="_Toc29690"/>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（五）绩效评价工作过程</w:t>
      </w:r>
      <w:bookmarkEnd w:id="29"/>
      <w:bookmarkEnd w:id="30"/>
      <w:bookmarkEnd w:id="31"/>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宋体" w:hAnsi="宋体" w:eastAsia="宋体" w:cs="宋体"/>
          <w:sz w:val="28"/>
          <w:szCs w:val="28"/>
          <w:lang w:eastAsia="zh-CN"/>
        </w:rPr>
      </w:pPr>
      <w:bookmarkStart w:id="33" w:name="_Toc2087"/>
      <w:bookmarkStart w:id="34" w:name="_Toc17563"/>
      <w:bookmarkStart w:id="35" w:name="_Toc3706"/>
      <w:bookmarkStart w:id="36" w:name="_Toc22556"/>
      <w:bookmarkStart w:id="37" w:name="_Toc18780"/>
      <w:bookmarkStart w:id="38" w:name="_Toc31807"/>
      <w:bookmarkStart w:id="39" w:name="_Toc13042"/>
      <w:r>
        <w:rPr>
          <w:rFonts w:hint="eastAsia" w:ascii="宋体" w:hAnsi="宋体" w:eastAsia="宋体" w:cs="宋体"/>
          <w:sz w:val="28"/>
          <w:szCs w:val="28"/>
          <w:lang w:eastAsia="zh-CN"/>
        </w:rPr>
        <w:t>围场满族蒙古族自治</w:t>
      </w:r>
      <w:r>
        <w:rPr>
          <w:rFonts w:hint="eastAsia" w:ascii="宋体" w:hAnsi="宋体" w:eastAsia="宋体" w:cs="宋体"/>
          <w:sz w:val="28"/>
          <w:szCs w:val="28"/>
        </w:rPr>
        <w:t>县</w:t>
      </w:r>
      <w:r>
        <w:rPr>
          <w:rFonts w:hint="eastAsia" w:ascii="宋体" w:hAnsi="宋体" w:eastAsia="宋体" w:cs="宋体"/>
          <w:sz w:val="28"/>
          <w:szCs w:val="28"/>
          <w:lang w:eastAsia="zh-CN"/>
        </w:rPr>
        <w:t>财政局</w:t>
      </w:r>
      <w:r>
        <w:rPr>
          <w:rFonts w:hint="eastAsia" w:ascii="宋体" w:hAnsi="宋体" w:eastAsia="宋体" w:cs="宋体"/>
          <w:sz w:val="28"/>
          <w:szCs w:val="28"/>
        </w:rPr>
        <w:t>委托</w:t>
      </w:r>
      <w:r>
        <w:rPr>
          <w:rFonts w:hint="eastAsia" w:ascii="宋体" w:hAnsi="宋体" w:eastAsia="宋体" w:cs="宋体"/>
          <w:sz w:val="28"/>
          <w:szCs w:val="28"/>
          <w:lang w:eastAsia="zh-CN"/>
        </w:rPr>
        <w:t>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公司对本</w:t>
      </w:r>
      <w:r>
        <w:rPr>
          <w:rFonts w:hint="eastAsia" w:ascii="宋体" w:hAnsi="宋体" w:eastAsia="宋体" w:cs="宋体"/>
          <w:sz w:val="28"/>
          <w:szCs w:val="28"/>
          <w:lang w:eastAsia="zh-CN"/>
        </w:rPr>
        <w:t>项目债券资金使用情况的</w:t>
      </w:r>
      <w:r>
        <w:rPr>
          <w:rFonts w:hint="eastAsia" w:ascii="宋体" w:hAnsi="宋体" w:eastAsia="宋体" w:cs="宋体"/>
          <w:sz w:val="28"/>
          <w:szCs w:val="28"/>
        </w:rPr>
        <w:t>经济性、规范性、</w:t>
      </w:r>
      <w:r>
        <w:rPr>
          <w:rFonts w:hint="eastAsia" w:ascii="宋体" w:hAnsi="宋体" w:eastAsia="宋体" w:cs="宋体"/>
          <w:sz w:val="28"/>
          <w:szCs w:val="28"/>
          <w:lang w:eastAsia="zh-CN"/>
        </w:rPr>
        <w:t>效益</w:t>
      </w:r>
      <w:r>
        <w:rPr>
          <w:rFonts w:hint="eastAsia" w:ascii="宋体" w:hAnsi="宋体" w:eastAsia="宋体" w:cs="宋体"/>
          <w:sz w:val="28"/>
          <w:szCs w:val="28"/>
        </w:rPr>
        <w:t>性</w:t>
      </w:r>
      <w:r>
        <w:rPr>
          <w:rFonts w:hint="eastAsia" w:ascii="宋体" w:hAnsi="宋体" w:eastAsia="宋体" w:cs="宋体"/>
          <w:sz w:val="28"/>
          <w:szCs w:val="28"/>
          <w:lang w:eastAsia="zh-CN"/>
        </w:rPr>
        <w:t>和可持续性</w:t>
      </w:r>
      <w:r>
        <w:rPr>
          <w:rFonts w:hint="eastAsia" w:ascii="宋体" w:hAnsi="宋体" w:eastAsia="宋体" w:cs="宋体"/>
          <w:sz w:val="28"/>
          <w:szCs w:val="28"/>
        </w:rPr>
        <w:t>等进行</w:t>
      </w:r>
      <w:r>
        <w:rPr>
          <w:rFonts w:hint="eastAsia" w:ascii="宋体" w:hAnsi="宋体" w:eastAsia="宋体" w:cs="宋体"/>
          <w:sz w:val="28"/>
          <w:szCs w:val="28"/>
          <w:lang w:eastAsia="zh-CN"/>
        </w:rPr>
        <w:t>客观、公正的分析和评判</w:t>
      </w:r>
      <w:r>
        <w:rPr>
          <w:rFonts w:hint="eastAsia" w:ascii="宋体" w:hAnsi="宋体" w:eastAsia="宋体" w:cs="宋体"/>
          <w:sz w:val="28"/>
          <w:szCs w:val="28"/>
        </w:rPr>
        <w:t>。根据</w:t>
      </w:r>
      <w:r>
        <w:rPr>
          <w:rFonts w:hint="eastAsia" w:ascii="宋体" w:hAnsi="宋体" w:eastAsia="宋体" w:cs="宋体"/>
          <w:sz w:val="28"/>
          <w:szCs w:val="28"/>
          <w:lang w:eastAsia="zh-CN"/>
        </w:rPr>
        <w:t>绩效评价工作</w:t>
      </w:r>
      <w:r>
        <w:rPr>
          <w:rFonts w:hint="eastAsia" w:ascii="宋体" w:hAnsi="宋体" w:eastAsia="宋体" w:cs="宋体"/>
          <w:sz w:val="28"/>
          <w:szCs w:val="28"/>
        </w:rPr>
        <w:t>要求，</w:t>
      </w:r>
      <w:r>
        <w:rPr>
          <w:rFonts w:hint="eastAsia" w:ascii="宋体" w:hAnsi="宋体" w:eastAsia="宋体" w:cs="宋体"/>
          <w:sz w:val="28"/>
          <w:szCs w:val="28"/>
          <w:lang w:eastAsia="zh-CN"/>
        </w:rPr>
        <w:t>我方对围场县公路工程建设管理站2016年农村客运站点建设项目做以下工作：</w:t>
      </w:r>
      <w:bookmarkEnd w:id="33"/>
      <w:bookmarkEnd w:id="34"/>
      <w:bookmarkEnd w:id="35"/>
      <w:bookmarkEnd w:id="36"/>
      <w:bookmarkEnd w:id="37"/>
      <w:bookmarkEnd w:id="38"/>
      <w:bookmarkEnd w:id="39"/>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40" w:name="_Toc24311"/>
      <w:bookmarkStart w:id="41" w:name="_Toc30194"/>
      <w:bookmarkStart w:id="42" w:name="_Toc19058"/>
      <w:bookmarkStart w:id="43" w:name="_Toc15494"/>
      <w:bookmarkStart w:id="44" w:name="_Toc27413"/>
      <w:bookmarkStart w:id="45" w:name="_Toc17036"/>
      <w:bookmarkStart w:id="46" w:name="_Toc14297"/>
      <w:bookmarkStart w:id="47" w:name="_Toc14572"/>
      <w:bookmarkStart w:id="48" w:name="_Toc24972"/>
      <w:bookmarkStart w:id="49" w:name="_Toc1487"/>
      <w:bookmarkStart w:id="50" w:name="_Toc24529"/>
      <w:r>
        <w:rPr>
          <w:rFonts w:hint="eastAsia" w:ascii="宋体" w:hAnsi="宋体" w:eastAsia="宋体" w:cs="宋体"/>
          <w:b/>
          <w:bCs/>
          <w:kern w:val="0"/>
          <w:sz w:val="28"/>
          <w:szCs w:val="28"/>
          <w:lang w:val="en-US" w:eastAsia="zh-CN" w:bidi="ar-SA"/>
        </w:rPr>
        <w:t>1、明确项目团队的职责与分工</w:t>
      </w:r>
      <w:bookmarkEnd w:id="40"/>
      <w:bookmarkEnd w:id="41"/>
      <w:bookmarkEnd w:id="42"/>
      <w:bookmarkEnd w:id="43"/>
      <w:bookmarkEnd w:id="44"/>
      <w:bookmarkEnd w:id="45"/>
      <w:bookmarkEnd w:id="46"/>
      <w:bookmarkEnd w:id="47"/>
      <w:bookmarkEnd w:id="48"/>
      <w:bookmarkEnd w:id="49"/>
      <w:bookmarkEnd w:id="50"/>
    </w:p>
    <w:tbl>
      <w:tblPr>
        <w:tblStyle w:val="13"/>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703"/>
        <w:gridCol w:w="1427"/>
        <w:gridCol w:w="4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tblHeader/>
          <w:jc w:val="center"/>
        </w:trPr>
        <w:tc>
          <w:tcPr>
            <w:tcW w:w="880"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3"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7"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08" w:type="dxa"/>
            <w:shd w:val="clear" w:color="auto" w:fill="BEBEBE" w:themeFill="background1" w:themeFillShade="BF"/>
            <w:vAlign w:val="center"/>
          </w:tcPr>
          <w:p>
            <w:pPr>
              <w:pStyle w:val="16"/>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80"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3" w:type="dxa"/>
            <w:vMerge w:val="restart"/>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rPr>
              <w:t>负责</w:t>
            </w:r>
            <w:r>
              <w:rPr>
                <w:rFonts w:hint="eastAsia" w:ascii="宋体" w:hAnsi="宋体" w:eastAsia="宋体" w:cs="宋体"/>
                <w:kern w:val="0"/>
                <w:sz w:val="24"/>
                <w:lang w:eastAsia="zh-CN"/>
              </w:rPr>
              <w:t>人</w:t>
            </w:r>
          </w:p>
        </w:tc>
        <w:tc>
          <w:tcPr>
            <w:tcW w:w="1427"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崔春华</w:t>
            </w:r>
          </w:p>
        </w:tc>
        <w:tc>
          <w:tcPr>
            <w:tcW w:w="4308"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80" w:type="dxa"/>
            <w:vAlign w:val="center"/>
          </w:tcPr>
          <w:p>
            <w:pPr>
              <w:pStyle w:val="16"/>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2</w:t>
            </w:r>
          </w:p>
        </w:tc>
        <w:tc>
          <w:tcPr>
            <w:tcW w:w="1703" w:type="dxa"/>
            <w:vMerge w:val="continue"/>
            <w:vAlign w:val="center"/>
          </w:tcPr>
          <w:p>
            <w:pPr>
              <w:jc w:val="center"/>
              <w:rPr>
                <w:rFonts w:hint="eastAsia" w:ascii="宋体" w:hAnsi="宋体" w:eastAsia="宋体" w:cs="宋体"/>
                <w:kern w:val="0"/>
                <w:sz w:val="24"/>
              </w:rPr>
            </w:pPr>
          </w:p>
        </w:tc>
        <w:tc>
          <w:tcPr>
            <w:tcW w:w="1427" w:type="dxa"/>
            <w:vAlign w:val="center"/>
          </w:tcPr>
          <w:p>
            <w:pPr>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白秀云</w:t>
            </w:r>
          </w:p>
        </w:tc>
        <w:tc>
          <w:tcPr>
            <w:tcW w:w="4308" w:type="dxa"/>
            <w:vMerge w:val="continue"/>
            <w:vAlign w:val="center"/>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80" w:type="dxa"/>
            <w:vAlign w:val="center"/>
          </w:tcPr>
          <w:p>
            <w:pPr>
              <w:pStyle w:val="16"/>
              <w:ind w:firstLine="0"/>
              <w:jc w:val="center"/>
              <w:rPr>
                <w:rFonts w:hint="eastAsia" w:ascii="宋体" w:hAnsi="宋体" w:eastAsia="宋体" w:cs="宋体"/>
                <w:b/>
                <w:bCs/>
                <w:spacing w:val="15"/>
                <w:sz w:val="24"/>
                <w:highlight w:val="yellow"/>
                <w:lang w:val="en-US" w:eastAsia="zh-CN"/>
              </w:rPr>
            </w:pPr>
            <w:r>
              <w:rPr>
                <w:rFonts w:hint="eastAsia" w:ascii="宋体" w:hAnsi="宋体" w:eastAsia="宋体" w:cs="宋体"/>
                <w:b/>
                <w:bCs/>
                <w:spacing w:val="15"/>
                <w:sz w:val="24"/>
                <w:highlight w:val="none"/>
                <w:lang w:val="en-US" w:eastAsia="zh-CN"/>
              </w:rPr>
              <w:t>3</w:t>
            </w:r>
          </w:p>
        </w:tc>
        <w:tc>
          <w:tcPr>
            <w:tcW w:w="1703"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7"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王雪</w:t>
            </w:r>
          </w:p>
        </w:tc>
        <w:tc>
          <w:tcPr>
            <w:tcW w:w="4308"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80" w:type="dxa"/>
            <w:vAlign w:val="center"/>
          </w:tcPr>
          <w:p>
            <w:pPr>
              <w:pStyle w:val="16"/>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4</w:t>
            </w:r>
          </w:p>
        </w:tc>
        <w:tc>
          <w:tcPr>
            <w:tcW w:w="1703" w:type="dxa"/>
            <w:vMerge w:val="continue"/>
            <w:vAlign w:val="center"/>
          </w:tcPr>
          <w:p>
            <w:pPr>
              <w:jc w:val="center"/>
              <w:rPr>
                <w:rFonts w:ascii="宋体" w:hAnsi="宋体" w:eastAsia="宋体" w:cs="宋体"/>
                <w:kern w:val="0"/>
                <w:sz w:val="24"/>
              </w:rPr>
            </w:pPr>
          </w:p>
        </w:tc>
        <w:tc>
          <w:tcPr>
            <w:tcW w:w="1427"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08"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80" w:type="dxa"/>
            <w:vAlign w:val="center"/>
          </w:tcPr>
          <w:p>
            <w:pPr>
              <w:pStyle w:val="16"/>
              <w:ind w:firstLine="0"/>
              <w:jc w:val="center"/>
              <w:rPr>
                <w:rFonts w:hint="eastAsia" w:ascii="宋体" w:hAnsi="宋体" w:eastAsia="宋体" w:cs="宋体"/>
                <w:b/>
                <w:bCs/>
                <w:spacing w:val="15"/>
                <w:sz w:val="24"/>
                <w:lang w:eastAsia="zh-CN"/>
              </w:rPr>
            </w:pPr>
            <w:r>
              <w:rPr>
                <w:rFonts w:hint="eastAsia" w:ascii="宋体" w:hAnsi="宋体" w:eastAsia="宋体" w:cs="宋体"/>
                <w:b/>
                <w:bCs/>
                <w:spacing w:val="15"/>
                <w:sz w:val="24"/>
                <w:lang w:val="en-US" w:eastAsia="zh-CN"/>
              </w:rPr>
              <w:t>5</w:t>
            </w:r>
          </w:p>
        </w:tc>
        <w:tc>
          <w:tcPr>
            <w:tcW w:w="1703" w:type="dxa"/>
            <w:vMerge w:val="restart"/>
            <w:vAlign w:val="center"/>
          </w:tcPr>
          <w:p>
            <w:pPr>
              <w:pStyle w:val="16"/>
              <w:ind w:firstLine="0"/>
              <w:jc w:val="center"/>
              <w:rPr>
                <w:rFonts w:hint="eastAsia" w:ascii="宋体" w:hAnsi="宋体" w:eastAsia="宋体" w:cs="宋体"/>
                <w:kern w:val="0"/>
                <w:sz w:val="24"/>
                <w:lang w:eastAsia="zh-CN"/>
              </w:rPr>
            </w:pPr>
            <w:r>
              <w:rPr>
                <w:rFonts w:hint="eastAsia" w:ascii="宋体" w:hAnsi="宋体" w:eastAsia="宋体" w:cs="宋体"/>
                <w:kern w:val="0"/>
                <w:sz w:val="24"/>
              </w:rPr>
              <w:t>监管</w:t>
            </w:r>
            <w:r>
              <w:rPr>
                <w:rFonts w:hint="eastAsia" w:ascii="宋体" w:hAnsi="宋体" w:eastAsia="宋体" w:cs="宋体"/>
                <w:kern w:val="0"/>
                <w:sz w:val="24"/>
                <w:lang w:eastAsia="zh-CN"/>
              </w:rPr>
              <w:t>审核</w:t>
            </w:r>
          </w:p>
        </w:tc>
        <w:tc>
          <w:tcPr>
            <w:tcW w:w="1427"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吴丽珍</w:t>
            </w:r>
          </w:p>
        </w:tc>
        <w:tc>
          <w:tcPr>
            <w:tcW w:w="4308" w:type="dxa"/>
            <w:vMerge w:val="restart"/>
            <w:vAlign w:val="center"/>
          </w:tcPr>
          <w:p>
            <w:pPr>
              <w:rPr>
                <w:rFonts w:ascii="宋体" w:hAnsi="宋体" w:eastAsia="宋体" w:cs="宋体"/>
                <w:kern w:val="0"/>
                <w:sz w:val="24"/>
              </w:rPr>
            </w:pPr>
            <w:r>
              <w:rPr>
                <w:rFonts w:hint="eastAsia" w:ascii="宋体" w:hAnsi="宋体" w:eastAsia="宋体" w:cs="宋体"/>
                <w:kern w:val="0"/>
                <w:sz w:val="24"/>
              </w:rPr>
              <w:t>资料</w:t>
            </w:r>
            <w:r>
              <w:rPr>
                <w:rFonts w:hint="eastAsia" w:ascii="宋体" w:hAnsi="宋体" w:eastAsia="宋体" w:cs="宋体"/>
                <w:kern w:val="0"/>
                <w:sz w:val="24"/>
                <w:lang w:eastAsia="zh-CN"/>
              </w:rPr>
              <w:t>检查、</w:t>
            </w:r>
            <w:r>
              <w:rPr>
                <w:rFonts w:hint="eastAsia" w:ascii="宋体" w:hAnsi="宋体" w:eastAsia="宋体" w:cs="宋体"/>
                <w:kern w:val="0"/>
                <w:sz w:val="24"/>
              </w:rPr>
              <w:t>管理</w:t>
            </w:r>
            <w:r>
              <w:rPr>
                <w:rFonts w:hint="eastAsia" w:ascii="宋体" w:hAnsi="宋体" w:eastAsia="宋体" w:cs="宋体"/>
                <w:kern w:val="0"/>
                <w:sz w:val="24"/>
                <w:lang w:eastAsia="zh-CN"/>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80" w:type="dxa"/>
            <w:vAlign w:val="center"/>
          </w:tcPr>
          <w:p>
            <w:pPr>
              <w:pStyle w:val="16"/>
              <w:ind w:firstLine="0"/>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6</w:t>
            </w:r>
          </w:p>
        </w:tc>
        <w:tc>
          <w:tcPr>
            <w:tcW w:w="1703" w:type="dxa"/>
            <w:vMerge w:val="continue"/>
            <w:vAlign w:val="center"/>
          </w:tcPr>
          <w:p>
            <w:pPr>
              <w:pStyle w:val="16"/>
              <w:ind w:firstLine="0"/>
              <w:jc w:val="center"/>
              <w:rPr>
                <w:rFonts w:ascii="宋体" w:hAnsi="宋体" w:eastAsia="宋体" w:cs="宋体"/>
                <w:kern w:val="0"/>
                <w:sz w:val="24"/>
              </w:rPr>
            </w:pPr>
          </w:p>
        </w:tc>
        <w:tc>
          <w:tcPr>
            <w:tcW w:w="1427"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08"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80"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7</w:t>
            </w:r>
          </w:p>
        </w:tc>
        <w:tc>
          <w:tcPr>
            <w:tcW w:w="1703"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7"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崔春华</w:t>
            </w:r>
          </w:p>
        </w:tc>
        <w:tc>
          <w:tcPr>
            <w:tcW w:w="4308" w:type="dxa"/>
            <w:vMerge w:val="restart"/>
            <w:vAlign w:val="center"/>
          </w:tcPr>
          <w:p>
            <w:pPr>
              <w:jc w:val="both"/>
              <w:rPr>
                <w:rFonts w:ascii="宋体" w:hAnsi="宋体" w:eastAsia="宋体" w:cs="宋体"/>
                <w:kern w:val="0"/>
                <w:sz w:val="24"/>
              </w:rPr>
            </w:pPr>
            <w:r>
              <w:rPr>
                <w:rFonts w:hint="eastAsia" w:ascii="宋体" w:hAnsi="宋体" w:eastAsia="宋体" w:cs="宋体"/>
                <w:kern w:val="0"/>
                <w:sz w:val="24"/>
              </w:rPr>
              <w:t>现场调查、走访</w:t>
            </w:r>
            <w:r>
              <w:rPr>
                <w:rFonts w:hint="eastAsia" w:ascii="宋体" w:hAnsi="宋体" w:eastAsia="宋体" w:cs="宋体"/>
                <w:kern w:val="0"/>
                <w:sz w:val="24"/>
                <w:lang w:eastAsia="zh-CN"/>
              </w:rPr>
              <w:t>，</w:t>
            </w:r>
            <w:r>
              <w:rPr>
                <w:rFonts w:hint="eastAsia" w:ascii="宋体" w:hAnsi="宋体" w:eastAsia="宋体" w:cs="宋体"/>
                <w:kern w:val="0"/>
                <w:sz w:val="24"/>
              </w:rPr>
              <w:t>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80"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8</w:t>
            </w:r>
          </w:p>
        </w:tc>
        <w:tc>
          <w:tcPr>
            <w:tcW w:w="1703" w:type="dxa"/>
            <w:vMerge w:val="continue"/>
            <w:vAlign w:val="center"/>
          </w:tcPr>
          <w:p>
            <w:pPr>
              <w:pStyle w:val="16"/>
              <w:ind w:firstLine="0"/>
              <w:jc w:val="center"/>
              <w:rPr>
                <w:rFonts w:ascii="宋体" w:hAnsi="宋体" w:eastAsia="宋体" w:cs="宋体"/>
                <w:kern w:val="0"/>
                <w:sz w:val="24"/>
              </w:rPr>
            </w:pPr>
          </w:p>
        </w:tc>
        <w:tc>
          <w:tcPr>
            <w:tcW w:w="1427"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白秀云</w:t>
            </w:r>
          </w:p>
        </w:tc>
        <w:tc>
          <w:tcPr>
            <w:tcW w:w="4308"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80"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9</w:t>
            </w:r>
          </w:p>
        </w:tc>
        <w:tc>
          <w:tcPr>
            <w:tcW w:w="1703" w:type="dxa"/>
            <w:vMerge w:val="continue"/>
            <w:vAlign w:val="center"/>
          </w:tcPr>
          <w:p>
            <w:pPr>
              <w:pStyle w:val="16"/>
              <w:ind w:firstLine="0"/>
              <w:jc w:val="center"/>
              <w:rPr>
                <w:rFonts w:ascii="宋体" w:hAnsi="宋体" w:eastAsia="宋体" w:cs="宋体"/>
                <w:kern w:val="0"/>
                <w:sz w:val="24"/>
              </w:rPr>
            </w:pPr>
          </w:p>
        </w:tc>
        <w:tc>
          <w:tcPr>
            <w:tcW w:w="1427"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08"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80"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10</w:t>
            </w:r>
          </w:p>
        </w:tc>
        <w:tc>
          <w:tcPr>
            <w:tcW w:w="1703" w:type="dxa"/>
            <w:vMerge w:val="continue"/>
            <w:vAlign w:val="center"/>
          </w:tcPr>
          <w:p>
            <w:pPr>
              <w:pStyle w:val="16"/>
              <w:ind w:firstLine="0"/>
              <w:jc w:val="center"/>
              <w:rPr>
                <w:rFonts w:ascii="宋体" w:hAnsi="宋体" w:eastAsia="宋体" w:cs="宋体"/>
                <w:kern w:val="0"/>
                <w:sz w:val="24"/>
              </w:rPr>
            </w:pPr>
          </w:p>
        </w:tc>
        <w:tc>
          <w:tcPr>
            <w:tcW w:w="1427"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敖立军</w:t>
            </w:r>
          </w:p>
        </w:tc>
        <w:tc>
          <w:tcPr>
            <w:tcW w:w="4308"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80"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11</w:t>
            </w:r>
          </w:p>
        </w:tc>
        <w:tc>
          <w:tcPr>
            <w:tcW w:w="1703" w:type="dxa"/>
            <w:vMerge w:val="continue"/>
            <w:vAlign w:val="center"/>
          </w:tcPr>
          <w:p>
            <w:pPr>
              <w:pStyle w:val="16"/>
              <w:ind w:firstLine="0"/>
              <w:jc w:val="center"/>
              <w:rPr>
                <w:rFonts w:ascii="宋体" w:hAnsi="宋体" w:eastAsia="宋体" w:cs="宋体"/>
                <w:kern w:val="0"/>
                <w:sz w:val="24"/>
              </w:rPr>
            </w:pPr>
          </w:p>
        </w:tc>
        <w:tc>
          <w:tcPr>
            <w:tcW w:w="1427" w:type="dxa"/>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杨莉洁</w:t>
            </w:r>
          </w:p>
        </w:tc>
        <w:tc>
          <w:tcPr>
            <w:tcW w:w="4308" w:type="dxa"/>
            <w:vMerge w:val="continue"/>
            <w:vAlign w:val="center"/>
          </w:tcPr>
          <w:p>
            <w:pPr>
              <w:jc w:val="center"/>
              <w:rPr>
                <w:rFonts w:ascii="宋体" w:hAnsi="宋体" w:eastAsia="宋体" w:cs="宋体"/>
                <w:kern w:val="0"/>
                <w:sz w:val="24"/>
              </w:rPr>
            </w:pPr>
          </w:p>
        </w:tc>
      </w:tr>
    </w:tbl>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51" w:name="_Toc25494"/>
      <w:bookmarkStart w:id="52" w:name="_Toc31637"/>
      <w:bookmarkStart w:id="53" w:name="_Toc28394"/>
      <w:bookmarkStart w:id="54" w:name="_Toc27143"/>
      <w:bookmarkStart w:id="55" w:name="_Toc6642"/>
      <w:bookmarkStart w:id="56" w:name="_Toc28024"/>
      <w:bookmarkStart w:id="57" w:name="_Toc29931"/>
      <w:r>
        <w:rPr>
          <w:rFonts w:hint="eastAsia" w:ascii="宋体" w:hAnsi="宋体" w:eastAsia="宋体" w:cs="宋体"/>
          <w:b/>
          <w:bCs/>
          <w:kern w:val="0"/>
          <w:sz w:val="28"/>
          <w:szCs w:val="28"/>
          <w:lang w:val="en-US" w:eastAsia="zh-CN" w:bidi="ar-SA"/>
        </w:rPr>
        <w:t>2、评价工作各相关当事方的职责</w:t>
      </w:r>
      <w:bookmarkEnd w:id="51"/>
      <w:bookmarkEnd w:id="52"/>
      <w:bookmarkEnd w:id="53"/>
      <w:bookmarkEnd w:id="54"/>
      <w:bookmarkEnd w:id="55"/>
      <w:bookmarkEnd w:id="56"/>
      <w:bookmarkEnd w:id="57"/>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序号</w:t>
            </w:r>
          </w:p>
        </w:tc>
        <w:tc>
          <w:tcPr>
            <w:tcW w:w="2263"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spacing w:val="15"/>
                <w:kern w:val="0"/>
                <w:sz w:val="24"/>
                <w:szCs w:val="24"/>
              </w:rPr>
              <w:t>各相关当事方</w:t>
            </w:r>
          </w:p>
        </w:tc>
        <w:tc>
          <w:tcPr>
            <w:tcW w:w="5172"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1</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委托方</w:t>
            </w:r>
          </w:p>
        </w:tc>
        <w:tc>
          <w:tcPr>
            <w:tcW w:w="5172" w:type="dxa"/>
            <w:noWrap w:val="0"/>
            <w:vAlign w:val="center"/>
          </w:tcPr>
          <w:p>
            <w:pPr>
              <w:numPr>
                <w:ilvl w:val="0"/>
                <w:numId w:val="1"/>
              </w:num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rPr>
              <w:t>明确</w:t>
            </w:r>
            <w:r>
              <w:rPr>
                <w:rFonts w:hint="eastAsia" w:ascii="宋体" w:hAnsi="宋体" w:eastAsia="宋体" w:cs="宋体"/>
                <w:spacing w:val="15"/>
                <w:kern w:val="0"/>
                <w:sz w:val="24"/>
                <w:szCs w:val="24"/>
                <w:lang w:eastAsia="zh-CN"/>
              </w:rPr>
              <w:t>王雪</w:t>
            </w:r>
            <w:r>
              <w:rPr>
                <w:rFonts w:hint="eastAsia" w:ascii="宋体" w:hAnsi="宋体" w:eastAsia="宋体" w:cs="宋体"/>
                <w:spacing w:val="15"/>
                <w:kern w:val="0"/>
                <w:sz w:val="24"/>
                <w:szCs w:val="24"/>
              </w:rPr>
              <w:t>同志参加绩效评价工作，负责与相关部门沟通协调，确保</w:t>
            </w:r>
            <w:r>
              <w:rPr>
                <w:rFonts w:hint="eastAsia" w:ascii="宋体" w:hAnsi="宋体" w:eastAsia="宋体" w:cs="宋体"/>
                <w:spacing w:val="15"/>
                <w:kern w:val="0"/>
                <w:sz w:val="24"/>
                <w:szCs w:val="24"/>
                <w:lang w:eastAsia="zh-CN"/>
              </w:rPr>
              <w:t>绩效</w:t>
            </w:r>
            <w:r>
              <w:rPr>
                <w:rFonts w:hint="eastAsia" w:ascii="宋体" w:hAnsi="宋体" w:eastAsia="宋体" w:cs="宋体"/>
                <w:spacing w:val="15"/>
                <w:kern w:val="0"/>
                <w:sz w:val="24"/>
                <w:szCs w:val="24"/>
              </w:rPr>
              <w:t>评价工作正常开展</w:t>
            </w:r>
            <w:r>
              <w:rPr>
                <w:rFonts w:hint="eastAsia" w:ascii="宋体" w:hAnsi="宋体" w:eastAsia="宋体" w:cs="宋体"/>
                <w:spacing w:val="15"/>
                <w:kern w:val="0"/>
                <w:sz w:val="24"/>
                <w:szCs w:val="24"/>
                <w:lang w:eastAsia="zh-CN"/>
              </w:rPr>
              <w:t>。</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2.整理好</w:t>
            </w:r>
            <w:r>
              <w:rPr>
                <w:rFonts w:hint="eastAsia" w:ascii="宋体" w:hAnsi="宋体" w:eastAsia="宋体" w:cs="宋体"/>
                <w:spacing w:val="15"/>
                <w:kern w:val="0"/>
                <w:sz w:val="24"/>
                <w:szCs w:val="24"/>
                <w:lang w:eastAsia="zh-CN"/>
              </w:rPr>
              <w:t>由委托方提供的与该</w:t>
            </w:r>
            <w:r>
              <w:rPr>
                <w:rFonts w:hint="eastAsia" w:ascii="宋体" w:hAnsi="宋体" w:eastAsia="宋体" w:cs="宋体"/>
                <w:spacing w:val="15"/>
                <w:kern w:val="0"/>
                <w:sz w:val="24"/>
                <w:szCs w:val="24"/>
              </w:rPr>
              <w:t>项目</w:t>
            </w:r>
            <w:r>
              <w:rPr>
                <w:rFonts w:hint="eastAsia" w:ascii="宋体" w:hAnsi="宋体" w:eastAsia="宋体" w:cs="宋体"/>
                <w:spacing w:val="15"/>
                <w:kern w:val="0"/>
                <w:sz w:val="24"/>
                <w:szCs w:val="24"/>
                <w:lang w:eastAsia="zh-CN"/>
              </w:rPr>
              <w:t>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noWrap w:val="0"/>
            <w:vAlign w:val="center"/>
          </w:tcPr>
          <w:p>
            <w:pPr>
              <w:ind w:firstLine="0" w:firstLineChars="0"/>
              <w:jc w:val="center"/>
              <w:rPr>
                <w:rFonts w:hint="eastAsia" w:ascii="宋体" w:hAnsi="宋体" w:eastAsia="宋体"/>
                <w:b/>
                <w:bCs/>
                <w:kern w:val="0"/>
                <w:sz w:val="24"/>
                <w:szCs w:val="24"/>
                <w:lang w:val="en-US" w:eastAsia="zh-CN"/>
              </w:rPr>
            </w:pPr>
            <w:r>
              <w:rPr>
                <w:rFonts w:hint="eastAsia" w:ascii="宋体" w:hAnsi="宋体" w:eastAsia="宋体"/>
                <w:b/>
                <w:bCs/>
                <w:kern w:val="0"/>
                <w:sz w:val="24"/>
                <w:szCs w:val="24"/>
                <w:lang w:val="en-US" w:eastAsia="zh-CN"/>
              </w:rPr>
              <w:t>2</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建设单位</w:t>
            </w:r>
          </w:p>
        </w:tc>
        <w:tc>
          <w:tcPr>
            <w:tcW w:w="5172" w:type="dxa"/>
            <w:noWrap w:val="0"/>
            <w:vAlign w:val="center"/>
          </w:tcPr>
          <w:p>
            <w:pPr>
              <w:ind w:firstLine="0" w:firstLineChars="0"/>
              <w:rPr>
                <w:rFonts w:hint="default" w:ascii="宋体" w:hAnsi="宋体" w:eastAsia="宋体" w:cs="宋体"/>
                <w:spacing w:val="15"/>
                <w:kern w:val="0"/>
                <w:sz w:val="24"/>
                <w:szCs w:val="24"/>
                <w:lang w:val="en-US" w:eastAsia="zh-CN"/>
              </w:rPr>
            </w:pPr>
            <w:r>
              <w:rPr>
                <w:rFonts w:hint="eastAsia" w:ascii="宋体" w:hAnsi="宋体" w:eastAsia="宋体" w:cs="宋体"/>
                <w:spacing w:val="15"/>
                <w:kern w:val="0"/>
                <w:sz w:val="24"/>
                <w:szCs w:val="24"/>
                <w:lang w:val="en-US" w:eastAsia="zh-CN"/>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3</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受托方</w:t>
            </w:r>
          </w:p>
        </w:tc>
        <w:tc>
          <w:tcPr>
            <w:tcW w:w="5172" w:type="dxa"/>
            <w:noWrap w:val="0"/>
            <w:vAlign w:val="center"/>
          </w:tcPr>
          <w:p>
            <w:p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lang w:val="en-US" w:eastAsia="zh-CN"/>
              </w:rPr>
              <w:t>1.</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资金安排的使用情况，组织实施情况和绩效目标实现程度及效果进行评价；</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进行第三方绩效评价服务，并出具绩效评价报告；</w:t>
            </w:r>
          </w:p>
        </w:tc>
      </w:tr>
    </w:tbl>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3、资料收集与调查</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明确开展绩效评价工作所需的资料收集与调查方案，包括资料收集内容与途径、数据资料来源以及具体的调查方法。</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1）、资料调查法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2）、座谈调查法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宋体"/>
          <w:bCs/>
          <w:kern w:val="0"/>
          <w:sz w:val="32"/>
          <w:szCs w:val="32"/>
          <w:lang w:val="en-US" w:eastAsia="zh-CN" w:bidi="ar-SA"/>
        </w:rPr>
      </w:pPr>
      <w:r>
        <w:rPr>
          <w:rFonts w:hint="eastAsia" w:ascii="宋体" w:hAnsi="宋体" w:eastAsia="宋体" w:cs="宋体"/>
          <w:kern w:val="2"/>
          <w:sz w:val="28"/>
          <w:szCs w:val="28"/>
          <w:lang w:val="en-US" w:eastAsia="zh-CN" w:bidi="ar-SA"/>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3）、走访调查法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4、明确绩效评价工作质量控制措施</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整个实施过程中对具体绩效评价质量监控主要有外部监控和内部监控两个方面。</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外部监控主要包括财政部门或预算单位对评价小组成员评价工作组能力评价、第三方绩效评价方案的审核、评价实施过程的监控、评价报告的审核、评价质量评审；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黑体" w:hAnsi="黑体" w:eastAsia="黑体" w:cs="黑体"/>
          <w:b w:val="0"/>
          <w:bCs w:val="0"/>
          <w:sz w:val="32"/>
          <w:szCs w:val="32"/>
          <w:lang w:eastAsia="zh-CN"/>
        </w:rPr>
      </w:pPr>
      <w:bookmarkStart w:id="58" w:name="_Toc5577"/>
      <w:bookmarkStart w:id="59" w:name="_Toc17781"/>
      <w:bookmarkStart w:id="60" w:name="_Toc332"/>
      <w:bookmarkStart w:id="61" w:name="_Toc24530"/>
      <w:bookmarkStart w:id="62" w:name="_Toc27067"/>
      <w:r>
        <w:rPr>
          <w:rFonts w:hint="eastAsia" w:ascii="宋体" w:hAnsi="宋体" w:eastAsia="宋体" w:cs="宋体"/>
          <w:sz w:val="28"/>
          <w:szCs w:val="28"/>
          <w:lang w:val="en-US" w:eastAsia="zh-CN"/>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8"/>
      <w:bookmarkEnd w:id="59"/>
      <w:bookmarkEnd w:id="60"/>
      <w:bookmarkEnd w:id="61"/>
      <w:bookmarkEnd w:id="62"/>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b w:val="0"/>
          <w:bCs w:val="0"/>
          <w:sz w:val="32"/>
          <w:szCs w:val="32"/>
          <w:lang w:eastAsia="zh-CN"/>
        </w:rPr>
      </w:pPr>
      <w:bookmarkStart w:id="63" w:name="_Toc26136"/>
      <w:r>
        <w:rPr>
          <w:rFonts w:hint="eastAsia" w:ascii="黑体" w:hAnsi="黑体" w:eastAsia="黑体" w:cs="黑体"/>
          <w:b w:val="0"/>
          <w:bCs w:val="0"/>
          <w:sz w:val="32"/>
          <w:szCs w:val="32"/>
          <w:lang w:eastAsia="zh-CN"/>
        </w:rPr>
        <w:t>三、</w:t>
      </w:r>
      <w:bookmarkEnd w:id="32"/>
      <w:r>
        <w:rPr>
          <w:rFonts w:hint="eastAsia" w:ascii="黑体" w:hAnsi="黑体" w:eastAsia="黑体" w:cs="黑体"/>
          <w:kern w:val="2"/>
          <w:sz w:val="32"/>
          <w:szCs w:val="32"/>
          <w:highlight w:val="none"/>
          <w:lang w:val="en-US" w:eastAsia="zh-CN" w:bidi="ar-SA"/>
        </w:rPr>
        <w:t>项目实施及资金使用情况</w:t>
      </w:r>
      <w:bookmarkEnd w:id="63"/>
    </w:p>
    <w:p>
      <w:pPr>
        <w:ind w:firstLine="643" w:firstLineChars="200"/>
        <w:outlineLvl w:val="1"/>
        <w:rPr>
          <w:rFonts w:hint="eastAsia" w:ascii="楷体" w:hAnsi="楷体" w:eastAsia="楷体" w:cs="楷体"/>
          <w:b/>
          <w:bCs/>
          <w:kern w:val="2"/>
          <w:sz w:val="32"/>
          <w:szCs w:val="32"/>
          <w:highlight w:val="yellow"/>
          <w:lang w:val="en-US" w:eastAsia="zh-CN" w:bidi="ar-SA"/>
        </w:rPr>
      </w:pPr>
      <w:bookmarkStart w:id="64" w:name="_Toc6786"/>
      <w:bookmarkStart w:id="65" w:name="_Toc30614"/>
      <w:r>
        <w:rPr>
          <w:rFonts w:hint="eastAsia" w:ascii="楷体" w:hAnsi="楷体" w:eastAsia="楷体" w:cs="楷体"/>
          <w:b/>
          <w:bCs/>
          <w:kern w:val="2"/>
          <w:sz w:val="32"/>
          <w:szCs w:val="32"/>
          <w:highlight w:val="none"/>
          <w:lang w:val="en-US" w:eastAsia="zh-CN" w:bidi="ar-SA"/>
        </w:rPr>
        <w:t>（一）项目实施情况</w:t>
      </w:r>
      <w:bookmarkEnd w:id="64"/>
      <w:bookmarkEnd w:id="65"/>
    </w:p>
    <w:p>
      <w:pPr>
        <w:pStyle w:val="6"/>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2016年农村客运站点候车亭建设项目分布在206个行政村，每个候车亭外围尺寸长度4.1米，宽度3.8米，高度为2.6 米，站台面积为78.8平方米。站亭内配备候车座位、宣传栏等实用装备，并在宜传栏上标明了站点名称、途径该站点的线路、班次等。</w:t>
      </w:r>
    </w:p>
    <w:p>
      <w:pPr>
        <w:pStyle w:val="6"/>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inline distT="0" distB="0" distL="114300" distR="114300">
            <wp:extent cx="5266690" cy="3950335"/>
            <wp:effectExtent l="0" t="0" r="10160" b="12065"/>
            <wp:docPr id="1" name="图片 1" descr="微信图片_20210318114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318114250"/>
                    <pic:cNvPicPr>
                      <a:picLocks noChangeAspect="1"/>
                    </pic:cNvPicPr>
                  </pic:nvPicPr>
                  <pic:blipFill>
                    <a:blip r:embed="rId10"/>
                    <a:stretch>
                      <a:fillRect/>
                    </a:stretch>
                  </pic:blipFill>
                  <pic:spPr>
                    <a:xfrm>
                      <a:off x="0" y="0"/>
                      <a:ext cx="5266690" cy="3950335"/>
                    </a:xfrm>
                    <a:prstGeom prst="rect">
                      <a:avLst/>
                    </a:prstGeom>
                  </pic:spPr>
                </pic:pic>
              </a:graphicData>
            </a:graphic>
          </wp:inline>
        </w:drawing>
      </w:r>
    </w:p>
    <w:p>
      <w:pPr>
        <w:pStyle w:val="6"/>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项目预算总投资618万元，其中河北省交通运输厅补助投资309万元，地方配套资金309万元，包括地方政府新增一般债券181.4414万元。</w:t>
      </w:r>
    </w:p>
    <w:p>
      <w:pPr>
        <w:pStyle w:val="6"/>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2016年9月2日至2016年9月23日围场县财政评审中心对围场县农村客运站点建设项目进行评审。建设单位报审金额为618.260356万元（其中：勘察费14万元、设计费15万元、监理费11.68万元、造价咨询费8.5万元、前期费用1.98万元），审定金额592.614782万元，最终确定围场县农村客运站点建设项目招投标最高限价为550.614782万元。</w:t>
      </w:r>
    </w:p>
    <w:p>
      <w:pPr>
        <w:pStyle w:val="6"/>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2016年12月7日本项目通过公开招标，最终确定河北阜承建筑工程有限公司为本项目的中标单位，中标价为：550.253682万元。并于2016年12月13日与围场满族蒙古族自治县公路工程建设管理站签订了施工合同。</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2018年12月12日工程建设单位组织施工、监理、公路工程质量监督单位对本项目进行验收。工程建设内容及规模按照设计要求完成，各项资料及工程建设手续准备完备，具备了质量监督部门出具工程质量鉴定合格报告的条件</w:t>
      </w:r>
      <w:r>
        <w:rPr>
          <w:rFonts w:hint="eastAsia" w:ascii="宋体" w:hAnsi="宋体" w:eastAsia="宋体" w:cs="宋体"/>
          <w:kern w:val="2"/>
          <w:sz w:val="28"/>
          <w:szCs w:val="28"/>
          <w:lang w:val="en-US" w:eastAsia="zh-CN" w:bidi="ar-SA"/>
        </w:rPr>
        <w:t>。</w:t>
      </w:r>
    </w:p>
    <w:p>
      <w:pPr>
        <w:ind w:firstLine="643" w:firstLineChars="200"/>
        <w:outlineLvl w:val="1"/>
        <w:rPr>
          <w:rFonts w:hint="eastAsia" w:ascii="楷体" w:hAnsi="楷体" w:eastAsia="楷体" w:cs="楷体"/>
          <w:b/>
          <w:bCs/>
          <w:kern w:val="2"/>
          <w:sz w:val="32"/>
          <w:szCs w:val="32"/>
          <w:highlight w:val="yellow"/>
          <w:lang w:val="en-US" w:eastAsia="zh-CN" w:bidi="ar-SA"/>
        </w:rPr>
      </w:pPr>
      <w:bookmarkStart w:id="66" w:name="_Toc24909"/>
      <w:bookmarkStart w:id="67" w:name="_Toc14809"/>
      <w:r>
        <w:rPr>
          <w:rFonts w:hint="eastAsia" w:ascii="楷体" w:hAnsi="楷体" w:eastAsia="楷体" w:cs="楷体"/>
          <w:b/>
          <w:bCs/>
          <w:kern w:val="2"/>
          <w:sz w:val="32"/>
          <w:szCs w:val="32"/>
          <w:highlight w:val="none"/>
          <w:lang w:val="en-US" w:eastAsia="zh-CN" w:bidi="ar-SA"/>
        </w:rPr>
        <w:t>（二）资金使用情况</w:t>
      </w:r>
      <w:bookmarkEnd w:id="66"/>
      <w:bookmarkEnd w:id="67"/>
    </w:p>
    <w:p>
      <w:pPr>
        <w:ind w:firstLine="560" w:firstLineChars="200"/>
        <w:rPr>
          <w:rFonts w:hint="eastAsia" w:ascii="宋体" w:hAnsi="宋体" w:eastAsia="宋体" w:cs="宋体"/>
          <w:kern w:val="2"/>
          <w:sz w:val="28"/>
          <w:szCs w:val="28"/>
          <w:lang w:val="en-US" w:eastAsia="zh-CN" w:bidi="ar-SA"/>
        </w:rPr>
      </w:pPr>
      <w:bookmarkStart w:id="68" w:name="_Toc13622"/>
      <w:bookmarkStart w:id="69" w:name="_Toc15054"/>
      <w:r>
        <w:rPr>
          <w:rFonts w:hint="eastAsia" w:ascii="宋体" w:hAnsi="宋体" w:eastAsia="宋体" w:cs="宋体"/>
          <w:sz w:val="28"/>
          <w:szCs w:val="28"/>
          <w:lang w:val="en-US" w:eastAsia="zh-CN"/>
        </w:rPr>
        <w:t>2019年12月26日围场满族蒙古族自治县交通运输局收到财政拨款181.441438万元，并支付给围场满族蒙古族自治县公路工程建设管理站</w:t>
      </w:r>
      <w:r>
        <w:rPr>
          <w:rFonts w:hint="eastAsia" w:ascii="宋体" w:hAnsi="宋体" w:eastAsia="宋体" w:cs="宋体"/>
          <w:kern w:val="2"/>
          <w:sz w:val="28"/>
          <w:szCs w:val="28"/>
          <w:lang w:val="en-US" w:eastAsia="zh-CN" w:bidi="ar-SA"/>
        </w:rPr>
        <w:t>。</w:t>
      </w:r>
      <w:bookmarkEnd w:id="68"/>
      <w:bookmarkEnd w:id="69"/>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围场满族蒙古族自治县公路工程建设管理站将收到的工程款全部用于偿还</w:t>
      </w:r>
      <w:r>
        <w:rPr>
          <w:rFonts w:hint="eastAsia" w:ascii="宋体" w:hAnsi="宋体" w:eastAsia="宋体" w:cs="宋体"/>
          <w:sz w:val="28"/>
          <w:szCs w:val="28"/>
          <w:lang w:eastAsia="zh-CN"/>
        </w:rPr>
        <w:t>2016年农村客运站点建设项目</w:t>
      </w:r>
      <w:r>
        <w:rPr>
          <w:rFonts w:hint="eastAsia" w:ascii="宋体" w:hAnsi="宋体" w:eastAsia="宋体" w:cs="宋体"/>
          <w:sz w:val="28"/>
          <w:szCs w:val="28"/>
          <w:lang w:val="en-US" w:eastAsia="zh-CN"/>
        </w:rPr>
        <w:t>财政借款，前期工程款支付凭证号：JZ-02-0005和JZ-01-0023。</w:t>
      </w:r>
    </w:p>
    <w:p>
      <w:pPr>
        <w:ind w:firstLine="640" w:firstLineChars="200"/>
        <w:outlineLvl w:val="0"/>
        <w:rPr>
          <w:rFonts w:hint="eastAsia" w:ascii="黑体" w:hAnsi="黑体" w:eastAsia="黑体" w:cs="黑体"/>
          <w:kern w:val="2"/>
          <w:sz w:val="32"/>
          <w:szCs w:val="32"/>
          <w:lang w:val="en-US" w:eastAsia="zh-CN" w:bidi="ar-SA"/>
        </w:rPr>
      </w:pPr>
      <w:bookmarkStart w:id="70" w:name="_Toc6470"/>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绩效评价分析与结论</w:t>
      </w:r>
      <w:bookmarkEnd w:id="70"/>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val="en-US" w:eastAsia="zh-CN"/>
        </w:rPr>
      </w:pPr>
      <w:bookmarkStart w:id="71" w:name="_Toc25324"/>
      <w:bookmarkStart w:id="72" w:name="_Toc16548"/>
      <w:r>
        <w:rPr>
          <w:rFonts w:hint="eastAsia" w:ascii="楷体" w:hAnsi="楷体" w:eastAsia="楷体" w:cs="楷体"/>
          <w:b/>
          <w:bCs w:val="0"/>
          <w:kern w:val="0"/>
          <w:sz w:val="32"/>
          <w:szCs w:val="32"/>
          <w:lang w:val="en-US" w:eastAsia="zh-CN"/>
        </w:rPr>
        <w:t>（一）绩效评价分析</w:t>
      </w:r>
      <w:bookmarkEnd w:id="71"/>
      <w:bookmarkEnd w:id="72"/>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1.投入指标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投入指标绩效评价设定分值为10分，考评得分 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（1）项目立项管理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①项目立项合规性指标标准分值为5分，考评得分5分。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2015年8月11日，围场满族蒙古族自治县发展改革局下发了关于乡镇候车亭项目建议书的批复；2016年8月24日，围场满族蒙古族自治县人民政府下发了关于县交通运输局《呈报2016年农村客运站点（候车亭）建设项目实施方案的请示》的批复。本项目立项合规、方案可行、设立过程符合政策规定。</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②项目投入经济性、筹资合规性指标标准分值为3分，考评得分3分。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建设单位按照项目所设定的绩效目标依据充分，投入可行，资金来源合规，符合客观实际，能够达到设定的目标。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③项目可持续性指标标准分值为2分，考评得分2分。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县交通运输局严格按照批复方案实施，依据绩效目标设定的206个行政村建设客运站点候车亭。通过对</w:t>
      </w:r>
      <w:r>
        <w:rPr>
          <w:rFonts w:hint="eastAsia" w:ascii="宋体" w:hAnsi="宋体" w:eastAsia="宋体" w:cs="宋体"/>
          <w:sz w:val="28"/>
          <w:szCs w:val="28"/>
          <w:lang w:eastAsia="zh-CN"/>
        </w:rPr>
        <w:t>围场县公路工程建设管理站2016年农村客运站点建设项目</w:t>
      </w:r>
      <w:r>
        <w:rPr>
          <w:rFonts w:hint="eastAsia" w:ascii="宋体" w:hAnsi="宋体" w:eastAsia="宋体" w:cs="宋体"/>
          <w:kern w:val="2"/>
          <w:sz w:val="28"/>
          <w:szCs w:val="28"/>
          <w:lang w:val="en-US" w:eastAsia="zh-CN" w:bidi="ar-SA"/>
        </w:rPr>
        <w:t>的分析</w:t>
      </w:r>
      <w:r>
        <w:rPr>
          <w:rFonts w:hint="eastAsia" w:ascii="宋体" w:hAnsi="宋体" w:eastAsia="宋体" w:cs="宋体"/>
          <w:kern w:val="2"/>
          <w:sz w:val="28"/>
          <w:szCs w:val="28"/>
          <w:highlight w:val="none"/>
          <w:lang w:val="en-US" w:eastAsia="zh-CN" w:bidi="ar-SA"/>
        </w:rPr>
        <w:t>，为</w:t>
      </w:r>
      <w:r>
        <w:rPr>
          <w:rFonts w:hint="eastAsia" w:ascii="宋体" w:hAnsi="宋体" w:eastAsia="宋体" w:cs="宋体"/>
          <w:sz w:val="28"/>
          <w:szCs w:val="28"/>
          <w:lang w:val="en-US" w:eastAsia="zh-CN"/>
        </w:rPr>
        <w:t>解决城市公共交通、城际客运、农村客运发展不平衡，网络不协调，衔接不顺畅，政策不配套等难题，建设候车亭是保障社会经济持续发展的迫切需要；是落实中央及地方有关精神的需要；是实现城乡对接，满足经济发展的需要；是有效改善群众候车条件的需要；综上所述，本项目的建设是十分必要和可行的，且</w:t>
      </w:r>
      <w:r>
        <w:rPr>
          <w:rFonts w:hint="eastAsia" w:ascii="宋体" w:hAnsi="宋体" w:eastAsia="宋体" w:cs="宋体"/>
          <w:kern w:val="2"/>
          <w:sz w:val="28"/>
          <w:szCs w:val="28"/>
          <w:highlight w:val="none"/>
          <w:lang w:val="en-US" w:eastAsia="zh-CN" w:bidi="ar-SA"/>
        </w:rPr>
        <w:t>未来可持续性强。</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2.管理指标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管理指标绩效评价设定分值为30分，考评得分30分。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（1）业务管理指标绩效评价设定分值为15分，考评得分15分。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①项目资料的完整性指标标准分值为6分，考评得分6分。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eastAsia="zh-CN"/>
        </w:rPr>
        <w:t>围场县公路工程建设管理站2016年农村客运站点建设项目</w:t>
      </w:r>
      <w:r>
        <w:rPr>
          <w:rFonts w:hint="eastAsia" w:ascii="宋体" w:hAnsi="宋体" w:eastAsia="宋体" w:cs="宋体"/>
          <w:kern w:val="2"/>
          <w:sz w:val="28"/>
          <w:szCs w:val="28"/>
          <w:highlight w:val="none"/>
          <w:lang w:val="en-US" w:eastAsia="zh-CN" w:bidi="ar-SA"/>
        </w:rPr>
        <w:t>绩效评价涉及到的中标通知书、施工合同、竣工验收报告和财务凭证等资料基本完整。</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②政务公开情况指标标准分值为3分，考评得分3分。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新增债券资金安排的情况均已公示，本项目没有发现应该招标没有招标的情况。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③变更控制情况指标标准分值为3分，考评得分3分。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2016年</w:t>
      </w:r>
      <w:r>
        <w:rPr>
          <w:rFonts w:hint="eastAsia" w:ascii="宋体" w:hAnsi="宋体" w:eastAsia="宋体" w:cs="宋体"/>
          <w:sz w:val="28"/>
          <w:szCs w:val="28"/>
          <w:lang w:eastAsia="zh-CN"/>
        </w:rPr>
        <w:t>农村客运站点建设项目</w:t>
      </w:r>
      <w:r>
        <w:rPr>
          <w:rFonts w:hint="eastAsia" w:ascii="宋体" w:hAnsi="宋体" w:eastAsia="宋体" w:cs="宋体"/>
          <w:kern w:val="2"/>
          <w:sz w:val="28"/>
          <w:szCs w:val="28"/>
          <w:highlight w:val="none"/>
          <w:lang w:val="en-US" w:eastAsia="zh-CN" w:bidi="ar-SA"/>
        </w:rPr>
        <w:t>债券资金使用部分无变更，工程能够如期完工，项目能够按照资金使用情况顺利进行。</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④项目按照方案实施情况指标标准分值为3分，考评得分3分。</w:t>
      </w:r>
    </w:p>
    <w:p>
      <w:pPr>
        <w:pStyle w:val="15"/>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sz w:val="28"/>
          <w:szCs w:val="28"/>
          <w:lang w:val="en-US" w:eastAsia="zh-CN"/>
        </w:rPr>
      </w:pPr>
      <w:r>
        <w:rPr>
          <w:rFonts w:hint="eastAsia" w:ascii="宋体" w:hAnsi="宋体" w:eastAsia="宋体" w:cs="宋体"/>
          <w:sz w:val="28"/>
          <w:szCs w:val="28"/>
          <w:lang w:eastAsia="zh-CN"/>
        </w:rPr>
        <w:t>农村客运站点建设项目</w:t>
      </w:r>
      <w:r>
        <w:rPr>
          <w:rFonts w:hint="eastAsia"/>
          <w:sz w:val="28"/>
          <w:szCs w:val="28"/>
          <w:lang w:val="en-US" w:eastAsia="zh-CN"/>
        </w:rPr>
        <w:t>实施符合实际要求，合理、可行，无违反规定的项目实施。</w:t>
      </w:r>
    </w:p>
    <w:p>
      <w:pPr>
        <w:pStyle w:val="15"/>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（2）财务管理指标绩效评价设定分值为15分，考评得分</w:t>
      </w:r>
      <w:r>
        <w:rPr>
          <w:rFonts w:hint="eastAsia" w:hAnsi="宋体" w:cs="宋体"/>
          <w:kern w:val="2"/>
          <w:sz w:val="28"/>
          <w:szCs w:val="28"/>
          <w:highlight w:val="none"/>
          <w:lang w:val="en-US" w:eastAsia="zh-CN" w:bidi="ar-SA"/>
        </w:rPr>
        <w:t>15</w:t>
      </w:r>
      <w:r>
        <w:rPr>
          <w:rFonts w:hint="eastAsia" w:ascii="宋体" w:hAnsi="宋体" w:eastAsia="宋体" w:cs="宋体"/>
          <w:kern w:val="2"/>
          <w:sz w:val="28"/>
          <w:szCs w:val="28"/>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①资金使用合规性指标标准分值为4分，考评得分4分。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eastAsia="zh-CN"/>
        </w:rPr>
        <w:t>农村客运站点建设项目</w:t>
      </w:r>
      <w:r>
        <w:rPr>
          <w:rFonts w:hint="eastAsia" w:ascii="宋体" w:hAnsi="宋体" w:eastAsia="宋体" w:cs="宋体"/>
          <w:kern w:val="2"/>
          <w:sz w:val="28"/>
          <w:szCs w:val="28"/>
          <w:highlight w:val="none"/>
          <w:lang w:val="en-US" w:eastAsia="zh-CN" w:bidi="ar-SA"/>
        </w:rPr>
        <w:t>债券资金均未用于经常性支出，也未用于中央明令禁止的项目支出，资金使用合规。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②县级财政国库集中支付情况指标标准分值为7分，考评得分7分。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本项目实施过程中能够按时完成项目工程款支付，按照国库集中支付制度要求在县级财政集中支付，未出现资金拖欠现象。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③会计制度执行情况（项目单位）指标标准分值为4分，考评得分4分。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eastAsia="zh-CN"/>
        </w:rPr>
        <w:t>农村客运站点建设项目</w:t>
      </w:r>
      <w:r>
        <w:rPr>
          <w:rFonts w:hint="eastAsia" w:ascii="宋体" w:hAnsi="宋体" w:eastAsia="宋体" w:cs="宋体"/>
          <w:kern w:val="2"/>
          <w:sz w:val="28"/>
          <w:szCs w:val="28"/>
          <w:highlight w:val="none"/>
          <w:lang w:val="en-US" w:eastAsia="zh-CN" w:bidi="ar-SA"/>
        </w:rPr>
        <w:t>未发现资金有挪用、抽逃、延迟支付现象，项目建设资金使用合规，账务处理基本合规。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3.产出指标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产出指标绩效评价设定分值为30分，考评得分28分。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（1）项目产出管理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①工程完工情况指标标准分值为10分，考评得分10分。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sz w:val="28"/>
          <w:szCs w:val="28"/>
          <w:lang w:eastAsia="zh-CN"/>
        </w:rPr>
        <w:t>农村客运站点建设</w:t>
      </w:r>
      <w:r>
        <w:rPr>
          <w:rFonts w:hint="eastAsia" w:ascii="宋体" w:hAnsi="宋体" w:eastAsia="宋体" w:cs="宋体"/>
          <w:kern w:val="2"/>
          <w:sz w:val="28"/>
          <w:szCs w:val="28"/>
          <w:highlight w:val="none"/>
          <w:lang w:val="en-US" w:eastAsia="zh-CN" w:bidi="ar-SA"/>
        </w:rPr>
        <w:t>项目已完成的工程投资与计划实施的实际工程总投资基本吻合，主要工程量按照要求全部完成。</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②工期控制情况指标标准分值为10分，考评得分8分。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本工程项目计划工期216天，实际工期525天。未能按照合同约定计划工期完成施工进度，出现工程滞后现象。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③完工项目验收情况指标标准分值为10分，考评得分10分。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2018年12月12日工程建设单位组织施工、监理、公路工程质量监督单位对本项目进行验收。工程建设内容及规模按照设计要求完成，各项资料及工程建设手续准备完备，具备了质量监督部门出具工程质量鉴定合格报告的条件</w:t>
      </w:r>
      <w:r>
        <w:rPr>
          <w:rFonts w:hint="eastAsia" w:ascii="宋体" w:hAnsi="宋体" w:eastAsia="宋体" w:cs="宋体"/>
          <w:kern w:val="2"/>
          <w:sz w:val="28"/>
          <w:szCs w:val="28"/>
          <w:highlight w:val="none"/>
          <w:lang w:val="en-US" w:eastAsia="zh-CN" w:bidi="ar-SA"/>
        </w:rPr>
        <w:t>。2018年12月21日竣工验收合格。</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4.效益指标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效益指标绩效评价设定分值为30分，考评得分30分。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（1）社会效益指标绩效评价设定分值为20分，考评得分20分。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①总体目标实现情况指标标准分值为8分，考评得分8分。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完工项目按批复设定的总体目标</w:t>
      </w:r>
      <w:r>
        <w:rPr>
          <w:rFonts w:hint="eastAsia" w:ascii="宋体" w:hAnsi="宋体" w:eastAsia="宋体" w:cs="宋体"/>
          <w:sz w:val="28"/>
          <w:szCs w:val="28"/>
          <w:lang w:val="en-US" w:eastAsia="zh-CN"/>
        </w:rPr>
        <w:t>建设206个农村客运站点候车亭</w:t>
      </w:r>
      <w:r>
        <w:rPr>
          <w:rFonts w:hint="eastAsia" w:ascii="宋体" w:hAnsi="宋体" w:eastAsia="宋体" w:cs="宋体"/>
          <w:kern w:val="2"/>
          <w:sz w:val="28"/>
          <w:szCs w:val="28"/>
          <w:highlight w:val="none"/>
          <w:lang w:val="en-US" w:eastAsia="zh-CN" w:bidi="ar-SA"/>
        </w:rPr>
        <w:t>全面实现，达到预期目标。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②社会效益实现情况指标标准分值为8分，考评得分8分。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该项目具备了社会效益优质化，符合国家产业政策，符合市场要求，符合社会和谐的发展需要。项目的建设不仅改善了当地群众的候车乘车环境，还美化了公路沿线风景。改善了交通秩序，适应社会发展需要，完善城市服务功能，</w:t>
      </w:r>
      <w:r>
        <w:rPr>
          <w:rFonts w:hint="eastAsia" w:ascii="宋体" w:hAnsi="宋体" w:eastAsia="宋体" w:cs="宋体"/>
          <w:kern w:val="2"/>
          <w:sz w:val="28"/>
          <w:szCs w:val="28"/>
          <w:highlight w:val="none"/>
          <w:lang w:val="en-US" w:eastAsia="zh-CN" w:bidi="ar-SA"/>
        </w:rPr>
        <w:t>社会效益明显提升。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③社会环境（交通环境等）改善情况指标标准分值为4分，考评得分4分。</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此项目的实施，改善了偏远地区出行难问题，明显提升了当地百姓出行条件和出行频率，增加了当地人员的流动性，促进了村与村之间的经济往来，对目前的社会环境有所改善，保障了人们的出行安全，交通环境大大提升，对周边居民的生活环境也有明显改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（2）经济效益指标绩效评价设定分值为10分，考评得分10分。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①直接经济效益指标标准分值为3分，考评得分3分。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eastAsia="zh-CN"/>
        </w:rPr>
        <w:t>农村客运站点的建设</w:t>
      </w:r>
      <w:r>
        <w:rPr>
          <w:rFonts w:hint="eastAsia" w:ascii="宋体" w:hAnsi="宋体" w:eastAsia="宋体" w:cs="宋体"/>
          <w:kern w:val="2"/>
          <w:sz w:val="28"/>
          <w:szCs w:val="28"/>
          <w:highlight w:val="none"/>
          <w:lang w:val="en-US" w:eastAsia="zh-CN" w:bidi="ar-SA"/>
        </w:rPr>
        <w:t>，</w:t>
      </w:r>
      <w:r>
        <w:rPr>
          <w:rFonts w:hint="eastAsia" w:ascii="宋体" w:hAnsi="宋体" w:eastAsia="宋体" w:cs="宋体"/>
          <w:sz w:val="28"/>
          <w:szCs w:val="28"/>
          <w:lang w:val="en-US" w:eastAsia="zh-CN"/>
        </w:rPr>
        <w:t>改善了偏远地区出行难问题，改善了当地群众的候车乘车环境，使人们的出行频率逐步提升，</w:t>
      </w:r>
      <w:r>
        <w:rPr>
          <w:rFonts w:hint="eastAsia" w:ascii="宋体" w:hAnsi="宋体" w:eastAsia="宋体" w:cs="宋体"/>
          <w:kern w:val="2"/>
          <w:sz w:val="28"/>
          <w:szCs w:val="28"/>
          <w:highlight w:val="none"/>
          <w:lang w:val="en-US" w:eastAsia="zh-CN" w:bidi="ar-SA"/>
        </w:rPr>
        <w:t>产生了一定的直接经济效益。</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②间接经济效益指标标准分值7分，考评得分7分。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sz w:val="28"/>
          <w:szCs w:val="28"/>
          <w:lang w:eastAsia="zh-CN"/>
        </w:rPr>
        <w:t>农村客运站点的建设</w:t>
      </w:r>
      <w:r>
        <w:rPr>
          <w:rFonts w:hint="eastAsia" w:ascii="宋体" w:hAnsi="宋体" w:eastAsia="宋体" w:cs="宋体"/>
          <w:kern w:val="2"/>
          <w:sz w:val="28"/>
          <w:szCs w:val="28"/>
          <w:highlight w:val="none"/>
          <w:lang w:val="en-US" w:eastAsia="zh-CN" w:bidi="ar-SA"/>
        </w:rPr>
        <w:t>，通过改善出行条件，</w:t>
      </w:r>
      <w:r>
        <w:rPr>
          <w:rFonts w:hint="eastAsia" w:ascii="宋体" w:hAnsi="宋体" w:eastAsia="宋体" w:cs="宋体"/>
          <w:sz w:val="28"/>
          <w:szCs w:val="28"/>
          <w:lang w:val="en-US" w:eastAsia="zh-CN"/>
        </w:rPr>
        <w:t>改善了交通秩序，降低了交通安全隐患，增加了当地人员的流动性，促进了村与村之间的经济往来，</w:t>
      </w:r>
      <w:r>
        <w:rPr>
          <w:rFonts w:hint="eastAsia" w:ascii="宋体" w:hAnsi="宋体" w:eastAsia="宋体" w:cs="宋体"/>
          <w:kern w:val="2"/>
          <w:sz w:val="28"/>
          <w:szCs w:val="28"/>
          <w:highlight w:val="none"/>
          <w:lang w:val="en-US" w:eastAsia="zh-CN" w:bidi="ar-SA"/>
        </w:rPr>
        <w:t>项目建设带来的</w:t>
      </w:r>
      <w:r>
        <w:rPr>
          <w:rFonts w:hint="eastAsia" w:ascii="宋体" w:hAnsi="宋体" w:eastAsia="宋体" w:cs="宋体"/>
          <w:sz w:val="28"/>
          <w:szCs w:val="28"/>
          <w:highlight w:val="none"/>
          <w:lang w:val="en-US" w:eastAsia="zh-CN"/>
        </w:rPr>
        <w:t>间接经济效益也非常明显，因此本项考核得分为7分。</w:t>
      </w:r>
    </w:p>
    <w:p>
      <w:pPr>
        <w:ind w:firstLine="560" w:firstLineChars="200"/>
        <w:rPr>
          <w:rFonts w:hint="eastAsia" w:ascii="宋体" w:hAnsi="宋体" w:eastAsia="宋体" w:cs="宋体"/>
          <w:sz w:val="28"/>
          <w:szCs w:val="28"/>
          <w:lang w:eastAsia="zh-CN"/>
        </w:rPr>
      </w:pPr>
      <w:bookmarkStart w:id="73" w:name="_Toc14098"/>
      <w:bookmarkStart w:id="74" w:name="_Toc32374"/>
      <w:r>
        <w:rPr>
          <w:rFonts w:hint="eastAsia" w:ascii="宋体" w:hAnsi="宋体" w:eastAsia="宋体" w:cs="宋体"/>
          <w:sz w:val="28"/>
          <w:szCs w:val="28"/>
          <w:lang w:eastAsia="zh-CN"/>
        </w:rPr>
        <w:t>（二）绩效评价结论</w:t>
      </w:r>
      <w:bookmarkEnd w:id="73"/>
      <w:bookmarkEnd w:id="74"/>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结果采取评分和评级相结合的方式，具体分值和等级可根据不同评价内容设定。总分一般设置为100分，等级一般划分为四档：80（含）-100分为优、70（含）-80分为良、60（含）-70分为合格、60分以下为不合格。</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绩效评价指标综合得分情况：</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围场县公路工程建设管理站2016年农村客运站点建设项目绩效考评结果，其中：投入指标考评得分10分、管理指标考评得分30分、产出指标考评得分28分、效益指标考评得分30分。通过对各项指标的具体分析评价，汇总得出本次绩效评价考核综合得分为98分，总体评价为“优”。</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通过项目建设，对社会效益影响是长期的，促进了围场县的经济繁荣。</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结果表明，围场县公路工程建设管理站2016年农村客运站点建设项目组织和管理较好地执行了相关规定要求，组织管理有序，单位财务管理制度基本健全，对项目资金的监督管理总体有效，资金使用合理合规，实施的经济效益和持续性明显。为围场县的经济繁荣作出了贡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highlight w:val="none"/>
          <w:lang w:eastAsia="zh-CN"/>
        </w:rPr>
      </w:pPr>
      <w:bookmarkStart w:id="75" w:name="_Toc32395"/>
      <w:bookmarkStart w:id="76" w:name="_Toc6870"/>
      <w:r>
        <w:rPr>
          <w:rFonts w:hint="eastAsia" w:ascii="黑体" w:hAnsi="黑体" w:eastAsia="黑体" w:cs="黑体"/>
          <w:b w:val="0"/>
          <w:bCs/>
          <w:kern w:val="0"/>
          <w:sz w:val="32"/>
          <w:szCs w:val="32"/>
          <w:highlight w:val="none"/>
          <w:lang w:eastAsia="zh-CN"/>
        </w:rPr>
        <w:t>五、</w:t>
      </w:r>
      <w:bookmarkEnd w:id="75"/>
      <w:r>
        <w:rPr>
          <w:rFonts w:hint="eastAsia" w:ascii="黑体" w:hAnsi="黑体" w:eastAsia="黑体" w:cs="黑体"/>
          <w:b w:val="0"/>
          <w:bCs/>
          <w:kern w:val="0"/>
          <w:sz w:val="32"/>
          <w:szCs w:val="32"/>
          <w:highlight w:val="none"/>
          <w:lang w:eastAsia="zh-CN"/>
        </w:rPr>
        <w:t>意见及建议</w:t>
      </w:r>
      <w:bookmarkEnd w:id="76"/>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加强项目后期的维护管理、完善项目资料，建立健全建设程序及资金支付方面的管理。</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77" w:name="_Toc26763"/>
      <w:bookmarkStart w:id="78" w:name="_Toc31396"/>
      <w:bookmarkStart w:id="79" w:name="_Toc5786"/>
      <w:bookmarkStart w:id="80" w:name="_Toc25821"/>
      <w:bookmarkStart w:id="81" w:name="_Toc12140"/>
      <w:bookmarkStart w:id="82" w:name="_Toc7010"/>
      <w:r>
        <w:rPr>
          <w:rFonts w:hint="eastAsia" w:ascii="楷体" w:hAnsi="楷体" w:eastAsia="楷体" w:cs="楷体"/>
          <w:b/>
          <w:bCs/>
          <w:sz w:val="32"/>
          <w:szCs w:val="32"/>
          <w:lang w:val="en-US" w:eastAsia="zh-CN"/>
        </w:rPr>
        <w:t>（一）强化绩效理念，深入推进评价工作</w:t>
      </w:r>
      <w:bookmarkEnd w:id="77"/>
      <w:bookmarkEnd w:id="78"/>
      <w:bookmarkEnd w:id="79"/>
      <w:bookmarkEnd w:id="80"/>
      <w:bookmarkEnd w:id="81"/>
      <w:bookmarkEnd w:id="82"/>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进一步强化各部门绩效管理理念，健全完善制度办法，切实加强组织领导，深入推进评价工作，提升整体绩效管理水平。</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83" w:name="_Toc20600"/>
      <w:bookmarkStart w:id="84" w:name="_Toc21411"/>
      <w:bookmarkStart w:id="85" w:name="_Toc14241"/>
      <w:bookmarkStart w:id="86" w:name="_Toc6863"/>
      <w:bookmarkStart w:id="87" w:name="_Toc10505"/>
      <w:bookmarkStart w:id="88" w:name="_Toc11860"/>
      <w:r>
        <w:rPr>
          <w:rFonts w:hint="eastAsia" w:ascii="楷体" w:hAnsi="楷体" w:eastAsia="楷体" w:cs="楷体"/>
          <w:b/>
          <w:bCs/>
          <w:sz w:val="32"/>
          <w:szCs w:val="32"/>
          <w:lang w:val="en-US" w:eastAsia="zh-CN"/>
        </w:rPr>
        <w:t>（二）强化事前准备，切实提升评价质量</w:t>
      </w:r>
      <w:bookmarkEnd w:id="83"/>
      <w:bookmarkEnd w:id="84"/>
      <w:bookmarkEnd w:id="85"/>
      <w:bookmarkEnd w:id="86"/>
      <w:bookmarkEnd w:id="87"/>
      <w:bookmarkEnd w:id="88"/>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在推进自身评价工作开展时，结合评价工作实际，规范评价标准，确保绩效评价结果规范化、科学化，切实提高评价质量。</w:t>
      </w:r>
      <w:bookmarkStart w:id="89" w:name="_Toc21034"/>
      <w:bookmarkStart w:id="90" w:name="_Toc30061"/>
      <w:bookmarkStart w:id="91" w:name="_Toc10592"/>
      <w:bookmarkStart w:id="92" w:name="_Toc3001"/>
      <w:bookmarkStart w:id="93" w:name="_Toc11787"/>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94" w:name="_Toc15645"/>
      <w:r>
        <w:rPr>
          <w:rFonts w:hint="eastAsia" w:ascii="楷体" w:hAnsi="楷体" w:eastAsia="楷体" w:cs="楷体"/>
          <w:b/>
          <w:bCs/>
          <w:sz w:val="32"/>
          <w:szCs w:val="32"/>
          <w:lang w:val="en-US" w:eastAsia="zh-CN"/>
        </w:rPr>
        <w:t>（三）强化结果应用，不断巩固评价</w:t>
      </w:r>
      <w:bookmarkEnd w:id="89"/>
      <w:bookmarkEnd w:id="90"/>
      <w:bookmarkEnd w:id="91"/>
      <w:bookmarkEnd w:id="92"/>
      <w:bookmarkEnd w:id="93"/>
      <w:r>
        <w:rPr>
          <w:rFonts w:hint="eastAsia" w:ascii="楷体" w:hAnsi="楷体" w:eastAsia="楷体" w:cs="楷体"/>
          <w:b/>
          <w:bCs/>
          <w:sz w:val="32"/>
          <w:szCs w:val="32"/>
          <w:lang w:val="en-US" w:eastAsia="zh-CN"/>
        </w:rPr>
        <w:t>成效</w:t>
      </w:r>
      <w:bookmarkEnd w:id="94"/>
    </w:p>
    <w:p>
      <w:pPr>
        <w:ind w:firstLine="560" w:firstLineChars="200"/>
        <w:rPr>
          <w:rFonts w:hint="eastAsia" w:ascii="宋体" w:hAnsi="宋体" w:eastAsia="宋体" w:cs="宋体"/>
          <w:kern w:val="2"/>
          <w:sz w:val="28"/>
          <w:szCs w:val="28"/>
          <w:highlight w:val="none"/>
          <w:lang w:val="en-US" w:eastAsia="zh-CN" w:bidi="ar-SA"/>
        </w:rPr>
      </w:pPr>
      <w:r>
        <w:rPr>
          <w:rFonts w:hint="default" w:ascii="宋体" w:hAnsi="宋体" w:eastAsia="宋体" w:cs="宋体"/>
          <w:sz w:val="28"/>
          <w:szCs w:val="28"/>
          <w:lang w:val="en-US" w:eastAsia="zh-CN"/>
        </w:rPr>
        <w:t>加强评价结果的运用，将绩效评价结果纳入</w:t>
      </w:r>
      <w:r>
        <w:rPr>
          <w:rFonts w:hint="eastAsia" w:ascii="宋体" w:hAnsi="宋体" w:eastAsia="宋体" w:cs="宋体"/>
          <w:sz w:val="28"/>
          <w:szCs w:val="28"/>
          <w:lang w:val="en-US" w:eastAsia="zh-CN"/>
        </w:rPr>
        <w:t>本单位</w:t>
      </w:r>
      <w:r>
        <w:rPr>
          <w:rFonts w:hint="default" w:ascii="宋体" w:hAnsi="宋体" w:eastAsia="宋体" w:cs="宋体"/>
          <w:sz w:val="28"/>
          <w:szCs w:val="28"/>
          <w:lang w:val="en-US" w:eastAsia="zh-CN"/>
        </w:rPr>
        <w:t>的年终考核中来，成为考核奖惩</w:t>
      </w:r>
      <w:r>
        <w:rPr>
          <w:rFonts w:hint="eastAsia" w:ascii="宋体" w:hAnsi="宋体" w:eastAsia="宋体" w:cs="宋体"/>
          <w:sz w:val="28"/>
          <w:szCs w:val="28"/>
          <w:lang w:val="en-US" w:eastAsia="zh-CN"/>
        </w:rPr>
        <w:t>的</w:t>
      </w:r>
      <w:r>
        <w:rPr>
          <w:rFonts w:hint="default" w:ascii="宋体" w:hAnsi="宋体" w:eastAsia="宋体" w:cs="宋体"/>
          <w:sz w:val="28"/>
          <w:szCs w:val="28"/>
          <w:lang w:val="en-US" w:eastAsia="zh-CN"/>
        </w:rPr>
        <w:t>重要指标，区县和部门对绩效评价中发现的问题进一步整改落实，不断促进民生工程工作提质增效</w:t>
      </w:r>
      <w:r>
        <w:rPr>
          <w:rFonts w:hint="eastAsia" w:hAnsi="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95" w:name="_Toc838"/>
      <w:r>
        <w:rPr>
          <w:rFonts w:hint="eastAsia" w:ascii="黑体" w:hAnsi="黑体" w:eastAsia="黑体" w:cs="黑体"/>
          <w:b w:val="0"/>
          <w:bCs/>
          <w:kern w:val="0"/>
          <w:sz w:val="32"/>
          <w:szCs w:val="32"/>
          <w:lang w:val="en-US" w:eastAsia="zh-CN"/>
        </w:rPr>
        <w:t>六、附件</w:t>
      </w:r>
      <w:bookmarkEnd w:id="95"/>
    </w:p>
    <w:p>
      <w:pPr>
        <w:pStyle w:val="3"/>
        <w:bidi w:val="0"/>
        <w:rPr>
          <w:rFonts w:hint="eastAsia" w:ascii="楷体" w:hAnsi="楷体" w:eastAsia="楷体" w:cs="楷体"/>
          <w:lang w:val="en-US" w:eastAsia="zh-CN"/>
        </w:rPr>
      </w:pPr>
      <w:bookmarkStart w:id="96" w:name="_Toc23092"/>
      <w:r>
        <w:rPr>
          <w:rFonts w:hint="eastAsia" w:ascii="楷体" w:hAnsi="楷体" w:eastAsia="楷体" w:cs="楷体"/>
          <w:lang w:val="en-US" w:eastAsia="zh-CN"/>
        </w:rPr>
        <w:t>绩效评价指标体系得分表</w:t>
      </w:r>
      <w:bookmarkEnd w:id="96"/>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adjustRightInd w:val="0"/>
        <w:snapToGrid w:val="0"/>
        <w:spacing w:line="540" w:lineRule="exact"/>
        <w:outlineLvl w:val="0"/>
        <w:rPr>
          <w:rFonts w:hint="eastAsia" w:asciiTheme="minorEastAsia" w:hAnsiTheme="minorEastAsia" w:eastAsiaTheme="minorEastAsia"/>
          <w:sz w:val="32"/>
          <w:szCs w:val="32"/>
          <w:lang w:eastAsia="zh-CN"/>
        </w:rPr>
      </w:pPr>
      <w:bookmarkStart w:id="97" w:name="_Toc15162"/>
      <w:r>
        <w:rPr>
          <w:rFonts w:hint="eastAsia" w:asciiTheme="minorEastAsia" w:hAnsiTheme="minorEastAsia"/>
          <w:sz w:val="32"/>
          <w:szCs w:val="32"/>
        </w:rPr>
        <w:t>承德燕山会计师事务所         中国注册会计师</w:t>
      </w:r>
      <w:bookmarkEnd w:id="97"/>
      <w:r>
        <w:rPr>
          <w:rFonts w:hint="eastAsia" w:asciiTheme="minorEastAsia" w:hAnsiTheme="minorEastAsia"/>
          <w:sz w:val="32"/>
          <w:szCs w:val="32"/>
          <w:lang w:eastAsia="zh-CN"/>
        </w:rPr>
        <w:t>：崔春华</w:t>
      </w:r>
    </w:p>
    <w:p>
      <w:pPr>
        <w:adjustRightInd w:val="0"/>
        <w:snapToGrid w:val="0"/>
        <w:spacing w:line="540" w:lineRule="exact"/>
        <w:ind w:firstLine="640" w:firstLineChars="200"/>
        <w:outlineLvl w:val="0"/>
        <w:rPr>
          <w:rFonts w:asciiTheme="minorEastAsia" w:hAnsiTheme="minorEastAsia"/>
          <w:sz w:val="32"/>
          <w:szCs w:val="32"/>
        </w:rPr>
      </w:pPr>
      <w:bookmarkStart w:id="98" w:name="_Toc14815"/>
      <w:r>
        <w:rPr>
          <w:rFonts w:hint="eastAsia" w:asciiTheme="minorEastAsia" w:hAnsiTheme="minorEastAsia"/>
          <w:sz w:val="32"/>
          <w:szCs w:val="32"/>
        </w:rPr>
        <w:t>有限责任公司</w:t>
      </w:r>
      <w:bookmarkEnd w:id="98"/>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Theme="minorEastAsia" w:hAnsiTheme="minorEastAsia" w:eastAsiaTheme="minorEastAsia"/>
          <w:sz w:val="32"/>
          <w:szCs w:val="32"/>
          <w:lang w:eastAsia="zh-CN"/>
        </w:rPr>
      </w:pPr>
      <w:bookmarkStart w:id="99" w:name="_Toc13463"/>
      <w:r>
        <w:rPr>
          <w:rFonts w:hint="eastAsia" w:asciiTheme="minorEastAsia" w:hAnsiTheme="minorEastAsia"/>
          <w:sz w:val="32"/>
          <w:szCs w:val="32"/>
        </w:rPr>
        <w:t xml:space="preserve">河北·承德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中国注册会计师：</w:t>
      </w:r>
      <w:bookmarkEnd w:id="99"/>
      <w:r>
        <w:rPr>
          <w:rFonts w:hint="eastAsia" w:asciiTheme="minorEastAsia" w:hAnsiTheme="minorEastAsia"/>
          <w:sz w:val="32"/>
          <w:szCs w:val="32"/>
          <w:lang w:eastAsia="zh-CN"/>
        </w:rPr>
        <w:t>白秀云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rPr>
      </w:pPr>
    </w:p>
    <w:p>
      <w:pPr>
        <w:rPr>
          <w:rFonts w:hint="eastAsia" w:ascii="楷体" w:hAnsi="楷体" w:eastAsia="楷体" w:cs="楷体"/>
          <w:lang w:val="en-US" w:eastAsia="zh-CN"/>
        </w:rPr>
      </w:pPr>
      <w:r>
        <w:rPr>
          <w:rFonts w:hint="eastAsia" w:asciiTheme="minorEastAsia" w:hAnsiTheme="minorEastAsia"/>
          <w:sz w:val="32"/>
          <w:szCs w:val="32"/>
          <w:lang w:val="en-US" w:eastAsia="zh-CN"/>
        </w:rPr>
        <w:t xml:space="preserve">                          </w:t>
      </w:r>
      <w:bookmarkStart w:id="100" w:name="_Toc29542"/>
      <w:r>
        <w:rPr>
          <w:rFonts w:hint="eastAsia" w:asciiTheme="minorEastAsia" w:hAnsiTheme="minorEastAsia"/>
          <w:sz w:val="32"/>
          <w:szCs w:val="32"/>
        </w:rPr>
        <w:t>二○</w:t>
      </w:r>
      <w:r>
        <w:rPr>
          <w:rFonts w:hint="eastAsia" w:asciiTheme="minorEastAsia" w:hAnsiTheme="minorEastAsia"/>
          <w:sz w:val="32"/>
          <w:szCs w:val="32"/>
          <w:lang w:eastAsia="zh-CN"/>
        </w:rPr>
        <w:t>二〇</w:t>
      </w:r>
      <w:r>
        <w:rPr>
          <w:rFonts w:hint="eastAsia" w:asciiTheme="minorEastAsia" w:hAnsiTheme="minorEastAsia"/>
          <w:sz w:val="32"/>
          <w:szCs w:val="32"/>
        </w:rPr>
        <w:t>年</w:t>
      </w:r>
      <w:r>
        <w:rPr>
          <w:rFonts w:hint="eastAsia" w:asciiTheme="minorEastAsia" w:hAnsiTheme="minorEastAsia"/>
          <w:sz w:val="32"/>
          <w:szCs w:val="32"/>
          <w:lang w:eastAsia="zh-CN"/>
        </w:rPr>
        <w:t>十二</w:t>
      </w:r>
      <w:r>
        <w:rPr>
          <w:rFonts w:hint="eastAsia" w:asciiTheme="minorEastAsia" w:hAnsiTheme="minorEastAsia"/>
          <w:sz w:val="32"/>
          <w:szCs w:val="32"/>
        </w:rPr>
        <w:t>月</w:t>
      </w:r>
      <w:r>
        <w:rPr>
          <w:rFonts w:hint="eastAsia" w:asciiTheme="minorEastAsia" w:hAnsiTheme="minorEastAsia"/>
          <w:sz w:val="32"/>
          <w:szCs w:val="32"/>
          <w:lang w:eastAsia="zh-CN"/>
        </w:rPr>
        <w:t>二十八</w:t>
      </w:r>
      <w:r>
        <w:rPr>
          <w:rFonts w:hint="eastAsia" w:asciiTheme="minorEastAsia" w:hAnsiTheme="minorEastAsia"/>
          <w:sz w:val="32"/>
          <w:szCs w:val="32"/>
        </w:rPr>
        <w:t>日</w:t>
      </w:r>
      <w:bookmarkEnd w:id="100"/>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highlight w:val="none"/>
          <w:lang w:val="en-US" w:eastAsia="zh-CN" w:bidi="ar-SA"/>
        </w:rPr>
        <w:sectPr>
          <w:footerReference r:id="rId6"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8"/>
          <w:szCs w:val="28"/>
          <w:highlight w:val="yellow"/>
          <w:lang w:val="en-US" w:eastAsia="zh-CN" w:bidi="ar-SA"/>
        </w:rPr>
      </w:pPr>
      <w:r>
        <w:rPr>
          <w:rFonts w:hint="eastAsia" w:ascii="宋体" w:hAnsi="宋体" w:eastAsia="宋体" w:cs="宋体"/>
          <w:b/>
          <w:bCs/>
          <w:sz w:val="28"/>
          <w:szCs w:val="28"/>
          <w:highlight w:val="none"/>
          <w:lang w:eastAsia="zh-CN"/>
        </w:rPr>
        <w:t>围场县公路工程建设管理站2016年农村客运站点建设项目绩效评价指标体系得分表</w:t>
      </w:r>
    </w:p>
    <w:tbl>
      <w:tblPr>
        <w:tblStyle w:val="13"/>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137"/>
        <w:gridCol w:w="4802"/>
        <w:gridCol w:w="335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5"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7"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
                <w:bCs/>
                <w:sz w:val="24"/>
                <w:lang w:eastAsia="zh-CN"/>
              </w:rPr>
            </w:pPr>
            <w:r>
              <w:rPr>
                <w:rFonts w:hint="eastAsia" w:asciiTheme="minorEastAsia" w:hAnsiTheme="minorEastAsia"/>
                <w:b/>
                <w:bCs/>
                <w:sz w:val="24"/>
              </w:rPr>
              <w:t>考核</w:t>
            </w:r>
            <w:r>
              <w:rPr>
                <w:rFonts w:hint="eastAsia" w:asciiTheme="minorEastAsia" w:hAnsiTheme="minorEastAsia"/>
                <w:b/>
                <w:bCs/>
                <w:sz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w:t>
            </w:r>
            <w:r>
              <w:rPr>
                <w:rFonts w:hint="eastAsia" w:ascii="宋体" w:hAnsi="宋体" w:eastAsia="宋体" w:cs="宋体"/>
                <w:color w:val="000000"/>
                <w:sz w:val="24"/>
                <w:lang w:eastAsia="zh-CN"/>
              </w:rPr>
              <w:t>行</w:t>
            </w:r>
            <w:r>
              <w:rPr>
                <w:rFonts w:hint="eastAsia" w:ascii="宋体" w:hAnsi="宋体" w:eastAsia="宋体" w:cs="宋体"/>
                <w:color w:val="000000"/>
                <w:sz w:val="24"/>
              </w:rPr>
              <w:t>性（5分）；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制定公示制度、建立公示平台、应该招标项目必须进行招标得3分，每缺少一项扣1分；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债券资金使用无变更得3分，变更费用每超过投资额1%，扣0.5分；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w:t>
            </w:r>
            <w:r>
              <w:rPr>
                <w:rFonts w:hint="eastAsia" w:ascii="宋体" w:hAnsi="宋体" w:eastAsia="宋体" w:cs="宋体"/>
                <w:color w:val="000000"/>
                <w:sz w:val="24"/>
                <w:lang w:val="en-US" w:eastAsia="zh-CN"/>
              </w:rPr>
              <w:t>项目按照方案实施情况</w:t>
            </w:r>
            <w:r>
              <w:rPr>
                <w:rFonts w:hint="eastAsia" w:ascii="宋体" w:hAnsi="宋体" w:eastAsia="宋体" w:cs="宋体"/>
                <w:color w:val="000000"/>
                <w:sz w:val="24"/>
              </w:rPr>
              <w:t>（3分）；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严格按照方案实施、可行得3分，每有一项不合理扣减0.5分；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w:t>
            </w:r>
            <w:r>
              <w:rPr>
                <w:rFonts w:hint="eastAsia" w:ascii="宋体" w:hAnsi="宋体" w:eastAsia="宋体" w:cs="宋体"/>
                <w:color w:val="000000"/>
                <w:sz w:val="24"/>
                <w:lang w:val="en-US" w:eastAsia="zh-CN"/>
              </w:rPr>
              <w:t>7</w:t>
            </w:r>
            <w:r>
              <w:rPr>
                <w:rFonts w:hint="eastAsia" w:ascii="宋体" w:hAnsi="宋体" w:eastAsia="宋体" w:cs="宋体"/>
                <w:color w:val="000000"/>
                <w:sz w:val="24"/>
              </w:rPr>
              <w:t>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及时拨付项目资金得7分，未及时拨付每发现一次扣1分；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r>
              <w:rPr>
                <w:rFonts w:hint="eastAsia" w:ascii="宋体" w:hAnsi="宋体" w:eastAsia="宋体" w:cs="宋体"/>
                <w:color w:val="000000"/>
                <w:sz w:val="24"/>
              </w:rPr>
              <w:t>、会计制度执行情况（</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未发现资金有挪用、抽逃、延迟支付现象得4分，每发现一次扣减1分；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1</w:t>
            </w:r>
            <w:r>
              <w:rPr>
                <w:rFonts w:hint="eastAsia" w:ascii="宋体" w:hAnsi="宋体" w:eastAsia="宋体" w:cs="宋体"/>
                <w:color w:val="000000"/>
                <w:sz w:val="24"/>
              </w:rPr>
              <w:t>、工程完工情况（10分）；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r>
              <w:rPr>
                <w:rFonts w:hint="eastAsia" w:ascii="宋体" w:hAnsi="宋体" w:eastAsia="宋体" w:cs="宋体"/>
                <w:color w:val="000000"/>
                <w:sz w:val="24"/>
              </w:rPr>
              <w:t>、工期控制情况（10分）；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计划工期内完工得10分，超期完工扣2分；评价期内仍未完工不得分；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、完工项目验收情况（10分）；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、总体目标实现情况（8分）；</w:t>
            </w:r>
          </w:p>
        </w:tc>
        <w:tc>
          <w:tcPr>
            <w:tcW w:w="1207"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5</w:t>
            </w:r>
            <w:r>
              <w:rPr>
                <w:rFonts w:hint="eastAsia" w:ascii="宋体" w:hAnsi="宋体" w:eastAsia="宋体" w:cs="宋体"/>
                <w:color w:val="000000"/>
                <w:sz w:val="24"/>
              </w:rPr>
              <w:t>、社会效益实现情况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8</w:t>
            </w:r>
            <w:r>
              <w:rPr>
                <w:rFonts w:hint="eastAsia" w:ascii="宋体" w:hAnsi="宋体" w:eastAsia="宋体" w:cs="宋体"/>
                <w:color w:val="000000"/>
                <w:sz w:val="24"/>
                <w:highlight w:val="none"/>
              </w:rPr>
              <w:t>分）</w:t>
            </w:r>
            <w:r>
              <w:rPr>
                <w:rFonts w:hint="eastAsia" w:ascii="宋体" w:hAnsi="宋体" w:eastAsia="宋体" w:cs="宋体"/>
                <w:color w:val="000000"/>
                <w:sz w:val="24"/>
              </w:rPr>
              <w:t>；</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项目的建设对社会效益明显提升得8分，效益不明显得4分，社会效益差不得分；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bCs/>
                <w:sz w:val="24"/>
                <w:lang w:val="en-US"/>
              </w:rPr>
            </w:pPr>
            <w:r>
              <w:rPr>
                <w:rFonts w:hint="default" w:asciiTheme="minorEastAsia" w:hAnsiTheme="minorEastAsia"/>
                <w:bCs/>
                <w:sz w:val="24"/>
                <w:highlight w:val="none"/>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r>
              <w:rPr>
                <w:rFonts w:hint="eastAsia" w:ascii="宋体" w:hAnsi="宋体" w:eastAsia="宋体" w:cs="宋体"/>
                <w:color w:val="000000"/>
                <w:sz w:val="24"/>
              </w:rPr>
              <w:t>、社会环境（交通环境等）改善情况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4</w:t>
            </w:r>
            <w:r>
              <w:rPr>
                <w:rFonts w:hint="eastAsia" w:ascii="宋体" w:hAnsi="宋体" w:eastAsia="宋体" w:cs="宋体"/>
                <w:color w:val="000000"/>
                <w:sz w:val="24"/>
                <w:highlight w:val="none"/>
              </w:rPr>
              <w:t>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项目建设对社会环境有明显提升得4分，提升不明显得2分，影响社会环境不得分；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lang w:eastAsia="zh-CN"/>
              </w:rPr>
              <w:t>经济</w:t>
            </w:r>
            <w:r>
              <w:rPr>
                <w:rFonts w:hint="eastAsia" w:asciiTheme="minorEastAsia" w:hAnsiTheme="minorEastAsia"/>
                <w:bCs/>
                <w:sz w:val="24"/>
              </w:rPr>
              <w:t>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7</w:t>
            </w:r>
            <w:r>
              <w:rPr>
                <w:rFonts w:hint="eastAsia" w:ascii="宋体" w:hAnsi="宋体" w:eastAsia="宋体" w:cs="宋体"/>
                <w:color w:val="000000"/>
                <w:sz w:val="24"/>
              </w:rPr>
              <w:t>、</w:t>
            </w:r>
            <w:r>
              <w:rPr>
                <w:rFonts w:hint="eastAsia" w:ascii="宋体" w:hAnsi="宋体" w:eastAsia="宋体" w:cs="宋体"/>
                <w:color w:val="000000"/>
                <w:sz w:val="24"/>
                <w:szCs w:val="24"/>
                <w:lang w:val="en-US" w:eastAsia="zh-CN"/>
              </w:rPr>
              <w:t>项目建设带来的直接经济效益（3分）；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18、</w:t>
            </w:r>
            <w:r>
              <w:rPr>
                <w:rFonts w:hint="eastAsia" w:ascii="宋体" w:hAnsi="宋体" w:eastAsia="宋体" w:cs="宋体"/>
                <w:color w:val="000000"/>
                <w:sz w:val="24"/>
                <w:szCs w:val="24"/>
                <w:lang w:val="en-US" w:eastAsia="zh-CN"/>
              </w:rPr>
              <w:t>项目建设带来的间接经济效益（7分）；</w:t>
            </w:r>
          </w:p>
        </w:tc>
        <w:tc>
          <w:tcPr>
            <w:tcW w:w="1207" w:type="pct"/>
          </w:tcPr>
          <w:p>
            <w:pPr>
              <w:pStyle w:val="16"/>
              <w:kinsoku w:val="0"/>
              <w:overflowPunct w:val="0"/>
              <w:autoSpaceDE w:val="0"/>
              <w:autoSpaceDN w:val="0"/>
              <w:adjustRightInd w:val="0"/>
              <w:snapToGrid w:val="0"/>
              <w:spacing w:before="163" w:after="163"/>
              <w:ind w:firstLine="0"/>
              <w:rPr>
                <w:rFonts w:hint="eastAsia"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5"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98</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3906ECE"/>
    <w:rsid w:val="03B73450"/>
    <w:rsid w:val="047E3D7B"/>
    <w:rsid w:val="06B3136F"/>
    <w:rsid w:val="09DF3A36"/>
    <w:rsid w:val="0A617961"/>
    <w:rsid w:val="0CF76258"/>
    <w:rsid w:val="0E2B1688"/>
    <w:rsid w:val="0FF14209"/>
    <w:rsid w:val="105259B6"/>
    <w:rsid w:val="105E04DB"/>
    <w:rsid w:val="118F61CE"/>
    <w:rsid w:val="11CA6AB4"/>
    <w:rsid w:val="13426D82"/>
    <w:rsid w:val="13D04FA7"/>
    <w:rsid w:val="1671287C"/>
    <w:rsid w:val="179E01C8"/>
    <w:rsid w:val="18596D27"/>
    <w:rsid w:val="18B14196"/>
    <w:rsid w:val="19B12636"/>
    <w:rsid w:val="1C0818FD"/>
    <w:rsid w:val="1DCB30AC"/>
    <w:rsid w:val="1E3912B7"/>
    <w:rsid w:val="1F3109C5"/>
    <w:rsid w:val="21C358CA"/>
    <w:rsid w:val="23962522"/>
    <w:rsid w:val="23EF5E50"/>
    <w:rsid w:val="25CF6ED4"/>
    <w:rsid w:val="276636A1"/>
    <w:rsid w:val="27DD72F2"/>
    <w:rsid w:val="284D6241"/>
    <w:rsid w:val="2B284D4B"/>
    <w:rsid w:val="2C137100"/>
    <w:rsid w:val="2DAF37FA"/>
    <w:rsid w:val="2E7D695F"/>
    <w:rsid w:val="327F7BC1"/>
    <w:rsid w:val="362B2878"/>
    <w:rsid w:val="39897B90"/>
    <w:rsid w:val="39FB1AB6"/>
    <w:rsid w:val="3B7F4015"/>
    <w:rsid w:val="3B943A5F"/>
    <w:rsid w:val="3BB5552B"/>
    <w:rsid w:val="3D7533AC"/>
    <w:rsid w:val="3EE432ED"/>
    <w:rsid w:val="40A00F76"/>
    <w:rsid w:val="41764DEF"/>
    <w:rsid w:val="41A52C9E"/>
    <w:rsid w:val="46437D54"/>
    <w:rsid w:val="46CA2C9E"/>
    <w:rsid w:val="47C37A03"/>
    <w:rsid w:val="483D7FCC"/>
    <w:rsid w:val="48771478"/>
    <w:rsid w:val="4A924A90"/>
    <w:rsid w:val="4DF57240"/>
    <w:rsid w:val="4F5D274A"/>
    <w:rsid w:val="53C60C74"/>
    <w:rsid w:val="54252E1D"/>
    <w:rsid w:val="569318BE"/>
    <w:rsid w:val="577B4A42"/>
    <w:rsid w:val="5D190268"/>
    <w:rsid w:val="61174D5D"/>
    <w:rsid w:val="62280465"/>
    <w:rsid w:val="67D80311"/>
    <w:rsid w:val="6EC845C2"/>
    <w:rsid w:val="710016B0"/>
    <w:rsid w:val="75840E38"/>
    <w:rsid w:val="772B6771"/>
    <w:rsid w:val="77AB17FD"/>
    <w:rsid w:val="7D87276F"/>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lang w:val="en-US" w:eastAsia="zh-CN" w:bidi="ar-SA"/>
    </w:rPr>
  </w:style>
  <w:style w:type="paragraph" w:styleId="6">
    <w:name w:val="toc 3"/>
    <w:basedOn w:val="1"/>
    <w:next w:val="1"/>
    <w:unhideWhenUsed/>
    <w:qFormat/>
    <w:uiPriority w:val="39"/>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6">
    <w:name w:val="列出段落1"/>
    <w:basedOn w:val="1"/>
    <w:qFormat/>
    <w:uiPriority w:val="99"/>
    <w:pPr>
      <w:ind w:firstLine="420"/>
    </w:pPr>
  </w:style>
  <w:style w:type="paragraph" w:styleId="17">
    <w:name w:val="List Paragraph"/>
    <w:basedOn w:val="1"/>
    <w:unhideWhenUsed/>
    <w:qFormat/>
    <w:uiPriority w:val="99"/>
    <w:pPr>
      <w:ind w:firstLine="420" w:firstLineChars="200"/>
    </w:p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2021-03-05T07:59:00Z</cp:lastPrinted>
  <dcterms:modified xsi:type="dcterms:W3CDTF">2023-11-03T08:56:35Z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8005310202A548C5B8A48A060B8DB25F_13</vt:lpwstr>
  </property>
</Properties>
</file>